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7A07B25C" w14:textId="60ECB79F">
      <w:pPr>
        <w:jc w:val="right"/>
        <w:rPr>
          <w:b/>
          <w:sz w:val="24"/>
        </w:rPr>
      </w:pPr>
      <w:r>
        <w:rPr>
          <w:b/>
          <w:sz w:val="24"/>
        </w:rPr>
        <w:t xml:space="preserve">DA </w:t>
      </w:r>
      <w:r w:rsidR="00C31185">
        <w:rPr>
          <w:b/>
          <w:sz w:val="24"/>
        </w:rPr>
        <w:t>20</w:t>
      </w:r>
      <w:r w:rsidR="00DB2D9A">
        <w:rPr>
          <w:b/>
          <w:sz w:val="24"/>
        </w:rPr>
        <w:t>-</w:t>
      </w:r>
      <w:r w:rsidR="00AE3DA1">
        <w:rPr>
          <w:b/>
          <w:sz w:val="24"/>
        </w:rPr>
        <w:t>419</w:t>
      </w:r>
    </w:p>
    <w:p w:rsidR="00013A8B" w:rsidRPr="00B20363" w:rsidP="00013A8B" w14:paraId="1452622B" w14:textId="3D786A05">
      <w:pPr>
        <w:spacing w:before="60"/>
        <w:jc w:val="right"/>
        <w:rPr>
          <w:b/>
          <w:sz w:val="24"/>
        </w:rPr>
      </w:pPr>
      <w:r>
        <w:rPr>
          <w:b/>
          <w:sz w:val="24"/>
        </w:rPr>
        <w:t>Released:</w:t>
      </w:r>
      <w:r w:rsidR="00080C2A">
        <w:rPr>
          <w:b/>
          <w:sz w:val="24"/>
        </w:rPr>
        <w:t xml:space="preserve"> April 16, 2020</w:t>
      </w:r>
    </w:p>
    <w:p w:rsidR="00013A8B" w:rsidP="00013A8B" w14:paraId="378CD115" w14:textId="77777777">
      <w:pPr>
        <w:jc w:val="right"/>
        <w:rPr>
          <w:sz w:val="24"/>
        </w:rPr>
      </w:pPr>
    </w:p>
    <w:p w:rsidR="007B3733" w:rsidRPr="007B3733" w:rsidP="00C31185" w14:paraId="4F165243" w14:textId="539574A3">
      <w:pPr>
        <w:jc w:val="center"/>
        <w:rPr>
          <w:rFonts w:ascii="Times New Roman Bold" w:hAnsi="Times New Roman Bold"/>
          <w:b/>
          <w:bCs/>
          <w:caps/>
          <w:sz w:val="24"/>
        </w:rPr>
      </w:pPr>
      <w:bookmarkStart w:id="0" w:name="_Hlk37925201"/>
      <w:r>
        <w:rPr>
          <w:rFonts w:ascii="Times New Roman Bold" w:hAnsi="Times New Roman Bold"/>
          <w:b/>
          <w:bCs/>
          <w:caps/>
          <w:sz w:val="24"/>
        </w:rPr>
        <w:t>WIRELINE COMPETITION</w:t>
      </w:r>
      <w:r w:rsidRPr="007B3733" w:rsidR="00312DE0">
        <w:rPr>
          <w:rFonts w:ascii="Times New Roman Bold" w:hAnsi="Times New Roman Bold"/>
          <w:b/>
          <w:bCs/>
          <w:caps/>
          <w:sz w:val="24"/>
        </w:rPr>
        <w:t xml:space="preserve"> BUREAU SEEKS</w:t>
      </w:r>
      <w:r w:rsidR="00312DE0">
        <w:rPr>
          <w:rFonts w:ascii="Times New Roman Bold" w:hAnsi="Times New Roman Bold"/>
          <w:b/>
          <w:bCs/>
          <w:caps/>
          <w:sz w:val="24"/>
        </w:rPr>
        <w:t xml:space="preserve"> </w:t>
      </w:r>
      <w:r w:rsidRPr="007B3733" w:rsidR="00312DE0">
        <w:rPr>
          <w:rFonts w:ascii="Times New Roman Bold" w:hAnsi="Times New Roman Bold"/>
          <w:b/>
          <w:bCs/>
          <w:caps/>
          <w:sz w:val="24"/>
        </w:rPr>
        <w:t>COMMENT ON</w:t>
      </w:r>
      <w:r>
        <w:rPr>
          <w:rFonts w:ascii="Times New Roman Bold" w:hAnsi="Times New Roman Bold"/>
          <w:b/>
          <w:bCs/>
          <w:caps/>
          <w:sz w:val="24"/>
        </w:rPr>
        <w:t xml:space="preserve"> </w:t>
      </w:r>
      <w:r w:rsidR="0045678B">
        <w:rPr>
          <w:rFonts w:ascii="Times New Roman Bold" w:hAnsi="Times New Roman Bold"/>
          <w:b/>
          <w:bCs/>
          <w:caps/>
          <w:sz w:val="24"/>
        </w:rPr>
        <w:t>Petition</w:t>
      </w:r>
      <w:r w:rsidR="00C37D85">
        <w:rPr>
          <w:rFonts w:ascii="Times New Roman Bold" w:hAnsi="Times New Roman Bold"/>
          <w:b/>
          <w:bCs/>
          <w:caps/>
          <w:sz w:val="24"/>
        </w:rPr>
        <w:t xml:space="preserve"> </w:t>
      </w:r>
      <w:r>
        <w:rPr>
          <w:rFonts w:ascii="Times New Roman Bold" w:hAnsi="Times New Roman Bold"/>
          <w:b/>
          <w:bCs/>
          <w:caps/>
          <w:sz w:val="24"/>
        </w:rPr>
        <w:t xml:space="preserve">FOR WAIVER </w:t>
      </w:r>
      <w:r w:rsidRPr="007B3733" w:rsidR="00312DE0">
        <w:rPr>
          <w:rFonts w:ascii="Times New Roman Bold" w:hAnsi="Times New Roman Bold"/>
          <w:b/>
          <w:bCs/>
          <w:caps/>
          <w:sz w:val="24"/>
        </w:rPr>
        <w:t xml:space="preserve">FILED </w:t>
      </w:r>
      <w:r w:rsidR="00362197">
        <w:rPr>
          <w:rFonts w:ascii="Times New Roman Bold" w:hAnsi="Times New Roman Bold"/>
          <w:b/>
          <w:bCs/>
          <w:caps/>
          <w:sz w:val="24"/>
        </w:rPr>
        <w:t xml:space="preserve">BY </w:t>
      </w:r>
      <w:r w:rsidR="00E03D63">
        <w:rPr>
          <w:rFonts w:ascii="Times New Roman Bold" w:hAnsi="Times New Roman Bold"/>
          <w:b/>
          <w:bCs/>
          <w:caps/>
          <w:sz w:val="24"/>
        </w:rPr>
        <w:t xml:space="preserve">Johnson telephone company </w:t>
      </w:r>
      <w:r>
        <w:rPr>
          <w:rFonts w:ascii="Times New Roman Bold" w:hAnsi="Times New Roman Bold"/>
          <w:b/>
          <w:bCs/>
          <w:caps/>
          <w:sz w:val="24"/>
        </w:rPr>
        <w:t xml:space="preserve">REGARDING </w:t>
      </w:r>
      <w:r w:rsidR="00E03D63">
        <w:rPr>
          <w:rFonts w:ascii="Times New Roman Bold" w:hAnsi="Times New Roman Bold"/>
          <w:b/>
          <w:bCs/>
          <w:caps/>
          <w:sz w:val="24"/>
        </w:rPr>
        <w:t xml:space="preserve">rural digital opportunity Fund </w:t>
      </w:r>
      <w:r w:rsidR="007544A5">
        <w:rPr>
          <w:rFonts w:ascii="Times New Roman Bold" w:hAnsi="Times New Roman Bold"/>
          <w:b/>
          <w:bCs/>
          <w:caps/>
          <w:sz w:val="24"/>
        </w:rPr>
        <w:t>prohibition against CAF phase ii defaulters</w:t>
      </w:r>
    </w:p>
    <w:bookmarkEnd w:id="0"/>
    <w:p w:rsidR="007B3733" w:rsidP="00013A8B" w14:paraId="265EAFC1" w14:textId="77777777">
      <w:pPr>
        <w:jc w:val="center"/>
        <w:rPr>
          <w:b/>
          <w:sz w:val="24"/>
        </w:rPr>
      </w:pPr>
    </w:p>
    <w:p w:rsidR="00013A8B" w:rsidP="00013A8B" w14:paraId="198949AB" w14:textId="1F4FB0EB">
      <w:pPr>
        <w:jc w:val="center"/>
        <w:rPr>
          <w:b/>
          <w:sz w:val="24"/>
        </w:rPr>
      </w:pPr>
      <w:r>
        <w:rPr>
          <w:b/>
          <w:sz w:val="24"/>
        </w:rPr>
        <w:t>W</w:t>
      </w:r>
      <w:r w:rsidR="00C31185">
        <w:rPr>
          <w:b/>
          <w:sz w:val="24"/>
        </w:rPr>
        <w:t>C</w:t>
      </w:r>
      <w:r>
        <w:rPr>
          <w:b/>
          <w:sz w:val="24"/>
        </w:rPr>
        <w:t xml:space="preserve"> Docket No</w:t>
      </w:r>
      <w:r w:rsidR="00C37D85">
        <w:rPr>
          <w:b/>
          <w:sz w:val="24"/>
        </w:rPr>
        <w:t>s</w:t>
      </w:r>
      <w:r w:rsidR="00C31185">
        <w:rPr>
          <w:b/>
          <w:sz w:val="24"/>
        </w:rPr>
        <w:t>.</w:t>
      </w:r>
      <w:r>
        <w:rPr>
          <w:b/>
          <w:sz w:val="24"/>
        </w:rPr>
        <w:t xml:space="preserve"> </w:t>
      </w:r>
      <w:r w:rsidR="00DA5229">
        <w:rPr>
          <w:b/>
          <w:sz w:val="24"/>
        </w:rPr>
        <w:t>19-126</w:t>
      </w:r>
      <w:r w:rsidR="00C37D85">
        <w:rPr>
          <w:b/>
          <w:sz w:val="24"/>
        </w:rPr>
        <w:t xml:space="preserve">, </w:t>
      </w:r>
      <w:r w:rsidR="00B86D2F">
        <w:rPr>
          <w:b/>
          <w:sz w:val="24"/>
        </w:rPr>
        <w:t>10-90</w:t>
      </w:r>
    </w:p>
    <w:p w:rsidR="00F96F63" w:rsidP="00F96F63" w14:paraId="42DBF4B2" w14:textId="77777777">
      <w:pPr>
        <w:rPr>
          <w:sz w:val="24"/>
        </w:rPr>
      </w:pPr>
    </w:p>
    <w:p w:rsidR="007B3733" w:rsidRPr="00BA7A44" w:rsidP="00BA7A44" w14:paraId="0B4726C3" w14:textId="74EED49C">
      <w:pPr>
        <w:widowControl/>
        <w:spacing w:line="259" w:lineRule="auto"/>
        <w:rPr>
          <w:rFonts w:eastAsia="Calibri"/>
          <w:b/>
          <w:snapToGrid/>
          <w:kern w:val="0"/>
          <w:sz w:val="24"/>
          <w:szCs w:val="24"/>
        </w:rPr>
      </w:pPr>
      <w:r w:rsidRPr="00BA7A44">
        <w:rPr>
          <w:rFonts w:eastAsia="Calibri"/>
          <w:b/>
          <w:snapToGrid/>
          <w:kern w:val="0"/>
          <w:sz w:val="24"/>
          <w:szCs w:val="24"/>
        </w:rPr>
        <w:t>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4C5355">
        <w:rPr>
          <w:rFonts w:eastAsia="Calibri"/>
          <w:b/>
          <w:snapToGrid/>
          <w:kern w:val="0"/>
          <w:sz w:val="24"/>
          <w:szCs w:val="24"/>
        </w:rPr>
        <w:t xml:space="preserve">April 30, 2020 </w:t>
      </w:r>
    </w:p>
    <w:p w:rsidR="007B3733" w:rsidRPr="00BA7A44" w:rsidP="007B3733" w14:paraId="43A6AF00" w14:textId="355A46ED">
      <w:pPr>
        <w:widowControl/>
        <w:spacing w:after="160" w:line="259" w:lineRule="auto"/>
        <w:rPr>
          <w:rFonts w:eastAsia="Calibri"/>
          <w:b/>
          <w:snapToGrid/>
          <w:kern w:val="0"/>
          <w:sz w:val="24"/>
          <w:szCs w:val="24"/>
        </w:rPr>
      </w:pPr>
      <w:r w:rsidRPr="00BA7A44">
        <w:rPr>
          <w:rFonts w:eastAsia="Calibri"/>
          <w:b/>
          <w:snapToGrid/>
          <w:kern w:val="0"/>
          <w:sz w:val="24"/>
          <w:szCs w:val="24"/>
        </w:rPr>
        <w:t>Reply Comment</w:t>
      </w:r>
      <w:r w:rsidR="00E64D5E">
        <w:rPr>
          <w:rFonts w:eastAsia="Calibri"/>
          <w:b/>
          <w:snapToGrid/>
          <w:kern w:val="0"/>
          <w:sz w:val="24"/>
          <w:szCs w:val="24"/>
        </w:rPr>
        <w:t xml:space="preserve"> Date</w:t>
      </w:r>
      <w:r w:rsidRPr="00BA7A44">
        <w:rPr>
          <w:rFonts w:eastAsia="Calibri"/>
          <w:b/>
          <w:snapToGrid/>
          <w:kern w:val="0"/>
          <w:sz w:val="24"/>
          <w:szCs w:val="24"/>
        </w:rPr>
        <w:t xml:space="preserve">: </w:t>
      </w:r>
      <w:r w:rsidR="004C5355">
        <w:rPr>
          <w:rFonts w:eastAsia="Calibri"/>
          <w:b/>
          <w:snapToGrid/>
          <w:kern w:val="0"/>
          <w:sz w:val="24"/>
          <w:szCs w:val="24"/>
        </w:rPr>
        <w:t>May 7, 2020</w:t>
      </w:r>
      <w:bookmarkStart w:id="1" w:name="_GoBack"/>
      <w:bookmarkEnd w:id="1"/>
    </w:p>
    <w:p w:rsidR="00E475F2" w:rsidP="00E475F2" w14:paraId="57F2B456" w14:textId="2B25D568">
      <w:pPr>
        <w:widowControl/>
        <w:spacing w:after="160" w:line="259" w:lineRule="auto"/>
        <w:ind w:firstLine="720"/>
        <w:rPr>
          <w:snapToGrid/>
          <w:kern w:val="0"/>
          <w:szCs w:val="22"/>
        </w:rPr>
      </w:pPr>
      <w:r w:rsidRPr="00CF4E84">
        <w:rPr>
          <w:rFonts w:eastAsia="Calibri"/>
          <w:snapToGrid/>
          <w:kern w:val="0"/>
          <w:szCs w:val="22"/>
        </w:rPr>
        <w:t xml:space="preserve">The </w:t>
      </w:r>
      <w:r w:rsidRPr="00CF4E84" w:rsidR="00C31185">
        <w:rPr>
          <w:rFonts w:eastAsia="Calibri"/>
          <w:snapToGrid/>
          <w:kern w:val="0"/>
          <w:szCs w:val="22"/>
        </w:rPr>
        <w:t xml:space="preserve">Wireline Competition </w:t>
      </w:r>
      <w:r w:rsidRPr="00CF4E84">
        <w:rPr>
          <w:rFonts w:eastAsia="Calibri"/>
          <w:snapToGrid/>
          <w:kern w:val="0"/>
          <w:szCs w:val="22"/>
        </w:rPr>
        <w:t>Bureau seeks comment on a </w:t>
      </w:r>
      <w:r w:rsidR="00375180">
        <w:rPr>
          <w:rFonts w:eastAsia="Calibri"/>
          <w:snapToGrid/>
          <w:kern w:val="0"/>
          <w:szCs w:val="22"/>
        </w:rPr>
        <w:t>petition</w:t>
      </w:r>
      <w:r w:rsidRPr="00CF4E84" w:rsidR="009C4663">
        <w:rPr>
          <w:rFonts w:eastAsia="Calibri"/>
          <w:snapToGrid/>
          <w:kern w:val="0"/>
          <w:szCs w:val="22"/>
        </w:rPr>
        <w:t xml:space="preserve"> for</w:t>
      </w:r>
      <w:r w:rsidR="00C37D85">
        <w:rPr>
          <w:rFonts w:eastAsia="Calibri"/>
          <w:snapToGrid/>
          <w:kern w:val="0"/>
          <w:szCs w:val="22"/>
        </w:rPr>
        <w:t xml:space="preserve"> </w:t>
      </w:r>
      <w:r w:rsidR="00375180">
        <w:rPr>
          <w:rFonts w:eastAsia="Calibri"/>
          <w:snapToGrid/>
          <w:kern w:val="0"/>
          <w:szCs w:val="22"/>
        </w:rPr>
        <w:t>w</w:t>
      </w:r>
      <w:r w:rsidRPr="00CF4E84" w:rsidR="009C4663">
        <w:rPr>
          <w:rFonts w:eastAsia="Calibri"/>
          <w:snapToGrid/>
          <w:kern w:val="0"/>
          <w:szCs w:val="22"/>
        </w:rPr>
        <w:t xml:space="preserve">aiver </w:t>
      </w:r>
      <w:r w:rsidRPr="00CF4E84">
        <w:rPr>
          <w:rFonts w:eastAsia="Calibri"/>
          <w:snapToGrid/>
          <w:kern w:val="0"/>
          <w:szCs w:val="22"/>
        </w:rPr>
        <w:t xml:space="preserve">filed by </w:t>
      </w:r>
      <w:r w:rsidR="00B86D2F">
        <w:rPr>
          <w:rFonts w:eastAsia="Calibri"/>
          <w:snapToGrid/>
          <w:kern w:val="0"/>
          <w:szCs w:val="22"/>
        </w:rPr>
        <w:t>Johnson Telephone Company</w:t>
      </w:r>
      <w:r w:rsidR="00F70A3B">
        <w:rPr>
          <w:rFonts w:eastAsia="Calibri"/>
          <w:snapToGrid/>
          <w:kern w:val="0"/>
          <w:szCs w:val="22"/>
        </w:rPr>
        <w:t xml:space="preserve"> (</w:t>
      </w:r>
      <w:r w:rsidR="00B86D2F">
        <w:rPr>
          <w:rFonts w:eastAsia="Calibri"/>
          <w:snapToGrid/>
          <w:kern w:val="0"/>
          <w:szCs w:val="22"/>
        </w:rPr>
        <w:t>Johnson</w:t>
      </w:r>
      <w:r w:rsidR="00F70A3B">
        <w:rPr>
          <w:rFonts w:eastAsia="Calibri"/>
          <w:snapToGrid/>
          <w:kern w:val="0"/>
          <w:szCs w:val="22"/>
        </w:rPr>
        <w:t>)</w:t>
      </w:r>
      <w:r w:rsidRPr="00CF4E84" w:rsidR="00CE064B">
        <w:rPr>
          <w:rFonts w:eastAsia="Calibri"/>
          <w:snapToGrid/>
          <w:kern w:val="0"/>
          <w:szCs w:val="22"/>
        </w:rPr>
        <w:t xml:space="preserve"> </w:t>
      </w:r>
      <w:r w:rsidRPr="00CF4E84">
        <w:rPr>
          <w:rFonts w:eastAsia="Calibri"/>
          <w:snapToGrid/>
          <w:kern w:val="0"/>
          <w:szCs w:val="22"/>
        </w:rPr>
        <w:t xml:space="preserve">requesting </w:t>
      </w:r>
      <w:r w:rsidRPr="00CF4E84" w:rsidR="00142E4F">
        <w:rPr>
          <w:rFonts w:eastAsia="Calibri"/>
          <w:snapToGrid/>
          <w:kern w:val="0"/>
          <w:szCs w:val="22"/>
        </w:rPr>
        <w:t xml:space="preserve">that </w:t>
      </w:r>
      <w:r w:rsidRPr="00CF4E84">
        <w:rPr>
          <w:rFonts w:eastAsia="Calibri"/>
          <w:snapToGrid/>
          <w:kern w:val="0"/>
          <w:szCs w:val="22"/>
        </w:rPr>
        <w:t xml:space="preserve">the </w:t>
      </w:r>
      <w:r w:rsidRPr="00E475F2">
        <w:rPr>
          <w:rFonts w:eastAsia="Calibri"/>
          <w:snapToGrid/>
          <w:kern w:val="0"/>
          <w:szCs w:val="22"/>
        </w:rPr>
        <w:t>Commission</w:t>
      </w:r>
      <w:r w:rsidRPr="00E475F2" w:rsidR="009C4663">
        <w:rPr>
          <w:rFonts w:eastAsia="Calibri"/>
          <w:snapToGrid/>
          <w:kern w:val="0"/>
          <w:szCs w:val="22"/>
        </w:rPr>
        <w:t xml:space="preserve"> waive </w:t>
      </w:r>
      <w:r w:rsidR="00EC7A36">
        <w:rPr>
          <w:rFonts w:eastAsia="Calibri"/>
          <w:snapToGrid/>
          <w:kern w:val="0"/>
          <w:szCs w:val="22"/>
        </w:rPr>
        <w:t xml:space="preserve">the Rural Digital Opportunity Fund </w:t>
      </w:r>
      <w:r w:rsidR="00181D1A">
        <w:rPr>
          <w:rFonts w:eastAsia="Calibri"/>
          <w:snapToGrid/>
          <w:kern w:val="0"/>
          <w:szCs w:val="22"/>
        </w:rPr>
        <w:t xml:space="preserve">(Auction 904) </w:t>
      </w:r>
      <w:r w:rsidR="00C37D85">
        <w:rPr>
          <w:rFonts w:eastAsia="Calibri"/>
          <w:snapToGrid/>
          <w:kern w:val="0"/>
          <w:szCs w:val="22"/>
        </w:rPr>
        <w:t>rule</w:t>
      </w:r>
      <w:r w:rsidR="00181D1A">
        <w:rPr>
          <w:rFonts w:eastAsia="Calibri"/>
          <w:snapToGrid/>
          <w:kern w:val="0"/>
          <w:szCs w:val="22"/>
        </w:rPr>
        <w:t xml:space="preserve"> </w:t>
      </w:r>
      <w:r w:rsidR="001F78E1">
        <w:rPr>
          <w:rFonts w:eastAsia="Calibri"/>
          <w:snapToGrid/>
          <w:kern w:val="0"/>
          <w:szCs w:val="22"/>
        </w:rPr>
        <w:t xml:space="preserve">that </w:t>
      </w:r>
      <w:r w:rsidR="007544A5">
        <w:t>prohib</w:t>
      </w:r>
      <w:r w:rsidR="001F78E1">
        <w:t>it</w:t>
      </w:r>
      <w:r w:rsidR="007A07E3">
        <w:t>s</w:t>
      </w:r>
      <w:r w:rsidR="001F78E1">
        <w:t xml:space="preserve"> </w:t>
      </w:r>
      <w:r w:rsidR="007544A5">
        <w:t>CAF</w:t>
      </w:r>
      <w:r w:rsidR="00EE0B05">
        <w:t xml:space="preserve"> Phase</w:t>
      </w:r>
      <w:r w:rsidR="007544A5">
        <w:t xml:space="preserve"> II defaulters </w:t>
      </w:r>
      <w:r w:rsidR="004C4E5C">
        <w:t xml:space="preserve">from participating in Auction 904, </w:t>
      </w:r>
      <w:r w:rsidR="00EE5F5C">
        <w:rPr>
          <w:rFonts w:eastAsia="Calibri"/>
          <w:snapToGrid/>
          <w:kern w:val="0"/>
          <w:szCs w:val="22"/>
        </w:rPr>
        <w:t>and instead</w:t>
      </w:r>
      <w:r w:rsidRPr="00E475F2" w:rsidR="00CF4E84">
        <w:rPr>
          <w:snapToGrid/>
          <w:kern w:val="0"/>
          <w:szCs w:val="22"/>
        </w:rPr>
        <w:t xml:space="preserve"> </w:t>
      </w:r>
      <w:r w:rsidR="00181D1A">
        <w:rPr>
          <w:snapToGrid/>
          <w:kern w:val="0"/>
          <w:szCs w:val="22"/>
        </w:rPr>
        <w:t xml:space="preserve">allow Johnson to </w:t>
      </w:r>
      <w:r w:rsidR="004C4E5C">
        <w:rPr>
          <w:snapToGrid/>
          <w:kern w:val="0"/>
          <w:szCs w:val="22"/>
        </w:rPr>
        <w:t>apply</w:t>
      </w:r>
      <w:r w:rsidR="00181D1A">
        <w:rPr>
          <w:snapToGrid/>
          <w:kern w:val="0"/>
          <w:szCs w:val="22"/>
        </w:rPr>
        <w:t>.</w:t>
      </w:r>
      <w:r>
        <w:rPr>
          <w:rStyle w:val="FootnoteReference"/>
          <w:snapToGrid/>
          <w:kern w:val="0"/>
          <w:szCs w:val="22"/>
        </w:rPr>
        <w:footnoteReference w:id="3"/>
      </w:r>
    </w:p>
    <w:p w:rsidR="007772F8" w:rsidRPr="00D51422" w:rsidP="007772F8" w14:paraId="34F45921" w14:textId="6F5470E8">
      <w:pPr>
        <w:pStyle w:val="ParaNum"/>
        <w:numPr>
          <w:ilvl w:val="0"/>
          <w:numId w:val="0"/>
        </w:numPr>
        <w:ind w:firstLine="720"/>
      </w:pPr>
      <w:r w:rsidRPr="00D51422">
        <w:rPr>
          <w:i/>
        </w:rPr>
        <w:t xml:space="preserve">Filing Requirements.  </w:t>
      </w:r>
      <w:r w:rsidRPr="00D51422">
        <w:t>Interested parties may file comments on or before the date indicated on the first page of this document.</w:t>
      </w:r>
      <w:r>
        <w:rPr>
          <w:sz w:val="20"/>
          <w:vertAlign w:val="superscript"/>
        </w:rPr>
        <w:footnoteReference w:id="4"/>
      </w:r>
      <w:r w:rsidRPr="00D51422">
        <w:t xml:space="preserve">  </w:t>
      </w:r>
      <w:r w:rsidRPr="00D51422">
        <w:rPr>
          <w:iCs/>
        </w:rPr>
        <w:t>All filings must refer</w:t>
      </w:r>
      <w:r>
        <w:rPr>
          <w:iCs/>
        </w:rPr>
        <w:t xml:space="preserve"> to</w:t>
      </w:r>
      <w:r w:rsidRPr="00D51422">
        <w:t xml:space="preserve"> </w:t>
      </w:r>
      <w:r w:rsidRPr="006B2F03">
        <w:rPr>
          <w:b/>
          <w:bCs/>
          <w:iCs/>
        </w:rPr>
        <w:t>W</w:t>
      </w:r>
      <w:r>
        <w:rPr>
          <w:b/>
          <w:bCs/>
          <w:iCs/>
        </w:rPr>
        <w:t>C</w:t>
      </w:r>
      <w:r w:rsidRPr="006B2F03">
        <w:rPr>
          <w:b/>
          <w:bCs/>
          <w:iCs/>
        </w:rPr>
        <w:t xml:space="preserve"> Docket No</w:t>
      </w:r>
      <w:r w:rsidR="00C37D85">
        <w:rPr>
          <w:b/>
          <w:bCs/>
          <w:iCs/>
        </w:rPr>
        <w:t>s</w:t>
      </w:r>
      <w:r w:rsidRPr="006B2F03">
        <w:rPr>
          <w:b/>
          <w:bCs/>
          <w:iCs/>
        </w:rPr>
        <w:t xml:space="preserve">. </w:t>
      </w:r>
      <w:r w:rsidR="00D246D1">
        <w:rPr>
          <w:b/>
          <w:bCs/>
          <w:iCs/>
        </w:rPr>
        <w:t>19-126</w:t>
      </w:r>
      <w:r w:rsidR="00C37D85">
        <w:rPr>
          <w:b/>
          <w:bCs/>
          <w:iCs/>
        </w:rPr>
        <w:t xml:space="preserve"> and </w:t>
      </w:r>
      <w:r w:rsidR="00D246D1">
        <w:rPr>
          <w:b/>
          <w:bCs/>
          <w:iCs/>
        </w:rPr>
        <w:t>10-90</w:t>
      </w:r>
      <w:r w:rsidRPr="00D51422">
        <w:rPr>
          <w:iCs/>
        </w:rPr>
        <w:t>.</w:t>
      </w:r>
      <w:r>
        <w:rPr>
          <w:rStyle w:val="FootnoteReference"/>
          <w:iCs/>
          <w:szCs w:val="22"/>
        </w:rPr>
        <w:footnoteReference w:id="5"/>
      </w:r>
      <w:r w:rsidR="00A84848">
        <w:rPr>
          <w:iCs/>
        </w:rPr>
        <w:t xml:space="preserve">  </w:t>
      </w:r>
      <w:r w:rsidRPr="00D51422">
        <w:t>Comments may be filed using the Commission’s Electronic Comment Filing System (ECFS).</w:t>
      </w:r>
      <w:r>
        <w:rPr>
          <w:sz w:val="20"/>
          <w:vertAlign w:val="superscript"/>
        </w:rPr>
        <w:footnoteReference w:id="6"/>
      </w:r>
      <w:r w:rsidRPr="00D51422">
        <w:t xml:space="preserve">  </w:t>
      </w:r>
    </w:p>
    <w:p w:rsidR="007544A5" w:rsidRPr="000B5DBB" w:rsidP="007544A5" w14:paraId="5A55BEEF" w14:textId="77777777">
      <w:pPr>
        <w:numPr>
          <w:ilvl w:val="0"/>
          <w:numId w:val="9"/>
        </w:numPr>
        <w:ind w:left="720"/>
        <w:rPr>
          <w:szCs w:val="22"/>
        </w:rPr>
      </w:pPr>
      <w:r w:rsidRPr="000B5DBB">
        <w:rPr>
          <w:szCs w:val="22"/>
        </w:rPr>
        <w:t xml:space="preserve">Electronic Filers:  Comments may be filed electronically using the internet by accessing the ECFS: </w:t>
      </w:r>
      <w:hyperlink r:id="rId5" w:history="1">
        <w:r w:rsidRPr="000B5DBB">
          <w:rPr>
            <w:rStyle w:val="Hyperlink"/>
            <w:szCs w:val="22"/>
          </w:rPr>
          <w:t>https://www.fcc.gov/ecfs/</w:t>
        </w:r>
      </w:hyperlink>
      <w:r w:rsidRPr="000B5DBB">
        <w:rPr>
          <w:szCs w:val="22"/>
        </w:rPr>
        <w:t xml:space="preserve">. </w:t>
      </w:r>
    </w:p>
    <w:p w:rsidR="007544A5" w:rsidRPr="000B5DBB" w:rsidP="007544A5" w14:paraId="268ACA97" w14:textId="77777777">
      <w:pPr>
        <w:ind w:left="720"/>
        <w:rPr>
          <w:szCs w:val="22"/>
        </w:rPr>
      </w:pPr>
    </w:p>
    <w:p w:rsidR="007544A5" w:rsidRPr="000B5DBB" w:rsidP="007544A5" w14:paraId="358ACEAF" w14:textId="77777777">
      <w:pPr>
        <w:numPr>
          <w:ilvl w:val="0"/>
          <w:numId w:val="9"/>
        </w:numPr>
        <w:ind w:left="720"/>
        <w:rPr>
          <w:szCs w:val="22"/>
        </w:rPr>
      </w:pPr>
      <w:r w:rsidRPr="000B5DBB">
        <w:rPr>
          <w:szCs w:val="22"/>
        </w:rPr>
        <w:t xml:space="preserve">Paper Filers:  Parties who choose to file by paper must file an original and one copy of each filing.  If more than one docket or rulemaking number appears in the caption of this proceeding, filers must submit two additional copies for each additional docket or rulemaking number. </w:t>
      </w:r>
    </w:p>
    <w:p w:rsidR="007544A5" w:rsidRPr="000B5DBB" w:rsidP="007544A5" w14:paraId="2927E286" w14:textId="77777777">
      <w:pPr>
        <w:pStyle w:val="ListParagraph"/>
        <w:rPr>
          <w:szCs w:val="22"/>
        </w:rPr>
      </w:pPr>
    </w:p>
    <w:p w:rsidR="007544A5" w:rsidRPr="000B5DBB" w:rsidP="007544A5" w14:paraId="7A29E513" w14:textId="77777777">
      <w:pPr>
        <w:widowControl/>
        <w:ind w:left="720"/>
        <w:rPr>
          <w:szCs w:val="22"/>
        </w:rPr>
      </w:pPr>
      <w:r w:rsidRPr="000B5DBB">
        <w:rPr>
          <w:szCs w:val="22"/>
        </w:rPr>
        <w:t>Filings can be sent by hand or messenger delivery, by commercial overnight carrier, or by first-class or overnight U.S. Postal Service mail.</w:t>
      </w:r>
      <w:r>
        <w:rPr>
          <w:rStyle w:val="FootnoteReference"/>
          <w:szCs w:val="22"/>
        </w:rPr>
        <w:footnoteReference w:id="7"/>
      </w:r>
      <w:r w:rsidRPr="000B5DBB">
        <w:rPr>
          <w:szCs w:val="22"/>
        </w:rPr>
        <w:t xml:space="preserve">  All filings must be addressed to the Commission’s Secretary, Office of the Secretary, Federal Communications Commission. </w:t>
      </w:r>
    </w:p>
    <w:p w:rsidR="007544A5" w:rsidRPr="000B5DBB" w:rsidP="007544A5" w14:paraId="34460529" w14:textId="77777777">
      <w:pPr>
        <w:ind w:left="1440"/>
        <w:rPr>
          <w:szCs w:val="22"/>
        </w:rPr>
      </w:pPr>
    </w:p>
    <w:p w:rsidR="007544A5" w:rsidRPr="000B5DBB" w:rsidP="007544A5" w14:paraId="7D40C816" w14:textId="77777777">
      <w:pPr>
        <w:numPr>
          <w:ilvl w:val="0"/>
          <w:numId w:val="9"/>
        </w:numPr>
        <w:rPr>
          <w:szCs w:val="22"/>
        </w:rPr>
      </w:pPr>
      <w:r w:rsidRPr="000B5DBB">
        <w:rPr>
          <w:szCs w:val="22"/>
        </w:rPr>
        <w:t xml:space="preserve">Commercial overnight mail (other than U.S. Postal Service Express Mail and Priority Mail) must be sent to 9050 Junction Drive, Annapolis Junction, MD 20701. </w:t>
      </w:r>
    </w:p>
    <w:p w:rsidR="007544A5" w:rsidRPr="000B5DBB" w:rsidP="007544A5" w14:paraId="3948FE29" w14:textId="77777777">
      <w:pPr>
        <w:ind w:left="1440"/>
        <w:rPr>
          <w:szCs w:val="22"/>
        </w:rPr>
      </w:pPr>
    </w:p>
    <w:p w:rsidR="007544A5" w:rsidRPr="000B5DBB" w:rsidP="007544A5" w14:paraId="404B42A3" w14:textId="77777777">
      <w:pPr>
        <w:numPr>
          <w:ilvl w:val="0"/>
          <w:numId w:val="9"/>
        </w:numPr>
        <w:rPr>
          <w:szCs w:val="22"/>
        </w:rPr>
      </w:pPr>
      <w:r w:rsidRPr="000B5DBB">
        <w:rPr>
          <w:szCs w:val="22"/>
        </w:rPr>
        <w:t>U.S. Postal Service First-Class, Express, and Priority mail must be addressed to 445 12</w:t>
      </w:r>
      <w:r w:rsidRPr="000B5DBB">
        <w:rPr>
          <w:szCs w:val="22"/>
          <w:vertAlign w:val="superscript"/>
        </w:rPr>
        <w:t>th</w:t>
      </w:r>
      <w:r w:rsidRPr="000B5DBB">
        <w:rPr>
          <w:szCs w:val="22"/>
        </w:rPr>
        <w:t xml:space="preserve"> Street, SW, Washington, DC 20554. </w:t>
      </w:r>
    </w:p>
    <w:p w:rsidR="007544A5" w:rsidRPr="000B5DBB" w:rsidP="007544A5" w14:paraId="22483598" w14:textId="77777777">
      <w:pPr>
        <w:rPr>
          <w:szCs w:val="22"/>
        </w:rPr>
      </w:pPr>
    </w:p>
    <w:p w:rsidR="007544A5" w:rsidRPr="000B5DBB" w:rsidP="007544A5" w14:paraId="473CBB8B" w14:textId="77777777">
      <w:pPr>
        <w:ind w:firstLine="720"/>
        <w:rPr>
          <w:szCs w:val="22"/>
        </w:rPr>
      </w:pPr>
      <w:r w:rsidRPr="000B5DBB">
        <w:rPr>
          <w:szCs w:val="22"/>
        </w:rPr>
        <w:t xml:space="preserve">People with Disabilities:  To request materials in accessible formats for people with disabilities (braille, large print, electronic files, audio format), send an e-mail to </w:t>
      </w:r>
      <w:hyperlink r:id="rId6" w:history="1">
        <w:r w:rsidRPr="000B5DBB">
          <w:rPr>
            <w:rStyle w:val="Hyperlink"/>
            <w:szCs w:val="22"/>
          </w:rPr>
          <w:t>fcc504@fcc.gov</w:t>
        </w:r>
      </w:hyperlink>
      <w:r w:rsidRPr="000B5DBB">
        <w:rPr>
          <w:szCs w:val="22"/>
        </w:rPr>
        <w:t xml:space="preserve"> or call the Consumer &amp; Government Affairs Bureau at 202-418-0530 (voice, 202-418-0432 (tty). </w:t>
      </w:r>
    </w:p>
    <w:p w:rsidR="007544A5" w:rsidRPr="000B5DBB" w:rsidP="007544A5" w14:paraId="7FF3AD97" w14:textId="77777777">
      <w:pPr>
        <w:ind w:firstLine="720"/>
        <w:rPr>
          <w:szCs w:val="22"/>
        </w:rPr>
      </w:pPr>
    </w:p>
    <w:p w:rsidR="007544A5" w:rsidRPr="000B5DBB" w:rsidP="007544A5" w14:paraId="425781DA" w14:textId="77777777">
      <w:pPr>
        <w:ind w:firstLine="720"/>
        <w:rPr>
          <w:szCs w:val="22"/>
        </w:rPr>
      </w:pPr>
      <w:r w:rsidRPr="000B5DBB">
        <w:rPr>
          <w:i/>
          <w:iCs/>
          <w:szCs w:val="22"/>
        </w:rPr>
        <w:t>Ex Parte Rules</w:t>
      </w:r>
      <w:r w:rsidRPr="000B5DBB">
        <w:rPr>
          <w:szCs w:val="22"/>
        </w:rPr>
        <w:t xml:space="preserve">.  This proceeding shall be treated as a “permit-but-disclose” proceeding in accordance with the Commission’s </w:t>
      </w:r>
      <w:r w:rsidRPr="000B5DBB">
        <w:rPr>
          <w:i/>
          <w:iCs/>
          <w:szCs w:val="22"/>
        </w:rPr>
        <w:t>ex parte</w:t>
      </w:r>
      <w:r w:rsidRPr="000B5DBB">
        <w:rPr>
          <w:szCs w:val="22"/>
        </w:rPr>
        <w:t xml:space="preserve"> rules.</w:t>
      </w:r>
      <w:r>
        <w:rPr>
          <w:rStyle w:val="FootnoteReference"/>
          <w:szCs w:val="22"/>
        </w:rPr>
        <w:footnoteReference w:id="8"/>
      </w:r>
      <w:r w:rsidRPr="000B5DBB">
        <w:rPr>
          <w:szCs w:val="22"/>
        </w:rPr>
        <w:t xml:space="preserve">  Persons making </w:t>
      </w:r>
      <w:r w:rsidRPr="000B5DBB">
        <w:rPr>
          <w:i/>
          <w:iCs/>
          <w:szCs w:val="22"/>
        </w:rPr>
        <w:t>ex parte</w:t>
      </w:r>
      <w:r w:rsidRPr="000B5DB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B5DBB">
        <w:rPr>
          <w:i/>
          <w:iCs/>
          <w:szCs w:val="22"/>
        </w:rPr>
        <w:t>ex parte</w:t>
      </w:r>
      <w:r w:rsidRPr="000B5DBB">
        <w:rPr>
          <w:szCs w:val="22"/>
        </w:rPr>
        <w:t xml:space="preserve"> presentations are reminded that memoranda summarizing the presentation must: (1) list all persons attending or otherwise participating in the meeting at which the </w:t>
      </w:r>
      <w:r w:rsidRPr="000B5DBB">
        <w:rPr>
          <w:i/>
          <w:iCs/>
          <w:szCs w:val="22"/>
        </w:rPr>
        <w:t>ex parte</w:t>
      </w:r>
      <w:r w:rsidRPr="000B5DB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B5DBB">
        <w:rPr>
          <w:i/>
          <w:iCs/>
          <w:szCs w:val="22"/>
        </w:rPr>
        <w:t>ex parte</w:t>
      </w:r>
      <w:r w:rsidRPr="000B5DBB">
        <w:rPr>
          <w:szCs w:val="22"/>
        </w:rPr>
        <w:t xml:space="preserve"> meetings are deemed to be written </w:t>
      </w:r>
      <w:r w:rsidRPr="000B5DBB">
        <w:rPr>
          <w:i/>
          <w:iCs/>
          <w:szCs w:val="22"/>
        </w:rPr>
        <w:t>ex parte</w:t>
      </w:r>
      <w:r w:rsidRPr="000B5DBB">
        <w:rPr>
          <w:szCs w:val="22"/>
        </w:rPr>
        <w:t xml:space="preserve"> presentations and must be filed consistent with section 1.1206(b) of the Commission’s rules.  In proceedings governed by section 1.49(f) of the rules or for which the Commission has made available a method of electronic filing, written </w:t>
      </w:r>
      <w:r w:rsidRPr="000B5DBB">
        <w:rPr>
          <w:i/>
          <w:iCs/>
          <w:szCs w:val="22"/>
        </w:rPr>
        <w:t>ex parte</w:t>
      </w:r>
      <w:r w:rsidRPr="000B5DBB">
        <w:rPr>
          <w:szCs w:val="22"/>
        </w:rPr>
        <w:t xml:space="preserve"> presentations and memoranda summarizing oral </w:t>
      </w:r>
      <w:r w:rsidRPr="000B5DBB">
        <w:rPr>
          <w:i/>
          <w:iCs/>
          <w:szCs w:val="22"/>
        </w:rPr>
        <w:t xml:space="preserve">ex parte </w:t>
      </w:r>
      <w:r w:rsidRPr="000B5DBB">
        <w:rPr>
          <w:szCs w:val="22"/>
        </w:rPr>
        <w:t>presentations, and all attachments thereto, must be filed through the electronic comment filing system available for that proceeding, and must be filed in their native format (</w:t>
      </w:r>
      <w:r w:rsidRPr="000B5DBB">
        <w:rPr>
          <w:i/>
          <w:iCs/>
          <w:szCs w:val="22"/>
        </w:rPr>
        <w:t>e.g.</w:t>
      </w:r>
      <w:r w:rsidRPr="000B5DBB">
        <w:rPr>
          <w:szCs w:val="22"/>
        </w:rPr>
        <w:t>, .doc, .xml., .ppt, searchable .pdf).</w:t>
      </w:r>
      <w:r>
        <w:rPr>
          <w:rStyle w:val="FootnoteReference"/>
          <w:szCs w:val="22"/>
        </w:rPr>
        <w:footnoteReference w:id="9"/>
      </w:r>
      <w:r w:rsidRPr="000B5DBB">
        <w:rPr>
          <w:szCs w:val="22"/>
        </w:rPr>
        <w:t xml:space="preserve">  Participants in this proceeding should familiarize themselves with the Commission’s </w:t>
      </w:r>
      <w:r w:rsidRPr="000B5DBB">
        <w:rPr>
          <w:i/>
          <w:iCs/>
          <w:szCs w:val="22"/>
        </w:rPr>
        <w:t>ex parte</w:t>
      </w:r>
      <w:r w:rsidRPr="000B5DBB">
        <w:rPr>
          <w:szCs w:val="22"/>
        </w:rPr>
        <w:t xml:space="preserve"> rules. </w:t>
      </w:r>
    </w:p>
    <w:p w:rsidR="007544A5" w:rsidRPr="000B5DBB" w:rsidP="007544A5" w14:paraId="321D55BF" w14:textId="77777777">
      <w:pPr>
        <w:ind w:firstLine="720"/>
        <w:rPr>
          <w:szCs w:val="22"/>
        </w:rPr>
      </w:pPr>
      <w:r w:rsidRPr="000B5DBB">
        <w:rPr>
          <w:szCs w:val="22"/>
        </w:rPr>
        <w:t xml:space="preserve"> </w:t>
      </w:r>
    </w:p>
    <w:p w:rsidR="007B3733" w:rsidP="007772F8" w14:paraId="3AF188A5" w14:textId="4A0BCF9A">
      <w:pPr>
        <w:widowControl/>
        <w:spacing w:after="160" w:line="259" w:lineRule="auto"/>
        <w:ind w:firstLine="720"/>
        <w:rPr>
          <w:rFonts w:eastAsia="Calibri"/>
          <w:snapToGrid/>
          <w:kern w:val="0"/>
          <w:szCs w:val="22"/>
        </w:rPr>
      </w:pPr>
      <w:r w:rsidRPr="00D51422">
        <w:rPr>
          <w:i/>
        </w:rPr>
        <w:t xml:space="preserve">Additional Information.  </w:t>
      </w:r>
      <w:r w:rsidRPr="00D51422">
        <w:t xml:space="preserve">For further information regarding this Notice, please contact </w:t>
      </w:r>
      <w:r w:rsidR="00C84945">
        <w:rPr>
          <w:rFonts w:eastAsia="Calibri"/>
          <w:snapToGrid/>
          <w:kern w:val="0"/>
          <w:szCs w:val="22"/>
        </w:rPr>
        <w:t>Lauren Garry</w:t>
      </w:r>
      <w:r>
        <w:rPr>
          <w:rFonts w:eastAsia="Calibri"/>
          <w:snapToGrid/>
          <w:kern w:val="0"/>
          <w:szCs w:val="22"/>
        </w:rPr>
        <w:t>,</w:t>
      </w:r>
      <w:r w:rsidRPr="007B3733" w:rsidR="00312DE0">
        <w:rPr>
          <w:rFonts w:eastAsia="Calibri"/>
          <w:snapToGrid/>
          <w:kern w:val="0"/>
          <w:szCs w:val="22"/>
        </w:rPr>
        <w:t xml:space="preserve"> Attorney</w:t>
      </w:r>
      <w:r>
        <w:rPr>
          <w:rFonts w:eastAsia="Calibri"/>
          <w:snapToGrid/>
          <w:kern w:val="0"/>
          <w:szCs w:val="22"/>
        </w:rPr>
        <w:t xml:space="preserve"> </w:t>
      </w:r>
      <w:r w:rsidRPr="007B3733" w:rsidR="00312DE0">
        <w:rPr>
          <w:rFonts w:eastAsia="Calibri"/>
          <w:snapToGrid/>
          <w:kern w:val="0"/>
          <w:szCs w:val="22"/>
        </w:rPr>
        <w:t xml:space="preserve">Advisor, </w:t>
      </w:r>
      <w:r>
        <w:rPr>
          <w:rFonts w:eastAsia="Calibri"/>
          <w:snapToGrid/>
          <w:kern w:val="0"/>
          <w:szCs w:val="22"/>
        </w:rPr>
        <w:t>Telecommunications Access Policy Division</w:t>
      </w:r>
      <w:r w:rsidRPr="007B3733" w:rsidR="00312DE0">
        <w:rPr>
          <w:rFonts w:eastAsia="Calibri"/>
          <w:snapToGrid/>
          <w:kern w:val="0"/>
          <w:szCs w:val="22"/>
        </w:rPr>
        <w:t xml:space="preserve">, </w:t>
      </w:r>
      <w:r>
        <w:rPr>
          <w:rFonts w:eastAsia="Calibri"/>
          <w:snapToGrid/>
          <w:kern w:val="0"/>
          <w:szCs w:val="22"/>
        </w:rPr>
        <w:t>Wireline Competition</w:t>
      </w:r>
      <w:r w:rsidRPr="007B3733" w:rsidR="00312DE0">
        <w:rPr>
          <w:rFonts w:eastAsia="Calibri"/>
          <w:snapToGrid/>
          <w:kern w:val="0"/>
          <w:szCs w:val="22"/>
        </w:rPr>
        <w:t xml:space="preserve"> Bureau at 202-418-</w:t>
      </w:r>
      <w:r w:rsidR="00C84945">
        <w:rPr>
          <w:rFonts w:eastAsia="Calibri"/>
          <w:snapToGrid/>
          <w:kern w:val="0"/>
          <w:szCs w:val="22"/>
        </w:rPr>
        <w:t xml:space="preserve">0942 </w:t>
      </w:r>
      <w:r w:rsidRPr="007B3733" w:rsidR="00312DE0">
        <w:rPr>
          <w:rFonts w:eastAsia="Calibri"/>
          <w:snapToGrid/>
          <w:kern w:val="0"/>
          <w:szCs w:val="22"/>
        </w:rPr>
        <w:t xml:space="preserve">or </w:t>
      </w:r>
      <w:hyperlink r:id="rId7" w:history="1">
        <w:r w:rsidRPr="00304A28" w:rsidR="00C84945">
          <w:rPr>
            <w:rStyle w:val="Hyperlink"/>
            <w:rFonts w:eastAsia="Calibri"/>
            <w:snapToGrid/>
            <w:kern w:val="0"/>
            <w:szCs w:val="22"/>
          </w:rPr>
          <w:t>Lauren.Garry@fcc.gov</w:t>
        </w:r>
      </w:hyperlink>
      <w:r w:rsidR="00C84945">
        <w:rPr>
          <w:rFonts w:eastAsia="Calibri"/>
          <w:snapToGrid/>
          <w:kern w:val="0"/>
          <w:szCs w:val="22"/>
        </w:rPr>
        <w:t>.</w:t>
      </w:r>
    </w:p>
    <w:p w:rsidR="007B3733" w:rsidRPr="007B3733" w:rsidP="007B3733" w14:paraId="5F13F449"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1B8F8643"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1F37934"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47DBE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A26366E"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D2D29B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0C79" w14:paraId="2925DFA3" w14:textId="77777777">
      <w:r>
        <w:separator/>
      </w:r>
    </w:p>
  </w:footnote>
  <w:footnote w:type="continuationSeparator" w:id="1">
    <w:p w:rsidR="00330C79" w:rsidRPr="009B3AB0" w:rsidP="009B3AB0" w14:paraId="24B6B5F1" w14:textId="77777777">
      <w:pPr>
        <w:pStyle w:val="Footer"/>
      </w:pPr>
    </w:p>
  </w:footnote>
  <w:footnote w:type="continuationNotice" w:id="2">
    <w:p w:rsidR="00330C79" w:rsidRPr="007B3733" w:rsidP="007B3733" w14:paraId="006E5F7B" w14:textId="77777777">
      <w:pPr>
        <w:pStyle w:val="Footer"/>
      </w:pPr>
    </w:p>
  </w:footnote>
  <w:footnote w:id="3">
    <w:p w:rsidR="007A07E3" w:rsidP="007A07E3" w14:paraId="7DFE5AED" w14:textId="77777777">
      <w:pPr>
        <w:pStyle w:val="FootnoteText"/>
      </w:pPr>
      <w:r>
        <w:rPr>
          <w:rStyle w:val="FootnoteReference"/>
        </w:rPr>
        <w:footnoteRef/>
      </w:r>
      <w:r>
        <w:t xml:space="preserve"> Petition of Johnson Telephone Company for Waiver of section 54.803(d), WC Docket Nos. 19-126, et al., (filed Apr. 13, 2020) </w:t>
      </w:r>
      <w:hyperlink r:id="rId1" w:history="1">
        <w:r w:rsidRPr="007C0EDA">
          <w:rPr>
            <w:rStyle w:val="Hyperlink"/>
          </w:rPr>
          <w:t>https://ecfsapi.fcc.gov/file/104132945723944/Johnson%20Petition%20for%20Waiver%20April%202020.pdf</w:t>
        </w:r>
      </w:hyperlink>
      <w:r>
        <w:t>.</w:t>
      </w:r>
    </w:p>
  </w:footnote>
  <w:footnote w:id="4">
    <w:p w:rsidR="007772F8" w:rsidRPr="0087057A" w:rsidP="007772F8" w14:paraId="161E8CD1" w14:textId="77777777">
      <w:pPr>
        <w:pStyle w:val="FootnoteText"/>
      </w:pPr>
      <w:r w:rsidRPr="0087057A">
        <w:rPr>
          <w:rStyle w:val="FootnoteReference"/>
          <w:sz w:val="20"/>
        </w:rPr>
        <w:footnoteRef/>
      </w:r>
      <w:r w:rsidRPr="0087057A">
        <w:t xml:space="preserve"> </w:t>
      </w:r>
      <w:r>
        <w:rPr>
          <w:i/>
          <w:iCs/>
        </w:rPr>
        <w:t xml:space="preserve">See </w:t>
      </w:r>
      <w:r w:rsidRPr="0087057A">
        <w:t>47 CFR §§ 1.2, 1.405, and 1.419.</w:t>
      </w:r>
    </w:p>
  </w:footnote>
  <w:footnote w:id="5">
    <w:p w:rsidR="007772F8" w:rsidP="007772F8" w14:paraId="2D0CF482" w14:textId="77777777">
      <w:pPr>
        <w:pStyle w:val="FootnoteText"/>
      </w:pPr>
      <w:r>
        <w:rPr>
          <w:rStyle w:val="FootnoteReference"/>
        </w:rPr>
        <w:footnoteRef/>
      </w:r>
      <w:r>
        <w:t xml:space="preserve"> All filings relating to this Public Notice should refer </w:t>
      </w:r>
      <w:r w:rsidRPr="006B2F03">
        <w:rPr>
          <w:i/>
          <w:iCs/>
        </w:rPr>
        <w:t>only</w:t>
      </w:r>
      <w:r>
        <w:t xml:space="preserve"> to the dockets listed above. </w:t>
      </w:r>
    </w:p>
  </w:footnote>
  <w:footnote w:id="6">
    <w:p w:rsidR="007772F8" w:rsidRPr="0087057A" w:rsidP="007772F8" w14:paraId="650CFD1C" w14:textId="77777777">
      <w:pPr>
        <w:pStyle w:val="FootnoteText"/>
      </w:pPr>
      <w:r w:rsidRPr="0087057A">
        <w:rPr>
          <w:rStyle w:val="FootnoteReference"/>
          <w:sz w:val="20"/>
        </w:rPr>
        <w:footnoteRef/>
      </w:r>
      <w:r w:rsidRPr="0087057A">
        <w:t xml:space="preserve"> </w:t>
      </w:r>
      <w:r w:rsidRPr="0087057A">
        <w:rPr>
          <w:i/>
        </w:rPr>
        <w:t>See Electronic Filing of Documents in Rulemaking Proceedings</w:t>
      </w:r>
      <w:r w:rsidRPr="0087057A">
        <w:t>, 63 FR 24121 (1998).</w:t>
      </w:r>
    </w:p>
  </w:footnote>
  <w:footnote w:id="7">
    <w:p w:rsidR="007544A5" w:rsidP="007544A5" w14:paraId="2A6F5A27" w14:textId="77777777">
      <w:pPr>
        <w:pStyle w:val="FootnoteText"/>
      </w:pPr>
      <w:r>
        <w:rPr>
          <w:rStyle w:val="FootnoteReference"/>
        </w:rPr>
        <w:footnoteRef/>
      </w:r>
      <w: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Pr>
          <w:i/>
          <w:iCs/>
        </w:rPr>
        <w:t xml:space="preserve">  FCC Announces Closure of FCC Headquarters Open Window and Change in Hand Delivery Filing</w:t>
      </w:r>
      <w:r w:rsidRPr="00AE2784">
        <w:t>,</w:t>
      </w:r>
      <w:r>
        <w:rPr>
          <w:i/>
          <w:iCs/>
        </w:rPr>
        <w:t xml:space="preserve"> </w:t>
      </w:r>
      <w:r>
        <w:t>Public Notice, DA 20-304 (rel. Mar. 19, 2020).</w:t>
      </w:r>
    </w:p>
  </w:footnote>
  <w:footnote w:id="8">
    <w:p w:rsidR="007544A5" w:rsidRPr="00526349" w:rsidP="007544A5" w14:paraId="0CE254E0"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9">
    <w:p w:rsidR="007544A5" w:rsidRPr="0014668A" w:rsidP="007544A5" w14:paraId="61DECC85"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8DD3F22" w14:textId="1FE117FD">
    <w:pPr>
      <w:tabs>
        <w:tab w:val="center" w:pos="4680"/>
        <w:tab w:val="right" w:pos="9360"/>
      </w:tabs>
    </w:pPr>
    <w:r w:rsidRPr="009838BC">
      <w:rPr>
        <w:b/>
      </w:rPr>
      <w:tab/>
      <w:t>Federal Communications Commission</w:t>
    </w:r>
    <w:r w:rsidRPr="009838BC">
      <w:rPr>
        <w:b/>
      </w:rPr>
      <w:tab/>
    </w:r>
    <w:r w:rsidR="00601D1F">
      <w:rPr>
        <w:b/>
      </w:rPr>
      <w:t xml:space="preserve">DA </w:t>
    </w:r>
    <w:r w:rsidR="007772F8">
      <w:rPr>
        <w:b/>
      </w:rPr>
      <w:t>20</w:t>
    </w:r>
    <w:r w:rsidR="00DB2D9A">
      <w:rPr>
        <w:b/>
      </w:rPr>
      <w:t>-</w:t>
    </w:r>
    <w:r w:rsidR="00B97AC5">
      <w:rPr>
        <w:b/>
      </w:rPr>
      <w:t>419</w:t>
    </w:r>
  </w:p>
  <w:p w:rsidR="009838BC" w:rsidRPr="00B62DE9" w:rsidP="00B62DE9" w14:paraId="2A4858C2" w14:textId="31116E5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93E3A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7A4018F2" w14:textId="77777777">
                    <w:pPr>
                      <w:rPr>
                        <w:rFonts w:ascii="Arial" w:hAnsi="Arial"/>
                        <w:b/>
                      </w:rPr>
                    </w:pPr>
                    <w:r>
                      <w:rPr>
                        <w:rFonts w:ascii="Arial" w:hAnsi="Arial"/>
                        <w:b/>
                      </w:rPr>
                      <w:t>Federal Communications Commission</w:t>
                    </w:r>
                  </w:p>
                  <w:p w:rsidR="009838BC" w:rsidP="009838BC" w14:paraId="0809F45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EEEA1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3667706"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17566CFE" w14:textId="77777777">
                    <w:pPr>
                      <w:spacing w:before="40"/>
                      <w:jc w:val="right"/>
                      <w:rPr>
                        <w:rFonts w:ascii="Arial" w:hAnsi="Arial"/>
                        <w:b/>
                        <w:sz w:val="16"/>
                      </w:rPr>
                    </w:pPr>
                    <w:r>
                      <w:rPr>
                        <w:rFonts w:ascii="Arial" w:hAnsi="Arial"/>
                        <w:b/>
                        <w:sz w:val="16"/>
                      </w:rPr>
                      <w:t>News Media Information 202 / 418-0500</w:t>
                    </w:r>
                  </w:p>
                  <w:p w:rsidR="009838BC" w:rsidP="009838BC" w14:paraId="69A0127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CF1DA17" w14:textId="77777777">
                    <w:pPr>
                      <w:jc w:val="right"/>
                    </w:pPr>
                    <w:r>
                      <w:rPr>
                        <w:rFonts w:ascii="Arial" w:hAnsi="Arial"/>
                        <w:b/>
                        <w:sz w:val="16"/>
                      </w:rPr>
                      <w:t>TTY: 1-888-835-5322</w:t>
                    </w:r>
                  </w:p>
                </w:txbxContent>
              </v:textbox>
            </v:shape>
          </w:pict>
        </mc:Fallback>
      </mc:AlternateContent>
    </w:r>
  </w:p>
  <w:p w:rsidR="006F7393" w:rsidRPr="009838BC" w:rsidP="009838BC" w14:paraId="1CF1097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223499"/>
    <w:multiLevelType w:val="hybridMultilevel"/>
    <w:tmpl w:val="38D8027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33"/>
    <w:rsid w:val="000072CE"/>
    <w:rsid w:val="00013A8B"/>
    <w:rsid w:val="00021445"/>
    <w:rsid w:val="0003407C"/>
    <w:rsid w:val="00036039"/>
    <w:rsid w:val="00037F90"/>
    <w:rsid w:val="00080C2A"/>
    <w:rsid w:val="00084656"/>
    <w:rsid w:val="000875BF"/>
    <w:rsid w:val="000912B7"/>
    <w:rsid w:val="00096D8C"/>
    <w:rsid w:val="00097A13"/>
    <w:rsid w:val="000B5DBB"/>
    <w:rsid w:val="000C0B65"/>
    <w:rsid w:val="000E3D42"/>
    <w:rsid w:val="000E5884"/>
    <w:rsid w:val="00122BD5"/>
    <w:rsid w:val="00142E4F"/>
    <w:rsid w:val="0014668A"/>
    <w:rsid w:val="00181191"/>
    <w:rsid w:val="00181D1A"/>
    <w:rsid w:val="001979D9"/>
    <w:rsid w:val="001A13DF"/>
    <w:rsid w:val="001A13E2"/>
    <w:rsid w:val="001A54BE"/>
    <w:rsid w:val="001C3758"/>
    <w:rsid w:val="001D6BCF"/>
    <w:rsid w:val="001E01CA"/>
    <w:rsid w:val="001F78E1"/>
    <w:rsid w:val="002060D9"/>
    <w:rsid w:val="00226822"/>
    <w:rsid w:val="00233E21"/>
    <w:rsid w:val="0024585A"/>
    <w:rsid w:val="00260594"/>
    <w:rsid w:val="00285017"/>
    <w:rsid w:val="002A2D2E"/>
    <w:rsid w:val="00304A28"/>
    <w:rsid w:val="00312DE0"/>
    <w:rsid w:val="00330C79"/>
    <w:rsid w:val="00343749"/>
    <w:rsid w:val="00357D50"/>
    <w:rsid w:val="00362197"/>
    <w:rsid w:val="00375180"/>
    <w:rsid w:val="003925DC"/>
    <w:rsid w:val="003B0550"/>
    <w:rsid w:val="003B694F"/>
    <w:rsid w:val="003D3AE8"/>
    <w:rsid w:val="003E462C"/>
    <w:rsid w:val="003F171C"/>
    <w:rsid w:val="00412FC5"/>
    <w:rsid w:val="00415229"/>
    <w:rsid w:val="00422276"/>
    <w:rsid w:val="004242F1"/>
    <w:rsid w:val="00435308"/>
    <w:rsid w:val="00445A00"/>
    <w:rsid w:val="00450A87"/>
    <w:rsid w:val="00451B0F"/>
    <w:rsid w:val="0045678B"/>
    <w:rsid w:val="0046125F"/>
    <w:rsid w:val="00487524"/>
    <w:rsid w:val="00496106"/>
    <w:rsid w:val="004C12D0"/>
    <w:rsid w:val="004C2EE3"/>
    <w:rsid w:val="004C4E5C"/>
    <w:rsid w:val="004C5355"/>
    <w:rsid w:val="004E2504"/>
    <w:rsid w:val="004E4A22"/>
    <w:rsid w:val="00511968"/>
    <w:rsid w:val="00526349"/>
    <w:rsid w:val="0055614C"/>
    <w:rsid w:val="00601D1F"/>
    <w:rsid w:val="00607BA5"/>
    <w:rsid w:val="00626EB6"/>
    <w:rsid w:val="006353A3"/>
    <w:rsid w:val="00655D03"/>
    <w:rsid w:val="00682D4C"/>
    <w:rsid w:val="00683F84"/>
    <w:rsid w:val="006A6A81"/>
    <w:rsid w:val="006B2F03"/>
    <w:rsid w:val="006E26AF"/>
    <w:rsid w:val="006F7393"/>
    <w:rsid w:val="0070224F"/>
    <w:rsid w:val="007041A3"/>
    <w:rsid w:val="007115F7"/>
    <w:rsid w:val="00733AD3"/>
    <w:rsid w:val="007544A5"/>
    <w:rsid w:val="00774006"/>
    <w:rsid w:val="007772F8"/>
    <w:rsid w:val="00785689"/>
    <w:rsid w:val="0079754B"/>
    <w:rsid w:val="007A07E3"/>
    <w:rsid w:val="007A1E6D"/>
    <w:rsid w:val="007B3733"/>
    <w:rsid w:val="007C0EDA"/>
    <w:rsid w:val="007D5325"/>
    <w:rsid w:val="00822CE0"/>
    <w:rsid w:val="00837C62"/>
    <w:rsid w:val="00837F55"/>
    <w:rsid w:val="00841AB1"/>
    <w:rsid w:val="0087057A"/>
    <w:rsid w:val="008C22FD"/>
    <w:rsid w:val="00910F12"/>
    <w:rsid w:val="00926503"/>
    <w:rsid w:val="00930ECF"/>
    <w:rsid w:val="00982939"/>
    <w:rsid w:val="009838BC"/>
    <w:rsid w:val="009B3AB0"/>
    <w:rsid w:val="009C4663"/>
    <w:rsid w:val="00A36E1E"/>
    <w:rsid w:val="00A45F4F"/>
    <w:rsid w:val="00A600A9"/>
    <w:rsid w:val="00A84848"/>
    <w:rsid w:val="00A866AC"/>
    <w:rsid w:val="00AA55B7"/>
    <w:rsid w:val="00AA5B9E"/>
    <w:rsid w:val="00AB2407"/>
    <w:rsid w:val="00AB53DF"/>
    <w:rsid w:val="00AE2784"/>
    <w:rsid w:val="00AE3DA1"/>
    <w:rsid w:val="00B07E5C"/>
    <w:rsid w:val="00B20363"/>
    <w:rsid w:val="00B326E3"/>
    <w:rsid w:val="00B375AB"/>
    <w:rsid w:val="00B62DE9"/>
    <w:rsid w:val="00B811F7"/>
    <w:rsid w:val="00B86D2F"/>
    <w:rsid w:val="00B97AC5"/>
    <w:rsid w:val="00BA5DC6"/>
    <w:rsid w:val="00BA6196"/>
    <w:rsid w:val="00BA7A44"/>
    <w:rsid w:val="00BC6D8C"/>
    <w:rsid w:val="00BD5BD2"/>
    <w:rsid w:val="00C04889"/>
    <w:rsid w:val="00C16AF2"/>
    <w:rsid w:val="00C31185"/>
    <w:rsid w:val="00C34006"/>
    <w:rsid w:val="00C37D85"/>
    <w:rsid w:val="00C426B1"/>
    <w:rsid w:val="00C7023C"/>
    <w:rsid w:val="00C82B6B"/>
    <w:rsid w:val="00C84945"/>
    <w:rsid w:val="00C90D6A"/>
    <w:rsid w:val="00CC32FF"/>
    <w:rsid w:val="00CC487C"/>
    <w:rsid w:val="00CC72B6"/>
    <w:rsid w:val="00CE064B"/>
    <w:rsid w:val="00CF4E84"/>
    <w:rsid w:val="00D0218D"/>
    <w:rsid w:val="00D216CD"/>
    <w:rsid w:val="00D246D1"/>
    <w:rsid w:val="00D51422"/>
    <w:rsid w:val="00D705D3"/>
    <w:rsid w:val="00DA2529"/>
    <w:rsid w:val="00DA5229"/>
    <w:rsid w:val="00DB130A"/>
    <w:rsid w:val="00DB2D9A"/>
    <w:rsid w:val="00DC10A1"/>
    <w:rsid w:val="00DC655F"/>
    <w:rsid w:val="00DD7EBD"/>
    <w:rsid w:val="00DF62B6"/>
    <w:rsid w:val="00E03D63"/>
    <w:rsid w:val="00E07225"/>
    <w:rsid w:val="00E155B7"/>
    <w:rsid w:val="00E475F2"/>
    <w:rsid w:val="00E5409F"/>
    <w:rsid w:val="00E64D5E"/>
    <w:rsid w:val="00EC0185"/>
    <w:rsid w:val="00EC7A36"/>
    <w:rsid w:val="00EE0B05"/>
    <w:rsid w:val="00EE5F5C"/>
    <w:rsid w:val="00F021FA"/>
    <w:rsid w:val="00F57ACA"/>
    <w:rsid w:val="00F62E97"/>
    <w:rsid w:val="00F64209"/>
    <w:rsid w:val="00F70A3B"/>
    <w:rsid w:val="00F93BF5"/>
    <w:rsid w:val="00F96F63"/>
    <w:rsid w:val="00FC71C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C2A"/>
    <w:pPr>
      <w:widowControl w:val="0"/>
    </w:pPr>
    <w:rPr>
      <w:snapToGrid w:val="0"/>
      <w:kern w:val="28"/>
      <w:sz w:val="22"/>
    </w:rPr>
  </w:style>
  <w:style w:type="paragraph" w:styleId="Heading1">
    <w:name w:val="heading 1"/>
    <w:basedOn w:val="Normal"/>
    <w:next w:val="ParaNum"/>
    <w:qFormat/>
    <w:rsid w:val="00080C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80C2A"/>
    <w:pPr>
      <w:keepNext/>
      <w:numPr>
        <w:ilvl w:val="1"/>
        <w:numId w:val="3"/>
      </w:numPr>
      <w:spacing w:after="120"/>
      <w:outlineLvl w:val="1"/>
    </w:pPr>
    <w:rPr>
      <w:b/>
    </w:rPr>
  </w:style>
  <w:style w:type="paragraph" w:styleId="Heading3">
    <w:name w:val="heading 3"/>
    <w:basedOn w:val="Normal"/>
    <w:next w:val="ParaNum"/>
    <w:qFormat/>
    <w:rsid w:val="00080C2A"/>
    <w:pPr>
      <w:keepNext/>
      <w:numPr>
        <w:ilvl w:val="2"/>
        <w:numId w:val="3"/>
      </w:numPr>
      <w:tabs>
        <w:tab w:val="left" w:pos="2160"/>
      </w:tabs>
      <w:spacing w:after="120"/>
      <w:outlineLvl w:val="2"/>
    </w:pPr>
    <w:rPr>
      <w:b/>
    </w:rPr>
  </w:style>
  <w:style w:type="paragraph" w:styleId="Heading4">
    <w:name w:val="heading 4"/>
    <w:basedOn w:val="Normal"/>
    <w:next w:val="ParaNum"/>
    <w:qFormat/>
    <w:rsid w:val="00080C2A"/>
    <w:pPr>
      <w:keepNext/>
      <w:numPr>
        <w:ilvl w:val="3"/>
        <w:numId w:val="3"/>
      </w:numPr>
      <w:tabs>
        <w:tab w:val="left" w:pos="2880"/>
      </w:tabs>
      <w:spacing w:after="120"/>
      <w:outlineLvl w:val="3"/>
    </w:pPr>
    <w:rPr>
      <w:b/>
    </w:rPr>
  </w:style>
  <w:style w:type="paragraph" w:styleId="Heading5">
    <w:name w:val="heading 5"/>
    <w:basedOn w:val="Normal"/>
    <w:next w:val="ParaNum"/>
    <w:qFormat/>
    <w:rsid w:val="00080C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80C2A"/>
    <w:pPr>
      <w:numPr>
        <w:ilvl w:val="5"/>
        <w:numId w:val="3"/>
      </w:numPr>
      <w:tabs>
        <w:tab w:val="left" w:pos="4320"/>
      </w:tabs>
      <w:spacing w:after="120"/>
      <w:outlineLvl w:val="5"/>
    </w:pPr>
    <w:rPr>
      <w:b/>
    </w:rPr>
  </w:style>
  <w:style w:type="paragraph" w:styleId="Heading7">
    <w:name w:val="heading 7"/>
    <w:basedOn w:val="Normal"/>
    <w:next w:val="ParaNum"/>
    <w:qFormat/>
    <w:rsid w:val="00080C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80C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80C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080C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80C2A"/>
  </w:style>
  <w:style w:type="paragraph" w:customStyle="1" w:styleId="ParaNum">
    <w:name w:val="ParaNum"/>
    <w:basedOn w:val="Normal"/>
    <w:rsid w:val="00080C2A"/>
    <w:pPr>
      <w:numPr>
        <w:numId w:val="2"/>
      </w:numPr>
      <w:tabs>
        <w:tab w:val="clear" w:pos="1080"/>
        <w:tab w:val="num" w:pos="1440"/>
      </w:tabs>
      <w:spacing w:after="120"/>
    </w:pPr>
  </w:style>
  <w:style w:type="paragraph" w:styleId="EndnoteText">
    <w:name w:val="endnote text"/>
    <w:basedOn w:val="Normal"/>
    <w:semiHidden/>
    <w:rsid w:val="00080C2A"/>
    <w:rPr>
      <w:sz w:val="20"/>
    </w:rPr>
  </w:style>
  <w:style w:type="character" w:styleId="EndnoteReference">
    <w:name w:val="endnote reference"/>
    <w:semiHidden/>
    <w:rsid w:val="00080C2A"/>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80C2A"/>
    <w:pPr>
      <w:spacing w:after="120"/>
    </w:pPr>
  </w:style>
  <w:style w:type="character" w:styleId="FootnoteReference">
    <w:name w:val="footnote reference"/>
    <w:rsid w:val="00080C2A"/>
    <w:rPr>
      <w:rFonts w:ascii="Times New Roman" w:hAnsi="Times New Roman"/>
      <w:dstrike w:val="0"/>
      <w:color w:val="auto"/>
      <w:sz w:val="22"/>
      <w:vertAlign w:val="superscript"/>
    </w:rPr>
  </w:style>
  <w:style w:type="paragraph" w:styleId="TOC1">
    <w:name w:val="toc 1"/>
    <w:basedOn w:val="Normal"/>
    <w:next w:val="Normal"/>
    <w:uiPriority w:val="39"/>
    <w:rsid w:val="00080C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80C2A"/>
    <w:pPr>
      <w:tabs>
        <w:tab w:val="left" w:pos="720"/>
        <w:tab w:val="right" w:leader="dot" w:pos="9360"/>
      </w:tabs>
      <w:suppressAutoHyphens/>
      <w:ind w:left="720" w:right="720" w:hanging="360"/>
    </w:pPr>
    <w:rPr>
      <w:noProof/>
    </w:rPr>
  </w:style>
  <w:style w:type="paragraph" w:styleId="TOC3">
    <w:name w:val="toc 3"/>
    <w:basedOn w:val="Normal"/>
    <w:next w:val="Normal"/>
    <w:semiHidden/>
    <w:rsid w:val="00080C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80C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80C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80C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80C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80C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80C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80C2A"/>
    <w:pPr>
      <w:tabs>
        <w:tab w:val="right" w:pos="9360"/>
      </w:tabs>
      <w:suppressAutoHyphens/>
    </w:pPr>
  </w:style>
  <w:style w:type="character" w:customStyle="1" w:styleId="EquationCaption">
    <w:name w:val="_Equation Caption"/>
    <w:rsid w:val="00080C2A"/>
  </w:style>
  <w:style w:type="paragraph" w:styleId="Header">
    <w:name w:val="header"/>
    <w:basedOn w:val="Normal"/>
    <w:autoRedefine/>
    <w:rsid w:val="00080C2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080C2A"/>
    <w:pPr>
      <w:tabs>
        <w:tab w:val="center" w:pos="4320"/>
        <w:tab w:val="right" w:pos="8640"/>
      </w:tabs>
    </w:pPr>
  </w:style>
  <w:style w:type="character" w:styleId="PageNumber">
    <w:name w:val="page number"/>
    <w:basedOn w:val="DefaultParagraphFont"/>
    <w:rsid w:val="00080C2A"/>
  </w:style>
  <w:style w:type="paragraph" w:styleId="BlockText">
    <w:name w:val="Block Text"/>
    <w:basedOn w:val="Normal"/>
    <w:rsid w:val="00080C2A"/>
    <w:pPr>
      <w:spacing w:after="240"/>
      <w:ind w:left="1440" w:right="1440"/>
    </w:pPr>
  </w:style>
  <w:style w:type="paragraph" w:customStyle="1" w:styleId="Paratitle">
    <w:name w:val="Para title"/>
    <w:basedOn w:val="Normal"/>
    <w:rsid w:val="00080C2A"/>
    <w:pPr>
      <w:tabs>
        <w:tab w:val="center" w:pos="9270"/>
      </w:tabs>
      <w:spacing w:after="240"/>
    </w:pPr>
    <w:rPr>
      <w:spacing w:val="-2"/>
    </w:rPr>
  </w:style>
  <w:style w:type="paragraph" w:customStyle="1" w:styleId="Bullet">
    <w:name w:val="Bullet"/>
    <w:basedOn w:val="Normal"/>
    <w:rsid w:val="00080C2A"/>
    <w:pPr>
      <w:numPr>
        <w:numId w:val="1"/>
      </w:numPr>
      <w:tabs>
        <w:tab w:val="clear" w:pos="360"/>
        <w:tab w:val="left" w:pos="2160"/>
      </w:tabs>
      <w:spacing w:after="220"/>
      <w:ind w:left="2160" w:hanging="720"/>
    </w:pPr>
  </w:style>
  <w:style w:type="paragraph" w:customStyle="1" w:styleId="TableFormat">
    <w:name w:val="TableFormat"/>
    <w:basedOn w:val="Bullet"/>
    <w:rsid w:val="00080C2A"/>
    <w:pPr>
      <w:numPr>
        <w:numId w:val="0"/>
      </w:numPr>
      <w:tabs>
        <w:tab w:val="clear" w:pos="2160"/>
        <w:tab w:val="left" w:pos="5040"/>
      </w:tabs>
      <w:ind w:left="5040" w:hanging="3600"/>
    </w:pPr>
  </w:style>
  <w:style w:type="paragraph" w:customStyle="1" w:styleId="TOCTitle">
    <w:name w:val="TOC Title"/>
    <w:basedOn w:val="Normal"/>
    <w:rsid w:val="00080C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80C2A"/>
    <w:pPr>
      <w:jc w:val="center"/>
    </w:pPr>
    <w:rPr>
      <w:rFonts w:ascii="Times New Roman Bold" w:hAnsi="Times New Roman Bold"/>
      <w:b/>
      <w:bCs/>
      <w:caps/>
      <w:szCs w:val="22"/>
    </w:rPr>
  </w:style>
  <w:style w:type="character" w:styleId="Hyperlink">
    <w:name w:val="Hyperlink"/>
    <w:rsid w:val="00080C2A"/>
    <w:rPr>
      <w:color w:val="0000FF"/>
      <w:u w:val="single"/>
    </w:rPr>
  </w:style>
  <w:style w:type="character" w:customStyle="1" w:styleId="FooterChar">
    <w:name w:val="Footer Char"/>
    <w:link w:val="Footer"/>
    <w:uiPriority w:val="99"/>
    <w:rsid w:val="00080C2A"/>
    <w:rPr>
      <w:snapToGrid w:val="0"/>
      <w:kern w:val="28"/>
      <w:sz w:val="22"/>
    </w:rPr>
  </w:style>
  <w:style w:type="character" w:customStyle="1" w:styleId="UnresolvedMention1">
    <w:name w:val="Unresolved Mention1"/>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7772F8"/>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7772F8"/>
  </w:style>
  <w:style w:type="paragraph" w:styleId="ListParagraph">
    <w:name w:val="List Paragraph"/>
    <w:basedOn w:val="Normal"/>
    <w:uiPriority w:val="34"/>
    <w:qFormat/>
    <w:rsid w:val="007544A5"/>
    <w:pPr>
      <w:ind w:left="720"/>
    </w:pPr>
  </w:style>
  <w:style w:type="character" w:styleId="FollowedHyperlink">
    <w:name w:val="FollowedHyperlink"/>
    <w:basedOn w:val="DefaultParagraphFont"/>
    <w:uiPriority w:val="99"/>
    <w:semiHidden/>
    <w:unhideWhenUsed/>
    <w:rsid w:val="007A0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Lauren.Garr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4132945723944/Johnson%20Petition%20for%20Waiver%20April%20202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