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517F6E0E" w14:textId="113D4DF8">
      <w:pPr>
        <w:jc w:val="right"/>
        <w:rPr>
          <w:b/>
          <w:sz w:val="24"/>
        </w:rPr>
      </w:pPr>
      <w:r>
        <w:rPr>
          <w:b/>
          <w:sz w:val="24"/>
        </w:rPr>
        <w:t xml:space="preserve">DA </w:t>
      </w:r>
      <w:r w:rsidR="00C31185">
        <w:rPr>
          <w:b/>
          <w:sz w:val="24"/>
        </w:rPr>
        <w:t>20</w:t>
      </w:r>
      <w:r w:rsidR="00DB2D9A">
        <w:rPr>
          <w:b/>
          <w:sz w:val="24"/>
        </w:rPr>
        <w:t>-</w:t>
      </w:r>
      <w:r w:rsidR="002E4244">
        <w:rPr>
          <w:b/>
          <w:sz w:val="24"/>
        </w:rPr>
        <w:t>408</w:t>
      </w:r>
    </w:p>
    <w:p w:rsidR="00013A8B" w:rsidRPr="00B20363" w:rsidP="00013A8B" w14:paraId="20AE02ED" w14:textId="22557B62">
      <w:pPr>
        <w:spacing w:before="60"/>
        <w:jc w:val="right"/>
        <w:rPr>
          <w:b/>
          <w:sz w:val="24"/>
        </w:rPr>
      </w:pPr>
      <w:r>
        <w:rPr>
          <w:b/>
          <w:sz w:val="24"/>
        </w:rPr>
        <w:t xml:space="preserve">Released:  </w:t>
      </w:r>
      <w:r w:rsidR="00AF6BB1">
        <w:rPr>
          <w:b/>
          <w:sz w:val="24"/>
        </w:rPr>
        <w:t>April</w:t>
      </w:r>
      <w:r w:rsidR="007E4FED">
        <w:rPr>
          <w:b/>
          <w:sz w:val="24"/>
        </w:rPr>
        <w:t xml:space="preserve"> </w:t>
      </w:r>
      <w:r w:rsidR="004A5B8D">
        <w:rPr>
          <w:b/>
          <w:sz w:val="24"/>
        </w:rPr>
        <w:t>1</w:t>
      </w:r>
      <w:r w:rsidR="009E77EA">
        <w:rPr>
          <w:b/>
          <w:sz w:val="24"/>
        </w:rPr>
        <w:t>4</w:t>
      </w:r>
      <w:bookmarkStart w:id="0" w:name="_GoBack"/>
      <w:bookmarkEnd w:id="0"/>
      <w:r w:rsidR="007B3733">
        <w:rPr>
          <w:b/>
          <w:sz w:val="24"/>
        </w:rPr>
        <w:t>, 20</w:t>
      </w:r>
      <w:r w:rsidR="00C31185">
        <w:rPr>
          <w:b/>
          <w:sz w:val="24"/>
        </w:rPr>
        <w:t>20</w:t>
      </w:r>
    </w:p>
    <w:p w:rsidR="00013A8B" w:rsidP="00DA5F1A" w14:paraId="4EB310E5" w14:textId="77777777">
      <w:pPr>
        <w:jc w:val="right"/>
        <w:rPr>
          <w:sz w:val="24"/>
        </w:rPr>
      </w:pPr>
    </w:p>
    <w:p w:rsidR="007B3733" w:rsidRPr="007B3733" w:rsidP="00DA5F1A" w14:paraId="469BF004" w14:textId="08CCE166">
      <w:pPr>
        <w:jc w:val="center"/>
        <w:rPr>
          <w:rFonts w:ascii="Times New Roman Bold" w:hAnsi="Times New Roman Bold"/>
          <w:b/>
          <w:bCs/>
          <w:caps/>
          <w:sz w:val="24"/>
        </w:rPr>
      </w:pPr>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 ON</w:t>
      </w:r>
      <w:r>
        <w:rPr>
          <w:rFonts w:ascii="Times New Roman Bold" w:hAnsi="Times New Roman Bold"/>
          <w:b/>
          <w:bCs/>
          <w:caps/>
          <w:sz w:val="24"/>
        </w:rPr>
        <w:t xml:space="preserve"> </w:t>
      </w:r>
      <w:r w:rsidR="004A5B8D">
        <w:rPr>
          <w:rFonts w:ascii="Times New Roman Bold" w:hAnsi="Times New Roman Bold"/>
          <w:b/>
          <w:bCs/>
          <w:caps/>
          <w:sz w:val="24"/>
        </w:rPr>
        <w:t xml:space="preserve">CHARTER COMMUNICATIONS, INC. PETITION </w:t>
      </w:r>
      <w:r w:rsidR="00C21DBB">
        <w:rPr>
          <w:rFonts w:ascii="Times New Roman Bold" w:hAnsi="Times New Roman Bold"/>
          <w:b/>
          <w:bCs/>
          <w:caps/>
          <w:sz w:val="24"/>
        </w:rPr>
        <w:t>FOR WAIVER OF</w:t>
      </w:r>
      <w:r w:rsidRPr="007B3733" w:rsidR="00312DE0">
        <w:rPr>
          <w:rFonts w:ascii="Times New Roman Bold" w:hAnsi="Times New Roman Bold"/>
          <w:b/>
          <w:bCs/>
          <w:caps/>
          <w:sz w:val="24"/>
        </w:rPr>
        <w:t xml:space="preserve"> </w:t>
      </w:r>
      <w:r w:rsidR="00C21DBB">
        <w:rPr>
          <w:rFonts w:ascii="Times New Roman Bold" w:hAnsi="Times New Roman Bold"/>
          <w:b/>
          <w:bCs/>
          <w:caps/>
          <w:sz w:val="24"/>
        </w:rPr>
        <w:t xml:space="preserve">RURAL </w:t>
      </w:r>
      <w:r w:rsidR="004A5B8D">
        <w:rPr>
          <w:rFonts w:ascii="Times New Roman Bold" w:hAnsi="Times New Roman Bold"/>
          <w:b/>
          <w:bCs/>
          <w:caps/>
          <w:sz w:val="24"/>
        </w:rPr>
        <w:t>DIGITAL OPPORTUNITY FUND PHASE I ELIGIBL</w:t>
      </w:r>
      <w:r w:rsidR="008C53F1">
        <w:rPr>
          <w:rFonts w:ascii="Times New Roman Bold" w:hAnsi="Times New Roman Bold"/>
          <w:b/>
          <w:bCs/>
          <w:caps/>
          <w:sz w:val="24"/>
        </w:rPr>
        <w:t>e AREA</w:t>
      </w:r>
      <w:r w:rsidR="004A5B8D">
        <w:rPr>
          <w:rFonts w:ascii="Times New Roman Bold" w:hAnsi="Times New Roman Bold"/>
          <w:b/>
          <w:bCs/>
          <w:caps/>
          <w:sz w:val="24"/>
        </w:rPr>
        <w:t xml:space="preserve"> RULES</w:t>
      </w:r>
    </w:p>
    <w:p w:rsidR="007B3733" w:rsidP="00DA5F1A" w14:paraId="6753A696" w14:textId="77777777">
      <w:pPr>
        <w:jc w:val="center"/>
        <w:rPr>
          <w:b/>
          <w:sz w:val="24"/>
        </w:rPr>
      </w:pPr>
    </w:p>
    <w:p w:rsidR="00013A8B" w:rsidP="00DA5F1A" w14:paraId="0F2AC03B" w14:textId="15D3102E">
      <w:pPr>
        <w:jc w:val="center"/>
        <w:rPr>
          <w:b/>
          <w:sz w:val="24"/>
        </w:rPr>
      </w:pPr>
      <w:r>
        <w:rPr>
          <w:b/>
          <w:sz w:val="24"/>
        </w:rPr>
        <w:t>W</w:t>
      </w:r>
      <w:r w:rsidR="00C31185">
        <w:rPr>
          <w:b/>
          <w:sz w:val="24"/>
        </w:rPr>
        <w:t>C</w:t>
      </w:r>
      <w:r>
        <w:rPr>
          <w:b/>
          <w:sz w:val="24"/>
        </w:rPr>
        <w:t xml:space="preserve"> Docket No</w:t>
      </w:r>
      <w:r w:rsidR="00C37D85">
        <w:rPr>
          <w:b/>
          <w:sz w:val="24"/>
        </w:rPr>
        <w:t>s</w:t>
      </w:r>
      <w:r w:rsidR="00C31185">
        <w:rPr>
          <w:b/>
          <w:sz w:val="24"/>
        </w:rPr>
        <w:t>.</w:t>
      </w:r>
      <w:r>
        <w:rPr>
          <w:b/>
          <w:sz w:val="24"/>
        </w:rPr>
        <w:t xml:space="preserve"> </w:t>
      </w:r>
      <w:r w:rsidR="00C31185">
        <w:rPr>
          <w:b/>
          <w:sz w:val="24"/>
        </w:rPr>
        <w:t>10</w:t>
      </w:r>
      <w:r>
        <w:rPr>
          <w:b/>
          <w:sz w:val="24"/>
        </w:rPr>
        <w:t>-</w:t>
      </w:r>
      <w:r w:rsidR="00C31185">
        <w:rPr>
          <w:b/>
          <w:sz w:val="24"/>
        </w:rPr>
        <w:t>90</w:t>
      </w:r>
      <w:r w:rsidR="00C37D85">
        <w:rPr>
          <w:b/>
          <w:sz w:val="24"/>
        </w:rPr>
        <w:t>, 1</w:t>
      </w:r>
      <w:r w:rsidR="004A5B8D">
        <w:rPr>
          <w:b/>
          <w:sz w:val="24"/>
        </w:rPr>
        <w:t>9-126</w:t>
      </w:r>
    </w:p>
    <w:p w:rsidR="00F96F63" w:rsidP="00DA5F1A" w14:paraId="761D54F2" w14:textId="77777777">
      <w:pPr>
        <w:rPr>
          <w:sz w:val="24"/>
        </w:rPr>
      </w:pPr>
    </w:p>
    <w:p w:rsidR="007B3733" w:rsidRPr="00BA7A44" w:rsidP="00DA5F1A" w14:paraId="5E50CCFC" w14:textId="20E54074">
      <w:pPr>
        <w:widowControl/>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w:t>
      </w:r>
      <w:r w:rsidR="00A10421">
        <w:rPr>
          <w:rFonts w:eastAsia="Calibri"/>
          <w:b/>
          <w:snapToGrid/>
          <w:kern w:val="0"/>
          <w:sz w:val="24"/>
          <w:szCs w:val="24"/>
        </w:rPr>
        <w:t xml:space="preserve">April </w:t>
      </w:r>
      <w:r w:rsidR="007E4FED">
        <w:rPr>
          <w:rFonts w:eastAsia="Calibri"/>
          <w:b/>
          <w:snapToGrid/>
          <w:kern w:val="0"/>
          <w:sz w:val="24"/>
          <w:szCs w:val="24"/>
        </w:rPr>
        <w:t>2</w:t>
      </w:r>
      <w:r w:rsidR="00B0779D">
        <w:rPr>
          <w:rFonts w:eastAsia="Calibri"/>
          <w:b/>
          <w:snapToGrid/>
          <w:kern w:val="0"/>
          <w:sz w:val="24"/>
          <w:szCs w:val="24"/>
        </w:rPr>
        <w:t>1</w:t>
      </w:r>
      <w:r w:rsidRPr="00BA7A44">
        <w:rPr>
          <w:rFonts w:eastAsia="Calibri"/>
          <w:b/>
          <w:snapToGrid/>
          <w:kern w:val="0"/>
          <w:sz w:val="24"/>
          <w:szCs w:val="24"/>
        </w:rPr>
        <w:t>, 20</w:t>
      </w:r>
      <w:r w:rsidR="00C31185">
        <w:rPr>
          <w:rFonts w:eastAsia="Calibri"/>
          <w:b/>
          <w:snapToGrid/>
          <w:kern w:val="0"/>
          <w:sz w:val="24"/>
          <w:szCs w:val="24"/>
        </w:rPr>
        <w:t>20</w:t>
      </w:r>
    </w:p>
    <w:p w:rsidR="007B3733" w:rsidRPr="00BA7A44" w:rsidP="00DA5F1A" w14:paraId="5CD4D02A" w14:textId="4451F353">
      <w:pPr>
        <w:widowControl/>
        <w:spacing w:after="160"/>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April </w:t>
      </w:r>
      <w:r w:rsidR="007E4FED">
        <w:rPr>
          <w:rFonts w:eastAsia="Calibri"/>
          <w:b/>
          <w:snapToGrid/>
          <w:kern w:val="0"/>
          <w:sz w:val="24"/>
          <w:szCs w:val="24"/>
        </w:rPr>
        <w:t>2</w:t>
      </w:r>
      <w:r w:rsidR="00B0779D">
        <w:rPr>
          <w:rFonts w:eastAsia="Calibri"/>
          <w:b/>
          <w:snapToGrid/>
          <w:kern w:val="0"/>
          <w:sz w:val="24"/>
          <w:szCs w:val="24"/>
        </w:rPr>
        <w:t>8</w:t>
      </w:r>
      <w:r w:rsidRPr="00BA7A44">
        <w:rPr>
          <w:rFonts w:eastAsia="Calibri"/>
          <w:b/>
          <w:snapToGrid/>
          <w:kern w:val="0"/>
          <w:sz w:val="24"/>
          <w:szCs w:val="24"/>
        </w:rPr>
        <w:t>, 20</w:t>
      </w:r>
      <w:r w:rsidR="00CE064B">
        <w:rPr>
          <w:rFonts w:eastAsia="Calibri"/>
          <w:b/>
          <w:snapToGrid/>
          <w:kern w:val="0"/>
          <w:sz w:val="24"/>
          <w:szCs w:val="24"/>
        </w:rPr>
        <w:t>20</w:t>
      </w:r>
    </w:p>
    <w:p w:rsidR="004A5B8D" w:rsidP="00DA5F1A" w14:paraId="283CD26A" w14:textId="1255495F">
      <w:pPr>
        <w:widowControl/>
        <w:spacing w:after="120"/>
        <w:ind w:firstLine="720"/>
        <w:rPr>
          <w:rFonts w:eastAsia="Calibri"/>
          <w:snapToGrid/>
          <w:kern w:val="0"/>
          <w:szCs w:val="22"/>
        </w:rPr>
      </w:pPr>
      <w:r w:rsidRPr="00CF4E84">
        <w:rPr>
          <w:rFonts w:eastAsia="Calibri"/>
          <w:snapToGrid/>
          <w:kern w:val="0"/>
          <w:szCs w:val="22"/>
        </w:rPr>
        <w:t>The Wireline Competition Bureau</w:t>
      </w:r>
      <w:r w:rsidR="00B91FF3">
        <w:rPr>
          <w:rFonts w:eastAsia="Calibri"/>
          <w:snapToGrid/>
          <w:kern w:val="0"/>
          <w:szCs w:val="22"/>
        </w:rPr>
        <w:t>, in coordination with the Rural Broadband Auctions Task Force and the Office of Economics and Analytics,</w:t>
      </w:r>
      <w:r>
        <w:rPr>
          <w:rFonts w:eastAsia="Calibri"/>
          <w:snapToGrid/>
          <w:kern w:val="0"/>
          <w:szCs w:val="22"/>
        </w:rPr>
        <w:t xml:space="preserve"> </w:t>
      </w:r>
      <w:r w:rsidRPr="00CF4E84">
        <w:rPr>
          <w:rFonts w:eastAsia="Calibri"/>
          <w:snapToGrid/>
          <w:kern w:val="0"/>
          <w:szCs w:val="22"/>
        </w:rPr>
        <w:t xml:space="preserve">seeks comment on </w:t>
      </w:r>
      <w:r>
        <w:rPr>
          <w:rFonts w:eastAsia="Calibri"/>
          <w:snapToGrid/>
          <w:kern w:val="0"/>
          <w:szCs w:val="22"/>
        </w:rPr>
        <w:t>a petition</w:t>
      </w:r>
      <w:r w:rsidRPr="00CF4E84">
        <w:rPr>
          <w:rFonts w:eastAsia="Calibri"/>
          <w:snapToGrid/>
          <w:kern w:val="0"/>
          <w:szCs w:val="22"/>
        </w:rPr>
        <w:t xml:space="preserve"> filed by </w:t>
      </w:r>
      <w:r>
        <w:rPr>
          <w:rFonts w:eastAsia="Calibri"/>
          <w:snapToGrid/>
          <w:kern w:val="0"/>
          <w:szCs w:val="22"/>
        </w:rPr>
        <w:t>Charter Communications, Inc. (Charter) requesting waiver of the Commission’s census block eligibility criteria for the Rural Digital Opportunity Fund Phase I auction in order to exclude from eligibility census blocks in New York in which Charter will deploy broadband service to satisfy its commitments to the state.</w:t>
      </w:r>
      <w:r>
        <w:rPr>
          <w:rStyle w:val="FootnoteReference"/>
          <w:rFonts w:eastAsia="Calibri"/>
          <w:snapToGrid/>
          <w:kern w:val="0"/>
          <w:szCs w:val="22"/>
        </w:rPr>
        <w:footnoteReference w:id="3"/>
      </w:r>
    </w:p>
    <w:p w:rsidR="00535FF9" w:rsidRPr="00E52449" w:rsidP="00DA5F1A" w14:paraId="7932F15D" w14:textId="0788DAC1">
      <w:pPr>
        <w:widowControl/>
        <w:spacing w:after="120"/>
        <w:ind w:firstLine="720"/>
        <w:rPr>
          <w:szCs w:val="22"/>
        </w:rPr>
      </w:pPr>
      <w:r w:rsidRPr="000D2585">
        <w:rPr>
          <w:i/>
          <w:iCs/>
          <w:szCs w:val="22"/>
        </w:rPr>
        <w:t>Electronic Filers</w:t>
      </w:r>
      <w:r w:rsidRPr="00E52449">
        <w:rPr>
          <w:szCs w:val="22"/>
        </w:rPr>
        <w:t xml:space="preserve">: Comments may be filed electronically using the Internet by accessing the ECFS: http://apps.fcc.gov/ecfs/. </w:t>
      </w:r>
    </w:p>
    <w:p w:rsidR="00535FF9" w:rsidRPr="00E52449" w:rsidP="00DA5F1A" w14:paraId="32627040" w14:textId="77777777">
      <w:pPr>
        <w:widowControl/>
        <w:spacing w:after="120"/>
        <w:rPr>
          <w:szCs w:val="22"/>
        </w:rPr>
      </w:pPr>
      <w:r>
        <w:rPr>
          <w:szCs w:val="22"/>
        </w:rPr>
        <w:tab/>
      </w:r>
      <w:r w:rsidRPr="000D2585">
        <w:rPr>
          <w:i/>
          <w:iCs/>
          <w:szCs w:val="22"/>
        </w:rPr>
        <w:t>Paper Filers</w:t>
      </w:r>
      <w:r w:rsidRPr="00E5244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35FF9" w:rsidRPr="00E52449" w:rsidP="00DA5F1A" w14:paraId="05791DA5" w14:textId="77777777">
      <w:pPr>
        <w:widowControl/>
        <w:spacing w:after="120"/>
        <w:rPr>
          <w:szCs w:val="22"/>
        </w:rPr>
      </w:pPr>
      <w:r w:rsidRPr="00E52449">
        <w:rPr>
          <w:szCs w:val="22"/>
        </w:rPr>
        <w:t>Filings can be sent by commercial overnight courier or by first-class or overnight U.S. Postal Service mail.</w:t>
      </w:r>
      <w:r>
        <w:rPr>
          <w:rStyle w:val="FootnoteReference"/>
          <w:szCs w:val="22"/>
        </w:rPr>
        <w:footnoteReference w:id="4"/>
      </w:r>
      <w:r w:rsidRPr="00E52449">
        <w:rPr>
          <w:szCs w:val="22"/>
        </w:rPr>
        <w:t xml:space="preserve">  All filings must be addressed to the Commission’s Secretary, Office of the Secretary, Federal Communications Commission. </w:t>
      </w:r>
    </w:p>
    <w:p w:rsidR="00535FF9" w:rsidRPr="00E52449" w:rsidP="00DA5F1A" w14:paraId="127306FB" w14:textId="77777777">
      <w:pPr>
        <w:widowControl/>
        <w:numPr>
          <w:ilvl w:val="0"/>
          <w:numId w:val="9"/>
        </w:numPr>
        <w:spacing w:after="120"/>
        <w:rPr>
          <w:szCs w:val="22"/>
        </w:rPr>
      </w:pPr>
      <w:r w:rsidRPr="00E52449">
        <w:rPr>
          <w:szCs w:val="22"/>
        </w:rPr>
        <w:t xml:space="preserve">Commercial overnight mail (other than U.S. Postal Service Express Mail and Priority Mail) must be sent to 9050 Junction Drive, Annapolis Junction, MD 20701. </w:t>
      </w:r>
    </w:p>
    <w:p w:rsidR="00535FF9" w:rsidRPr="00E52449" w:rsidP="00DA5F1A" w14:paraId="61DF7BF6" w14:textId="77777777">
      <w:pPr>
        <w:widowControl/>
        <w:numPr>
          <w:ilvl w:val="0"/>
          <w:numId w:val="9"/>
        </w:numPr>
        <w:spacing w:after="120"/>
        <w:rPr>
          <w:szCs w:val="22"/>
        </w:rPr>
      </w:pPr>
      <w:r w:rsidRPr="00E52449">
        <w:rPr>
          <w:szCs w:val="22"/>
        </w:rPr>
        <w:t>U.S. Postal Service first-class, Express, and Priority mail must be addressed to 445 12th Street, SW, Washington DC 20554.</w:t>
      </w:r>
    </w:p>
    <w:p w:rsidR="00535FF9" w:rsidRPr="00E52449" w:rsidP="00DA5F1A" w14:paraId="55A36FB9" w14:textId="77777777">
      <w:pPr>
        <w:widowControl/>
        <w:spacing w:after="120"/>
        <w:rPr>
          <w:szCs w:val="22"/>
        </w:rPr>
      </w:pPr>
      <w:r w:rsidRPr="00E52449">
        <w:rPr>
          <w:szCs w:val="22"/>
        </w:rPr>
        <w:t xml:space="preserve">In addition, we request that one copy of each pleading be sent to each of the following: </w:t>
      </w:r>
    </w:p>
    <w:p w:rsidR="00535FF9" w:rsidRPr="00E52449" w:rsidP="00DA5F1A" w14:paraId="7A01E080" w14:textId="0B178EB7">
      <w:pPr>
        <w:widowControl/>
        <w:spacing w:after="120"/>
        <w:rPr>
          <w:szCs w:val="22"/>
        </w:rPr>
      </w:pPr>
      <w:r w:rsidRPr="00E52449">
        <w:rPr>
          <w:szCs w:val="22"/>
        </w:rPr>
        <w:t xml:space="preserve">(1) </w:t>
      </w:r>
      <w:r w:rsidR="004A5B8D">
        <w:rPr>
          <w:szCs w:val="22"/>
        </w:rPr>
        <w:t>Ian Forbes</w:t>
      </w:r>
      <w:r w:rsidRPr="00E52449">
        <w:rPr>
          <w:szCs w:val="22"/>
        </w:rPr>
        <w:t>, Telecommunications Access Policy Division, Wireline Competition Bureau, 445 12th Street, S.W., Room 5-B</w:t>
      </w:r>
      <w:r w:rsidR="004A5B8D">
        <w:rPr>
          <w:szCs w:val="22"/>
        </w:rPr>
        <w:t>418</w:t>
      </w:r>
      <w:r w:rsidRPr="00E52449">
        <w:rPr>
          <w:szCs w:val="22"/>
        </w:rPr>
        <w:t xml:space="preserve">, Washington, D.C. 20554; e-mail: </w:t>
      </w:r>
      <w:hyperlink r:id="rId5" w:history="1">
        <w:r w:rsidRPr="009E3658" w:rsidR="004A5B8D">
          <w:rPr>
            <w:rStyle w:val="Hyperlink"/>
            <w:szCs w:val="22"/>
          </w:rPr>
          <w:t>Ian.Forbes@fcc.gov</w:t>
        </w:r>
      </w:hyperlink>
      <w:r w:rsidR="003E047A">
        <w:rPr>
          <w:szCs w:val="22"/>
        </w:rPr>
        <w:t>;</w:t>
      </w:r>
      <w:r w:rsidRPr="00E52449">
        <w:rPr>
          <w:szCs w:val="22"/>
        </w:rPr>
        <w:t xml:space="preserve"> and </w:t>
      </w:r>
    </w:p>
    <w:p w:rsidR="00535FF9" w:rsidRPr="00E52449" w:rsidP="00DA5F1A" w14:paraId="350E759A" w14:textId="77777777">
      <w:pPr>
        <w:widowControl/>
        <w:spacing w:after="120"/>
        <w:rPr>
          <w:szCs w:val="22"/>
        </w:rPr>
      </w:pPr>
      <w:r w:rsidRPr="00E52449">
        <w:rPr>
          <w:szCs w:val="22"/>
        </w:rPr>
        <w:t xml:space="preserve">(2) Charles Tyler, Telecommunications Access Policy Division, Wireline Competition Bureau, 445 12th Street, S.W., Room 5-A452, Washington, D.C. 20554; e-mail: </w:t>
      </w:r>
      <w:hyperlink r:id="rId6" w:history="1">
        <w:r w:rsidRPr="008A55DD" w:rsidR="003E047A">
          <w:rPr>
            <w:rStyle w:val="Hyperlink"/>
            <w:szCs w:val="22"/>
          </w:rPr>
          <w:t>Charles.Tyler@fcc.gov</w:t>
        </w:r>
      </w:hyperlink>
      <w:r w:rsidRPr="00E52449">
        <w:rPr>
          <w:szCs w:val="22"/>
        </w:rPr>
        <w:t xml:space="preserve">. </w:t>
      </w:r>
    </w:p>
    <w:p w:rsidR="00535FF9" w:rsidRPr="00E52449" w:rsidP="00DA5F1A" w14:paraId="06C26C64" w14:textId="7A2D94E3">
      <w:pPr>
        <w:widowControl/>
        <w:spacing w:after="120"/>
        <w:ind w:firstLine="720"/>
        <w:rPr>
          <w:szCs w:val="22"/>
        </w:rPr>
      </w:pPr>
      <w:r w:rsidRPr="000D2585">
        <w:rPr>
          <w:i/>
          <w:iCs/>
          <w:szCs w:val="22"/>
        </w:rPr>
        <w:t>People with Disabilities</w:t>
      </w:r>
      <w:r w:rsidRPr="00E52449">
        <w:rPr>
          <w:szCs w:val="22"/>
        </w:rPr>
        <w:t xml:space="preserve">.  To request materials in accessible formats for people with disabilities (braille, large print, electronic files, audio format), send an e-mail to </w:t>
      </w:r>
      <w:hyperlink r:id="rId7" w:history="1">
        <w:r w:rsidRPr="009E3658" w:rsidR="004A5B8D">
          <w:rPr>
            <w:rStyle w:val="Hyperlink"/>
            <w:szCs w:val="22"/>
          </w:rPr>
          <w:t>fcc504@fcc.gov</w:t>
        </w:r>
      </w:hyperlink>
      <w:r w:rsidR="004A5B8D">
        <w:rPr>
          <w:szCs w:val="22"/>
        </w:rPr>
        <w:t xml:space="preserve"> </w:t>
      </w:r>
      <w:r w:rsidRPr="00E52449">
        <w:rPr>
          <w:szCs w:val="22"/>
        </w:rPr>
        <w:t xml:space="preserve">or call the Consumer &amp; Governmental Affairs Bureau at 202-418-0530 (voice), 202-418-0432 (tty). </w:t>
      </w:r>
    </w:p>
    <w:p w:rsidR="00535FF9" w:rsidRPr="00E52449" w:rsidP="00DA5F1A" w14:paraId="6BC4EAD4" w14:textId="21CAC757">
      <w:pPr>
        <w:widowControl/>
        <w:spacing w:after="120"/>
        <w:ind w:firstLine="720"/>
        <w:rPr>
          <w:szCs w:val="22"/>
        </w:rPr>
      </w:pPr>
      <w:r w:rsidRPr="000D2585">
        <w:rPr>
          <w:i/>
          <w:iCs/>
          <w:szCs w:val="22"/>
        </w:rPr>
        <w:t>Availability of Documents</w:t>
      </w:r>
      <w:r w:rsidRPr="00E52449">
        <w:rPr>
          <w:szCs w:val="22"/>
        </w:rPr>
        <w:t xml:space="preserve">.  Comments, reply comments, and </w:t>
      </w:r>
      <w:r w:rsidRPr="00E52449">
        <w:rPr>
          <w:i/>
          <w:szCs w:val="22"/>
        </w:rPr>
        <w:t>ex parte</w:t>
      </w:r>
      <w:r w:rsidRPr="00E52449">
        <w:rPr>
          <w:szCs w:val="22"/>
        </w:rPr>
        <w:t xml:space="preserve"> submissions will be publicly available online via ECFS.</w:t>
      </w:r>
      <w:r>
        <w:rPr>
          <w:rStyle w:val="FootnoteReference"/>
          <w:szCs w:val="22"/>
        </w:rPr>
        <w:footnoteReference w:id="5"/>
      </w:r>
    </w:p>
    <w:p w:rsidR="00535FF9" w:rsidRPr="00DB0929" w:rsidP="00DA5F1A" w14:paraId="7C71B130" w14:textId="77777777">
      <w:pPr>
        <w:spacing w:after="120"/>
        <w:ind w:firstLine="720"/>
        <w:rPr>
          <w:szCs w:val="22"/>
        </w:rPr>
      </w:pPr>
      <w:r w:rsidRPr="00DB0929">
        <w:rPr>
          <w:i/>
          <w:iCs/>
          <w:szCs w:val="22"/>
        </w:rPr>
        <w:t>Permit but Disclose Ex Parte Communications.</w:t>
      </w:r>
      <w:r w:rsidRPr="00DB0929">
        <w:rPr>
          <w:szCs w:val="22"/>
        </w:rPr>
        <w:t xml:space="preserve">  For the purposes of the Commission’s </w:t>
      </w:r>
      <w:r w:rsidRPr="00DB0929">
        <w:rPr>
          <w:i/>
          <w:szCs w:val="22"/>
        </w:rPr>
        <w:t>ex parte</w:t>
      </w:r>
      <w:r w:rsidRPr="00DB0929">
        <w:rPr>
          <w:szCs w:val="22"/>
        </w:rPr>
        <w:t xml:space="preserve"> rules, </w:t>
      </w:r>
      <w:r>
        <w:rPr>
          <w:szCs w:val="22"/>
        </w:rPr>
        <w:t>each petition addressed within this public notice initiates</w:t>
      </w:r>
      <w:r w:rsidRPr="00DB0929">
        <w:rPr>
          <w:szCs w:val="22"/>
        </w:rPr>
        <w:t xml:space="preserve"> will be treated as initiating a permit-but-disclose proceeding under the Commission’s rules.</w:t>
      </w:r>
      <w:r>
        <w:rPr>
          <w:szCs w:val="22"/>
          <w:vertAlign w:val="superscript"/>
        </w:rPr>
        <w:footnoteReference w:id="6"/>
      </w:r>
      <w:r w:rsidRPr="00DB0929">
        <w:rPr>
          <w:szCs w:val="22"/>
        </w:rPr>
        <w:t xml:space="preserve">  Persons making </w:t>
      </w:r>
      <w:r w:rsidRPr="00DB0929">
        <w:rPr>
          <w:i/>
          <w:szCs w:val="22"/>
        </w:rPr>
        <w:t>ex parte</w:t>
      </w:r>
      <w:r w:rsidRPr="00DB092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7"/>
      </w:r>
      <w:r w:rsidRPr="00DB0929">
        <w:rPr>
          <w:szCs w:val="22"/>
        </w:rPr>
        <w:t xml:space="preserve">  Persons making oral </w:t>
      </w:r>
      <w:r w:rsidRPr="00DB0929">
        <w:rPr>
          <w:i/>
          <w:szCs w:val="22"/>
        </w:rPr>
        <w:t>ex parte</w:t>
      </w:r>
      <w:r w:rsidRPr="00DB0929">
        <w:rPr>
          <w:szCs w:val="22"/>
        </w:rPr>
        <w:t xml:space="preserve"> presentations are reminded that memoranda summarizing the presentation must (1) list all persons attending or otherwise participating in the meeting at which the </w:t>
      </w:r>
      <w:r w:rsidRPr="00DB0929">
        <w:rPr>
          <w:i/>
          <w:szCs w:val="22"/>
        </w:rPr>
        <w:t>ex parte</w:t>
      </w:r>
      <w:r w:rsidRPr="00DB0929">
        <w:rPr>
          <w:szCs w:val="22"/>
        </w:rPr>
        <w:t xml:space="preserve"> presentation was made, and (2) summarize all data presented and arguments made during the presentation.</w:t>
      </w:r>
      <w:r>
        <w:rPr>
          <w:szCs w:val="22"/>
          <w:vertAlign w:val="superscript"/>
        </w:rPr>
        <w:footnoteReference w:id="8"/>
      </w:r>
      <w:r w:rsidRPr="00DB092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9"/>
      </w:r>
      <w:r w:rsidRPr="00DB0929">
        <w:rPr>
          <w:szCs w:val="22"/>
        </w:rPr>
        <w:t xml:space="preserve">  Documents shown or given to Commission staff during </w:t>
      </w:r>
      <w:r w:rsidRPr="00DB0929">
        <w:rPr>
          <w:i/>
          <w:szCs w:val="22"/>
        </w:rPr>
        <w:t>ex parte</w:t>
      </w:r>
      <w:r w:rsidRPr="00DB0929">
        <w:rPr>
          <w:szCs w:val="22"/>
        </w:rPr>
        <w:t xml:space="preserve"> meetings are deemed to be written </w:t>
      </w:r>
      <w:r w:rsidRPr="00DB0929">
        <w:rPr>
          <w:i/>
          <w:szCs w:val="22"/>
        </w:rPr>
        <w:t>ex parte</w:t>
      </w:r>
      <w:r w:rsidRPr="00DB0929">
        <w:rPr>
          <w:szCs w:val="22"/>
        </w:rPr>
        <w:t xml:space="preserve"> presentations and must be filed consistent with rule 1.1206(b).</w:t>
      </w:r>
      <w:r>
        <w:rPr>
          <w:szCs w:val="22"/>
          <w:vertAlign w:val="superscript"/>
        </w:rPr>
        <w:footnoteReference w:id="10"/>
      </w:r>
      <w:r w:rsidRPr="00DB0929">
        <w:rPr>
          <w:szCs w:val="22"/>
        </w:rPr>
        <w:t xml:space="preserve">  In proceedings governed by rule 1.49(f) or for which the Commission has made available a method of electronic filing, written </w:t>
      </w:r>
      <w:r w:rsidRPr="00DB0929">
        <w:rPr>
          <w:i/>
          <w:szCs w:val="22"/>
        </w:rPr>
        <w:t>ex parte</w:t>
      </w:r>
      <w:r w:rsidRPr="00DB0929">
        <w:rPr>
          <w:szCs w:val="22"/>
        </w:rPr>
        <w:t xml:space="preserve"> presentations and memoranda summarizing oral </w:t>
      </w:r>
      <w:r w:rsidRPr="00DB0929">
        <w:rPr>
          <w:i/>
          <w:szCs w:val="22"/>
        </w:rPr>
        <w:t>ex parte</w:t>
      </w:r>
      <w:r w:rsidRPr="00DB092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1"/>
      </w:r>
      <w:r w:rsidRPr="00DB0929">
        <w:rPr>
          <w:szCs w:val="22"/>
        </w:rPr>
        <w:t xml:space="preserve">  Participants in this proceeding should familiarize themselves with the Commission’s </w:t>
      </w:r>
      <w:r w:rsidRPr="00DB0929">
        <w:rPr>
          <w:i/>
          <w:szCs w:val="22"/>
        </w:rPr>
        <w:t>ex parte</w:t>
      </w:r>
      <w:r w:rsidRPr="00DB0929">
        <w:rPr>
          <w:szCs w:val="22"/>
        </w:rPr>
        <w:t xml:space="preserve"> rules.</w:t>
      </w:r>
    </w:p>
    <w:p w:rsidR="007B3733" w:rsidP="007772F8" w14:paraId="30A7671D" w14:textId="17E1AE70">
      <w:pPr>
        <w:widowControl/>
        <w:spacing w:after="160" w:line="259" w:lineRule="auto"/>
        <w:ind w:firstLine="720"/>
        <w:rPr>
          <w:rFonts w:eastAsia="Calibri"/>
          <w:snapToGrid/>
          <w:kern w:val="0"/>
          <w:szCs w:val="22"/>
        </w:rPr>
      </w:pPr>
      <w:r w:rsidRPr="00D51422">
        <w:rPr>
          <w:i/>
        </w:rPr>
        <w:t xml:space="preserve">Additional Information.  </w:t>
      </w:r>
      <w:r w:rsidRPr="00D51422">
        <w:t>For further information regarding this Notice, please contact</w:t>
      </w:r>
      <w:r w:rsidR="00D40D60">
        <w:t xml:space="preserve"> </w:t>
      </w:r>
      <w:r w:rsidR="004A5B8D">
        <w:rPr>
          <w:rFonts w:eastAsia="Calibri"/>
          <w:snapToGrid/>
          <w:kern w:val="0"/>
          <w:szCs w:val="22"/>
        </w:rPr>
        <w:t>Ian Forbes</w:t>
      </w:r>
      <w:r w:rsidR="00583FEC">
        <w:rPr>
          <w:rFonts w:eastAsia="Calibri"/>
          <w:snapToGrid/>
          <w:kern w:val="0"/>
          <w:szCs w:val="22"/>
        </w:rPr>
        <w:t xml:space="preserve">, </w:t>
      </w:r>
      <w:r w:rsidRPr="00583FEC" w:rsidR="00583FEC">
        <w:rPr>
          <w:rFonts w:eastAsia="Calibri"/>
          <w:snapToGrid/>
          <w:kern w:val="0"/>
          <w:szCs w:val="22"/>
        </w:rPr>
        <w:t>Telecommunications Access Policy Division, Wireline Competition Bureau</w:t>
      </w:r>
      <w:r w:rsidR="00583FEC">
        <w:rPr>
          <w:rFonts w:eastAsia="Calibri"/>
          <w:snapToGrid/>
          <w:kern w:val="0"/>
          <w:szCs w:val="22"/>
        </w:rPr>
        <w:t>,</w:t>
      </w:r>
      <w:r w:rsidRPr="007B3733" w:rsidR="00312DE0">
        <w:rPr>
          <w:rFonts w:eastAsia="Calibri"/>
          <w:snapToGrid/>
          <w:kern w:val="0"/>
          <w:szCs w:val="22"/>
        </w:rPr>
        <w:t xml:space="preserve"> </w:t>
      </w:r>
      <w:hyperlink r:id="rId5" w:history="1">
        <w:r w:rsidRPr="009E3658" w:rsidR="004A5B8D">
          <w:rPr>
            <w:rStyle w:val="Hyperlink"/>
            <w:rFonts w:eastAsia="Calibri"/>
            <w:snapToGrid/>
            <w:kern w:val="0"/>
            <w:szCs w:val="22"/>
          </w:rPr>
          <w:t>Ian.Forbes@fcc.gov</w:t>
        </w:r>
      </w:hyperlink>
      <w:r w:rsidR="00583FEC">
        <w:rPr>
          <w:rFonts w:eastAsia="Calibri"/>
          <w:snapToGrid/>
          <w:kern w:val="0"/>
          <w:szCs w:val="22"/>
        </w:rPr>
        <w:t xml:space="preserve"> or at 202</w:t>
      </w:r>
      <w:r w:rsidR="004A5B8D">
        <w:rPr>
          <w:rFonts w:eastAsia="Calibri"/>
          <w:snapToGrid/>
          <w:kern w:val="0"/>
          <w:szCs w:val="22"/>
        </w:rPr>
        <w:t>-</w:t>
      </w:r>
      <w:r w:rsidR="00583FEC">
        <w:rPr>
          <w:rFonts w:eastAsia="Calibri"/>
          <w:snapToGrid/>
          <w:kern w:val="0"/>
          <w:szCs w:val="22"/>
        </w:rPr>
        <w:t>418-</w:t>
      </w:r>
      <w:r w:rsidR="004A5B8D">
        <w:rPr>
          <w:rFonts w:eastAsia="Calibri"/>
          <w:snapToGrid/>
          <w:kern w:val="0"/>
          <w:szCs w:val="22"/>
        </w:rPr>
        <w:t>7400</w:t>
      </w:r>
      <w:r w:rsidR="00583FEC">
        <w:rPr>
          <w:rFonts w:eastAsia="Calibri"/>
          <w:snapToGrid/>
          <w:kern w:val="0"/>
          <w:szCs w:val="22"/>
        </w:rPr>
        <w:t xml:space="preserve">.  </w:t>
      </w:r>
    </w:p>
    <w:p w:rsidR="007B3733" w:rsidRPr="007B3733" w:rsidP="007B3733" w14:paraId="212B93EF"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535FF9" w14:paraId="1FD70DD8" w14:textId="77777777">
      <w:pPr>
        <w:widowControl/>
        <w:rPr>
          <w:b/>
          <w:bCs/>
          <w:sz w:val="24"/>
        </w:rPr>
      </w:pPr>
    </w:p>
    <w:p w:rsidR="006B5501" w:rsidP="006B5501" w14:paraId="183ADF0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8A5A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C68C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C22E80D"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2D7C5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68C7" w14:paraId="79035FAC" w14:textId="77777777">
      <w:r>
        <w:separator/>
      </w:r>
    </w:p>
  </w:footnote>
  <w:footnote w:type="continuationSeparator" w:id="1">
    <w:p w:rsidR="00E468C7" w:rsidRPr="009B3AB0" w:rsidP="009B3AB0" w14:paraId="1BEB10CB" w14:textId="77777777">
      <w:pPr>
        <w:pStyle w:val="Footer"/>
      </w:pPr>
    </w:p>
  </w:footnote>
  <w:footnote w:type="continuationNotice" w:id="2">
    <w:p w:rsidR="00E468C7" w:rsidRPr="007B3733" w:rsidP="007B3733" w14:paraId="479C4529" w14:textId="77777777">
      <w:pPr>
        <w:pStyle w:val="Footer"/>
      </w:pPr>
    </w:p>
  </w:footnote>
  <w:footnote w:id="3">
    <w:p w:rsidR="004A5B8D" w:rsidRPr="00B0779D" w14:paraId="6401243A" w14:textId="180E88D1">
      <w:pPr>
        <w:pStyle w:val="FootnoteText"/>
      </w:pPr>
      <w:r>
        <w:rPr>
          <w:rStyle w:val="FootnoteReference"/>
        </w:rPr>
        <w:footnoteRef/>
      </w:r>
      <w:r>
        <w:t xml:space="preserve"> </w:t>
      </w:r>
      <w:r w:rsidRPr="004A5B8D">
        <w:t>Charter Communications, Inc. Petition for Waiver</w:t>
      </w:r>
      <w:r w:rsidRPr="0064172A">
        <w:t>, WC Docket Nos. 10-90, 19</w:t>
      </w:r>
      <w:r w:rsidRPr="004A5B8D">
        <w:t>-126 (filed Apr. 10, 2020)</w:t>
      </w:r>
      <w:r w:rsidR="00B0779D">
        <w:t xml:space="preserve">; </w:t>
      </w:r>
      <w:r w:rsidR="00B0779D">
        <w:rPr>
          <w:i/>
          <w:iCs/>
        </w:rPr>
        <w:t xml:space="preserve">see also </w:t>
      </w:r>
      <w:r w:rsidRPr="00F827BA" w:rsidR="00B0779D">
        <w:t>Letter from Elizabeth Andrion, Senior Vice President, Charter Communications, Inc., to Marlene H. Dortch, Secretary, Federal Communications Commission, WC Docket Nos. 10-90, 19-126 (filed Apr</w:t>
      </w:r>
      <w:r w:rsidR="00B0779D">
        <w:t>.</w:t>
      </w:r>
      <w:r w:rsidRPr="00F827BA" w:rsidR="00B0779D">
        <w:t xml:space="preserve"> 13, 2020) (</w:t>
      </w:r>
      <w:r w:rsidR="00B0779D">
        <w:t>retracting its April 10 request for confidentiality of Exhibit A, which lists the census blocks at issue</w:t>
      </w:r>
      <w:r w:rsidRPr="00F827BA" w:rsidR="00B0779D">
        <w:t>)</w:t>
      </w:r>
      <w:r w:rsidR="00B0779D">
        <w:t>.</w:t>
      </w:r>
    </w:p>
  </w:footnote>
  <w:footnote w:id="4">
    <w:p w:rsidR="00535FF9" w:rsidP="00535FF9" w14:paraId="54872ADF"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DA 20-304 (rel. Mar. 19, 2020).</w:t>
      </w:r>
    </w:p>
  </w:footnote>
  <w:footnote w:id="5">
    <w:p w:rsidR="00535FF9" w:rsidRPr="00D55B6D" w:rsidP="00535FF9" w14:paraId="60848640" w14:textId="77777777">
      <w:pPr>
        <w:pStyle w:val="FootnoteText"/>
      </w:pPr>
      <w:r w:rsidRPr="00D55B6D">
        <w:rPr>
          <w:rStyle w:val="FootnoteReference"/>
          <w:sz w:val="20"/>
        </w:rPr>
        <w:footnoteRef/>
      </w:r>
      <w:r w:rsidRPr="00D55B6D">
        <w:t xml:space="preserve"> Documents will generally be available electronically in ASCII, Microsoft Word, and/or Adobe Acrobat.</w:t>
      </w:r>
    </w:p>
  </w:footnote>
  <w:footnote w:id="6">
    <w:p w:rsidR="00535FF9" w:rsidRPr="00DF3D92" w:rsidP="00535FF9" w14:paraId="571F2BE7" w14:textId="77777777">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7">
    <w:p w:rsidR="00535FF9" w:rsidRPr="00DF3D92" w:rsidP="00535FF9" w14:paraId="61E410E9" w14:textId="77777777">
      <w:pPr>
        <w:pStyle w:val="FootnoteText"/>
      </w:pPr>
      <w:r w:rsidRPr="00DF3D92">
        <w:rPr>
          <w:rStyle w:val="FootnoteReference"/>
        </w:rPr>
        <w:footnoteRef/>
      </w:r>
      <w:r w:rsidRPr="00DF3D92">
        <w:t xml:space="preserve"> </w:t>
      </w:r>
      <w:r w:rsidRPr="00DF3D92">
        <w:rPr>
          <w:i/>
        </w:rPr>
        <w:t>Id</w:t>
      </w:r>
      <w:r w:rsidRPr="00DF3D92">
        <w:t>. § 1.2016(b)(2)(iii).</w:t>
      </w:r>
    </w:p>
  </w:footnote>
  <w:footnote w:id="8">
    <w:p w:rsidR="00535FF9" w:rsidRPr="00DF3D92" w:rsidP="00535FF9" w14:paraId="0569AC3D" w14:textId="77777777">
      <w:pPr>
        <w:pStyle w:val="FootnoteText"/>
      </w:pPr>
      <w:r w:rsidRPr="00DF3D92">
        <w:rPr>
          <w:rStyle w:val="FootnoteReference"/>
        </w:rPr>
        <w:footnoteRef/>
      </w:r>
      <w:r w:rsidRPr="00DF3D92">
        <w:t xml:space="preserve"> </w:t>
      </w:r>
      <w:r w:rsidRPr="00DF3D92">
        <w:rPr>
          <w:i/>
        </w:rPr>
        <w:t>Id</w:t>
      </w:r>
      <w:r w:rsidRPr="00DF3D92">
        <w:t>. § 1.206(b)(1).</w:t>
      </w:r>
    </w:p>
  </w:footnote>
  <w:footnote w:id="9">
    <w:p w:rsidR="00535FF9" w:rsidRPr="00DF3D92" w:rsidP="00535FF9" w14:paraId="420161B9" w14:textId="77777777">
      <w:pPr>
        <w:pStyle w:val="FootnoteText"/>
      </w:pPr>
      <w:r w:rsidRPr="00DF3D92">
        <w:rPr>
          <w:rStyle w:val="FootnoteReference"/>
        </w:rPr>
        <w:footnoteRef/>
      </w:r>
      <w:r w:rsidRPr="00DF3D92">
        <w:t xml:space="preserve"> </w:t>
      </w:r>
      <w:r w:rsidRPr="00DF3D92">
        <w:rPr>
          <w:i/>
        </w:rPr>
        <w:t>Id</w:t>
      </w:r>
      <w:r w:rsidRPr="00DF3D92">
        <w:t>.</w:t>
      </w:r>
    </w:p>
  </w:footnote>
  <w:footnote w:id="10">
    <w:p w:rsidR="00535FF9" w:rsidRPr="00DF3D92" w:rsidP="00535FF9" w14:paraId="4A0ECD93" w14:textId="77777777">
      <w:pPr>
        <w:pStyle w:val="FootnoteText"/>
      </w:pPr>
      <w:r w:rsidRPr="00DF3D92">
        <w:rPr>
          <w:rStyle w:val="FootnoteReference"/>
        </w:rPr>
        <w:footnoteRef/>
      </w:r>
      <w:r w:rsidRPr="00DF3D92">
        <w:t xml:space="preserve"> </w:t>
      </w:r>
      <w:r w:rsidRPr="00DF3D92">
        <w:rPr>
          <w:i/>
        </w:rPr>
        <w:t>Id</w:t>
      </w:r>
      <w:r w:rsidRPr="00DF3D92">
        <w:t>. § 1.1206(b)(2).</w:t>
      </w:r>
    </w:p>
  </w:footnote>
  <w:footnote w:id="11">
    <w:p w:rsidR="00535FF9" w:rsidRPr="00DF3D92" w:rsidP="00535FF9" w14:paraId="34F1524D" w14:textId="77777777">
      <w:pPr>
        <w:pStyle w:val="FootnoteText"/>
      </w:pPr>
      <w:r w:rsidRPr="00DF3D92">
        <w:rPr>
          <w:rStyle w:val="FootnoteReference"/>
        </w:rPr>
        <w:footnoteRef/>
      </w:r>
      <w:r w:rsidRPr="00DF3D92">
        <w:t xml:space="preserve"> </w:t>
      </w:r>
      <w:r w:rsidRPr="00DF3D92">
        <w:rPr>
          <w:i/>
        </w:rPr>
        <w:t>Id</w:t>
      </w:r>
      <w:r w:rsidRPr="00DF3D92">
        <w:t xml:space="preserve">. § 1.1206(b)(2)(i); </w:t>
      </w:r>
      <w:r w:rsidRPr="00DF3D92">
        <w:rPr>
          <w:i/>
        </w:rPr>
        <w:t>see also</w:t>
      </w:r>
      <w:r w:rsidRPr="00DF3D92">
        <w:t xml:space="preserve"> </w:t>
      </w:r>
      <w:r w:rsidRPr="00DF3D92">
        <w:rPr>
          <w:i/>
        </w:rPr>
        <w:t xml:space="preserve">id. </w:t>
      </w:r>
      <w:r w:rsidRPr="00DF3D92">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0931F5A" w14:textId="16E2A563">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2E4244">
      <w:rPr>
        <w:b/>
      </w:rPr>
      <w:t>408</w:t>
    </w:r>
  </w:p>
  <w:p w:rsidR="009838BC" w:rsidRPr="00B62DE9" w:rsidP="00B62DE9" w14:paraId="5726BCE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F7A08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80E5524" w14:textId="77777777">
                    <w:pPr>
                      <w:rPr>
                        <w:rFonts w:ascii="Arial" w:hAnsi="Arial"/>
                        <w:b/>
                      </w:rPr>
                    </w:pPr>
                    <w:r>
                      <w:rPr>
                        <w:rFonts w:ascii="Arial" w:hAnsi="Arial"/>
                        <w:b/>
                      </w:rPr>
                      <w:t>Federal Communications Commission</w:t>
                    </w:r>
                  </w:p>
                  <w:p w:rsidR="009838BC" w:rsidP="009838BC" w14:paraId="58E5395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CD4C05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CD5491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0E27BDC" w14:textId="77777777">
                    <w:pPr>
                      <w:spacing w:before="40"/>
                      <w:jc w:val="right"/>
                      <w:rPr>
                        <w:rFonts w:ascii="Arial" w:hAnsi="Arial"/>
                        <w:b/>
                        <w:sz w:val="16"/>
                      </w:rPr>
                    </w:pPr>
                    <w:r>
                      <w:rPr>
                        <w:rFonts w:ascii="Arial" w:hAnsi="Arial"/>
                        <w:b/>
                        <w:sz w:val="16"/>
                      </w:rPr>
                      <w:t>News Media Information 202 / 418-0500</w:t>
                    </w:r>
                  </w:p>
                  <w:p w:rsidR="009838BC" w:rsidP="009838BC" w14:paraId="2BB67CC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2DE315E" w14:textId="77777777">
                    <w:pPr>
                      <w:jc w:val="right"/>
                    </w:pPr>
                    <w:r>
                      <w:rPr>
                        <w:rFonts w:ascii="Arial" w:hAnsi="Arial"/>
                        <w:b/>
                        <w:sz w:val="16"/>
                      </w:rPr>
                      <w:t>TTY: 1-888-835-5322</w:t>
                    </w:r>
                  </w:p>
                </w:txbxContent>
              </v:textbox>
            </v:shape>
          </w:pict>
        </mc:Fallback>
      </mc:AlternateContent>
    </w:r>
  </w:p>
  <w:p w:rsidR="006F7393" w:rsidRPr="009838BC" w:rsidP="009838BC" w14:paraId="1D618AC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6039"/>
    <w:rsid w:val="00037F90"/>
    <w:rsid w:val="00074C5C"/>
    <w:rsid w:val="00084656"/>
    <w:rsid w:val="000875BF"/>
    <w:rsid w:val="000954C9"/>
    <w:rsid w:val="00096D8C"/>
    <w:rsid w:val="00097A13"/>
    <w:rsid w:val="000C0B65"/>
    <w:rsid w:val="000D2585"/>
    <w:rsid w:val="000E3D42"/>
    <w:rsid w:val="000E5884"/>
    <w:rsid w:val="0010221A"/>
    <w:rsid w:val="00122BD5"/>
    <w:rsid w:val="00142E4F"/>
    <w:rsid w:val="00146D83"/>
    <w:rsid w:val="001979D9"/>
    <w:rsid w:val="001A13E2"/>
    <w:rsid w:val="001C3758"/>
    <w:rsid w:val="001D6BCF"/>
    <w:rsid w:val="001E01CA"/>
    <w:rsid w:val="002060D9"/>
    <w:rsid w:val="00226822"/>
    <w:rsid w:val="00233E21"/>
    <w:rsid w:val="00236660"/>
    <w:rsid w:val="00260594"/>
    <w:rsid w:val="00285017"/>
    <w:rsid w:val="002A2D2E"/>
    <w:rsid w:val="002E4244"/>
    <w:rsid w:val="0030763F"/>
    <w:rsid w:val="00312DE0"/>
    <w:rsid w:val="00343749"/>
    <w:rsid w:val="00357D50"/>
    <w:rsid w:val="00362197"/>
    <w:rsid w:val="003925DC"/>
    <w:rsid w:val="003B0550"/>
    <w:rsid w:val="003B694F"/>
    <w:rsid w:val="003D3AE8"/>
    <w:rsid w:val="003E047A"/>
    <w:rsid w:val="003F171C"/>
    <w:rsid w:val="00412FC5"/>
    <w:rsid w:val="004137CE"/>
    <w:rsid w:val="00415229"/>
    <w:rsid w:val="00422276"/>
    <w:rsid w:val="004242F1"/>
    <w:rsid w:val="00435308"/>
    <w:rsid w:val="00445A00"/>
    <w:rsid w:val="00450A87"/>
    <w:rsid w:val="00451B0F"/>
    <w:rsid w:val="0046125F"/>
    <w:rsid w:val="00487524"/>
    <w:rsid w:val="00496106"/>
    <w:rsid w:val="004A5B8D"/>
    <w:rsid w:val="004C12D0"/>
    <w:rsid w:val="004C2EE3"/>
    <w:rsid w:val="004D0A16"/>
    <w:rsid w:val="004E1BA8"/>
    <w:rsid w:val="004E2504"/>
    <w:rsid w:val="004E4A22"/>
    <w:rsid w:val="00511968"/>
    <w:rsid w:val="00535FF9"/>
    <w:rsid w:val="0055614C"/>
    <w:rsid w:val="005562EE"/>
    <w:rsid w:val="005774B0"/>
    <w:rsid w:val="00583FEC"/>
    <w:rsid w:val="005E1919"/>
    <w:rsid w:val="005F1168"/>
    <w:rsid w:val="00601D1F"/>
    <w:rsid w:val="00604061"/>
    <w:rsid w:val="00607BA5"/>
    <w:rsid w:val="006102A2"/>
    <w:rsid w:val="006131CC"/>
    <w:rsid w:val="00626EB6"/>
    <w:rsid w:val="006338FE"/>
    <w:rsid w:val="006353A3"/>
    <w:rsid w:val="0064172A"/>
    <w:rsid w:val="00655D03"/>
    <w:rsid w:val="006645D2"/>
    <w:rsid w:val="00665EE4"/>
    <w:rsid w:val="006763A0"/>
    <w:rsid w:val="00682D4C"/>
    <w:rsid w:val="00683F84"/>
    <w:rsid w:val="006A6A81"/>
    <w:rsid w:val="006B2F03"/>
    <w:rsid w:val="006B5501"/>
    <w:rsid w:val="006E26AF"/>
    <w:rsid w:val="006F7393"/>
    <w:rsid w:val="0070224F"/>
    <w:rsid w:val="007041A3"/>
    <w:rsid w:val="007115F7"/>
    <w:rsid w:val="00733AD3"/>
    <w:rsid w:val="00733E81"/>
    <w:rsid w:val="007772F8"/>
    <w:rsid w:val="007779C2"/>
    <w:rsid w:val="00785689"/>
    <w:rsid w:val="0079754B"/>
    <w:rsid w:val="007A1E6D"/>
    <w:rsid w:val="007B2B25"/>
    <w:rsid w:val="007B3733"/>
    <w:rsid w:val="007D5325"/>
    <w:rsid w:val="007E4FED"/>
    <w:rsid w:val="00814988"/>
    <w:rsid w:val="00822CE0"/>
    <w:rsid w:val="00837C62"/>
    <w:rsid w:val="00841AB1"/>
    <w:rsid w:val="0087057A"/>
    <w:rsid w:val="008A55DD"/>
    <w:rsid w:val="008C22FD"/>
    <w:rsid w:val="008C53F1"/>
    <w:rsid w:val="008C544B"/>
    <w:rsid w:val="00910F12"/>
    <w:rsid w:val="009170B8"/>
    <w:rsid w:val="00926503"/>
    <w:rsid w:val="00930ECF"/>
    <w:rsid w:val="00931520"/>
    <w:rsid w:val="00940806"/>
    <w:rsid w:val="00982939"/>
    <w:rsid w:val="009838BC"/>
    <w:rsid w:val="009A2C1E"/>
    <w:rsid w:val="009B3AB0"/>
    <w:rsid w:val="009C4663"/>
    <w:rsid w:val="009E3658"/>
    <w:rsid w:val="009E77EA"/>
    <w:rsid w:val="00A10421"/>
    <w:rsid w:val="00A36E1E"/>
    <w:rsid w:val="00A45F4F"/>
    <w:rsid w:val="00A600A9"/>
    <w:rsid w:val="00A7644B"/>
    <w:rsid w:val="00A84848"/>
    <w:rsid w:val="00A866AC"/>
    <w:rsid w:val="00AA55B7"/>
    <w:rsid w:val="00AA5B9E"/>
    <w:rsid w:val="00AB2407"/>
    <w:rsid w:val="00AB53DF"/>
    <w:rsid w:val="00AE2784"/>
    <w:rsid w:val="00AF6BB1"/>
    <w:rsid w:val="00B021AE"/>
    <w:rsid w:val="00B0779D"/>
    <w:rsid w:val="00B07E5C"/>
    <w:rsid w:val="00B20363"/>
    <w:rsid w:val="00B326E3"/>
    <w:rsid w:val="00B375AB"/>
    <w:rsid w:val="00B62DE9"/>
    <w:rsid w:val="00B811F7"/>
    <w:rsid w:val="00B84B7A"/>
    <w:rsid w:val="00B84DB5"/>
    <w:rsid w:val="00B91FF3"/>
    <w:rsid w:val="00BA5DC6"/>
    <w:rsid w:val="00BA6196"/>
    <w:rsid w:val="00BA7A44"/>
    <w:rsid w:val="00BC55B7"/>
    <w:rsid w:val="00BC6D8C"/>
    <w:rsid w:val="00BD5BD2"/>
    <w:rsid w:val="00BE5350"/>
    <w:rsid w:val="00C04889"/>
    <w:rsid w:val="00C169BA"/>
    <w:rsid w:val="00C16AF2"/>
    <w:rsid w:val="00C21DBB"/>
    <w:rsid w:val="00C31185"/>
    <w:rsid w:val="00C34006"/>
    <w:rsid w:val="00C37D85"/>
    <w:rsid w:val="00C426B1"/>
    <w:rsid w:val="00C7023C"/>
    <w:rsid w:val="00C821BB"/>
    <w:rsid w:val="00C82B6B"/>
    <w:rsid w:val="00C90D6A"/>
    <w:rsid w:val="00CC32FF"/>
    <w:rsid w:val="00CC487C"/>
    <w:rsid w:val="00CC72B6"/>
    <w:rsid w:val="00CE064B"/>
    <w:rsid w:val="00CE7E87"/>
    <w:rsid w:val="00CF4E84"/>
    <w:rsid w:val="00D0218D"/>
    <w:rsid w:val="00D10CD8"/>
    <w:rsid w:val="00D216CD"/>
    <w:rsid w:val="00D40D60"/>
    <w:rsid w:val="00D51422"/>
    <w:rsid w:val="00D52EDC"/>
    <w:rsid w:val="00D55B6D"/>
    <w:rsid w:val="00DA2529"/>
    <w:rsid w:val="00DA5F1A"/>
    <w:rsid w:val="00DB0929"/>
    <w:rsid w:val="00DB130A"/>
    <w:rsid w:val="00DB2D9A"/>
    <w:rsid w:val="00DC10A1"/>
    <w:rsid w:val="00DC655F"/>
    <w:rsid w:val="00DD7EBD"/>
    <w:rsid w:val="00DF3D92"/>
    <w:rsid w:val="00DF62B6"/>
    <w:rsid w:val="00E07225"/>
    <w:rsid w:val="00E155B7"/>
    <w:rsid w:val="00E330F0"/>
    <w:rsid w:val="00E468C7"/>
    <w:rsid w:val="00E475F2"/>
    <w:rsid w:val="00E52449"/>
    <w:rsid w:val="00E5409F"/>
    <w:rsid w:val="00E64D5E"/>
    <w:rsid w:val="00E6614D"/>
    <w:rsid w:val="00EC0185"/>
    <w:rsid w:val="00ED227C"/>
    <w:rsid w:val="00F021FA"/>
    <w:rsid w:val="00F048A6"/>
    <w:rsid w:val="00F32FDC"/>
    <w:rsid w:val="00F50D0D"/>
    <w:rsid w:val="00F57ACA"/>
    <w:rsid w:val="00F62E97"/>
    <w:rsid w:val="00F64209"/>
    <w:rsid w:val="00F70A3B"/>
    <w:rsid w:val="00F827BA"/>
    <w:rsid w:val="00F93BF5"/>
    <w:rsid w:val="00F954E0"/>
    <w:rsid w:val="00F96F63"/>
    <w:rsid w:val="00FA73A3"/>
    <w:rsid w:val="00FE1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EA"/>
    <w:pPr>
      <w:widowControl w:val="0"/>
    </w:pPr>
    <w:rPr>
      <w:snapToGrid w:val="0"/>
      <w:kern w:val="28"/>
      <w:sz w:val="22"/>
    </w:rPr>
  </w:style>
  <w:style w:type="paragraph" w:styleId="Heading1">
    <w:name w:val="heading 1"/>
    <w:basedOn w:val="Normal"/>
    <w:next w:val="ParaNum"/>
    <w:qFormat/>
    <w:rsid w:val="009E77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77EA"/>
    <w:pPr>
      <w:keepNext/>
      <w:numPr>
        <w:ilvl w:val="1"/>
        <w:numId w:val="3"/>
      </w:numPr>
      <w:spacing w:after="120"/>
      <w:outlineLvl w:val="1"/>
    </w:pPr>
    <w:rPr>
      <w:b/>
    </w:rPr>
  </w:style>
  <w:style w:type="paragraph" w:styleId="Heading3">
    <w:name w:val="heading 3"/>
    <w:basedOn w:val="Normal"/>
    <w:next w:val="ParaNum"/>
    <w:qFormat/>
    <w:rsid w:val="009E77EA"/>
    <w:pPr>
      <w:keepNext/>
      <w:numPr>
        <w:ilvl w:val="2"/>
        <w:numId w:val="3"/>
      </w:numPr>
      <w:tabs>
        <w:tab w:val="left" w:pos="2160"/>
      </w:tabs>
      <w:spacing w:after="120"/>
      <w:outlineLvl w:val="2"/>
    </w:pPr>
    <w:rPr>
      <w:b/>
    </w:rPr>
  </w:style>
  <w:style w:type="paragraph" w:styleId="Heading4">
    <w:name w:val="heading 4"/>
    <w:basedOn w:val="Normal"/>
    <w:next w:val="ParaNum"/>
    <w:qFormat/>
    <w:rsid w:val="009E77EA"/>
    <w:pPr>
      <w:keepNext/>
      <w:numPr>
        <w:ilvl w:val="3"/>
        <w:numId w:val="3"/>
      </w:numPr>
      <w:tabs>
        <w:tab w:val="left" w:pos="2880"/>
      </w:tabs>
      <w:spacing w:after="120"/>
      <w:outlineLvl w:val="3"/>
    </w:pPr>
    <w:rPr>
      <w:b/>
    </w:rPr>
  </w:style>
  <w:style w:type="paragraph" w:styleId="Heading5">
    <w:name w:val="heading 5"/>
    <w:basedOn w:val="Normal"/>
    <w:next w:val="ParaNum"/>
    <w:qFormat/>
    <w:rsid w:val="009E77E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77EA"/>
    <w:pPr>
      <w:numPr>
        <w:ilvl w:val="5"/>
        <w:numId w:val="3"/>
      </w:numPr>
      <w:tabs>
        <w:tab w:val="left" w:pos="4320"/>
      </w:tabs>
      <w:spacing w:after="120"/>
      <w:outlineLvl w:val="5"/>
    </w:pPr>
    <w:rPr>
      <w:b/>
    </w:rPr>
  </w:style>
  <w:style w:type="paragraph" w:styleId="Heading7">
    <w:name w:val="heading 7"/>
    <w:basedOn w:val="Normal"/>
    <w:next w:val="ParaNum"/>
    <w:qFormat/>
    <w:rsid w:val="009E77E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77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77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E77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E77EA"/>
  </w:style>
  <w:style w:type="paragraph" w:customStyle="1" w:styleId="ParaNum">
    <w:name w:val="ParaNum"/>
    <w:basedOn w:val="Normal"/>
    <w:rsid w:val="009E77EA"/>
    <w:pPr>
      <w:numPr>
        <w:numId w:val="2"/>
      </w:numPr>
      <w:tabs>
        <w:tab w:val="clear" w:pos="1080"/>
        <w:tab w:val="num" w:pos="1440"/>
      </w:tabs>
      <w:spacing w:after="120"/>
    </w:pPr>
  </w:style>
  <w:style w:type="paragraph" w:styleId="EndnoteText">
    <w:name w:val="endnote text"/>
    <w:basedOn w:val="Normal"/>
    <w:semiHidden/>
    <w:rsid w:val="009E77EA"/>
    <w:rPr>
      <w:sz w:val="20"/>
    </w:rPr>
  </w:style>
  <w:style w:type="character" w:styleId="EndnoteReference">
    <w:name w:val="endnote reference"/>
    <w:semiHidden/>
    <w:rsid w:val="009E77EA"/>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9E77E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E77EA"/>
    <w:rPr>
      <w:rFonts w:ascii="Times New Roman" w:hAnsi="Times New Roman"/>
      <w:dstrike w:val="0"/>
      <w:color w:val="auto"/>
      <w:sz w:val="22"/>
      <w:vertAlign w:val="superscript"/>
    </w:rPr>
  </w:style>
  <w:style w:type="paragraph" w:styleId="TOC1">
    <w:name w:val="toc 1"/>
    <w:basedOn w:val="Normal"/>
    <w:next w:val="Normal"/>
    <w:uiPriority w:val="39"/>
    <w:rsid w:val="009E77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77EA"/>
    <w:pPr>
      <w:tabs>
        <w:tab w:val="left" w:pos="720"/>
        <w:tab w:val="right" w:leader="dot" w:pos="9360"/>
      </w:tabs>
      <w:suppressAutoHyphens/>
      <w:ind w:left="720" w:right="720" w:hanging="360"/>
    </w:pPr>
    <w:rPr>
      <w:noProof/>
    </w:rPr>
  </w:style>
  <w:style w:type="paragraph" w:styleId="TOC3">
    <w:name w:val="toc 3"/>
    <w:basedOn w:val="Normal"/>
    <w:next w:val="Normal"/>
    <w:semiHidden/>
    <w:rsid w:val="009E77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77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77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77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77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77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77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77EA"/>
    <w:pPr>
      <w:tabs>
        <w:tab w:val="right" w:pos="9360"/>
      </w:tabs>
      <w:suppressAutoHyphens/>
    </w:pPr>
  </w:style>
  <w:style w:type="character" w:customStyle="1" w:styleId="EquationCaption">
    <w:name w:val="_Equation Caption"/>
    <w:rsid w:val="009E77EA"/>
  </w:style>
  <w:style w:type="paragraph" w:styleId="Header">
    <w:name w:val="header"/>
    <w:basedOn w:val="Normal"/>
    <w:autoRedefine/>
    <w:rsid w:val="009E77E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E77EA"/>
    <w:pPr>
      <w:tabs>
        <w:tab w:val="center" w:pos="4320"/>
        <w:tab w:val="right" w:pos="8640"/>
      </w:tabs>
    </w:pPr>
  </w:style>
  <w:style w:type="character" w:styleId="PageNumber">
    <w:name w:val="page number"/>
    <w:basedOn w:val="DefaultParagraphFont"/>
    <w:rsid w:val="009E77EA"/>
  </w:style>
  <w:style w:type="paragraph" w:styleId="BlockText">
    <w:name w:val="Block Text"/>
    <w:basedOn w:val="Normal"/>
    <w:rsid w:val="009E77EA"/>
    <w:pPr>
      <w:spacing w:after="240"/>
      <w:ind w:left="1440" w:right="1440"/>
    </w:pPr>
  </w:style>
  <w:style w:type="paragraph" w:customStyle="1" w:styleId="Paratitle">
    <w:name w:val="Para title"/>
    <w:basedOn w:val="Normal"/>
    <w:rsid w:val="009E77EA"/>
    <w:pPr>
      <w:tabs>
        <w:tab w:val="center" w:pos="9270"/>
      </w:tabs>
      <w:spacing w:after="240"/>
    </w:pPr>
    <w:rPr>
      <w:spacing w:val="-2"/>
    </w:rPr>
  </w:style>
  <w:style w:type="paragraph" w:customStyle="1" w:styleId="Bullet">
    <w:name w:val="Bullet"/>
    <w:basedOn w:val="Normal"/>
    <w:rsid w:val="009E77EA"/>
    <w:pPr>
      <w:numPr>
        <w:numId w:val="1"/>
      </w:numPr>
      <w:tabs>
        <w:tab w:val="clear" w:pos="360"/>
        <w:tab w:val="left" w:pos="2160"/>
      </w:tabs>
      <w:spacing w:after="220"/>
      <w:ind w:left="2160" w:hanging="720"/>
    </w:pPr>
  </w:style>
  <w:style w:type="paragraph" w:customStyle="1" w:styleId="TableFormat">
    <w:name w:val="TableFormat"/>
    <w:basedOn w:val="Bullet"/>
    <w:rsid w:val="009E77EA"/>
    <w:pPr>
      <w:numPr>
        <w:numId w:val="0"/>
      </w:numPr>
      <w:tabs>
        <w:tab w:val="clear" w:pos="2160"/>
        <w:tab w:val="left" w:pos="5040"/>
      </w:tabs>
      <w:ind w:left="5040" w:hanging="3600"/>
    </w:pPr>
  </w:style>
  <w:style w:type="paragraph" w:customStyle="1" w:styleId="TOCTitle">
    <w:name w:val="TOC Title"/>
    <w:basedOn w:val="Normal"/>
    <w:rsid w:val="009E77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77EA"/>
    <w:pPr>
      <w:jc w:val="center"/>
    </w:pPr>
    <w:rPr>
      <w:rFonts w:ascii="Times New Roman Bold" w:hAnsi="Times New Roman Bold"/>
      <w:b/>
      <w:bCs/>
      <w:caps/>
      <w:szCs w:val="22"/>
    </w:rPr>
  </w:style>
  <w:style w:type="character" w:styleId="Hyperlink">
    <w:name w:val="Hyperlink"/>
    <w:rsid w:val="009E77EA"/>
    <w:rPr>
      <w:color w:val="0000FF"/>
      <w:u w:val="single"/>
    </w:rPr>
  </w:style>
  <w:style w:type="character" w:customStyle="1" w:styleId="FooterChar">
    <w:name w:val="Footer Char"/>
    <w:link w:val="Footer"/>
    <w:uiPriority w:val="99"/>
    <w:rsid w:val="009E77EA"/>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character" w:customStyle="1" w:styleId="UnresolvedMention3">
    <w:name w:val="Unresolved Mention3"/>
    <w:basedOn w:val="DefaultParagraphFont"/>
    <w:uiPriority w:val="99"/>
    <w:rsid w:val="006338FE"/>
    <w:rPr>
      <w:color w:val="605E5C"/>
      <w:shd w:val="clear" w:color="auto" w:fill="E1DFDD"/>
    </w:rPr>
  </w:style>
  <w:style w:type="table" w:styleId="TableGrid">
    <w:name w:val="Table Grid"/>
    <w:basedOn w:val="TableNormal"/>
    <w:uiPriority w:val="59"/>
    <w:rsid w:val="006B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SFOOTNOTEChar1">
    <w:name w:val="ALTS FOOTNOTE Char1"/>
    <w:aliases w:val="ALTS FOOTNOTE Char Char,Footnote Text Char2 Char Char,Footnote Text Char2 Char1 Char1 Char Char,Footnote Text Char2 Char1 Char1 Char Char Char Char,Footnote Text Char3 Char1 Char Char,f Char,fn Char Char,fn Char2"/>
    <w:rsid w:val="00535FF9"/>
  </w:style>
  <w:style w:type="character" w:customStyle="1" w:styleId="UnresolvedMention">
    <w:name w:val="Unresolved Mention"/>
    <w:basedOn w:val="DefaultParagraphFont"/>
    <w:uiPriority w:val="99"/>
    <w:rsid w:val="004A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n.Forbes@fcc.gov" TargetMode="External" /><Relationship Id="rId6" Type="http://schemas.openxmlformats.org/officeDocument/2006/relationships/hyperlink" Target="mailto:Charles.Tyler@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