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C9AC58D" w14:textId="7211345D">
      <w:pPr>
        <w:jc w:val="right"/>
        <w:rPr>
          <w:b/>
          <w:sz w:val="24"/>
        </w:rPr>
      </w:pPr>
      <w:r>
        <w:rPr>
          <w:b/>
          <w:sz w:val="24"/>
        </w:rPr>
        <w:t xml:space="preserve">DA </w:t>
      </w:r>
      <w:r w:rsidR="00C31185">
        <w:rPr>
          <w:b/>
          <w:sz w:val="24"/>
        </w:rPr>
        <w:t>20</w:t>
      </w:r>
      <w:r w:rsidR="00DB2D9A">
        <w:rPr>
          <w:b/>
          <w:sz w:val="24"/>
        </w:rPr>
        <w:t>-</w:t>
      </w:r>
      <w:r w:rsidR="007E4FED">
        <w:rPr>
          <w:b/>
          <w:sz w:val="24"/>
        </w:rPr>
        <w:t>389</w:t>
      </w:r>
    </w:p>
    <w:p w:rsidR="00013A8B" w:rsidRPr="00B20363" w:rsidP="00013A8B" w14:paraId="28996720" w14:textId="7726F30A">
      <w:pPr>
        <w:spacing w:before="60"/>
        <w:jc w:val="right"/>
        <w:rPr>
          <w:b/>
          <w:sz w:val="24"/>
        </w:rPr>
      </w:pPr>
      <w:r>
        <w:rPr>
          <w:b/>
          <w:sz w:val="24"/>
        </w:rPr>
        <w:t xml:space="preserve">Released:  </w:t>
      </w:r>
      <w:r w:rsidR="00AF6BB1">
        <w:rPr>
          <w:b/>
          <w:sz w:val="24"/>
        </w:rPr>
        <w:t>April</w:t>
      </w:r>
      <w:r w:rsidR="007E4FED">
        <w:rPr>
          <w:b/>
          <w:sz w:val="24"/>
        </w:rPr>
        <w:t xml:space="preserve"> 6</w:t>
      </w:r>
      <w:r w:rsidR="007B3733">
        <w:rPr>
          <w:b/>
          <w:sz w:val="24"/>
        </w:rPr>
        <w:t>, 20</w:t>
      </w:r>
      <w:r w:rsidR="00C31185">
        <w:rPr>
          <w:b/>
          <w:sz w:val="24"/>
        </w:rPr>
        <w:t>20</w:t>
      </w:r>
    </w:p>
    <w:p w:rsidR="00013A8B" w:rsidP="00DA5F1A" w14:paraId="2015F33F" w14:textId="77777777">
      <w:pPr>
        <w:jc w:val="right"/>
        <w:rPr>
          <w:sz w:val="24"/>
        </w:rPr>
      </w:pPr>
    </w:p>
    <w:p w:rsidR="007B3733" w:rsidRPr="007B3733" w:rsidP="00DA5F1A" w14:paraId="05216958" w14:textId="6B15581D">
      <w:pPr>
        <w:jc w:val="center"/>
        <w:rPr>
          <w:rFonts w:ascii="Times New Roman Bold" w:hAnsi="Times New Roman Bold"/>
          <w:b/>
          <w:bCs/>
          <w:caps/>
          <w:sz w:val="24"/>
        </w:rPr>
      </w:pPr>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 ON</w:t>
      </w:r>
      <w:r>
        <w:rPr>
          <w:rFonts w:ascii="Times New Roman Bold" w:hAnsi="Times New Roman Bold"/>
          <w:b/>
          <w:bCs/>
          <w:caps/>
          <w:sz w:val="24"/>
        </w:rPr>
        <w:t xml:space="preserve"> </w:t>
      </w:r>
      <w:r w:rsidR="00C37D85">
        <w:rPr>
          <w:rFonts w:ascii="Times New Roman Bold" w:hAnsi="Times New Roman Bold"/>
          <w:b/>
          <w:bCs/>
          <w:caps/>
          <w:sz w:val="24"/>
        </w:rPr>
        <w:t>SKYBEAM, LLC</w:t>
      </w:r>
      <w:r w:rsidR="00C21DBB">
        <w:rPr>
          <w:rFonts w:ascii="Times New Roman Bold" w:hAnsi="Times New Roman Bold"/>
          <w:b/>
          <w:bCs/>
          <w:caps/>
          <w:sz w:val="24"/>
        </w:rPr>
        <w:t>’S REQUEST FOR WAIVER OF</w:t>
      </w:r>
      <w:r w:rsidRPr="007B3733" w:rsidR="00312DE0">
        <w:rPr>
          <w:rFonts w:ascii="Times New Roman Bold" w:hAnsi="Times New Roman Bold"/>
          <w:b/>
          <w:bCs/>
          <w:caps/>
          <w:sz w:val="24"/>
        </w:rPr>
        <w:t xml:space="preserve"> </w:t>
      </w:r>
      <w:r w:rsidR="00C21DBB">
        <w:rPr>
          <w:rFonts w:ascii="Times New Roman Bold" w:hAnsi="Times New Roman Bold"/>
          <w:b/>
          <w:bCs/>
          <w:caps/>
          <w:sz w:val="24"/>
        </w:rPr>
        <w:t>ITS RURAL BROADBAND EXPERIMENTS DEFINED DEPLOYMENT OBLIGATION IN EACH OF NINE STUDY AREAS</w:t>
      </w:r>
    </w:p>
    <w:p w:rsidR="007B3733" w:rsidP="00DA5F1A" w14:paraId="6DD303F2" w14:textId="77777777">
      <w:pPr>
        <w:jc w:val="center"/>
        <w:rPr>
          <w:b/>
          <w:sz w:val="24"/>
        </w:rPr>
      </w:pPr>
    </w:p>
    <w:p w:rsidR="00013A8B" w:rsidP="00DA5F1A" w14:paraId="534B56D8" w14:textId="77777777">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00C31185">
        <w:rPr>
          <w:b/>
          <w:sz w:val="24"/>
        </w:rPr>
        <w:t>10</w:t>
      </w:r>
      <w:r>
        <w:rPr>
          <w:b/>
          <w:sz w:val="24"/>
        </w:rPr>
        <w:t>-</w:t>
      </w:r>
      <w:r w:rsidR="00C31185">
        <w:rPr>
          <w:b/>
          <w:sz w:val="24"/>
        </w:rPr>
        <w:t>90</w:t>
      </w:r>
      <w:r w:rsidR="00C37D85">
        <w:rPr>
          <w:b/>
          <w:sz w:val="24"/>
        </w:rPr>
        <w:t>, 14-58</w:t>
      </w:r>
    </w:p>
    <w:p w:rsidR="00F96F63" w:rsidP="00DA5F1A" w14:paraId="0C4F8718" w14:textId="77777777">
      <w:pPr>
        <w:rPr>
          <w:sz w:val="24"/>
        </w:rPr>
      </w:pPr>
    </w:p>
    <w:p w:rsidR="007B3733" w:rsidRPr="00BA7A44" w:rsidP="00DA5F1A" w14:paraId="61FE6966" w14:textId="02DD0845">
      <w:pPr>
        <w:widowControl/>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w:t>
      </w:r>
      <w:r w:rsidR="00A10421">
        <w:rPr>
          <w:rFonts w:eastAsia="Calibri"/>
          <w:b/>
          <w:snapToGrid/>
          <w:kern w:val="0"/>
          <w:sz w:val="24"/>
          <w:szCs w:val="24"/>
        </w:rPr>
        <w:t xml:space="preserve">April </w:t>
      </w:r>
      <w:r w:rsidR="007E4FED">
        <w:rPr>
          <w:rFonts w:eastAsia="Calibri"/>
          <w:b/>
          <w:snapToGrid/>
          <w:kern w:val="0"/>
          <w:sz w:val="24"/>
          <w:szCs w:val="24"/>
        </w:rPr>
        <w:t>20</w:t>
      </w:r>
      <w:r w:rsidRPr="00BA7A44">
        <w:rPr>
          <w:rFonts w:eastAsia="Calibri"/>
          <w:b/>
          <w:snapToGrid/>
          <w:kern w:val="0"/>
          <w:sz w:val="24"/>
          <w:szCs w:val="24"/>
        </w:rPr>
        <w:t>, 20</w:t>
      </w:r>
      <w:r w:rsidR="00C31185">
        <w:rPr>
          <w:rFonts w:eastAsia="Calibri"/>
          <w:b/>
          <w:snapToGrid/>
          <w:kern w:val="0"/>
          <w:sz w:val="24"/>
          <w:szCs w:val="24"/>
        </w:rPr>
        <w:t>20</w:t>
      </w:r>
    </w:p>
    <w:p w:rsidR="007B3733" w:rsidRPr="00BA7A44" w:rsidP="00DA5F1A" w14:paraId="781E6B68" w14:textId="3010227E">
      <w:pPr>
        <w:widowControl/>
        <w:spacing w:after="160"/>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CE064B">
        <w:rPr>
          <w:rFonts w:eastAsia="Calibri"/>
          <w:b/>
          <w:snapToGrid/>
          <w:kern w:val="0"/>
          <w:sz w:val="24"/>
          <w:szCs w:val="24"/>
        </w:rPr>
        <w:t xml:space="preserve"> April </w:t>
      </w:r>
      <w:r w:rsidR="007E4FED">
        <w:rPr>
          <w:rFonts w:eastAsia="Calibri"/>
          <w:b/>
          <w:snapToGrid/>
          <w:kern w:val="0"/>
          <w:sz w:val="24"/>
          <w:szCs w:val="24"/>
        </w:rPr>
        <w:t>27</w:t>
      </w:r>
      <w:r w:rsidRPr="00BA7A44">
        <w:rPr>
          <w:rFonts w:eastAsia="Calibri"/>
          <w:b/>
          <w:snapToGrid/>
          <w:kern w:val="0"/>
          <w:sz w:val="24"/>
          <w:szCs w:val="24"/>
        </w:rPr>
        <w:t>, 20</w:t>
      </w:r>
      <w:r w:rsidR="00CE064B">
        <w:rPr>
          <w:rFonts w:eastAsia="Calibri"/>
          <w:b/>
          <w:snapToGrid/>
          <w:kern w:val="0"/>
          <w:sz w:val="24"/>
          <w:szCs w:val="24"/>
        </w:rPr>
        <w:t>20</w:t>
      </w:r>
    </w:p>
    <w:p w:rsidR="00074C5C" w:rsidP="00DA5F1A" w14:paraId="0AD34EEC" w14:textId="35A2061C">
      <w:pPr>
        <w:widowControl/>
        <w:spacing w:after="120"/>
        <w:ind w:firstLine="720"/>
        <w:rPr>
          <w:rFonts w:eastAsia="Calibri"/>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 xml:space="preserve">Bureau </w:t>
      </w:r>
      <w:r w:rsidR="006131CC">
        <w:rPr>
          <w:rFonts w:eastAsia="Calibri"/>
          <w:snapToGrid/>
          <w:kern w:val="0"/>
          <w:szCs w:val="22"/>
        </w:rPr>
        <w:t xml:space="preserve">(Bureau) </w:t>
      </w:r>
      <w:r w:rsidRPr="00CF4E84">
        <w:rPr>
          <w:rFonts w:eastAsia="Calibri"/>
          <w:snapToGrid/>
          <w:kern w:val="0"/>
          <w:szCs w:val="22"/>
        </w:rPr>
        <w:t xml:space="preserve">seeks comment on </w:t>
      </w:r>
      <w:r w:rsidR="006338FE">
        <w:rPr>
          <w:rFonts w:eastAsia="Calibri"/>
          <w:snapToGrid/>
          <w:kern w:val="0"/>
          <w:szCs w:val="22"/>
        </w:rPr>
        <w:t xml:space="preserve">a </w:t>
      </w:r>
      <w:r w:rsidR="00A10421">
        <w:rPr>
          <w:rFonts w:eastAsia="Calibri"/>
          <w:snapToGrid/>
          <w:kern w:val="0"/>
          <w:szCs w:val="22"/>
        </w:rPr>
        <w:t>petition</w:t>
      </w:r>
      <w:r w:rsidRPr="00CF4E84" w:rsidR="009C4663">
        <w:rPr>
          <w:rFonts w:eastAsia="Calibri"/>
          <w:snapToGrid/>
          <w:kern w:val="0"/>
          <w:szCs w:val="22"/>
        </w:rPr>
        <w:t xml:space="preserve"> </w:t>
      </w:r>
      <w:r w:rsidRPr="00CF4E84">
        <w:rPr>
          <w:rFonts w:eastAsia="Calibri"/>
          <w:snapToGrid/>
          <w:kern w:val="0"/>
          <w:szCs w:val="22"/>
        </w:rPr>
        <w:t xml:space="preserve">filed by </w:t>
      </w:r>
      <w:r w:rsidR="00C37D85">
        <w:rPr>
          <w:rFonts w:eastAsia="Calibri"/>
          <w:snapToGrid/>
          <w:kern w:val="0"/>
          <w:szCs w:val="22"/>
        </w:rPr>
        <w:t>Skybeam</w:t>
      </w:r>
      <w:r w:rsidR="00C37D85">
        <w:rPr>
          <w:rFonts w:eastAsia="Calibri"/>
          <w:snapToGrid/>
          <w:kern w:val="0"/>
          <w:szCs w:val="22"/>
        </w:rPr>
        <w:t>, LLC</w:t>
      </w:r>
      <w:r w:rsidR="00F70A3B">
        <w:rPr>
          <w:rFonts w:eastAsia="Calibri"/>
          <w:snapToGrid/>
          <w:kern w:val="0"/>
          <w:szCs w:val="22"/>
        </w:rPr>
        <w:t xml:space="preserve"> (</w:t>
      </w:r>
      <w:r w:rsidR="00F70A3B">
        <w:rPr>
          <w:rFonts w:eastAsia="Calibri"/>
          <w:snapToGrid/>
          <w:kern w:val="0"/>
          <w:szCs w:val="22"/>
        </w:rPr>
        <w:t>Skybeam</w:t>
      </w:r>
      <w:r w:rsidR="00F70A3B">
        <w:rPr>
          <w:rFonts w:eastAsia="Calibri"/>
          <w:snapToGrid/>
          <w:kern w:val="0"/>
          <w:szCs w:val="22"/>
        </w:rPr>
        <w:t>)</w:t>
      </w:r>
      <w:r w:rsidR="00A10421">
        <w:rPr>
          <w:rFonts w:eastAsia="Calibri"/>
          <w:snapToGrid/>
          <w:kern w:val="0"/>
          <w:szCs w:val="22"/>
        </w:rPr>
        <w:t xml:space="preserve"> seeking waiver of </w:t>
      </w:r>
      <w:r w:rsidR="00D10CD8">
        <w:rPr>
          <w:rFonts w:eastAsia="Calibri"/>
          <w:snapToGrid/>
          <w:kern w:val="0"/>
          <w:szCs w:val="22"/>
        </w:rPr>
        <w:t>its obligation, under the rural broadband experiments program, to deploy service to</w:t>
      </w:r>
      <w:r w:rsidR="000954C9">
        <w:rPr>
          <w:rFonts w:eastAsia="Calibri"/>
          <w:snapToGrid/>
          <w:kern w:val="0"/>
          <w:szCs w:val="22"/>
        </w:rPr>
        <w:t xml:space="preserve"> a specific number of</w:t>
      </w:r>
      <w:r w:rsidR="00D10CD8">
        <w:rPr>
          <w:rFonts w:eastAsia="Calibri"/>
          <w:snapToGrid/>
          <w:kern w:val="0"/>
          <w:szCs w:val="22"/>
        </w:rPr>
        <w:t xml:space="preserve"> locations</w:t>
      </w:r>
      <w:r w:rsidR="000954C9">
        <w:rPr>
          <w:rFonts w:eastAsia="Calibri"/>
          <w:snapToGrid/>
          <w:kern w:val="0"/>
          <w:szCs w:val="22"/>
        </w:rPr>
        <w:t xml:space="preserve"> in each of </w:t>
      </w:r>
      <w:r w:rsidR="006131CC">
        <w:rPr>
          <w:rFonts w:eastAsia="Calibri"/>
          <w:snapToGrid/>
          <w:kern w:val="0"/>
          <w:szCs w:val="22"/>
        </w:rPr>
        <w:t>nine</w:t>
      </w:r>
      <w:r w:rsidR="000954C9">
        <w:rPr>
          <w:rFonts w:eastAsia="Calibri"/>
          <w:snapToGrid/>
          <w:kern w:val="0"/>
          <w:szCs w:val="22"/>
        </w:rPr>
        <w:t xml:space="preserve"> study areas</w:t>
      </w:r>
      <w:r w:rsidR="006763A0">
        <w:rPr>
          <w:rFonts w:eastAsia="Calibri"/>
          <w:snapToGrid/>
          <w:kern w:val="0"/>
          <w:szCs w:val="22"/>
        </w:rPr>
        <w:t>, as further detailed in the attachment</w:t>
      </w:r>
      <w:r w:rsidR="00A10421">
        <w:rPr>
          <w:rFonts w:eastAsia="Calibri"/>
          <w:snapToGrid/>
          <w:kern w:val="0"/>
          <w:szCs w:val="22"/>
        </w:rPr>
        <w:t>.</w:t>
      </w:r>
      <w:r>
        <w:rPr>
          <w:rStyle w:val="FootnoteReference"/>
          <w:rFonts w:eastAsia="Calibri"/>
          <w:snapToGrid/>
          <w:kern w:val="0"/>
          <w:szCs w:val="22"/>
        </w:rPr>
        <w:footnoteReference w:id="3"/>
      </w:r>
      <w:r w:rsidR="00A10421">
        <w:rPr>
          <w:rFonts w:eastAsia="Calibri"/>
          <w:snapToGrid/>
          <w:kern w:val="0"/>
          <w:szCs w:val="22"/>
        </w:rPr>
        <w:t xml:space="preserve">  </w:t>
      </w:r>
      <w:r w:rsidR="000954C9">
        <w:rPr>
          <w:rFonts w:eastAsia="Calibri"/>
          <w:snapToGrid/>
          <w:kern w:val="0"/>
          <w:szCs w:val="22"/>
        </w:rPr>
        <w:t>Skybeam</w:t>
      </w:r>
      <w:r w:rsidR="000954C9">
        <w:rPr>
          <w:rFonts w:eastAsia="Calibri"/>
          <w:snapToGrid/>
          <w:kern w:val="0"/>
          <w:szCs w:val="22"/>
        </w:rPr>
        <w:t xml:space="preserve"> </w:t>
      </w:r>
      <w:r w:rsidR="00C169BA">
        <w:rPr>
          <w:rFonts w:eastAsia="Calibri"/>
          <w:snapToGrid/>
          <w:kern w:val="0"/>
          <w:szCs w:val="22"/>
        </w:rPr>
        <w:t>asserts that</w:t>
      </w:r>
      <w:r>
        <w:rPr>
          <w:rFonts w:eastAsia="Calibri"/>
          <w:snapToGrid/>
          <w:kern w:val="0"/>
          <w:szCs w:val="22"/>
        </w:rPr>
        <w:t xml:space="preserve"> for each of these study areas</w:t>
      </w:r>
      <w:r w:rsidR="00C169BA">
        <w:rPr>
          <w:rFonts w:eastAsia="Calibri"/>
          <w:snapToGrid/>
          <w:kern w:val="0"/>
          <w:szCs w:val="22"/>
        </w:rPr>
        <w:t xml:space="preserve">, despite its good faith </w:t>
      </w:r>
      <w:r w:rsidR="006131CC">
        <w:rPr>
          <w:rFonts w:eastAsia="Calibri"/>
          <w:snapToGrid/>
          <w:kern w:val="0"/>
          <w:szCs w:val="22"/>
        </w:rPr>
        <w:t>analysis of structures</w:t>
      </w:r>
      <w:r w:rsidR="00C169BA">
        <w:rPr>
          <w:rFonts w:eastAsia="Calibri"/>
          <w:snapToGrid/>
          <w:kern w:val="0"/>
          <w:szCs w:val="22"/>
        </w:rPr>
        <w:t xml:space="preserve">, it has been unable to identify the requisite number of qualifying locations </w:t>
      </w:r>
      <w:r w:rsidR="000954C9">
        <w:rPr>
          <w:rFonts w:eastAsia="Calibri"/>
          <w:snapToGrid/>
          <w:kern w:val="0"/>
          <w:szCs w:val="22"/>
        </w:rPr>
        <w:t>necessary to meet its defined deployment obligation.</w:t>
      </w:r>
      <w:r>
        <w:rPr>
          <w:rStyle w:val="FootnoteReference"/>
          <w:rFonts w:eastAsia="Calibri"/>
          <w:snapToGrid/>
          <w:kern w:val="0"/>
          <w:szCs w:val="22"/>
        </w:rPr>
        <w:footnoteReference w:id="4"/>
      </w:r>
    </w:p>
    <w:p w:rsidR="00535FF9" w:rsidRPr="00E52449" w:rsidP="00DA5F1A" w14:paraId="75C2ACB4" w14:textId="77777777">
      <w:pPr>
        <w:widowControl/>
        <w:spacing w:after="120"/>
        <w:ind w:firstLine="720"/>
        <w:rPr>
          <w:szCs w:val="22"/>
        </w:rPr>
      </w:pPr>
      <w:r w:rsidRPr="000D2585">
        <w:rPr>
          <w:i/>
          <w:iCs/>
          <w:szCs w:val="22"/>
        </w:rPr>
        <w:t>Electronic Filers</w:t>
      </w:r>
      <w:r w:rsidRPr="00E52449">
        <w:rPr>
          <w:szCs w:val="22"/>
        </w:rPr>
        <w:t xml:space="preserve">: Comments may be filed electronically using the Internet by accessing the ECFS: http://apps.fcc.gov/ecfs/. </w:t>
      </w:r>
    </w:p>
    <w:p w:rsidR="00535FF9" w:rsidRPr="00E52449" w:rsidP="00DA5F1A" w14:paraId="486867F5" w14:textId="77777777">
      <w:pPr>
        <w:widowControl/>
        <w:spacing w:after="120"/>
        <w:rPr>
          <w:szCs w:val="22"/>
        </w:rPr>
      </w:pPr>
      <w:r>
        <w:rPr>
          <w:szCs w:val="22"/>
        </w:rPr>
        <w:tab/>
      </w:r>
      <w:r w:rsidRPr="000D2585">
        <w:rPr>
          <w:i/>
          <w:iCs/>
          <w:szCs w:val="22"/>
        </w:rPr>
        <w:t>Paper Filers</w:t>
      </w:r>
      <w:r w:rsidRPr="00E5244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35FF9" w:rsidRPr="00E52449" w:rsidP="00DA5F1A" w14:paraId="6868F180" w14:textId="77777777">
      <w:pPr>
        <w:widowControl/>
        <w:spacing w:after="120"/>
        <w:rPr>
          <w:szCs w:val="22"/>
        </w:rPr>
      </w:pPr>
      <w:r w:rsidRPr="00E52449">
        <w:rPr>
          <w:szCs w:val="22"/>
        </w:rPr>
        <w:t>Filings can be sent by commercial overnight courier or by first-class or overnight U.S. Postal Service mail.</w:t>
      </w:r>
      <w:r>
        <w:rPr>
          <w:rStyle w:val="FootnoteReference"/>
          <w:szCs w:val="22"/>
        </w:rPr>
        <w:footnoteReference w:id="5"/>
      </w:r>
      <w:r w:rsidRPr="00E52449">
        <w:rPr>
          <w:szCs w:val="22"/>
        </w:rPr>
        <w:t xml:space="preserve">  All filings must be addressed to the Commission’s Secretary, Office of the Secretary, Federal Communications Commission. </w:t>
      </w:r>
    </w:p>
    <w:p w:rsidR="00535FF9" w:rsidRPr="00E52449" w:rsidP="00DA5F1A" w14:paraId="1D05B0FD" w14:textId="77777777">
      <w:pPr>
        <w:widowControl/>
        <w:numPr>
          <w:ilvl w:val="0"/>
          <w:numId w:val="9"/>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535FF9" w:rsidRPr="00E52449" w:rsidP="00DA5F1A" w14:paraId="7E63AC8D" w14:textId="77777777">
      <w:pPr>
        <w:widowControl/>
        <w:numPr>
          <w:ilvl w:val="0"/>
          <w:numId w:val="9"/>
        </w:numPr>
        <w:spacing w:after="120"/>
        <w:rPr>
          <w:szCs w:val="22"/>
        </w:rPr>
      </w:pPr>
      <w:r w:rsidRPr="00E52449">
        <w:rPr>
          <w:szCs w:val="22"/>
        </w:rPr>
        <w:t>U.S. Postal Service first-class, Express, and Priority mail must be addressed to 445 12th Street, SW, Washington DC 20554.</w:t>
      </w:r>
    </w:p>
    <w:p w:rsidR="00535FF9" w:rsidRPr="00E52449" w:rsidP="00DA5F1A" w14:paraId="50DFAAD6" w14:textId="77777777">
      <w:pPr>
        <w:widowControl/>
        <w:spacing w:after="120"/>
        <w:rPr>
          <w:szCs w:val="22"/>
        </w:rPr>
      </w:pPr>
      <w:r w:rsidRPr="00E52449">
        <w:rPr>
          <w:szCs w:val="22"/>
        </w:rPr>
        <w:t xml:space="preserve">In addition, we request that one copy of each pleading be sent to each of the following: </w:t>
      </w:r>
    </w:p>
    <w:p w:rsidR="00535FF9" w:rsidRPr="00E52449" w:rsidP="00DA5F1A" w14:paraId="2FA9B945" w14:textId="3CE23E80">
      <w:pPr>
        <w:widowControl/>
        <w:spacing w:after="120"/>
        <w:rPr>
          <w:szCs w:val="22"/>
        </w:rPr>
      </w:pPr>
      <w:r w:rsidRPr="00E52449">
        <w:rPr>
          <w:szCs w:val="22"/>
        </w:rPr>
        <w:t xml:space="preserve">(1) Abdel Eqab, Telecommunications Access Policy Division, Wireline Competition Bureau, 445 12th Street, S.W., Room 5-B431, Washington, D.C. 20554; e-mail: </w:t>
      </w:r>
      <w:hyperlink r:id="rId5" w:history="1">
        <w:r w:rsidRPr="008A55DD" w:rsidR="003E047A">
          <w:rPr>
            <w:rStyle w:val="Hyperlink"/>
            <w:szCs w:val="22"/>
          </w:rPr>
          <w:t>Nissa.Laughner@fcc.gov</w:t>
        </w:r>
      </w:hyperlink>
      <w:r w:rsidR="003E047A">
        <w:rPr>
          <w:szCs w:val="22"/>
        </w:rPr>
        <w:t>;</w:t>
      </w:r>
      <w:r w:rsidRPr="00E52449">
        <w:rPr>
          <w:szCs w:val="22"/>
        </w:rPr>
        <w:t xml:space="preserve"> and </w:t>
      </w:r>
    </w:p>
    <w:p w:rsidR="00535FF9" w:rsidRPr="00E52449" w:rsidP="00DA5F1A" w14:paraId="1D356AA1" w14:textId="2F124BF5">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8A55DD" w:rsidR="003E047A">
          <w:rPr>
            <w:rStyle w:val="Hyperlink"/>
            <w:szCs w:val="22"/>
          </w:rPr>
          <w:t>Charles.Tyler@fcc.gov</w:t>
        </w:r>
      </w:hyperlink>
      <w:r w:rsidRPr="00E52449">
        <w:rPr>
          <w:szCs w:val="22"/>
        </w:rPr>
        <w:t xml:space="preserve">. </w:t>
      </w:r>
    </w:p>
    <w:p w:rsidR="00535FF9" w:rsidRPr="00E52449" w:rsidP="00DA5F1A" w14:paraId="25485ECF" w14:textId="77777777">
      <w:pPr>
        <w:widowControl/>
        <w:spacing w:after="120"/>
        <w:ind w:firstLine="720"/>
        <w:rPr>
          <w:szCs w:val="22"/>
        </w:rPr>
      </w:pPr>
      <w:r w:rsidRPr="000D2585">
        <w:rPr>
          <w:i/>
          <w:iCs/>
          <w:szCs w:val="22"/>
        </w:rPr>
        <w:t>People with Disabilities</w:t>
      </w:r>
      <w:r w:rsidRPr="00E52449">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E52449">
        <w:rPr>
          <w:szCs w:val="22"/>
        </w:rPr>
        <w:t>tty</w:t>
      </w:r>
      <w:r w:rsidRPr="00E52449">
        <w:rPr>
          <w:szCs w:val="22"/>
        </w:rPr>
        <w:t xml:space="preserve">). </w:t>
      </w:r>
    </w:p>
    <w:p w:rsidR="00535FF9" w:rsidRPr="00E52449" w:rsidP="00DA5F1A" w14:paraId="6469E724" w14:textId="77777777">
      <w:pPr>
        <w:widowControl/>
        <w:spacing w:after="120"/>
        <w:ind w:firstLine="720"/>
        <w:rPr>
          <w:szCs w:val="22"/>
        </w:rPr>
      </w:pPr>
      <w:r w:rsidRPr="000D2585">
        <w:rPr>
          <w:i/>
          <w:iCs/>
          <w:szCs w:val="22"/>
        </w:rPr>
        <w:t>Availability of Documents</w:t>
      </w:r>
      <w:r w:rsidRPr="00E52449">
        <w:rPr>
          <w:szCs w:val="22"/>
        </w:rPr>
        <w:t xml:space="preserve">.  Comments, reply comments, and </w:t>
      </w:r>
      <w:r w:rsidRPr="00E52449">
        <w:rPr>
          <w:i/>
          <w:szCs w:val="22"/>
        </w:rPr>
        <w:t xml:space="preserve">ex </w:t>
      </w:r>
      <w:r w:rsidRPr="00E52449">
        <w:rPr>
          <w:i/>
          <w:szCs w:val="22"/>
        </w:rPr>
        <w:t>parte</w:t>
      </w:r>
      <w:r w:rsidRPr="00E52449">
        <w:rPr>
          <w:szCs w:val="22"/>
        </w:rPr>
        <w:t xml:space="preserve"> submissions will be publicly available online via ECFS.</w:t>
      </w:r>
      <w:r>
        <w:rPr>
          <w:rStyle w:val="FootnoteReference"/>
          <w:szCs w:val="22"/>
        </w:rPr>
        <w:footnoteReference w:id="6"/>
      </w:r>
      <w:r w:rsidRPr="00E52449">
        <w:rPr>
          <w:szCs w:val="22"/>
        </w:rP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535FF9" w:rsidRPr="00DB0929" w:rsidP="00DA5F1A" w14:paraId="4DD535E8" w14:textId="77777777">
      <w:pPr>
        <w:spacing w:after="120"/>
        <w:ind w:firstLine="720"/>
        <w:rPr>
          <w:szCs w:val="22"/>
        </w:rPr>
      </w:pPr>
      <w:r w:rsidRPr="00DB0929">
        <w:rPr>
          <w:i/>
          <w:iCs/>
          <w:szCs w:val="22"/>
        </w:rPr>
        <w:t xml:space="preserve">Permit but Disclose Ex </w:t>
      </w:r>
      <w:r w:rsidRPr="00DB0929">
        <w:rPr>
          <w:i/>
          <w:iCs/>
          <w:szCs w:val="22"/>
        </w:rPr>
        <w:t>Parte</w:t>
      </w:r>
      <w:r w:rsidRPr="00DB0929">
        <w:rPr>
          <w:i/>
          <w:iCs/>
          <w:szCs w:val="22"/>
        </w:rPr>
        <w:t xml:space="preserve"> Communications.</w:t>
      </w:r>
      <w:r w:rsidRPr="00DB0929">
        <w:rPr>
          <w:szCs w:val="22"/>
        </w:rPr>
        <w:t xml:space="preserve">  For the purposes of the Commission’s </w:t>
      </w:r>
      <w:r w:rsidRPr="00DB0929">
        <w:rPr>
          <w:i/>
          <w:szCs w:val="22"/>
        </w:rPr>
        <w:t xml:space="preserve">ex </w:t>
      </w:r>
      <w:r w:rsidRPr="00DB0929">
        <w:rPr>
          <w:i/>
          <w:szCs w:val="22"/>
        </w:rPr>
        <w:t>parte</w:t>
      </w:r>
      <w:r w:rsidRPr="00DB0929">
        <w:rPr>
          <w:szCs w:val="22"/>
        </w:rPr>
        <w:t xml:space="preserve"> rules, </w:t>
      </w:r>
      <w:r>
        <w:rPr>
          <w:szCs w:val="22"/>
        </w:rPr>
        <w:t>each petition addressed within this public notice initiates</w:t>
      </w:r>
      <w:r w:rsidRPr="00DB0929">
        <w:rPr>
          <w:szCs w:val="22"/>
        </w:rPr>
        <w:t xml:space="preserve"> will be treated as initiating a permit-but-disclose proceeding under the Commission’s rules.</w:t>
      </w:r>
      <w:r>
        <w:rPr>
          <w:szCs w:val="22"/>
          <w:vertAlign w:val="superscript"/>
        </w:rPr>
        <w:footnoteReference w:id="7"/>
      </w:r>
      <w:r w:rsidRPr="00DB0929">
        <w:rPr>
          <w:szCs w:val="22"/>
        </w:rPr>
        <w:t xml:space="preserve">  Persons making </w:t>
      </w:r>
      <w:r w:rsidRPr="00DB0929">
        <w:rPr>
          <w:i/>
          <w:szCs w:val="22"/>
        </w:rPr>
        <w:t xml:space="preserve">ex </w:t>
      </w:r>
      <w:r w:rsidRPr="00DB0929">
        <w:rPr>
          <w:i/>
          <w:szCs w:val="22"/>
        </w:rPr>
        <w:t>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8"/>
      </w:r>
      <w:r w:rsidRPr="00DB0929">
        <w:rPr>
          <w:szCs w:val="22"/>
        </w:rPr>
        <w:t xml:space="preserve">  Persons making oral </w:t>
      </w:r>
      <w:r w:rsidRPr="00DB0929">
        <w:rPr>
          <w:i/>
          <w:szCs w:val="22"/>
        </w:rPr>
        <w:t xml:space="preserve">ex </w:t>
      </w:r>
      <w:r w:rsidRPr="00DB0929">
        <w:rPr>
          <w:i/>
          <w:szCs w:val="22"/>
        </w:rPr>
        <w:t>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 xml:space="preserve">ex </w:t>
      </w:r>
      <w:r w:rsidRPr="00DB0929">
        <w:rPr>
          <w:i/>
          <w:szCs w:val="22"/>
        </w:rPr>
        <w:t>parte</w:t>
      </w:r>
      <w:r w:rsidRPr="00DB0929">
        <w:rPr>
          <w:szCs w:val="22"/>
        </w:rPr>
        <w:t xml:space="preserve"> presentation was made, and (2) summarize all data presented and arguments made during the presentation.</w:t>
      </w:r>
      <w:r>
        <w:rPr>
          <w:szCs w:val="22"/>
          <w:vertAlign w:val="superscript"/>
        </w:rPr>
        <w:footnoteReference w:id="9"/>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10"/>
      </w:r>
      <w:r w:rsidRPr="00DB0929">
        <w:rPr>
          <w:szCs w:val="22"/>
        </w:rPr>
        <w:t xml:space="preserve">  Documents shown or given to Commission staff during </w:t>
      </w:r>
      <w:r w:rsidRPr="00DB0929">
        <w:rPr>
          <w:i/>
          <w:szCs w:val="22"/>
        </w:rPr>
        <w:t xml:space="preserve">ex </w:t>
      </w:r>
      <w:r w:rsidRPr="00DB0929">
        <w:rPr>
          <w:i/>
          <w:szCs w:val="22"/>
        </w:rPr>
        <w:t>parte</w:t>
      </w:r>
      <w:r w:rsidRPr="00DB0929">
        <w:rPr>
          <w:szCs w:val="22"/>
        </w:rPr>
        <w:t xml:space="preserve"> meetings are deemed to be written </w:t>
      </w:r>
      <w:r w:rsidRPr="00DB0929">
        <w:rPr>
          <w:i/>
          <w:szCs w:val="22"/>
        </w:rPr>
        <w:t xml:space="preserve">ex </w:t>
      </w:r>
      <w:r w:rsidRPr="00DB0929">
        <w:rPr>
          <w:i/>
          <w:szCs w:val="22"/>
        </w:rPr>
        <w:t>parte</w:t>
      </w:r>
      <w:r w:rsidRPr="00DB0929">
        <w:rPr>
          <w:szCs w:val="22"/>
        </w:rPr>
        <w:t xml:space="preserve"> presentations and must be filed consistent with rule 1.1206(b).</w:t>
      </w:r>
      <w:r>
        <w:rPr>
          <w:szCs w:val="22"/>
          <w:vertAlign w:val="superscript"/>
        </w:rPr>
        <w:footnoteReference w:id="11"/>
      </w:r>
      <w:r w:rsidRPr="00DB0929">
        <w:rPr>
          <w:szCs w:val="22"/>
        </w:rPr>
        <w:t xml:space="preserve">  In proceedings governed by rule 1.49(f) or for which the Commission has made available a method of electronic filing, written </w:t>
      </w:r>
      <w:r w:rsidRPr="00DB0929">
        <w:rPr>
          <w:i/>
          <w:szCs w:val="22"/>
        </w:rPr>
        <w:t xml:space="preserve">ex </w:t>
      </w:r>
      <w:r w:rsidRPr="00DB0929">
        <w:rPr>
          <w:i/>
          <w:szCs w:val="22"/>
        </w:rPr>
        <w:t>parte</w:t>
      </w:r>
      <w:r w:rsidRPr="00DB0929">
        <w:rPr>
          <w:szCs w:val="22"/>
        </w:rPr>
        <w:t xml:space="preserve"> presentations and memoranda summarizing oral </w:t>
      </w:r>
      <w:r w:rsidRPr="00DB0929">
        <w:rPr>
          <w:i/>
          <w:szCs w:val="22"/>
        </w:rPr>
        <w:t xml:space="preserve">ex </w:t>
      </w:r>
      <w:r w:rsidRPr="00DB0929">
        <w:rPr>
          <w:i/>
          <w:szCs w:val="22"/>
        </w:rPr>
        <w:t>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2"/>
      </w:r>
      <w:r w:rsidRPr="00DB0929">
        <w:rPr>
          <w:szCs w:val="22"/>
        </w:rPr>
        <w:t xml:space="preserve">  Participants in this proceeding should familiarize themselves with the Commission’s </w:t>
      </w:r>
      <w:r w:rsidRPr="00DB0929">
        <w:rPr>
          <w:i/>
          <w:szCs w:val="22"/>
        </w:rPr>
        <w:t xml:space="preserve">ex </w:t>
      </w:r>
      <w:r w:rsidRPr="00DB0929">
        <w:rPr>
          <w:i/>
          <w:szCs w:val="22"/>
        </w:rPr>
        <w:t>parte</w:t>
      </w:r>
      <w:r w:rsidRPr="00DB0929">
        <w:rPr>
          <w:szCs w:val="22"/>
        </w:rPr>
        <w:t xml:space="preserve"> rules.</w:t>
      </w:r>
    </w:p>
    <w:p w:rsidR="007B3733" w:rsidP="007772F8" w14:paraId="5F40B6FD" w14:textId="624AA088">
      <w:pPr>
        <w:widowControl/>
        <w:spacing w:after="160" w:line="259" w:lineRule="auto"/>
        <w:ind w:firstLine="720"/>
        <w:rPr>
          <w:rFonts w:eastAsia="Calibri"/>
          <w:snapToGrid/>
          <w:kern w:val="0"/>
          <w:szCs w:val="22"/>
        </w:rPr>
      </w:pPr>
      <w:r w:rsidRPr="00D51422">
        <w:rPr>
          <w:i/>
        </w:rPr>
        <w:t xml:space="preserve">Additional Information.  </w:t>
      </w:r>
      <w:r w:rsidRPr="00D51422">
        <w:t>For further information regarding this Notice, please contact</w:t>
      </w:r>
      <w:r w:rsidR="00D40D60">
        <w:t xml:space="preserve"> </w:t>
      </w:r>
      <w:r w:rsidR="00583FEC">
        <w:rPr>
          <w:rFonts w:eastAsia="Calibri"/>
          <w:snapToGrid/>
          <w:kern w:val="0"/>
          <w:szCs w:val="22"/>
        </w:rPr>
        <w:t xml:space="preserve">Nissa Laughner, </w:t>
      </w:r>
      <w:r w:rsidRPr="00583FEC" w:rsidR="00583FEC">
        <w:rPr>
          <w:rFonts w:eastAsia="Calibri"/>
          <w:snapToGrid/>
          <w:kern w:val="0"/>
          <w:szCs w:val="22"/>
        </w:rPr>
        <w:t>Attorney Advisor, Telecommunications Access Policy Division, Wireline Competition Bureau</w:t>
      </w:r>
      <w:r w:rsidR="00583FEC">
        <w:rPr>
          <w:rFonts w:eastAsia="Calibri"/>
          <w:snapToGrid/>
          <w:kern w:val="0"/>
          <w:szCs w:val="22"/>
        </w:rPr>
        <w:t>,</w:t>
      </w:r>
      <w:r w:rsidRPr="007B3733" w:rsidR="00312DE0">
        <w:rPr>
          <w:rFonts w:eastAsia="Calibri"/>
          <w:snapToGrid/>
          <w:kern w:val="0"/>
          <w:szCs w:val="22"/>
        </w:rPr>
        <w:t xml:space="preserve"> </w:t>
      </w:r>
      <w:hyperlink r:id="rId5" w:history="1">
        <w:r w:rsidRPr="00F50D0D" w:rsidR="005774B0">
          <w:rPr>
            <w:rStyle w:val="Hyperlink"/>
            <w:rFonts w:eastAsia="Calibri"/>
            <w:snapToGrid/>
            <w:kern w:val="0"/>
            <w:szCs w:val="22"/>
          </w:rPr>
          <w:t>Nissa.Laughner@fcc.gov</w:t>
        </w:r>
      </w:hyperlink>
      <w:r w:rsidR="00583FEC">
        <w:rPr>
          <w:rFonts w:eastAsia="Calibri"/>
          <w:snapToGrid/>
          <w:kern w:val="0"/>
          <w:szCs w:val="22"/>
        </w:rPr>
        <w:t xml:space="preserve"> or at (202)418-1358.  </w:t>
      </w:r>
    </w:p>
    <w:p w:rsidR="007B3733" w:rsidRPr="007B3733" w:rsidP="007B3733" w14:paraId="50B8DEFA"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535FF9" w14:paraId="007B2E5C" w14:textId="01028FB8">
      <w:pPr>
        <w:widowControl/>
        <w:rPr>
          <w:b/>
          <w:bCs/>
          <w:sz w:val="24"/>
        </w:rPr>
      </w:pPr>
    </w:p>
    <w:p w:rsidR="006B5501" w:rsidP="006B5501" w14:paraId="386B264D" w14:textId="479B78D2">
      <w:pPr>
        <w:rPr>
          <w:sz w:val="24"/>
        </w:rPr>
      </w:pPr>
      <w:bookmarkStart w:id="0" w:name="_GoBack"/>
      <w:bookmarkEnd w:id="0"/>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0F12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464D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E96989E"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A001E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227C" w14:paraId="380A89CC" w14:textId="77777777">
      <w:r>
        <w:separator/>
      </w:r>
    </w:p>
  </w:footnote>
  <w:footnote w:type="continuationSeparator" w:id="1">
    <w:p w:rsidR="00ED227C" w:rsidRPr="009B3AB0" w:rsidP="009B3AB0" w14:paraId="67D6C7E2" w14:textId="77777777">
      <w:pPr>
        <w:pStyle w:val="Footer"/>
      </w:pPr>
    </w:p>
  </w:footnote>
  <w:footnote w:type="continuationNotice" w:id="2">
    <w:p w:rsidR="00ED227C" w:rsidRPr="007B3733" w:rsidP="007B3733" w14:paraId="7CFA5C8C" w14:textId="77777777">
      <w:pPr>
        <w:pStyle w:val="Footer"/>
      </w:pPr>
    </w:p>
  </w:footnote>
  <w:footnote w:id="3">
    <w:p w:rsidR="006338FE" w:rsidRPr="005E1919" w14:paraId="22C73244" w14:textId="16B80F68">
      <w:pPr>
        <w:pStyle w:val="FootnoteText"/>
      </w:pPr>
      <w:r w:rsidRPr="005E1919">
        <w:rPr>
          <w:rStyle w:val="FootnoteReference"/>
          <w:sz w:val="20"/>
        </w:rPr>
        <w:footnoteRef/>
      </w:r>
      <w:r w:rsidRPr="005E1919">
        <w:t xml:space="preserve"> </w:t>
      </w:r>
      <w:r w:rsidRPr="005E1919">
        <w:t>Skybeam</w:t>
      </w:r>
      <w:r w:rsidRPr="005E1919">
        <w:t>, LLC Request for Waiver, WC Docket Nos. 10-90, 14-58 (filed Apr. 2, 2020),</w:t>
      </w:r>
      <w:r w:rsidR="00E330F0">
        <w:t xml:space="preserve"> </w:t>
      </w:r>
      <w:hyperlink r:id="rId1" w:history="1">
        <w:r w:rsidRPr="00F50D0D" w:rsidR="00E330F0">
          <w:rPr>
            <w:rStyle w:val="Hyperlink"/>
          </w:rPr>
          <w:t>https://ecfsapi.fcc.gov/file</w:t>
        </w:r>
        <w:r w:rsidRPr="00F50D0D" w:rsidR="00E330F0">
          <w:rPr>
            <w:rStyle w:val="Hyperlink"/>
          </w:rPr>
          <w:br/>
          <w:t>/10402730024351/Skybeam%20Locations%20Waiver%20Request.pdf</w:t>
        </w:r>
      </w:hyperlink>
      <w:r w:rsidR="00E330F0">
        <w:t xml:space="preserve"> (Petition): </w:t>
      </w:r>
      <w:r w:rsidRPr="00E6614D" w:rsidR="00E6614D">
        <w:rPr>
          <w:i/>
          <w:iCs/>
        </w:rPr>
        <w:t>see also</w:t>
      </w:r>
      <w:r w:rsidR="00E6614D">
        <w:t xml:space="preserve"> </w:t>
      </w:r>
      <w:r w:rsidR="00E6614D">
        <w:rPr>
          <w:i/>
        </w:rPr>
        <w:t>Connect America et al.</w:t>
      </w:r>
      <w:r w:rsidR="00E6614D">
        <w:t>, WC Docket Nos. 10-90 and 14-58, Report and Order and Further Notice of Proposed Rulemaking, 29 FCC Rcd 8769 (2014) (establishing the Rural Broadband Experiments Program and related requirements).</w:t>
      </w:r>
    </w:p>
  </w:footnote>
  <w:footnote w:id="4">
    <w:p w:rsidR="006763A0" w:rsidRPr="005E1919" w14:paraId="6AC636E7" w14:textId="39D47DDA">
      <w:pPr>
        <w:pStyle w:val="FootnoteText"/>
      </w:pPr>
      <w:r w:rsidRPr="005E1919">
        <w:rPr>
          <w:rStyle w:val="FootnoteReference"/>
          <w:sz w:val="20"/>
        </w:rPr>
        <w:footnoteRef/>
      </w:r>
      <w:r w:rsidRPr="005E1919">
        <w:t xml:space="preserve"> Petition at 3-4.</w:t>
      </w:r>
    </w:p>
  </w:footnote>
  <w:footnote w:id="5">
    <w:p w:rsidR="00535FF9" w:rsidP="00535FF9" w14:paraId="0781D95B"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6">
    <w:p w:rsidR="00535FF9" w:rsidRPr="00D55B6D" w:rsidP="00535FF9" w14:paraId="1B7C23E5" w14:textId="77777777">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7">
    <w:p w:rsidR="00535FF9" w:rsidRPr="00DF3D92" w:rsidP="00535FF9" w14:paraId="0479C5A3" w14:textId="77777777">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8">
    <w:p w:rsidR="00535FF9" w:rsidRPr="00DF3D92" w:rsidP="00535FF9" w14:paraId="4E9FAF98" w14:textId="77777777">
      <w:pPr>
        <w:pStyle w:val="FootnoteText"/>
      </w:pPr>
      <w:r w:rsidRPr="00DF3D92">
        <w:rPr>
          <w:rStyle w:val="FootnoteReference"/>
        </w:rPr>
        <w:footnoteRef/>
      </w:r>
      <w:r w:rsidRPr="00DF3D92">
        <w:t xml:space="preserve"> </w:t>
      </w:r>
      <w:r w:rsidRPr="00DF3D92">
        <w:rPr>
          <w:i/>
        </w:rPr>
        <w:t>Id</w:t>
      </w:r>
      <w:r w:rsidRPr="00DF3D92">
        <w:t>. § 1.2016(b)(2)(iii).</w:t>
      </w:r>
    </w:p>
  </w:footnote>
  <w:footnote w:id="9">
    <w:p w:rsidR="00535FF9" w:rsidRPr="00DF3D92" w:rsidP="00535FF9" w14:paraId="5F202898" w14:textId="77777777">
      <w:pPr>
        <w:pStyle w:val="FootnoteText"/>
      </w:pPr>
      <w:r w:rsidRPr="00DF3D92">
        <w:rPr>
          <w:rStyle w:val="FootnoteReference"/>
        </w:rPr>
        <w:footnoteRef/>
      </w:r>
      <w:r w:rsidRPr="00DF3D92">
        <w:t xml:space="preserve"> </w:t>
      </w:r>
      <w:r w:rsidRPr="00DF3D92">
        <w:rPr>
          <w:i/>
        </w:rPr>
        <w:t>Id</w:t>
      </w:r>
      <w:r w:rsidRPr="00DF3D92">
        <w:t>. § 1.206(b)(1).</w:t>
      </w:r>
    </w:p>
  </w:footnote>
  <w:footnote w:id="10">
    <w:p w:rsidR="00535FF9" w:rsidRPr="00DF3D92" w:rsidP="00535FF9" w14:paraId="6FC228E8" w14:textId="77777777">
      <w:pPr>
        <w:pStyle w:val="FootnoteText"/>
      </w:pPr>
      <w:r w:rsidRPr="00DF3D92">
        <w:rPr>
          <w:rStyle w:val="FootnoteReference"/>
        </w:rPr>
        <w:footnoteRef/>
      </w:r>
      <w:r w:rsidRPr="00DF3D92">
        <w:t xml:space="preserve"> </w:t>
      </w:r>
      <w:r w:rsidRPr="00DF3D92">
        <w:rPr>
          <w:i/>
        </w:rPr>
        <w:t>Id</w:t>
      </w:r>
      <w:r w:rsidRPr="00DF3D92">
        <w:t>.</w:t>
      </w:r>
    </w:p>
  </w:footnote>
  <w:footnote w:id="11">
    <w:p w:rsidR="00535FF9" w:rsidRPr="00DF3D92" w:rsidP="00535FF9" w14:paraId="06A83662" w14:textId="77777777">
      <w:pPr>
        <w:pStyle w:val="FootnoteText"/>
      </w:pPr>
      <w:r w:rsidRPr="00DF3D92">
        <w:rPr>
          <w:rStyle w:val="FootnoteReference"/>
        </w:rPr>
        <w:footnoteRef/>
      </w:r>
      <w:r w:rsidRPr="00DF3D92">
        <w:t xml:space="preserve"> </w:t>
      </w:r>
      <w:r w:rsidRPr="00DF3D92">
        <w:rPr>
          <w:i/>
        </w:rPr>
        <w:t>Id</w:t>
      </w:r>
      <w:r w:rsidRPr="00DF3D92">
        <w:t>. § 1.1206(b)(2).</w:t>
      </w:r>
    </w:p>
  </w:footnote>
  <w:footnote w:id="12">
    <w:p w:rsidR="00535FF9" w:rsidRPr="00DF3D92" w:rsidP="00535FF9" w14:paraId="7E3B08DE" w14:textId="77777777">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0E9844" w14:textId="52CE52EC">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B84DB5">
      <w:rPr>
        <w:b/>
      </w:rPr>
      <w:t>389</w:t>
    </w:r>
  </w:p>
  <w:p w:rsidR="009838BC" w:rsidRPr="00B62DE9" w:rsidP="00B62DE9" w14:paraId="35F453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45AAE1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0AA3DC6" w14:textId="77777777">
                    <w:pPr>
                      <w:rPr>
                        <w:rFonts w:ascii="Arial" w:hAnsi="Arial"/>
                        <w:b/>
                      </w:rPr>
                    </w:pPr>
                    <w:r>
                      <w:rPr>
                        <w:rFonts w:ascii="Arial" w:hAnsi="Arial"/>
                        <w:b/>
                      </w:rPr>
                      <w:t>Federal Communications Commission</w:t>
                    </w:r>
                  </w:p>
                  <w:p w:rsidR="009838BC" w:rsidP="009838BC" w14:paraId="7E10B43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1DF63C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5D5FB4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E2F4C20" w14:textId="77777777">
                    <w:pPr>
                      <w:spacing w:before="40"/>
                      <w:jc w:val="right"/>
                      <w:rPr>
                        <w:rFonts w:ascii="Arial" w:hAnsi="Arial"/>
                        <w:b/>
                        <w:sz w:val="16"/>
                      </w:rPr>
                    </w:pPr>
                    <w:r>
                      <w:rPr>
                        <w:rFonts w:ascii="Arial" w:hAnsi="Arial"/>
                        <w:b/>
                        <w:sz w:val="16"/>
                      </w:rPr>
                      <w:t>News Media Information 202 / 418-0500</w:t>
                    </w:r>
                  </w:p>
                  <w:p w:rsidR="009838BC" w:rsidP="009838BC" w14:paraId="4788145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A81D1C2" w14:textId="77777777">
                    <w:pPr>
                      <w:jc w:val="right"/>
                    </w:pPr>
                    <w:r>
                      <w:rPr>
                        <w:rFonts w:ascii="Arial" w:hAnsi="Arial"/>
                        <w:b/>
                        <w:sz w:val="16"/>
                      </w:rPr>
                      <w:t>TTY: 1-888-835-5322</w:t>
                    </w:r>
                  </w:p>
                </w:txbxContent>
              </v:textbox>
            </v:shape>
          </w:pict>
        </mc:Fallback>
      </mc:AlternateContent>
    </w:r>
  </w:p>
  <w:p w:rsidR="006F7393" w:rsidRPr="009838BC" w:rsidP="009838BC" w14:paraId="7D15B8D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6039"/>
    <w:rsid w:val="00037F90"/>
    <w:rsid w:val="00074C5C"/>
    <w:rsid w:val="00084656"/>
    <w:rsid w:val="000875BF"/>
    <w:rsid w:val="000954C9"/>
    <w:rsid w:val="00096D8C"/>
    <w:rsid w:val="00097A13"/>
    <w:rsid w:val="000C0B65"/>
    <w:rsid w:val="000D2585"/>
    <w:rsid w:val="000E3D42"/>
    <w:rsid w:val="000E5884"/>
    <w:rsid w:val="0010221A"/>
    <w:rsid w:val="00122BD5"/>
    <w:rsid w:val="00142E4F"/>
    <w:rsid w:val="00146D83"/>
    <w:rsid w:val="001979D9"/>
    <w:rsid w:val="001A13E2"/>
    <w:rsid w:val="001C3758"/>
    <w:rsid w:val="001D6BCF"/>
    <w:rsid w:val="001E01CA"/>
    <w:rsid w:val="002060D9"/>
    <w:rsid w:val="00226822"/>
    <w:rsid w:val="00233E21"/>
    <w:rsid w:val="00236660"/>
    <w:rsid w:val="00260594"/>
    <w:rsid w:val="00285017"/>
    <w:rsid w:val="002A2D2E"/>
    <w:rsid w:val="0030763F"/>
    <w:rsid w:val="00312DE0"/>
    <w:rsid w:val="00343749"/>
    <w:rsid w:val="00357D50"/>
    <w:rsid w:val="00362197"/>
    <w:rsid w:val="003925DC"/>
    <w:rsid w:val="003B0550"/>
    <w:rsid w:val="003B694F"/>
    <w:rsid w:val="003D3AE8"/>
    <w:rsid w:val="003E047A"/>
    <w:rsid w:val="003F171C"/>
    <w:rsid w:val="00412FC5"/>
    <w:rsid w:val="00415229"/>
    <w:rsid w:val="00422276"/>
    <w:rsid w:val="004242F1"/>
    <w:rsid w:val="00435308"/>
    <w:rsid w:val="00445A00"/>
    <w:rsid w:val="00450A87"/>
    <w:rsid w:val="00451B0F"/>
    <w:rsid w:val="0046125F"/>
    <w:rsid w:val="00487524"/>
    <w:rsid w:val="00496106"/>
    <w:rsid w:val="004C12D0"/>
    <w:rsid w:val="004C2EE3"/>
    <w:rsid w:val="004E1BA8"/>
    <w:rsid w:val="004E2504"/>
    <w:rsid w:val="004E4A22"/>
    <w:rsid w:val="00511968"/>
    <w:rsid w:val="00535FF9"/>
    <w:rsid w:val="0055614C"/>
    <w:rsid w:val="005562EE"/>
    <w:rsid w:val="005774B0"/>
    <w:rsid w:val="00583FEC"/>
    <w:rsid w:val="005E1919"/>
    <w:rsid w:val="005F1168"/>
    <w:rsid w:val="00601D1F"/>
    <w:rsid w:val="00607BA5"/>
    <w:rsid w:val="006102A2"/>
    <w:rsid w:val="006131CC"/>
    <w:rsid w:val="00626EB6"/>
    <w:rsid w:val="006338FE"/>
    <w:rsid w:val="006353A3"/>
    <w:rsid w:val="00655D03"/>
    <w:rsid w:val="006645D2"/>
    <w:rsid w:val="00665EE4"/>
    <w:rsid w:val="006763A0"/>
    <w:rsid w:val="00682D4C"/>
    <w:rsid w:val="00683F84"/>
    <w:rsid w:val="006A6A81"/>
    <w:rsid w:val="006B2F03"/>
    <w:rsid w:val="006B5501"/>
    <w:rsid w:val="006E26AF"/>
    <w:rsid w:val="006F7393"/>
    <w:rsid w:val="0070224F"/>
    <w:rsid w:val="007041A3"/>
    <w:rsid w:val="007115F7"/>
    <w:rsid w:val="00733AD3"/>
    <w:rsid w:val="00733E81"/>
    <w:rsid w:val="007772F8"/>
    <w:rsid w:val="007779C2"/>
    <w:rsid w:val="00785689"/>
    <w:rsid w:val="0079754B"/>
    <w:rsid w:val="007A1E6D"/>
    <w:rsid w:val="007B2B25"/>
    <w:rsid w:val="007B3733"/>
    <w:rsid w:val="007D5325"/>
    <w:rsid w:val="007E4FED"/>
    <w:rsid w:val="00814988"/>
    <w:rsid w:val="00822CE0"/>
    <w:rsid w:val="00837C62"/>
    <w:rsid w:val="00841AB1"/>
    <w:rsid w:val="0087057A"/>
    <w:rsid w:val="008A55DD"/>
    <w:rsid w:val="008C22FD"/>
    <w:rsid w:val="008C544B"/>
    <w:rsid w:val="00910F12"/>
    <w:rsid w:val="009170B8"/>
    <w:rsid w:val="00926503"/>
    <w:rsid w:val="00930ECF"/>
    <w:rsid w:val="00931520"/>
    <w:rsid w:val="00940806"/>
    <w:rsid w:val="00982939"/>
    <w:rsid w:val="009838BC"/>
    <w:rsid w:val="009B3AB0"/>
    <w:rsid w:val="009C4663"/>
    <w:rsid w:val="00A10421"/>
    <w:rsid w:val="00A36E1E"/>
    <w:rsid w:val="00A45F4F"/>
    <w:rsid w:val="00A600A9"/>
    <w:rsid w:val="00A7644B"/>
    <w:rsid w:val="00A84848"/>
    <w:rsid w:val="00A866AC"/>
    <w:rsid w:val="00AA55B7"/>
    <w:rsid w:val="00AA5B9E"/>
    <w:rsid w:val="00AB2407"/>
    <w:rsid w:val="00AB53DF"/>
    <w:rsid w:val="00AE2784"/>
    <w:rsid w:val="00AF6BB1"/>
    <w:rsid w:val="00B021AE"/>
    <w:rsid w:val="00B07E5C"/>
    <w:rsid w:val="00B20363"/>
    <w:rsid w:val="00B326E3"/>
    <w:rsid w:val="00B375AB"/>
    <w:rsid w:val="00B62DE9"/>
    <w:rsid w:val="00B811F7"/>
    <w:rsid w:val="00B84DB5"/>
    <w:rsid w:val="00BA5DC6"/>
    <w:rsid w:val="00BA6196"/>
    <w:rsid w:val="00BA7A44"/>
    <w:rsid w:val="00BC55B7"/>
    <w:rsid w:val="00BC6D8C"/>
    <w:rsid w:val="00BD5BD2"/>
    <w:rsid w:val="00BE5350"/>
    <w:rsid w:val="00C04889"/>
    <w:rsid w:val="00C169BA"/>
    <w:rsid w:val="00C16AF2"/>
    <w:rsid w:val="00C21DBB"/>
    <w:rsid w:val="00C31185"/>
    <w:rsid w:val="00C34006"/>
    <w:rsid w:val="00C37D85"/>
    <w:rsid w:val="00C426B1"/>
    <w:rsid w:val="00C7023C"/>
    <w:rsid w:val="00C821BB"/>
    <w:rsid w:val="00C82B6B"/>
    <w:rsid w:val="00C90D6A"/>
    <w:rsid w:val="00CC32FF"/>
    <w:rsid w:val="00CC487C"/>
    <w:rsid w:val="00CC72B6"/>
    <w:rsid w:val="00CE064B"/>
    <w:rsid w:val="00CF4E84"/>
    <w:rsid w:val="00D0218D"/>
    <w:rsid w:val="00D10CD8"/>
    <w:rsid w:val="00D216CD"/>
    <w:rsid w:val="00D40D60"/>
    <w:rsid w:val="00D51422"/>
    <w:rsid w:val="00D55B6D"/>
    <w:rsid w:val="00DA2529"/>
    <w:rsid w:val="00DA5F1A"/>
    <w:rsid w:val="00DB0929"/>
    <w:rsid w:val="00DB130A"/>
    <w:rsid w:val="00DB2D9A"/>
    <w:rsid w:val="00DC10A1"/>
    <w:rsid w:val="00DC655F"/>
    <w:rsid w:val="00DD7EBD"/>
    <w:rsid w:val="00DF3D92"/>
    <w:rsid w:val="00DF62B6"/>
    <w:rsid w:val="00E07225"/>
    <w:rsid w:val="00E155B7"/>
    <w:rsid w:val="00E330F0"/>
    <w:rsid w:val="00E475F2"/>
    <w:rsid w:val="00E52449"/>
    <w:rsid w:val="00E5409F"/>
    <w:rsid w:val="00E64D5E"/>
    <w:rsid w:val="00E6614D"/>
    <w:rsid w:val="00EC0185"/>
    <w:rsid w:val="00ED227C"/>
    <w:rsid w:val="00F021FA"/>
    <w:rsid w:val="00F048A6"/>
    <w:rsid w:val="00F50D0D"/>
    <w:rsid w:val="00F57ACA"/>
    <w:rsid w:val="00F62E97"/>
    <w:rsid w:val="00F64209"/>
    <w:rsid w:val="00F70A3B"/>
    <w:rsid w:val="00F93BF5"/>
    <w:rsid w:val="00F954E0"/>
    <w:rsid w:val="00F96F63"/>
    <w:rsid w:val="00FA73A3"/>
    <w:rsid w:val="00FE1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AE"/>
    <w:pPr>
      <w:widowControl w:val="0"/>
    </w:pPr>
    <w:rPr>
      <w:snapToGrid w:val="0"/>
      <w:kern w:val="28"/>
      <w:sz w:val="22"/>
    </w:rPr>
  </w:style>
  <w:style w:type="paragraph" w:styleId="Heading1">
    <w:name w:val="heading 1"/>
    <w:basedOn w:val="Normal"/>
    <w:next w:val="ParaNum"/>
    <w:qFormat/>
    <w:rsid w:val="00B021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21AE"/>
    <w:pPr>
      <w:keepNext/>
      <w:numPr>
        <w:ilvl w:val="1"/>
        <w:numId w:val="3"/>
      </w:numPr>
      <w:spacing w:after="120"/>
      <w:outlineLvl w:val="1"/>
    </w:pPr>
    <w:rPr>
      <w:b/>
    </w:rPr>
  </w:style>
  <w:style w:type="paragraph" w:styleId="Heading3">
    <w:name w:val="heading 3"/>
    <w:basedOn w:val="Normal"/>
    <w:next w:val="ParaNum"/>
    <w:qFormat/>
    <w:rsid w:val="00B021AE"/>
    <w:pPr>
      <w:keepNext/>
      <w:numPr>
        <w:ilvl w:val="2"/>
        <w:numId w:val="3"/>
      </w:numPr>
      <w:tabs>
        <w:tab w:val="left" w:pos="2160"/>
      </w:tabs>
      <w:spacing w:after="120"/>
      <w:outlineLvl w:val="2"/>
    </w:pPr>
    <w:rPr>
      <w:b/>
    </w:rPr>
  </w:style>
  <w:style w:type="paragraph" w:styleId="Heading4">
    <w:name w:val="heading 4"/>
    <w:basedOn w:val="Normal"/>
    <w:next w:val="ParaNum"/>
    <w:qFormat/>
    <w:rsid w:val="00B021AE"/>
    <w:pPr>
      <w:keepNext/>
      <w:numPr>
        <w:ilvl w:val="3"/>
        <w:numId w:val="3"/>
      </w:numPr>
      <w:tabs>
        <w:tab w:val="left" w:pos="2880"/>
      </w:tabs>
      <w:spacing w:after="120"/>
      <w:outlineLvl w:val="3"/>
    </w:pPr>
    <w:rPr>
      <w:b/>
    </w:rPr>
  </w:style>
  <w:style w:type="paragraph" w:styleId="Heading5">
    <w:name w:val="heading 5"/>
    <w:basedOn w:val="Normal"/>
    <w:next w:val="ParaNum"/>
    <w:qFormat/>
    <w:rsid w:val="00B021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21AE"/>
    <w:pPr>
      <w:numPr>
        <w:ilvl w:val="5"/>
        <w:numId w:val="3"/>
      </w:numPr>
      <w:tabs>
        <w:tab w:val="left" w:pos="4320"/>
      </w:tabs>
      <w:spacing w:after="120"/>
      <w:outlineLvl w:val="5"/>
    </w:pPr>
    <w:rPr>
      <w:b/>
    </w:rPr>
  </w:style>
  <w:style w:type="paragraph" w:styleId="Heading7">
    <w:name w:val="heading 7"/>
    <w:basedOn w:val="Normal"/>
    <w:next w:val="ParaNum"/>
    <w:qFormat/>
    <w:rsid w:val="00B021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21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21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021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21AE"/>
  </w:style>
  <w:style w:type="paragraph" w:customStyle="1" w:styleId="ParaNum">
    <w:name w:val="ParaNum"/>
    <w:basedOn w:val="Normal"/>
    <w:rsid w:val="00B021AE"/>
    <w:pPr>
      <w:numPr>
        <w:numId w:val="2"/>
      </w:numPr>
      <w:tabs>
        <w:tab w:val="clear" w:pos="1080"/>
        <w:tab w:val="num" w:pos="1440"/>
      </w:tabs>
      <w:spacing w:after="120"/>
    </w:pPr>
  </w:style>
  <w:style w:type="paragraph" w:styleId="EndnoteText">
    <w:name w:val="endnote text"/>
    <w:basedOn w:val="Normal"/>
    <w:semiHidden/>
    <w:rsid w:val="00B021AE"/>
    <w:rPr>
      <w:sz w:val="20"/>
    </w:rPr>
  </w:style>
  <w:style w:type="character" w:styleId="EndnoteReference">
    <w:name w:val="endnote reference"/>
    <w:semiHidden/>
    <w:rsid w:val="00B021AE"/>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B021A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021AE"/>
    <w:rPr>
      <w:rFonts w:ascii="Times New Roman" w:hAnsi="Times New Roman"/>
      <w:dstrike w:val="0"/>
      <w:color w:val="auto"/>
      <w:sz w:val="22"/>
      <w:vertAlign w:val="superscript"/>
    </w:rPr>
  </w:style>
  <w:style w:type="paragraph" w:styleId="TOC1">
    <w:name w:val="toc 1"/>
    <w:basedOn w:val="Normal"/>
    <w:next w:val="Normal"/>
    <w:uiPriority w:val="39"/>
    <w:rsid w:val="00B021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21AE"/>
    <w:pPr>
      <w:tabs>
        <w:tab w:val="left" w:pos="720"/>
        <w:tab w:val="right" w:leader="dot" w:pos="9360"/>
      </w:tabs>
      <w:suppressAutoHyphens/>
      <w:ind w:left="720" w:right="720" w:hanging="360"/>
    </w:pPr>
    <w:rPr>
      <w:noProof/>
    </w:rPr>
  </w:style>
  <w:style w:type="paragraph" w:styleId="TOC3">
    <w:name w:val="toc 3"/>
    <w:basedOn w:val="Normal"/>
    <w:next w:val="Normal"/>
    <w:semiHidden/>
    <w:rsid w:val="00B021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21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21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21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21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21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21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21AE"/>
    <w:pPr>
      <w:tabs>
        <w:tab w:val="right" w:pos="9360"/>
      </w:tabs>
      <w:suppressAutoHyphens/>
    </w:pPr>
  </w:style>
  <w:style w:type="character" w:customStyle="1" w:styleId="EquationCaption">
    <w:name w:val="_Equation Caption"/>
    <w:rsid w:val="00B021AE"/>
  </w:style>
  <w:style w:type="paragraph" w:styleId="Header">
    <w:name w:val="header"/>
    <w:basedOn w:val="Normal"/>
    <w:autoRedefine/>
    <w:rsid w:val="00B021A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021AE"/>
    <w:pPr>
      <w:tabs>
        <w:tab w:val="center" w:pos="4320"/>
        <w:tab w:val="right" w:pos="8640"/>
      </w:tabs>
    </w:pPr>
  </w:style>
  <w:style w:type="character" w:styleId="PageNumber">
    <w:name w:val="page number"/>
    <w:basedOn w:val="DefaultParagraphFont"/>
    <w:rsid w:val="00B021AE"/>
  </w:style>
  <w:style w:type="paragraph" w:styleId="BlockText">
    <w:name w:val="Block Text"/>
    <w:basedOn w:val="Normal"/>
    <w:rsid w:val="00B021AE"/>
    <w:pPr>
      <w:spacing w:after="240"/>
      <w:ind w:left="1440" w:right="1440"/>
    </w:pPr>
  </w:style>
  <w:style w:type="paragraph" w:customStyle="1" w:styleId="Paratitle">
    <w:name w:val="Para title"/>
    <w:basedOn w:val="Normal"/>
    <w:rsid w:val="00B021AE"/>
    <w:pPr>
      <w:tabs>
        <w:tab w:val="center" w:pos="9270"/>
      </w:tabs>
      <w:spacing w:after="240"/>
    </w:pPr>
    <w:rPr>
      <w:spacing w:val="-2"/>
    </w:rPr>
  </w:style>
  <w:style w:type="paragraph" w:customStyle="1" w:styleId="Bullet">
    <w:name w:val="Bullet"/>
    <w:basedOn w:val="Normal"/>
    <w:rsid w:val="00B021AE"/>
    <w:pPr>
      <w:numPr>
        <w:numId w:val="1"/>
      </w:numPr>
      <w:tabs>
        <w:tab w:val="clear" w:pos="360"/>
        <w:tab w:val="left" w:pos="2160"/>
      </w:tabs>
      <w:spacing w:after="220"/>
      <w:ind w:left="2160" w:hanging="720"/>
    </w:pPr>
  </w:style>
  <w:style w:type="paragraph" w:customStyle="1" w:styleId="TableFormat">
    <w:name w:val="TableFormat"/>
    <w:basedOn w:val="Bullet"/>
    <w:rsid w:val="00B021AE"/>
    <w:pPr>
      <w:numPr>
        <w:numId w:val="0"/>
      </w:numPr>
      <w:tabs>
        <w:tab w:val="clear" w:pos="2160"/>
        <w:tab w:val="left" w:pos="5040"/>
      </w:tabs>
      <w:ind w:left="5040" w:hanging="3600"/>
    </w:pPr>
  </w:style>
  <w:style w:type="paragraph" w:customStyle="1" w:styleId="TOCTitle">
    <w:name w:val="TOC Title"/>
    <w:basedOn w:val="Normal"/>
    <w:rsid w:val="00B021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21AE"/>
    <w:pPr>
      <w:jc w:val="center"/>
    </w:pPr>
    <w:rPr>
      <w:rFonts w:ascii="Times New Roman Bold" w:hAnsi="Times New Roman Bold"/>
      <w:b/>
      <w:bCs/>
      <w:caps/>
      <w:szCs w:val="22"/>
    </w:rPr>
  </w:style>
  <w:style w:type="character" w:styleId="Hyperlink">
    <w:name w:val="Hyperlink"/>
    <w:rsid w:val="00B021AE"/>
    <w:rPr>
      <w:color w:val="0000FF"/>
      <w:u w:val="single"/>
    </w:rPr>
  </w:style>
  <w:style w:type="character" w:customStyle="1" w:styleId="FooterChar">
    <w:name w:val="Footer Char"/>
    <w:link w:val="Footer"/>
    <w:uiPriority w:val="99"/>
    <w:rsid w:val="00B021AE"/>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character" w:customStyle="1" w:styleId="UnresolvedMention">
    <w:name w:val="Unresolved Mention"/>
    <w:basedOn w:val="DefaultParagraphFont"/>
    <w:uiPriority w:val="99"/>
    <w:rsid w:val="006338FE"/>
    <w:rPr>
      <w:color w:val="605E5C"/>
      <w:shd w:val="clear" w:color="auto" w:fill="E1DFDD"/>
    </w:rPr>
  </w:style>
  <w:style w:type="table" w:styleId="TableGrid">
    <w:name w:val="Table Grid"/>
    <w:basedOn w:val="TableNormal"/>
    <w:uiPriority w:val="59"/>
    <w:rsid w:val="006B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SFOOTNOTEChar1">
    <w:name w:val="ALTS FOOTNOTE Char1"/>
    <w:aliases w:val="ALTS FOOTNOTE Char Char,Footnote Text Char2 Char Char,Footnote Text Char2 Char1 Char1 Char Char,Footnote Text Char2 Char1 Char1 Char Char Char Char,Footnote Text Char3 Char1 Char Char,f Char,fn Char Char,fn Char2"/>
    <w:rsid w:val="0053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ssa.Laughner@fcc.gov" TargetMode="External" /><Relationship Id="rId6" Type="http://schemas.openxmlformats.org/officeDocument/2006/relationships/hyperlink" Target="mailto:Charles.Tyl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2730024351/Skybeam%20Locations%20Waiver%20Reque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