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E52449" w:rsidP="00C82B6B" w14:paraId="73BFF7B2" w14:textId="77777777">
      <w:pPr>
        <w:jc w:val="right"/>
        <w:rPr>
          <w:szCs w:val="22"/>
        </w:rPr>
      </w:pPr>
      <w:bookmarkStart w:id="0" w:name="_GoBack"/>
      <w:bookmarkEnd w:id="0"/>
    </w:p>
    <w:p w:rsidR="00013A8B" w:rsidRPr="00E52449" w:rsidP="00013A8B" w14:paraId="268E622C" w14:textId="1928E562">
      <w:pPr>
        <w:jc w:val="right"/>
        <w:rPr>
          <w:b/>
          <w:szCs w:val="22"/>
        </w:rPr>
      </w:pPr>
      <w:r>
        <w:rPr>
          <w:b/>
          <w:szCs w:val="22"/>
        </w:rPr>
        <w:t xml:space="preserve">DA </w:t>
      </w:r>
      <w:r w:rsidR="007B69B4">
        <w:rPr>
          <w:b/>
          <w:szCs w:val="22"/>
        </w:rPr>
        <w:t>20</w:t>
      </w:r>
      <w:r>
        <w:rPr>
          <w:b/>
          <w:szCs w:val="22"/>
        </w:rPr>
        <w:t>-</w:t>
      </w:r>
      <w:r w:rsidR="001A6BF0">
        <w:rPr>
          <w:b/>
          <w:szCs w:val="22"/>
        </w:rPr>
        <w:t>381</w:t>
      </w:r>
    </w:p>
    <w:p w:rsidR="00013A8B" w:rsidRPr="00E52449" w:rsidP="00013A8B" w14:paraId="3F590B39" w14:textId="70A87493">
      <w:pPr>
        <w:spacing w:before="60"/>
        <w:jc w:val="right"/>
        <w:rPr>
          <w:b/>
          <w:szCs w:val="22"/>
        </w:rPr>
      </w:pPr>
      <w:r w:rsidRPr="00E52449">
        <w:rPr>
          <w:b/>
          <w:szCs w:val="22"/>
        </w:rPr>
        <w:t xml:space="preserve">Released:  </w:t>
      </w:r>
      <w:r w:rsidR="00E41E31">
        <w:rPr>
          <w:b/>
          <w:szCs w:val="22"/>
        </w:rPr>
        <w:t xml:space="preserve">April </w:t>
      </w:r>
      <w:r w:rsidR="00156E08">
        <w:rPr>
          <w:b/>
          <w:szCs w:val="22"/>
        </w:rPr>
        <w:t>3</w:t>
      </w:r>
      <w:r w:rsidRPr="00E52449" w:rsidR="00E52449">
        <w:rPr>
          <w:b/>
          <w:szCs w:val="22"/>
        </w:rPr>
        <w:t>, 20</w:t>
      </w:r>
      <w:r w:rsidR="007B69B4">
        <w:rPr>
          <w:b/>
          <w:szCs w:val="22"/>
        </w:rPr>
        <w:t>20</w:t>
      </w:r>
    </w:p>
    <w:p w:rsidR="00013A8B" w:rsidRPr="00E52449" w:rsidP="00013A8B" w14:paraId="5610705C" w14:textId="77777777">
      <w:pPr>
        <w:jc w:val="right"/>
        <w:rPr>
          <w:szCs w:val="22"/>
        </w:rPr>
      </w:pPr>
    </w:p>
    <w:p w:rsidR="00E52449" w:rsidRPr="00E52449" w:rsidP="00E52449" w14:paraId="4FB34D6A" w14:textId="698AC893">
      <w:pPr>
        <w:widowControl/>
        <w:spacing w:after="240"/>
        <w:jc w:val="center"/>
        <w:rPr>
          <w:rFonts w:ascii="Times New Roman Bold" w:hAnsi="Times New Roman Bold"/>
          <w:b/>
          <w:caps/>
          <w:szCs w:val="22"/>
        </w:rPr>
      </w:pPr>
      <w:r w:rsidRPr="00E52449">
        <w:rPr>
          <w:b/>
          <w:szCs w:val="22"/>
        </w:rPr>
        <w:t xml:space="preserve">WIRELINE COMPETITION BUREAU SEEKS COMMENT ON </w:t>
      </w:r>
      <w:r w:rsidR="00B50F33">
        <w:rPr>
          <w:b/>
          <w:bCs/>
        </w:rPr>
        <w:t xml:space="preserve">SIYEH COMMUNICATIONS PETITION FOR DESIGNATION AS AN ELIGIBLE TELECOMMUNICATIONS CARRIER AND </w:t>
      </w:r>
      <w:r w:rsidRPr="00E52449">
        <w:rPr>
          <w:b/>
          <w:szCs w:val="22"/>
        </w:rPr>
        <w:t xml:space="preserve">THE JOINT PETITION OF </w:t>
      </w:r>
      <w:r w:rsidR="007B69B4">
        <w:rPr>
          <w:b/>
          <w:szCs w:val="22"/>
        </w:rPr>
        <w:t>SIYEH COMMUNICATIONS AND 3 RIVER</w:t>
      </w:r>
      <w:r w:rsidR="000D50C6">
        <w:rPr>
          <w:b/>
          <w:szCs w:val="22"/>
        </w:rPr>
        <w:t>S</w:t>
      </w:r>
      <w:r w:rsidR="007B69B4">
        <w:rPr>
          <w:b/>
          <w:szCs w:val="22"/>
        </w:rPr>
        <w:t xml:space="preserve"> </w:t>
      </w:r>
      <w:r w:rsidRPr="00E52449">
        <w:rPr>
          <w:b/>
          <w:szCs w:val="22"/>
        </w:rPr>
        <w:t>TELEPHONE COOPERATIVE</w:t>
      </w:r>
      <w:r w:rsidR="007B69B4">
        <w:rPr>
          <w:b/>
          <w:szCs w:val="22"/>
        </w:rPr>
        <w:t>, INC.</w:t>
      </w:r>
      <w:r w:rsidRPr="00E52449">
        <w:rPr>
          <w:b/>
          <w:szCs w:val="22"/>
        </w:rPr>
        <w:t xml:space="preserve"> TO WAIVE THE DEFINITION OF “STUDY AREA” CONTAINED IN PART 36 OF THE COMMISSION’S RULES</w:t>
      </w:r>
    </w:p>
    <w:p w:rsidR="00FE7EC9" w:rsidRPr="00FE7EC9" w:rsidP="00FE7EC9" w14:paraId="28F94C31" w14:textId="0840AEEC">
      <w:pPr>
        <w:widowControl/>
        <w:autoSpaceDE w:val="0"/>
        <w:autoSpaceDN w:val="0"/>
        <w:adjustRightInd w:val="0"/>
        <w:jc w:val="center"/>
        <w:rPr>
          <w:b/>
          <w:snapToGrid/>
          <w:kern w:val="0"/>
          <w:szCs w:val="22"/>
        </w:rPr>
      </w:pPr>
      <w:r w:rsidRPr="00FE7EC9">
        <w:rPr>
          <w:b/>
          <w:snapToGrid/>
          <w:kern w:val="0"/>
          <w:szCs w:val="22"/>
        </w:rPr>
        <w:t>CC Docket No. 96-45,</w:t>
      </w:r>
      <w:r w:rsidRPr="00FE7EC9">
        <w:rPr>
          <w:snapToGrid/>
          <w:kern w:val="0"/>
          <w:sz w:val="23"/>
          <w:szCs w:val="23"/>
        </w:rPr>
        <w:t xml:space="preserve"> </w:t>
      </w:r>
      <w:r w:rsidRPr="00FE7EC9">
        <w:rPr>
          <w:b/>
          <w:snapToGrid/>
          <w:kern w:val="0"/>
          <w:szCs w:val="22"/>
        </w:rPr>
        <w:t>WC Docket No. 09-197, WC Docket No. 10-90,</w:t>
      </w:r>
      <w:r w:rsidR="00591617">
        <w:rPr>
          <w:b/>
          <w:snapToGrid/>
          <w:kern w:val="0"/>
          <w:szCs w:val="22"/>
        </w:rPr>
        <w:t xml:space="preserve"> </w:t>
      </w:r>
      <w:r w:rsidRPr="00FE7EC9">
        <w:rPr>
          <w:b/>
          <w:snapToGrid/>
          <w:kern w:val="0"/>
          <w:szCs w:val="22"/>
        </w:rPr>
        <w:t>WC Docket No. 05-337</w:t>
      </w:r>
    </w:p>
    <w:p w:rsidR="00013A8B" w:rsidRPr="00E52449" w:rsidP="001A6BF0" w14:paraId="2CADCD1A" w14:textId="7EEEC2EA">
      <w:pPr>
        <w:jc w:val="right"/>
        <w:rPr>
          <w:b/>
          <w:szCs w:val="22"/>
        </w:rPr>
      </w:pPr>
    </w:p>
    <w:p w:rsidR="00E52449" w:rsidRPr="00E52449" w:rsidP="00013A8B" w14:paraId="22A22002" w14:textId="77777777">
      <w:pPr>
        <w:jc w:val="center"/>
        <w:rPr>
          <w:b/>
          <w:szCs w:val="22"/>
        </w:rPr>
      </w:pPr>
    </w:p>
    <w:p w:rsidR="00E52449" w:rsidRPr="00E52449" w:rsidP="00E52449" w14:paraId="40B2C418" w14:textId="69ED48C3">
      <w:pPr>
        <w:widowControl/>
        <w:rPr>
          <w:b/>
          <w:szCs w:val="22"/>
        </w:rPr>
      </w:pPr>
      <w:r w:rsidRPr="00E52449">
        <w:rPr>
          <w:b/>
          <w:szCs w:val="22"/>
        </w:rPr>
        <w:t xml:space="preserve">Comment Date: </w:t>
      </w:r>
      <w:r w:rsidR="00156E08">
        <w:rPr>
          <w:b/>
          <w:szCs w:val="22"/>
        </w:rPr>
        <w:t>May 5</w:t>
      </w:r>
      <w:r w:rsidRPr="00E52449">
        <w:rPr>
          <w:b/>
          <w:szCs w:val="22"/>
        </w:rPr>
        <w:t>, 20</w:t>
      </w:r>
      <w:r w:rsidR="007B69B4">
        <w:rPr>
          <w:b/>
          <w:szCs w:val="22"/>
        </w:rPr>
        <w:t>20</w:t>
      </w:r>
      <w:r w:rsidRPr="00E52449">
        <w:rPr>
          <w:b/>
          <w:szCs w:val="22"/>
        </w:rPr>
        <w:t xml:space="preserve"> </w:t>
      </w:r>
    </w:p>
    <w:p w:rsidR="00E52449" w:rsidRPr="00E52449" w:rsidP="00E52449" w14:paraId="25199E9E" w14:textId="4F0D5414">
      <w:pPr>
        <w:widowControl/>
        <w:rPr>
          <w:b/>
          <w:szCs w:val="22"/>
        </w:rPr>
      </w:pPr>
      <w:r w:rsidRPr="00E52449">
        <w:rPr>
          <w:b/>
          <w:szCs w:val="22"/>
        </w:rPr>
        <w:t xml:space="preserve">Reply Comment Date: </w:t>
      </w:r>
      <w:r w:rsidR="007B69B4">
        <w:rPr>
          <w:b/>
          <w:szCs w:val="22"/>
        </w:rPr>
        <w:t xml:space="preserve">May </w:t>
      </w:r>
      <w:r w:rsidR="00156E08">
        <w:rPr>
          <w:b/>
          <w:szCs w:val="22"/>
        </w:rPr>
        <w:t>20</w:t>
      </w:r>
      <w:r w:rsidRPr="00E52449">
        <w:rPr>
          <w:b/>
          <w:szCs w:val="22"/>
        </w:rPr>
        <w:t>, 20</w:t>
      </w:r>
      <w:r w:rsidR="007B69B4">
        <w:rPr>
          <w:b/>
          <w:szCs w:val="22"/>
        </w:rPr>
        <w:t>20</w:t>
      </w:r>
    </w:p>
    <w:p w:rsidR="00E52449" w:rsidRPr="00E52449" w:rsidP="00E52449" w14:paraId="62E6DB54" w14:textId="77777777">
      <w:pPr>
        <w:widowControl/>
        <w:rPr>
          <w:b/>
          <w:szCs w:val="22"/>
        </w:rPr>
      </w:pPr>
    </w:p>
    <w:p w:rsidR="00D448EF" w:rsidP="00D448EF" w14:paraId="5DAD0A88" w14:textId="317C89E4">
      <w:pPr>
        <w:widowControl/>
        <w:autoSpaceDE w:val="0"/>
        <w:autoSpaceDN w:val="0"/>
        <w:adjustRightInd w:val="0"/>
        <w:ind w:firstLine="720"/>
        <w:rPr>
          <w:szCs w:val="22"/>
        </w:rPr>
      </w:pPr>
      <w:r w:rsidRPr="00E52449">
        <w:rPr>
          <w:szCs w:val="22"/>
        </w:rPr>
        <w:t xml:space="preserve">The Wireline Competition Bureau (Bureau) seeks comment on </w:t>
      </w:r>
      <w:r w:rsidRPr="006F50EB" w:rsidR="00FE7EC9">
        <w:rPr>
          <w:szCs w:val="22"/>
        </w:rPr>
        <w:t xml:space="preserve">a petition filed by </w:t>
      </w:r>
      <w:r w:rsidRPr="006F50EB" w:rsidR="00FE7EC9">
        <w:rPr>
          <w:sz w:val="23"/>
          <w:szCs w:val="23"/>
        </w:rPr>
        <w:t>Siyeh</w:t>
      </w:r>
      <w:r w:rsidRPr="006F50EB" w:rsidR="00FE7EC9">
        <w:rPr>
          <w:sz w:val="23"/>
          <w:szCs w:val="23"/>
        </w:rPr>
        <w:t xml:space="preserve"> Communications (</w:t>
      </w:r>
      <w:r w:rsidRPr="006F50EB" w:rsidR="00FE7EC9">
        <w:rPr>
          <w:sz w:val="23"/>
          <w:szCs w:val="23"/>
        </w:rPr>
        <w:t>SiyCom</w:t>
      </w:r>
      <w:r w:rsidRPr="006F50EB" w:rsidR="00FE7EC9">
        <w:rPr>
          <w:sz w:val="23"/>
          <w:szCs w:val="23"/>
        </w:rPr>
        <w:t>)</w:t>
      </w:r>
      <w:r>
        <w:rPr>
          <w:sz w:val="23"/>
          <w:szCs w:val="23"/>
        </w:rPr>
        <w:t xml:space="preserve">, </w:t>
      </w:r>
      <w:r w:rsidRPr="00D448EF">
        <w:rPr>
          <w:sz w:val="23"/>
          <w:szCs w:val="23"/>
        </w:rPr>
        <w:t>a federally-charte</w:t>
      </w:r>
      <w:r w:rsidR="00967D60">
        <w:rPr>
          <w:sz w:val="23"/>
          <w:szCs w:val="23"/>
        </w:rPr>
        <w:t>re</w:t>
      </w:r>
      <w:r w:rsidRPr="00D448EF">
        <w:rPr>
          <w:sz w:val="23"/>
          <w:szCs w:val="23"/>
        </w:rPr>
        <w:t>d Tribal corporation of the Blackfeet Tribe of the</w:t>
      </w:r>
      <w:r>
        <w:rPr>
          <w:sz w:val="23"/>
          <w:szCs w:val="23"/>
        </w:rPr>
        <w:t xml:space="preserve"> </w:t>
      </w:r>
      <w:r w:rsidRPr="00D448EF">
        <w:rPr>
          <w:sz w:val="23"/>
          <w:szCs w:val="23"/>
        </w:rPr>
        <w:t>Blackfeet Indian Reservation</w:t>
      </w:r>
      <w:r w:rsidR="008665F7">
        <w:rPr>
          <w:sz w:val="23"/>
          <w:szCs w:val="23"/>
        </w:rPr>
        <w:t xml:space="preserve"> (Reservation)</w:t>
      </w:r>
      <w:r>
        <w:rPr>
          <w:sz w:val="23"/>
          <w:szCs w:val="23"/>
        </w:rPr>
        <w:t>,</w:t>
      </w:r>
      <w:r w:rsidR="00F85A94">
        <w:rPr>
          <w:szCs w:val="22"/>
        </w:rPr>
        <w:t xml:space="preserve"> </w:t>
      </w:r>
      <w:r w:rsidRPr="006F50EB" w:rsidR="00FE7EC9">
        <w:rPr>
          <w:szCs w:val="22"/>
        </w:rPr>
        <w:t>seeking designation as an eligible telecommunications carrier (ETC)</w:t>
      </w:r>
      <w:r w:rsidR="00F85A94">
        <w:rPr>
          <w:szCs w:val="22"/>
        </w:rPr>
        <w:t xml:space="preserve"> for the purpose of becoming eligible to receive high cost support</w:t>
      </w:r>
      <w:r w:rsidR="00FE7EC9">
        <w:rPr>
          <w:szCs w:val="22"/>
        </w:rPr>
        <w:t>.</w:t>
      </w:r>
      <w:r>
        <w:rPr>
          <w:rStyle w:val="FootnoteReference"/>
          <w:szCs w:val="22"/>
        </w:rPr>
        <w:footnoteReference w:id="3"/>
      </w:r>
      <w:r w:rsidR="00FE7EC9">
        <w:rPr>
          <w:szCs w:val="22"/>
        </w:rPr>
        <w:t xml:space="preserve"> </w:t>
      </w:r>
      <w:r w:rsidR="00F85A94">
        <w:rPr>
          <w:szCs w:val="22"/>
        </w:rPr>
        <w:t xml:space="preserve"> </w:t>
      </w:r>
      <w:r w:rsidR="00EE5DCC">
        <w:rPr>
          <w:szCs w:val="22"/>
        </w:rPr>
        <w:t>The ETC designation will encompass</w:t>
      </w:r>
      <w:r w:rsidRPr="00EE5DCC" w:rsidR="00EE5DCC">
        <w:rPr>
          <w:szCs w:val="22"/>
        </w:rPr>
        <w:t xml:space="preserve"> </w:t>
      </w:r>
      <w:r w:rsidR="00F85A94">
        <w:rPr>
          <w:szCs w:val="22"/>
        </w:rPr>
        <w:t>the Browning Montana Exchange</w:t>
      </w:r>
      <w:r>
        <w:rPr>
          <w:szCs w:val="22"/>
        </w:rPr>
        <w:t xml:space="preserve"> (Browning Exchange)</w:t>
      </w:r>
      <w:r w:rsidR="00F85A94">
        <w:rPr>
          <w:szCs w:val="22"/>
        </w:rPr>
        <w:t xml:space="preserve">, which includes </w:t>
      </w:r>
      <w:r w:rsidR="00EE5DCC">
        <w:rPr>
          <w:szCs w:val="22"/>
        </w:rPr>
        <w:t xml:space="preserve">certain lands located within </w:t>
      </w:r>
      <w:r w:rsidR="00B419AC">
        <w:rPr>
          <w:szCs w:val="22"/>
        </w:rPr>
        <w:t>the</w:t>
      </w:r>
      <w:r w:rsidR="00EE5DCC">
        <w:rPr>
          <w:szCs w:val="22"/>
        </w:rPr>
        <w:t xml:space="preserve"> </w:t>
      </w:r>
      <w:r w:rsidR="00F85A94">
        <w:rPr>
          <w:szCs w:val="22"/>
        </w:rPr>
        <w:t>R</w:t>
      </w:r>
      <w:r w:rsidR="00EE5DCC">
        <w:rPr>
          <w:szCs w:val="22"/>
        </w:rPr>
        <w:t xml:space="preserve">eservation </w:t>
      </w:r>
      <w:r w:rsidRPr="00AD6750" w:rsidR="00EE5DCC">
        <w:rPr>
          <w:szCs w:val="22"/>
        </w:rPr>
        <w:t>and a small portion of</w:t>
      </w:r>
      <w:r w:rsidR="00F85A94">
        <w:rPr>
          <w:szCs w:val="22"/>
        </w:rPr>
        <w:t xml:space="preserve"> contiguous</w:t>
      </w:r>
      <w:r w:rsidRPr="00AD6750" w:rsidR="00EE5DCC">
        <w:rPr>
          <w:szCs w:val="22"/>
        </w:rPr>
        <w:t xml:space="preserve"> non-Tribal lands </w:t>
      </w:r>
      <w:r>
        <w:rPr>
          <w:szCs w:val="22"/>
        </w:rPr>
        <w:t xml:space="preserve">previously </w:t>
      </w:r>
      <w:r w:rsidRPr="00D448EF">
        <w:rPr>
          <w:szCs w:val="22"/>
        </w:rPr>
        <w:t>ceded by the Tribe to the</w:t>
      </w:r>
      <w:r>
        <w:rPr>
          <w:szCs w:val="22"/>
        </w:rPr>
        <w:t xml:space="preserve"> </w:t>
      </w:r>
      <w:r w:rsidRPr="00D448EF">
        <w:rPr>
          <w:szCs w:val="22"/>
        </w:rPr>
        <w:t>United States</w:t>
      </w:r>
      <w:r w:rsidR="00B419AC">
        <w:rPr>
          <w:szCs w:val="22"/>
        </w:rPr>
        <w:t xml:space="preserve"> </w:t>
      </w:r>
      <w:r w:rsidR="008665F7">
        <w:rPr>
          <w:szCs w:val="22"/>
        </w:rPr>
        <w:t>and exclusively occupied by Tribal members</w:t>
      </w:r>
      <w:r w:rsidRPr="00AD6750" w:rsidR="00D94B15">
        <w:rPr>
          <w:szCs w:val="22"/>
        </w:rPr>
        <w:t>.</w:t>
      </w:r>
      <w:r>
        <w:rPr>
          <w:rStyle w:val="FootnoteReference"/>
          <w:szCs w:val="22"/>
        </w:rPr>
        <w:footnoteReference w:id="4"/>
      </w:r>
      <w:r w:rsidRPr="00AD6750" w:rsidR="00AD6750">
        <w:rPr>
          <w:szCs w:val="22"/>
        </w:rPr>
        <w:t xml:space="preserve"> </w:t>
      </w:r>
      <w:r w:rsidRPr="00AD6750" w:rsidR="00EE5DCC">
        <w:rPr>
          <w:szCs w:val="22"/>
        </w:rPr>
        <w:t xml:space="preserve"> </w:t>
      </w:r>
    </w:p>
    <w:p w:rsidR="00D448EF" w:rsidP="00D448EF" w14:paraId="13382716" w14:textId="77777777">
      <w:pPr>
        <w:widowControl/>
        <w:autoSpaceDE w:val="0"/>
        <w:autoSpaceDN w:val="0"/>
        <w:adjustRightInd w:val="0"/>
        <w:ind w:firstLine="720"/>
        <w:rPr>
          <w:szCs w:val="22"/>
        </w:rPr>
      </w:pPr>
    </w:p>
    <w:p w:rsidR="000D2585" w:rsidRPr="00C627FA" w:rsidP="00C627FA" w14:paraId="3C537499" w14:textId="52820496">
      <w:pPr>
        <w:widowControl/>
        <w:autoSpaceDE w:val="0"/>
        <w:autoSpaceDN w:val="0"/>
        <w:adjustRightInd w:val="0"/>
        <w:rPr>
          <w:szCs w:val="22"/>
        </w:rPr>
      </w:pPr>
      <w:r w:rsidRPr="00AD6750">
        <w:rPr>
          <w:szCs w:val="22"/>
        </w:rPr>
        <w:t>In addition to seeking an ETC designation</w:t>
      </w:r>
      <w:r w:rsidRPr="00AD6750" w:rsidR="00D94B15">
        <w:rPr>
          <w:szCs w:val="22"/>
        </w:rPr>
        <w:t xml:space="preserve">, </w:t>
      </w:r>
      <w:r w:rsidRPr="00AD6750" w:rsidR="00591617">
        <w:rPr>
          <w:szCs w:val="22"/>
        </w:rPr>
        <w:t>SiyCom</w:t>
      </w:r>
      <w:r w:rsidRPr="00AD6750" w:rsidR="00591617">
        <w:rPr>
          <w:szCs w:val="22"/>
        </w:rPr>
        <w:t xml:space="preserve"> and 3 Rivers Telephone Cooperative, Inc. (3 Rivers) (together, Petitioners) </w:t>
      </w:r>
      <w:r w:rsidR="00B419AC">
        <w:rPr>
          <w:szCs w:val="22"/>
        </w:rPr>
        <w:t xml:space="preserve">jointly </w:t>
      </w:r>
      <w:r w:rsidRPr="00AD6750" w:rsidR="00591617">
        <w:rPr>
          <w:szCs w:val="22"/>
        </w:rPr>
        <w:t xml:space="preserve">seek </w:t>
      </w:r>
      <w:r w:rsidRPr="00AD6750" w:rsidR="00E52449">
        <w:rPr>
          <w:szCs w:val="22"/>
        </w:rPr>
        <w:t>waiver of the definition</w:t>
      </w:r>
      <w:r w:rsidRPr="00AD6750" w:rsidR="00B51D55">
        <w:rPr>
          <w:szCs w:val="22"/>
        </w:rPr>
        <w:t xml:space="preserve"> of “study area” contained in part 36 of the Commission’s rules</w:t>
      </w:r>
      <w:r w:rsidRPr="00AD6750" w:rsidR="00625C48">
        <w:rPr>
          <w:szCs w:val="22"/>
        </w:rPr>
        <w:t>.</w:t>
      </w:r>
      <w:r>
        <w:rPr>
          <w:rStyle w:val="FootnoteReference"/>
          <w:szCs w:val="22"/>
        </w:rPr>
        <w:footnoteReference w:id="5"/>
      </w:r>
      <w:r w:rsidRPr="00AD6750" w:rsidR="00E52449">
        <w:rPr>
          <w:szCs w:val="22"/>
        </w:rPr>
        <w:t xml:space="preserve">  Petitioners state that the purpose of the waiver i</w:t>
      </w:r>
      <w:r w:rsidRPr="00AD6750" w:rsidR="000D50C6">
        <w:rPr>
          <w:szCs w:val="22"/>
        </w:rPr>
        <w:t xml:space="preserve">s to remove the Browning Exchange from the 3 Rivers study area and </w:t>
      </w:r>
      <w:r w:rsidR="00B419AC">
        <w:rPr>
          <w:szCs w:val="22"/>
        </w:rPr>
        <w:t xml:space="preserve">to add that exchange </w:t>
      </w:r>
      <w:r w:rsidRPr="00AD6750" w:rsidR="000D50C6">
        <w:rPr>
          <w:szCs w:val="22"/>
        </w:rPr>
        <w:t xml:space="preserve">to the study area of </w:t>
      </w:r>
      <w:r w:rsidRPr="00AD6750" w:rsidR="000D50C6">
        <w:rPr>
          <w:szCs w:val="22"/>
        </w:rPr>
        <w:t>SiyCom</w:t>
      </w:r>
      <w:r w:rsidRPr="00AD6750" w:rsidR="003F4C07">
        <w:rPr>
          <w:szCs w:val="22"/>
        </w:rPr>
        <w:t>.</w:t>
      </w:r>
      <w:r>
        <w:rPr>
          <w:rStyle w:val="FootnoteReference"/>
          <w:szCs w:val="22"/>
        </w:rPr>
        <w:footnoteReference w:id="6"/>
      </w:r>
      <w:r w:rsidRPr="00AD6750" w:rsidR="000D50C6">
        <w:rPr>
          <w:szCs w:val="22"/>
        </w:rPr>
        <w:t xml:space="preserve"> </w:t>
      </w:r>
      <w:r w:rsidRPr="00AD6750" w:rsidR="00AD6750">
        <w:rPr>
          <w:szCs w:val="22"/>
        </w:rPr>
        <w:t xml:space="preserve"> </w:t>
      </w:r>
      <w:r w:rsidRPr="00AD6750" w:rsidR="003F4C07">
        <w:rPr>
          <w:szCs w:val="22"/>
        </w:rPr>
        <w:t>SiyCom</w:t>
      </w:r>
      <w:r w:rsidRPr="00AD6750" w:rsidR="003F4C07">
        <w:rPr>
          <w:szCs w:val="22"/>
        </w:rPr>
        <w:t xml:space="preserve"> and 3 Rivers add that they have entered into an asset purchase</w:t>
      </w:r>
      <w:r w:rsidRPr="00AD6750" w:rsidR="00625C48">
        <w:rPr>
          <w:szCs w:val="22"/>
        </w:rPr>
        <w:t xml:space="preserve"> a</w:t>
      </w:r>
      <w:r w:rsidRPr="00AD6750" w:rsidR="003F4C07">
        <w:rPr>
          <w:szCs w:val="22"/>
        </w:rPr>
        <w:t xml:space="preserve">greement whereby </w:t>
      </w:r>
      <w:r w:rsidRPr="00AD6750" w:rsidR="003F4C07">
        <w:rPr>
          <w:szCs w:val="22"/>
        </w:rPr>
        <w:t>SiyCom</w:t>
      </w:r>
      <w:r w:rsidRPr="00AD6750" w:rsidR="003F4C07">
        <w:rPr>
          <w:szCs w:val="22"/>
        </w:rPr>
        <w:t xml:space="preserve"> will purchase substantially all of the assets of the Browning</w:t>
      </w:r>
      <w:r w:rsidRPr="00AD6750" w:rsidR="00A462AA">
        <w:rPr>
          <w:szCs w:val="22"/>
        </w:rPr>
        <w:t xml:space="preserve"> </w:t>
      </w:r>
      <w:r w:rsidRPr="00AD6750" w:rsidR="003F4C07">
        <w:rPr>
          <w:szCs w:val="22"/>
        </w:rPr>
        <w:t xml:space="preserve">Exchange from 3 Rivers in order to provide local exchange </w:t>
      </w:r>
      <w:r w:rsidRPr="00AD6750" w:rsidR="003F4C07">
        <w:rPr>
          <w:szCs w:val="22"/>
        </w:rPr>
        <w:t>service, and interstate and international</w:t>
      </w:r>
      <w:r w:rsidRPr="00AD6750" w:rsidR="00A462AA">
        <w:rPr>
          <w:szCs w:val="22"/>
        </w:rPr>
        <w:t xml:space="preserve"> </w:t>
      </w:r>
      <w:r w:rsidRPr="00AD6750" w:rsidR="003F4C07">
        <w:rPr>
          <w:szCs w:val="22"/>
        </w:rPr>
        <w:t>services, to customers located within the Browning Exchange.</w:t>
      </w:r>
      <w:r>
        <w:rPr>
          <w:rStyle w:val="FootnoteReference"/>
          <w:szCs w:val="22"/>
        </w:rPr>
        <w:footnoteReference w:id="7"/>
      </w:r>
      <w:r w:rsidRPr="00AD6750" w:rsidR="003F4C07">
        <w:rPr>
          <w:szCs w:val="22"/>
        </w:rPr>
        <w:t xml:space="preserve"> </w:t>
      </w:r>
      <w:r w:rsidRPr="00AD6750" w:rsidR="00AD6750">
        <w:rPr>
          <w:szCs w:val="22"/>
        </w:rPr>
        <w:t xml:space="preserve"> </w:t>
      </w:r>
      <w:r w:rsidRPr="00AD6750" w:rsidR="00511EE2">
        <w:rPr>
          <w:szCs w:val="22"/>
        </w:rPr>
        <w:t>Petitioners emphasize that</w:t>
      </w:r>
      <w:r w:rsidR="008665F7">
        <w:rPr>
          <w:szCs w:val="22"/>
        </w:rPr>
        <w:t xml:space="preserve"> granting the study area waiver petition </w:t>
      </w:r>
      <w:r w:rsidR="00E41E31">
        <w:rPr>
          <w:szCs w:val="22"/>
        </w:rPr>
        <w:t xml:space="preserve">(and the section 214 application for the transfer of assets) would result in significant benefits to customers residing and working in the Browning Exchange </w:t>
      </w:r>
      <w:r w:rsidRPr="00220A4C" w:rsidR="00E41E31">
        <w:rPr>
          <w:szCs w:val="22"/>
        </w:rPr>
        <w:t xml:space="preserve">because </w:t>
      </w:r>
      <w:r w:rsidRPr="00220A4C" w:rsidR="00E41E31">
        <w:rPr>
          <w:szCs w:val="22"/>
        </w:rPr>
        <w:t>SiyCom</w:t>
      </w:r>
      <w:r w:rsidRPr="00220A4C" w:rsidR="00E41E31">
        <w:rPr>
          <w:szCs w:val="22"/>
        </w:rPr>
        <w:t xml:space="preserve"> </w:t>
      </w:r>
      <w:r w:rsidR="00E41E31">
        <w:rPr>
          <w:szCs w:val="22"/>
        </w:rPr>
        <w:t>would</w:t>
      </w:r>
      <w:r w:rsidRPr="00220A4C" w:rsidR="00E41E31">
        <w:rPr>
          <w:szCs w:val="22"/>
        </w:rPr>
        <w:t xml:space="preserve"> build out a modern network that will </w:t>
      </w:r>
      <w:r w:rsidRPr="00220A4C" w:rsidR="00E41E31">
        <w:rPr>
          <w:snapToGrid/>
          <w:kern w:val="0"/>
          <w:szCs w:val="22"/>
        </w:rPr>
        <w:t>deliver high quality voice and broadband services to residential and business customers.</w:t>
      </w:r>
      <w:r>
        <w:rPr>
          <w:rStyle w:val="FootnoteReference"/>
          <w:snapToGrid/>
          <w:kern w:val="0"/>
          <w:szCs w:val="22"/>
        </w:rPr>
        <w:footnoteReference w:id="8"/>
      </w:r>
      <w:r w:rsidRPr="00220A4C" w:rsidR="00E41E31">
        <w:rPr>
          <w:szCs w:val="22"/>
        </w:rPr>
        <w:t xml:space="preserve">  In addition</w:t>
      </w:r>
      <w:r w:rsidR="00E41E31">
        <w:rPr>
          <w:szCs w:val="22"/>
        </w:rPr>
        <w:t xml:space="preserve">, </w:t>
      </w:r>
      <w:r w:rsidR="00E41E31">
        <w:t xml:space="preserve">post-waiver and transfer, </w:t>
      </w:r>
      <w:r w:rsidR="00E41E31">
        <w:t>SiyCom</w:t>
      </w:r>
      <w:r w:rsidR="00E41E31">
        <w:t xml:space="preserve"> will serve all customers within the Reservation.  Petitioners </w:t>
      </w:r>
      <w:r w:rsidRPr="00E52449" w:rsidR="00E41E31">
        <w:rPr>
          <w:szCs w:val="22"/>
        </w:rPr>
        <w:t xml:space="preserve">state that grant of the </w:t>
      </w:r>
      <w:r w:rsidR="00E41E31">
        <w:rPr>
          <w:szCs w:val="22"/>
        </w:rPr>
        <w:t>Study Area P</w:t>
      </w:r>
      <w:r w:rsidRPr="00E52449" w:rsidR="00E41E31">
        <w:rPr>
          <w:szCs w:val="22"/>
        </w:rPr>
        <w:t xml:space="preserve">etition </w:t>
      </w:r>
      <w:r w:rsidR="00E41E31">
        <w:rPr>
          <w:szCs w:val="22"/>
        </w:rPr>
        <w:t>complies with</w:t>
      </w:r>
      <w:r w:rsidRPr="00E52449" w:rsidR="00E41E31">
        <w:rPr>
          <w:szCs w:val="22"/>
        </w:rPr>
        <w:t xml:space="preserve"> the standards set </w:t>
      </w:r>
      <w:r w:rsidRPr="00C627FA" w:rsidR="00E41E31">
        <w:rPr>
          <w:szCs w:val="22"/>
        </w:rPr>
        <w:t xml:space="preserve">forth in the </w:t>
      </w:r>
      <w:r w:rsidRPr="00C627FA" w:rsidR="00E41E31">
        <w:rPr>
          <w:i/>
          <w:szCs w:val="22"/>
        </w:rPr>
        <w:t>USF/ICC Transformation Order</w:t>
      </w:r>
      <w:r w:rsidRPr="00C627FA" w:rsidR="00E41E31">
        <w:rPr>
          <w:szCs w:val="22"/>
        </w:rPr>
        <w:t>,</w:t>
      </w:r>
      <w:r>
        <w:rPr>
          <w:rStyle w:val="FootnoteReference"/>
          <w:szCs w:val="22"/>
        </w:rPr>
        <w:footnoteReference w:id="9"/>
      </w:r>
      <w:r w:rsidRPr="00C627FA" w:rsidR="00E41E31">
        <w:rPr>
          <w:szCs w:val="22"/>
        </w:rPr>
        <w:t xml:space="preserve"> and that the public interest will be served by granting the waiver</w:t>
      </w:r>
      <w:r w:rsidRPr="00A85583" w:rsidR="00E41E31">
        <w:rPr>
          <w:szCs w:val="22"/>
        </w:rPr>
        <w:t>.</w:t>
      </w:r>
      <w:r>
        <w:rPr>
          <w:rStyle w:val="FootnoteReference"/>
          <w:szCs w:val="22"/>
        </w:rPr>
        <w:footnoteReference w:id="10"/>
      </w:r>
      <w:r w:rsidRPr="00A85583" w:rsidR="00E41E31">
        <w:rPr>
          <w:szCs w:val="22"/>
        </w:rPr>
        <w:t xml:space="preserve"> </w:t>
      </w:r>
      <w:r w:rsidRPr="00A85583">
        <w:rPr>
          <w:szCs w:val="22"/>
        </w:rPr>
        <w:t xml:space="preserve">  </w:t>
      </w:r>
      <w:r w:rsidRPr="00A85583" w:rsidR="00C627FA">
        <w:rPr>
          <w:szCs w:val="22"/>
        </w:rPr>
        <w:t>SiyCom</w:t>
      </w:r>
      <w:r w:rsidRPr="00A85583" w:rsidR="00C627FA">
        <w:rPr>
          <w:szCs w:val="22"/>
        </w:rPr>
        <w:t xml:space="preserve"> states that, “[</w:t>
      </w:r>
      <w:r w:rsidRPr="00A85583" w:rsidR="00C627FA">
        <w:rPr>
          <w:szCs w:val="22"/>
        </w:rPr>
        <w:t>i</w:t>
      </w:r>
      <w:r w:rsidRPr="00A85583" w:rsidR="00C627FA">
        <w:rPr>
          <w:szCs w:val="22"/>
        </w:rPr>
        <w:t>]n a</w:t>
      </w:r>
      <w:r w:rsidRPr="00A85583" w:rsidR="00C627FA">
        <w:rPr>
          <w:rFonts w:ascii="TimesNewRomanPSMT" w:hAnsi="TimesNewRomanPSMT" w:cs="TimesNewRomanPSMT"/>
          <w:snapToGrid/>
          <w:kern w:val="0"/>
          <w:szCs w:val="22"/>
        </w:rPr>
        <w:t xml:space="preserve">ccordance with Section 54.902(c) of the Commission’s rules, as a </w:t>
      </w:r>
      <w:r w:rsidRPr="00A85583" w:rsidR="00C627FA">
        <w:rPr>
          <w:rFonts w:ascii="TimesNewRomanPSMT" w:hAnsi="TimesNewRomanPSMT" w:cs="TimesNewRomanPSMT"/>
          <w:snapToGrid/>
          <w:kern w:val="0"/>
          <w:szCs w:val="22"/>
        </w:rPr>
        <w:t>non rate</w:t>
      </w:r>
      <w:r w:rsidRPr="00A85583" w:rsidR="00C627FA">
        <w:rPr>
          <w:rFonts w:ascii="TimesNewRomanPSMT" w:hAnsi="TimesNewRomanPSMT" w:cs="TimesNewRomanPSMT"/>
          <w:snapToGrid/>
          <w:kern w:val="0"/>
          <w:szCs w:val="22"/>
        </w:rPr>
        <w:t>-of-return entity acquiring rate-of-return lines,”</w:t>
      </w:r>
      <w:r>
        <w:rPr>
          <w:rStyle w:val="FootnoteReference"/>
          <w:rFonts w:cs="TimesNewRomanPSMT"/>
          <w:snapToGrid/>
          <w:kern w:val="0"/>
          <w:szCs w:val="22"/>
        </w:rPr>
        <w:footnoteReference w:id="11"/>
      </w:r>
      <w:r w:rsidRPr="00A85583" w:rsidR="00C627FA">
        <w:rPr>
          <w:rFonts w:ascii="TimesNewRomanPSMT" w:hAnsi="TimesNewRomanPSMT" w:cs="TimesNewRomanPSMT"/>
          <w:snapToGrid/>
          <w:kern w:val="0"/>
          <w:szCs w:val="22"/>
        </w:rPr>
        <w:t xml:space="preserve"> </w:t>
      </w:r>
      <w:r w:rsidRPr="00A85583" w:rsidR="00C627FA">
        <w:rPr>
          <w:rFonts w:ascii="TimesNewRomanPSMT" w:hAnsi="TimesNewRomanPSMT" w:cs="TimesNewRomanPSMT"/>
          <w:snapToGrid/>
          <w:kern w:val="0"/>
          <w:szCs w:val="22"/>
        </w:rPr>
        <w:t>SiyCom</w:t>
      </w:r>
      <w:r w:rsidRPr="00A85583" w:rsidR="00C627FA">
        <w:rPr>
          <w:rFonts w:ascii="TimesNewRomanPSMT" w:hAnsi="TimesNewRomanPSMT" w:cs="TimesNewRomanPSMT"/>
          <w:snapToGrid/>
          <w:kern w:val="0"/>
          <w:szCs w:val="22"/>
        </w:rPr>
        <w:t xml:space="preserve"> expects to receive model-based universal service support.</w:t>
      </w:r>
    </w:p>
    <w:p w:rsidR="00E52449" w:rsidRPr="00C627FA" w:rsidP="00511EE2" w14:paraId="4D790DBE" w14:textId="05E518C1">
      <w:pPr>
        <w:widowControl/>
        <w:autoSpaceDE w:val="0"/>
        <w:autoSpaceDN w:val="0"/>
        <w:adjustRightInd w:val="0"/>
        <w:rPr>
          <w:rFonts w:ascii="TimesNewRomanPSMT" w:hAnsi="TimesNewRomanPSMT" w:cs="TimesNewRomanPSMT"/>
          <w:snapToGrid/>
          <w:kern w:val="0"/>
          <w:szCs w:val="22"/>
        </w:rPr>
      </w:pPr>
      <w:r w:rsidRPr="00C627FA">
        <w:rPr>
          <w:szCs w:val="22"/>
        </w:rPr>
        <w:t xml:space="preserve">  </w:t>
      </w:r>
    </w:p>
    <w:p w:rsidR="00E52449" w:rsidRPr="00E52449" w:rsidP="00E52449" w14:paraId="16467750" w14:textId="68019F16">
      <w:pPr>
        <w:widowControl/>
        <w:spacing w:after="120"/>
        <w:ind w:firstLine="720"/>
        <w:rPr>
          <w:szCs w:val="22"/>
        </w:rPr>
      </w:pPr>
      <w:r w:rsidRPr="00E52449">
        <w:rPr>
          <w:szCs w:val="22"/>
        </w:rPr>
        <w:t xml:space="preserve">In the </w:t>
      </w:r>
      <w:r w:rsidRPr="00E52449">
        <w:rPr>
          <w:i/>
          <w:szCs w:val="22"/>
        </w:rPr>
        <w:t>USF/ICC Transformation Order</w:t>
      </w:r>
      <w:r w:rsidRPr="00E52449">
        <w:rPr>
          <w:szCs w:val="22"/>
        </w:rPr>
        <w:t>, the Commission streamlined its rules governing study area waiver requests, creating a method similar to the Bureau’s processing of routine section 214 transfer of control applications.</w:t>
      </w:r>
      <w:r>
        <w:rPr>
          <w:rStyle w:val="FootnoteReference"/>
          <w:szCs w:val="22"/>
        </w:rPr>
        <w:footnoteReference w:id="12"/>
      </w:r>
      <w:r w:rsidRPr="00E52449">
        <w:rPr>
          <w:szCs w:val="22"/>
        </w:rPr>
        <w:t xml:space="preserve">  In the past, the procedures for addressing petitions for study area waiver required the Bureau to issue an order either granting or denying the request after issuing a public notice.  Under the revised process, upon determination that a petitioner has filed a complete petition and that the petition is appropriate for streamlined treatment, the Bureau will issue a public notice seeking comment on the petition, and the petition will be deemed granted 60 days after the reply comment due date absent further action by the Bureau.</w:t>
      </w:r>
      <w:r>
        <w:rPr>
          <w:rStyle w:val="FootnoteReference"/>
          <w:szCs w:val="22"/>
        </w:rPr>
        <w:footnoteReference w:id="13"/>
      </w:r>
      <w:r w:rsidRPr="00E52449">
        <w:rPr>
          <w:szCs w:val="22"/>
        </w:rPr>
        <w:t xml:space="preserve">  Based on an initial review, the Bureau finds that because of the policy issues raised by the Petition, it is inappropriate for streamlined treatment and should be subject to further analysis and review. </w:t>
      </w:r>
      <w:r w:rsidR="009B6F47">
        <w:rPr>
          <w:szCs w:val="22"/>
        </w:rPr>
        <w:t xml:space="preserve"> </w:t>
      </w:r>
      <w:r w:rsidRPr="00E52449">
        <w:rPr>
          <w:szCs w:val="22"/>
        </w:rPr>
        <w:t xml:space="preserve">Accordingly, the Bureau will issue an order either granting or denying the </w:t>
      </w:r>
      <w:r w:rsidR="009B6F47">
        <w:rPr>
          <w:szCs w:val="22"/>
        </w:rPr>
        <w:t xml:space="preserve">Study Area </w:t>
      </w:r>
      <w:r w:rsidRPr="00E52449">
        <w:rPr>
          <w:szCs w:val="22"/>
        </w:rPr>
        <w:t>Petition after considering the record, including the record received in response to this public notice.</w:t>
      </w:r>
      <w:r>
        <w:rPr>
          <w:rStyle w:val="FootnoteReference"/>
          <w:szCs w:val="22"/>
        </w:rPr>
        <w:footnoteReference w:id="14"/>
      </w:r>
    </w:p>
    <w:p w:rsidR="001D7D12" w:rsidRPr="00E52449" w:rsidP="00E52449" w14:paraId="453B5E44" w14:textId="57C29AA8">
      <w:pPr>
        <w:widowControl/>
        <w:spacing w:after="120"/>
        <w:ind w:firstLine="720"/>
        <w:rPr>
          <w:szCs w:val="22"/>
        </w:rPr>
      </w:pPr>
      <w:r>
        <w:rPr>
          <w:szCs w:val="22"/>
        </w:rPr>
        <w:t>I</w:t>
      </w:r>
      <w:r w:rsidRPr="00E52449" w:rsidR="00E52449">
        <w:rPr>
          <w:szCs w:val="22"/>
        </w:rPr>
        <w:t>nterested parties may file comments on or before the dates indicated above</w:t>
      </w:r>
      <w:r w:rsidR="00621058">
        <w:rPr>
          <w:szCs w:val="22"/>
        </w:rPr>
        <w:t xml:space="preserve"> and must be submitted in the following dockets: CC Docket No. 96-45; WC Docket Nos. 05-337, 09-197, 10-90</w:t>
      </w:r>
      <w:r w:rsidRPr="00E52449" w:rsidR="00E52449">
        <w:rPr>
          <w:szCs w:val="22"/>
        </w:rPr>
        <w:t>.</w:t>
      </w:r>
      <w:r>
        <w:rPr>
          <w:rStyle w:val="FootnoteReference"/>
          <w:szCs w:val="22"/>
        </w:rPr>
        <w:footnoteReference w:id="15"/>
      </w:r>
      <w:r w:rsidRPr="00E52449" w:rsidR="00E52449">
        <w:rPr>
          <w:szCs w:val="22"/>
        </w:rPr>
        <w:t xml:space="preserve">  All pleadings </w:t>
      </w:r>
      <w:r w:rsidR="00621058">
        <w:rPr>
          <w:szCs w:val="22"/>
        </w:rPr>
        <w:t>must</w:t>
      </w:r>
      <w:r w:rsidRPr="00E52449" w:rsidR="00E52449">
        <w:rPr>
          <w:szCs w:val="22"/>
        </w:rPr>
        <w:t xml:space="preserve"> reference </w:t>
      </w:r>
      <w:r w:rsidRPr="00E52449" w:rsidR="00E52449">
        <w:rPr>
          <w:b/>
          <w:szCs w:val="22"/>
        </w:rPr>
        <w:t>CC Docket No. 96-45</w:t>
      </w:r>
      <w:r w:rsidRPr="00E52449" w:rsidR="00E52449">
        <w:rPr>
          <w:szCs w:val="22"/>
        </w:rPr>
        <w:t>. Comments may be filed using the Commission’s Electronic Comment Filing System (ECFS), or by filing paper copies.</w:t>
      </w:r>
    </w:p>
    <w:p w:rsidR="001D7D12" w:rsidRPr="00E52449" w:rsidP="000D2585" w14:paraId="119C3F88" w14:textId="77777777">
      <w:pPr>
        <w:widowControl/>
        <w:spacing w:after="120"/>
        <w:ind w:firstLine="720"/>
        <w:rPr>
          <w:szCs w:val="22"/>
        </w:rPr>
      </w:pPr>
      <w:r w:rsidRPr="000D2585">
        <w:rPr>
          <w:i/>
          <w:iCs/>
          <w:szCs w:val="22"/>
        </w:rPr>
        <w:t>Electronic Filers</w:t>
      </w:r>
      <w:r w:rsidRPr="00E52449">
        <w:rPr>
          <w:szCs w:val="22"/>
        </w:rPr>
        <w:t xml:space="preserve">: Comments may be filed electronically using the Internet by accessing the ECFS: http://apps.fcc.gov/ecfs/. </w:t>
      </w:r>
    </w:p>
    <w:p w:rsidR="00E52449" w:rsidRPr="00E52449" w:rsidP="000D2585" w14:paraId="09F505CB" w14:textId="31784EAE">
      <w:pPr>
        <w:widowControl/>
        <w:spacing w:after="120"/>
        <w:rPr>
          <w:szCs w:val="22"/>
        </w:rPr>
      </w:pPr>
      <w:r>
        <w:rPr>
          <w:szCs w:val="22"/>
        </w:rPr>
        <w:tab/>
      </w:r>
      <w:r w:rsidRPr="000D2585">
        <w:rPr>
          <w:i/>
          <w:iCs/>
          <w:szCs w:val="22"/>
        </w:rPr>
        <w:t>Paper Filers</w:t>
      </w:r>
      <w:r w:rsidRPr="00E52449">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86919" w:rsidRPr="00E52449" w:rsidP="00E52449" w14:paraId="269E50F1" w14:textId="48C4021B">
      <w:pPr>
        <w:widowControl/>
        <w:spacing w:after="120"/>
        <w:rPr>
          <w:szCs w:val="22"/>
        </w:rPr>
      </w:pPr>
      <w:r w:rsidRPr="00E52449">
        <w:rPr>
          <w:szCs w:val="22"/>
        </w:rPr>
        <w:t>Filings can be sent by commercial overnight courier or by first-class or overnight U.S. Postal Service mail.</w:t>
      </w:r>
      <w:r>
        <w:rPr>
          <w:rStyle w:val="FootnoteReference"/>
          <w:szCs w:val="22"/>
        </w:rPr>
        <w:footnoteReference w:id="16"/>
      </w:r>
      <w:r w:rsidRPr="00E52449">
        <w:rPr>
          <w:szCs w:val="22"/>
        </w:rPr>
        <w:t xml:space="preserve">  All filings must be addressed to the Commission’s Secretary, Office of the Secretary, Federal Communications Commission. </w:t>
      </w:r>
    </w:p>
    <w:p w:rsidR="00E52449" w:rsidRPr="00E52449" w:rsidP="00E52449" w14:paraId="7ED36762" w14:textId="77777777">
      <w:pPr>
        <w:widowControl/>
        <w:numPr>
          <w:ilvl w:val="0"/>
          <w:numId w:val="7"/>
        </w:numPr>
        <w:spacing w:after="120"/>
        <w:rPr>
          <w:szCs w:val="22"/>
        </w:rPr>
      </w:pPr>
      <w:r w:rsidRPr="00E52449">
        <w:rPr>
          <w:szCs w:val="22"/>
        </w:rPr>
        <w:t xml:space="preserve">Commercial overnight mail (other than U.S. Postal Service Express Mail and Priority Mail) must be sent to 9050 Junction Drive, Annapolis Junction, MD 20701. </w:t>
      </w:r>
    </w:p>
    <w:p w:rsidR="00E52449" w:rsidRPr="00E52449" w:rsidP="00E52449" w14:paraId="0F322958" w14:textId="77777777">
      <w:pPr>
        <w:widowControl/>
        <w:numPr>
          <w:ilvl w:val="0"/>
          <w:numId w:val="7"/>
        </w:numPr>
        <w:spacing w:after="120"/>
        <w:rPr>
          <w:szCs w:val="22"/>
        </w:rPr>
      </w:pPr>
      <w:r w:rsidRPr="00E52449">
        <w:rPr>
          <w:szCs w:val="22"/>
        </w:rPr>
        <w:t>U.S. Postal Service first-class, Express, and Priority mail must be addressed to 445 12th Street, SW, Washington DC 20554.</w:t>
      </w:r>
    </w:p>
    <w:p w:rsidR="00E52449" w:rsidRPr="00E52449" w:rsidP="00E52449" w14:paraId="1268C97F" w14:textId="77777777">
      <w:pPr>
        <w:widowControl/>
        <w:spacing w:after="120"/>
        <w:rPr>
          <w:szCs w:val="22"/>
        </w:rPr>
      </w:pPr>
      <w:r w:rsidRPr="00E52449">
        <w:rPr>
          <w:szCs w:val="22"/>
        </w:rPr>
        <w:t xml:space="preserve">In addition, we request that one copy of each pleading be sent to each of the following: </w:t>
      </w:r>
    </w:p>
    <w:p w:rsidR="00E52449" w:rsidRPr="00E52449" w:rsidP="00E52449" w14:paraId="5906CD46" w14:textId="77777777">
      <w:pPr>
        <w:widowControl/>
        <w:spacing w:after="120"/>
        <w:rPr>
          <w:szCs w:val="22"/>
        </w:rPr>
      </w:pPr>
      <w:r w:rsidRPr="00E52449">
        <w:rPr>
          <w:szCs w:val="22"/>
        </w:rPr>
        <w:t xml:space="preserve">(1) Abdel Eqab, Telecommunications Access Policy Division, Wireline Competition Bureau, 445 12th Street, S.W., Room 5-B431, Washington, D.C. 20554; e-mail: </w:t>
      </w:r>
      <w:hyperlink r:id="rId5" w:history="1">
        <w:r w:rsidRPr="00E52449">
          <w:rPr>
            <w:rStyle w:val="Hyperlink"/>
            <w:szCs w:val="22"/>
          </w:rPr>
          <w:t>Abdel-Hamid.Eqab@fcc.gov</w:t>
        </w:r>
      </w:hyperlink>
      <w:r w:rsidRPr="00E52449">
        <w:rPr>
          <w:szCs w:val="22"/>
        </w:rPr>
        <w:t xml:space="preserve">; and </w:t>
      </w:r>
    </w:p>
    <w:p w:rsidR="00E52449" w:rsidRPr="00E52449" w:rsidP="00E52449" w14:paraId="74FDE2D9" w14:textId="77777777">
      <w:pPr>
        <w:widowControl/>
        <w:spacing w:after="120"/>
        <w:rPr>
          <w:szCs w:val="22"/>
        </w:rPr>
      </w:pPr>
      <w:r w:rsidRPr="00E52449">
        <w:rPr>
          <w:szCs w:val="22"/>
        </w:rPr>
        <w:t xml:space="preserve">(2) Charles Tyler, Telecommunications Access Policy Division, Wireline Competition Bureau, 445 12th Street, S.W., Room 5-A452, Washington, D.C. 20554; e-mail: </w:t>
      </w:r>
      <w:hyperlink r:id="rId6" w:history="1">
        <w:r w:rsidRPr="00E52449">
          <w:rPr>
            <w:rStyle w:val="Hyperlink"/>
            <w:szCs w:val="22"/>
          </w:rPr>
          <w:t>Charles.Tyler@fcc.gov</w:t>
        </w:r>
      </w:hyperlink>
      <w:r w:rsidRPr="00E52449">
        <w:rPr>
          <w:szCs w:val="22"/>
        </w:rPr>
        <w:t xml:space="preserve">. </w:t>
      </w:r>
    </w:p>
    <w:p w:rsidR="00E52449" w:rsidRPr="00E52449" w:rsidP="000D2585" w14:paraId="4AF498AA" w14:textId="77777777">
      <w:pPr>
        <w:widowControl/>
        <w:spacing w:after="120"/>
        <w:ind w:firstLine="720"/>
        <w:rPr>
          <w:szCs w:val="22"/>
        </w:rPr>
      </w:pPr>
      <w:r w:rsidRPr="000D2585">
        <w:rPr>
          <w:i/>
          <w:iCs/>
          <w:szCs w:val="22"/>
        </w:rPr>
        <w:t>People with Disabilities</w:t>
      </w:r>
      <w:r w:rsidRPr="00E52449">
        <w:rPr>
          <w:szCs w:val="22"/>
        </w:rPr>
        <w:t>.  To request materials in accessible formats for people with disabilities (braille, large print, electronic files, audio format), send an e-mail to fcc504@fcc.gov or call the Consumer &amp; Governmental Affairs Bureau at 202-418-0530 (voice), 202-418-0432 (</w:t>
      </w:r>
      <w:r w:rsidRPr="00E52449">
        <w:rPr>
          <w:szCs w:val="22"/>
        </w:rPr>
        <w:t>tty</w:t>
      </w:r>
      <w:r w:rsidRPr="00E52449">
        <w:rPr>
          <w:szCs w:val="22"/>
        </w:rPr>
        <w:t xml:space="preserve">). </w:t>
      </w:r>
    </w:p>
    <w:p w:rsidR="00E52449" w:rsidRPr="00E52449" w:rsidP="000D2585" w14:paraId="24919916" w14:textId="77777777">
      <w:pPr>
        <w:widowControl/>
        <w:spacing w:after="120"/>
        <w:ind w:firstLine="720"/>
        <w:rPr>
          <w:szCs w:val="22"/>
        </w:rPr>
      </w:pPr>
      <w:r w:rsidRPr="000D2585">
        <w:rPr>
          <w:i/>
          <w:iCs/>
          <w:szCs w:val="22"/>
        </w:rPr>
        <w:t>Availability of Documents</w:t>
      </w:r>
      <w:r w:rsidRPr="00E52449">
        <w:rPr>
          <w:szCs w:val="22"/>
        </w:rPr>
        <w:t xml:space="preserve">.  Comments, reply comments, and </w:t>
      </w:r>
      <w:r w:rsidRPr="00E52449">
        <w:rPr>
          <w:i/>
          <w:szCs w:val="22"/>
        </w:rPr>
        <w:t xml:space="preserve">ex </w:t>
      </w:r>
      <w:r w:rsidRPr="00E52449">
        <w:rPr>
          <w:i/>
          <w:szCs w:val="22"/>
        </w:rPr>
        <w:t>parte</w:t>
      </w:r>
      <w:r w:rsidRPr="00E52449">
        <w:rPr>
          <w:szCs w:val="22"/>
        </w:rPr>
        <w:t xml:space="preserve"> submissions will be publicly available online via ECFS.</w:t>
      </w:r>
      <w:r>
        <w:rPr>
          <w:rStyle w:val="FootnoteReference"/>
          <w:szCs w:val="22"/>
        </w:rPr>
        <w:footnoteReference w:id="17"/>
      </w:r>
      <w:r w:rsidRPr="00E52449">
        <w:rPr>
          <w:szCs w:val="22"/>
        </w:rPr>
        <w:t xml:space="preserve">  These documents will also be available for public inspection during regular business hours in the FCC Reference Information Center, which is located in Room CY-A257 at FCC Headquarters, 445 12th Street, SW, Washington, DC 20554.  The Reference Information Center is open to the public Monday through Thursday from 8:00 a.m. to 4:30 p.m. and Friday from 8:00 a.m. to 11:30 a.m.</w:t>
      </w:r>
    </w:p>
    <w:p w:rsidR="001D7D12" w:rsidRPr="00DB0929" w:rsidP="001D7D12" w14:paraId="7311B5F7" w14:textId="7F8DEB5E">
      <w:pPr>
        <w:spacing w:after="120"/>
        <w:ind w:firstLine="720"/>
        <w:rPr>
          <w:szCs w:val="22"/>
        </w:rPr>
      </w:pPr>
      <w:r w:rsidRPr="00DB0929">
        <w:rPr>
          <w:i/>
          <w:iCs/>
          <w:szCs w:val="22"/>
        </w:rPr>
        <w:t xml:space="preserve">Permit but Disclose Ex </w:t>
      </w:r>
      <w:r w:rsidRPr="00DB0929">
        <w:rPr>
          <w:i/>
          <w:iCs/>
          <w:szCs w:val="22"/>
        </w:rPr>
        <w:t>Parte</w:t>
      </w:r>
      <w:r w:rsidRPr="00DB0929">
        <w:rPr>
          <w:i/>
          <w:iCs/>
          <w:szCs w:val="22"/>
        </w:rPr>
        <w:t xml:space="preserve"> Communications.</w:t>
      </w:r>
      <w:r w:rsidRPr="00DB0929">
        <w:rPr>
          <w:szCs w:val="22"/>
        </w:rPr>
        <w:t xml:space="preserve">  For the purposes of the Commission’s </w:t>
      </w:r>
      <w:r w:rsidRPr="00DB0929">
        <w:rPr>
          <w:i/>
          <w:szCs w:val="22"/>
        </w:rPr>
        <w:t xml:space="preserve">ex </w:t>
      </w:r>
      <w:r w:rsidRPr="00DB0929">
        <w:rPr>
          <w:i/>
          <w:szCs w:val="22"/>
        </w:rPr>
        <w:t>parte</w:t>
      </w:r>
      <w:r w:rsidRPr="00DB0929">
        <w:rPr>
          <w:szCs w:val="22"/>
        </w:rPr>
        <w:t xml:space="preserve"> rules, </w:t>
      </w:r>
      <w:r>
        <w:rPr>
          <w:szCs w:val="22"/>
        </w:rPr>
        <w:t>each petition addressed within this public notice initiates</w:t>
      </w:r>
      <w:r w:rsidRPr="00DB0929">
        <w:rPr>
          <w:szCs w:val="22"/>
        </w:rPr>
        <w:t xml:space="preserve"> will be treated as initiating a permit-but-disclose proceeding under the Commission’s rules.</w:t>
      </w:r>
      <w:r>
        <w:rPr>
          <w:szCs w:val="22"/>
          <w:vertAlign w:val="superscript"/>
        </w:rPr>
        <w:footnoteReference w:id="18"/>
      </w:r>
      <w:r w:rsidRPr="00DB0929">
        <w:rPr>
          <w:szCs w:val="22"/>
        </w:rPr>
        <w:t xml:space="preserve">  Persons making </w:t>
      </w:r>
      <w:r w:rsidRPr="00DB0929">
        <w:rPr>
          <w:i/>
          <w:szCs w:val="22"/>
        </w:rPr>
        <w:t xml:space="preserve">ex </w:t>
      </w:r>
      <w:r w:rsidRPr="00DB0929">
        <w:rPr>
          <w:i/>
          <w:szCs w:val="22"/>
        </w:rPr>
        <w:t>parte</w:t>
      </w:r>
      <w:r w:rsidRPr="00DB0929">
        <w:rPr>
          <w:szCs w:val="22"/>
        </w:rPr>
        <w:t xml:space="preserve"> presentations must file a copy of any written presentation or a memorandum summarizing any oral presentation within two business days after the presentation (unless a different deadline applicable to the Sunshine period applies).</w:t>
      </w:r>
      <w:r>
        <w:rPr>
          <w:szCs w:val="22"/>
          <w:vertAlign w:val="superscript"/>
        </w:rPr>
        <w:footnoteReference w:id="19"/>
      </w:r>
      <w:r w:rsidRPr="00DB0929">
        <w:rPr>
          <w:szCs w:val="22"/>
        </w:rPr>
        <w:t xml:space="preserve">  Persons making oral </w:t>
      </w:r>
      <w:r w:rsidRPr="00DB0929">
        <w:rPr>
          <w:i/>
          <w:szCs w:val="22"/>
        </w:rPr>
        <w:t xml:space="preserve">ex </w:t>
      </w:r>
      <w:r w:rsidRPr="00DB0929">
        <w:rPr>
          <w:i/>
          <w:szCs w:val="22"/>
        </w:rPr>
        <w:t>parte</w:t>
      </w:r>
      <w:r w:rsidRPr="00DB0929">
        <w:rPr>
          <w:szCs w:val="22"/>
        </w:rPr>
        <w:t xml:space="preserve"> presentations are reminded that memoranda summarizing the presentation must (1) list all persons attending or otherwise participating in the meeting at which the </w:t>
      </w:r>
      <w:r w:rsidRPr="00DB0929">
        <w:rPr>
          <w:i/>
          <w:szCs w:val="22"/>
        </w:rPr>
        <w:t xml:space="preserve">ex </w:t>
      </w:r>
      <w:r w:rsidRPr="00DB0929">
        <w:rPr>
          <w:i/>
          <w:szCs w:val="22"/>
        </w:rPr>
        <w:t>parte</w:t>
      </w:r>
      <w:r w:rsidRPr="00DB0929">
        <w:rPr>
          <w:szCs w:val="22"/>
        </w:rPr>
        <w:t xml:space="preserve"> presentation was made, and (2) summarize all data presented and arguments made during the presentation.</w:t>
      </w:r>
      <w:r>
        <w:rPr>
          <w:szCs w:val="22"/>
          <w:vertAlign w:val="superscript"/>
        </w:rPr>
        <w:footnoteReference w:id="20"/>
      </w:r>
      <w:r w:rsidRPr="00DB0929">
        <w:rPr>
          <w:szCs w:val="22"/>
        </w:rPr>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w:t>
      </w:r>
      <w:r>
        <w:rPr>
          <w:szCs w:val="22"/>
          <w:vertAlign w:val="superscript"/>
        </w:rPr>
        <w:footnoteReference w:id="21"/>
      </w:r>
      <w:r w:rsidRPr="00DB0929">
        <w:rPr>
          <w:szCs w:val="22"/>
        </w:rPr>
        <w:t xml:space="preserve">  Documents shown or given to Commission staff during </w:t>
      </w:r>
      <w:r w:rsidRPr="00DB0929">
        <w:rPr>
          <w:i/>
          <w:szCs w:val="22"/>
        </w:rPr>
        <w:t xml:space="preserve">ex </w:t>
      </w:r>
      <w:r w:rsidRPr="00DB0929">
        <w:rPr>
          <w:i/>
          <w:szCs w:val="22"/>
        </w:rPr>
        <w:t>parte</w:t>
      </w:r>
      <w:r w:rsidRPr="00DB0929">
        <w:rPr>
          <w:szCs w:val="22"/>
        </w:rPr>
        <w:t xml:space="preserve"> meetings are deemed to be written </w:t>
      </w:r>
      <w:r w:rsidRPr="00DB0929">
        <w:rPr>
          <w:i/>
          <w:szCs w:val="22"/>
        </w:rPr>
        <w:t xml:space="preserve">ex </w:t>
      </w:r>
      <w:r w:rsidRPr="00DB0929">
        <w:rPr>
          <w:i/>
          <w:szCs w:val="22"/>
        </w:rPr>
        <w:t>parte</w:t>
      </w:r>
      <w:r w:rsidRPr="00DB0929">
        <w:rPr>
          <w:szCs w:val="22"/>
        </w:rPr>
        <w:t xml:space="preserve"> presentations and must be filed consistent with rule 1.1206(b).</w:t>
      </w:r>
      <w:r>
        <w:rPr>
          <w:szCs w:val="22"/>
          <w:vertAlign w:val="superscript"/>
        </w:rPr>
        <w:footnoteReference w:id="22"/>
      </w:r>
      <w:r w:rsidRPr="00DB0929">
        <w:rPr>
          <w:szCs w:val="22"/>
        </w:rPr>
        <w:t xml:space="preserve">  In proceedings governed by rule 1.49(f) or for which the Commission has made available a method of electronic filing, written </w:t>
      </w:r>
      <w:r w:rsidRPr="00DB0929">
        <w:rPr>
          <w:i/>
          <w:szCs w:val="22"/>
        </w:rPr>
        <w:t xml:space="preserve">ex </w:t>
      </w:r>
      <w:r w:rsidRPr="00DB0929">
        <w:rPr>
          <w:i/>
          <w:szCs w:val="22"/>
        </w:rPr>
        <w:t>parte</w:t>
      </w:r>
      <w:r w:rsidRPr="00DB0929">
        <w:rPr>
          <w:szCs w:val="22"/>
        </w:rPr>
        <w:t xml:space="preserve"> presentations and memoranda summarizing oral </w:t>
      </w:r>
      <w:r w:rsidRPr="00DB0929">
        <w:rPr>
          <w:i/>
          <w:szCs w:val="22"/>
        </w:rPr>
        <w:t xml:space="preserve">ex </w:t>
      </w:r>
      <w:r w:rsidRPr="00DB0929">
        <w:rPr>
          <w:i/>
          <w:szCs w:val="22"/>
        </w:rPr>
        <w:t>parte</w:t>
      </w:r>
      <w:r w:rsidRPr="00DB0929">
        <w:rPr>
          <w:szCs w:val="22"/>
        </w:rPr>
        <w:t xml:space="preserve"> presentations, and all attachments thereto, must be filed through the electronic comment filing system available for that proceeding, and must be filed in their native format (e.g.,.doc,.xml,.ppt, searchable.pdf).</w:t>
      </w:r>
      <w:r>
        <w:rPr>
          <w:szCs w:val="22"/>
          <w:vertAlign w:val="superscript"/>
        </w:rPr>
        <w:footnoteReference w:id="23"/>
      </w:r>
      <w:r w:rsidRPr="00DB0929">
        <w:rPr>
          <w:szCs w:val="22"/>
        </w:rPr>
        <w:t xml:space="preserve">  Participants in this proceeding should familiarize themselves with the Commission’s </w:t>
      </w:r>
      <w:r w:rsidRPr="00DB0929">
        <w:rPr>
          <w:i/>
          <w:szCs w:val="22"/>
        </w:rPr>
        <w:t xml:space="preserve">ex </w:t>
      </w:r>
      <w:r w:rsidRPr="00DB0929">
        <w:rPr>
          <w:i/>
          <w:szCs w:val="22"/>
        </w:rPr>
        <w:t>parte</w:t>
      </w:r>
      <w:r w:rsidRPr="00DB0929">
        <w:rPr>
          <w:szCs w:val="22"/>
        </w:rPr>
        <w:t xml:space="preserve"> rules.</w:t>
      </w:r>
    </w:p>
    <w:p w:rsidR="00E52449" w:rsidRPr="00E52449" w:rsidP="00E52449" w14:paraId="2DD49153" w14:textId="77777777">
      <w:pPr>
        <w:widowControl/>
        <w:ind w:firstLine="720"/>
        <w:rPr>
          <w:szCs w:val="22"/>
        </w:rPr>
      </w:pPr>
      <w:r w:rsidRPr="00E52449">
        <w:rPr>
          <w:szCs w:val="22"/>
        </w:rPr>
        <w:t>For further information, please contact Abdel Eqab, Telecommunications Access Policy Division, Wireline Competition Bureau at (202) 418-7400 or TTY (202) 418-0484.</w:t>
      </w:r>
    </w:p>
    <w:p w:rsidR="00E52449" w:rsidRPr="00E52449" w:rsidP="00E52449" w14:paraId="4ED7E216" w14:textId="77777777">
      <w:pPr>
        <w:widowControl/>
        <w:ind w:firstLine="720"/>
        <w:rPr>
          <w:szCs w:val="22"/>
        </w:rPr>
      </w:pPr>
    </w:p>
    <w:p w:rsidR="00E52449" w:rsidRPr="00E52449" w:rsidP="00E52449" w14:paraId="4B094F87" w14:textId="77777777">
      <w:pPr>
        <w:widowControl/>
        <w:jc w:val="center"/>
        <w:rPr>
          <w:b/>
          <w:szCs w:val="22"/>
        </w:rPr>
      </w:pPr>
      <w:r w:rsidRPr="00E52449">
        <w:rPr>
          <w:b/>
          <w:szCs w:val="22"/>
        </w:rPr>
        <w:t>- FCC -</w:t>
      </w:r>
    </w:p>
    <w:p w:rsidR="00E52449" w:rsidRPr="00E52449" w:rsidP="00E52449" w14:paraId="3F3CD4FF" w14:textId="77777777">
      <w:pPr>
        <w:widowControl/>
        <w:rPr>
          <w:szCs w:val="22"/>
        </w:rPr>
      </w:pPr>
    </w:p>
    <w:p w:rsidR="00E52449" w:rsidRPr="00E52449" w:rsidP="00013A8B" w14:paraId="1BC40425" w14:textId="77777777">
      <w:pPr>
        <w:jc w:val="center"/>
        <w:rPr>
          <w:b/>
          <w:szCs w:val="22"/>
        </w:rPr>
      </w:pPr>
    </w:p>
    <w:p w:rsidR="00F96F63" w:rsidRPr="00E52449" w:rsidP="00F96F63" w14:paraId="49DFBA2F" w14:textId="77777777">
      <w:pPr>
        <w:rPr>
          <w:szCs w:val="22"/>
        </w:rPr>
      </w:pPr>
      <w:bookmarkStart w:id="2" w:name="TOChere"/>
    </w:p>
    <w:bookmarkEnd w:id="2"/>
    <w:p w:rsidR="00F96F63" w:rsidRPr="00E52449" w:rsidP="00F96F63" w14:paraId="26F68680" w14:textId="77777777">
      <w:pPr>
        <w:rPr>
          <w:szCs w:val="22"/>
        </w:rPr>
      </w:pPr>
    </w:p>
    <w:p w:rsidR="00930ECF" w:rsidRPr="00E52449" w:rsidP="00F96F63" w14:paraId="5A92A5C7" w14:textId="77777777">
      <w:pPr>
        <w:rPr>
          <w:szCs w:val="22"/>
        </w:rPr>
      </w:pPr>
    </w:p>
    <w:sectPr w:rsidSect="000E588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B40FDF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75C97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48AE09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123606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2127" w14:paraId="13DCE093" w14:textId="77777777">
      <w:r>
        <w:separator/>
      </w:r>
    </w:p>
  </w:footnote>
  <w:footnote w:type="continuationSeparator" w:id="1">
    <w:p w:rsidR="00D62127" w14:paraId="68AF95D9" w14:textId="77777777">
      <w:pPr>
        <w:rPr>
          <w:sz w:val="20"/>
        </w:rPr>
      </w:pPr>
      <w:r>
        <w:rPr>
          <w:sz w:val="20"/>
        </w:rPr>
        <w:t xml:space="preserve">(Continued from previous page)  </w:t>
      </w:r>
      <w:r>
        <w:rPr>
          <w:sz w:val="20"/>
        </w:rPr>
        <w:separator/>
      </w:r>
    </w:p>
  </w:footnote>
  <w:footnote w:type="continuationNotice" w:id="2">
    <w:p w:rsidR="00D62127" w:rsidP="00910F12" w14:paraId="369202B7" w14:textId="77777777">
      <w:pPr>
        <w:jc w:val="right"/>
        <w:rPr>
          <w:sz w:val="20"/>
        </w:rPr>
      </w:pPr>
      <w:r>
        <w:rPr>
          <w:sz w:val="20"/>
        </w:rPr>
        <w:t>(continued….)</w:t>
      </w:r>
    </w:p>
  </w:footnote>
  <w:footnote w:id="3">
    <w:p w:rsidR="00FE7EC9" w14:paraId="0CF2FB25" w14:textId="792A971D">
      <w:pPr>
        <w:pStyle w:val="FootnoteText"/>
      </w:pPr>
      <w:r>
        <w:rPr>
          <w:rStyle w:val="FootnoteReference"/>
        </w:rPr>
        <w:footnoteRef/>
      </w:r>
      <w:r>
        <w:t xml:space="preserve"> Petition of </w:t>
      </w:r>
      <w:r>
        <w:t>Siyeh</w:t>
      </w:r>
      <w:r>
        <w:t xml:space="preserve"> Communications for Designation as an Eligible Telecommunications Carrier, </w:t>
      </w:r>
      <w:r w:rsidR="00D02C05">
        <w:t>WC Docket 09-197</w:t>
      </w:r>
      <w:r>
        <w:t xml:space="preserve"> (filed Mar. 23, 2020) (</w:t>
      </w:r>
      <w:r w:rsidR="00AD6750">
        <w:t xml:space="preserve">ETC </w:t>
      </w:r>
      <w:r>
        <w:t>Petition)</w:t>
      </w:r>
      <w:r w:rsidR="00AD6750">
        <w:t>.</w:t>
      </w:r>
    </w:p>
  </w:footnote>
  <w:footnote w:id="4">
    <w:p w:rsidR="00EE5DCC" w14:paraId="204C4B9A" w14:textId="26730A15">
      <w:pPr>
        <w:pStyle w:val="FootnoteText"/>
      </w:pPr>
      <w:r>
        <w:rPr>
          <w:rStyle w:val="FootnoteReference"/>
        </w:rPr>
        <w:footnoteRef/>
      </w:r>
      <w:r>
        <w:t xml:space="preserve"> </w:t>
      </w:r>
      <w:r w:rsidRPr="0093745F" w:rsidR="00D02C05">
        <w:rPr>
          <w:i/>
          <w:iCs/>
        </w:rPr>
        <w:t>Id</w:t>
      </w:r>
      <w:r w:rsidR="00D02C05">
        <w:t>.</w:t>
      </w:r>
      <w:r w:rsidR="00220A4C">
        <w:t xml:space="preserve"> </w:t>
      </w:r>
      <w:r w:rsidRPr="00D55B6D">
        <w:t>at 1</w:t>
      </w:r>
      <w:r>
        <w:t>-2</w:t>
      </w:r>
    </w:p>
  </w:footnote>
  <w:footnote w:id="5">
    <w:p w:rsidR="00E52449" w:rsidRPr="00D55B6D" w:rsidP="00E52449" w14:paraId="681E92C5" w14:textId="77E151B1">
      <w:pPr>
        <w:pStyle w:val="FootnoteText"/>
      </w:pPr>
      <w:r w:rsidRPr="00D55B6D">
        <w:rPr>
          <w:rStyle w:val="FootnoteReference"/>
          <w:sz w:val="20"/>
        </w:rPr>
        <w:footnoteRef/>
      </w:r>
      <w:r w:rsidRPr="00D55B6D">
        <w:t xml:space="preserve"> Joint Petition for Waiver of </w:t>
      </w:r>
      <w:r w:rsidR="007B69B4">
        <w:t>Siyeh</w:t>
      </w:r>
      <w:r w:rsidR="007B69B4">
        <w:t xml:space="preserve"> Communications and 3 River</w:t>
      </w:r>
      <w:r w:rsidR="00A462AA">
        <w:t>s</w:t>
      </w:r>
      <w:r w:rsidRPr="00D55B6D">
        <w:t xml:space="preserve"> Telephone Cooperative</w:t>
      </w:r>
      <w:r w:rsidR="007B69B4">
        <w:t>, Inc.</w:t>
      </w:r>
      <w:r w:rsidRPr="00D55B6D">
        <w:t xml:space="preserve"> for Waiver of the Definition of “Study Area” Contained in Part 36, Appendix-Glossary of the Commission’s Rules, CC Docket No. 96-45 (filed Mar. 2</w:t>
      </w:r>
      <w:r w:rsidR="007B69B4">
        <w:t>3</w:t>
      </w:r>
      <w:r w:rsidRPr="00D55B6D">
        <w:t>, 20</w:t>
      </w:r>
      <w:r w:rsidR="007B69B4">
        <w:t>20</w:t>
      </w:r>
      <w:r w:rsidRPr="00D55B6D">
        <w:t>) (</w:t>
      </w:r>
      <w:r w:rsidR="00AD6750">
        <w:t xml:space="preserve">Study Area </w:t>
      </w:r>
      <w:r w:rsidRPr="00D55B6D">
        <w:t>Petition).  47 CFR Part. 36 App. (defining “study area”).</w:t>
      </w:r>
      <w:r w:rsidR="009B6F47">
        <w:t xml:space="preserve">  </w:t>
      </w:r>
      <w:r w:rsidRPr="00E52449" w:rsidR="009B6F47">
        <w:rPr>
          <w:szCs w:val="22"/>
        </w:rPr>
        <w:t>Effective November 15, 1984, the Commission froze all study area boundaries to prevent incumbent local exchange carriers from establishing separate study areas made up only of high-cost exchanges in order to maximize their receipt of high-cost universal service support</w:t>
      </w:r>
      <w:r w:rsidR="009B6F47">
        <w:rPr>
          <w:szCs w:val="22"/>
        </w:rPr>
        <w:t xml:space="preserve">.  </w:t>
      </w:r>
      <w:r w:rsidRPr="00D55B6D" w:rsidR="009B6F47">
        <w:rPr>
          <w:i/>
        </w:rPr>
        <w:t>See MTS and WATS Market Structure, Amendment of Part 67 of the Commission’s Rules and Establishment of a Joint Board</w:t>
      </w:r>
      <w:r w:rsidRPr="00D55B6D" w:rsidR="009B6F47">
        <w:t>, CC Docket Nos. 78-72, 80-286, Decision and Order, 50 Fed. Reg. 939 (1985).</w:t>
      </w:r>
      <w:r w:rsidR="009B6F47">
        <w:t xml:space="preserve">  </w:t>
      </w:r>
      <w:r w:rsidRPr="00E52449" w:rsidR="009B6F47">
        <w:rPr>
          <w:szCs w:val="22"/>
        </w:rPr>
        <w:t>A carrier must therefore apply to the Commission for a waiver of the study area boundary freeze if it wishes to transfer or acquire additional exchanges.</w:t>
      </w:r>
    </w:p>
  </w:footnote>
  <w:footnote w:id="6">
    <w:p w:rsidR="003F4C07" w14:paraId="1E61E7BD" w14:textId="2653DBB3">
      <w:pPr>
        <w:pStyle w:val="FootnoteText"/>
      </w:pPr>
      <w:r>
        <w:rPr>
          <w:rStyle w:val="FootnoteReference"/>
        </w:rPr>
        <w:footnoteRef/>
      </w:r>
      <w:r>
        <w:t xml:space="preserve"> </w:t>
      </w:r>
      <w:bookmarkStart w:id="1" w:name="_Hlk36117690"/>
      <w:r w:rsidRPr="00A73B0C">
        <w:rPr>
          <w:i/>
        </w:rPr>
        <w:t>See</w:t>
      </w:r>
      <w:r w:rsidRPr="00D55B6D">
        <w:t xml:space="preserve"> </w:t>
      </w:r>
      <w:r w:rsidR="00AD6750">
        <w:t xml:space="preserve">Study Area </w:t>
      </w:r>
      <w:r w:rsidRPr="00D55B6D">
        <w:t>Petition at 1</w:t>
      </w:r>
      <w:r>
        <w:t>-2</w:t>
      </w:r>
      <w:bookmarkEnd w:id="1"/>
      <w:r w:rsidRPr="00D55B6D">
        <w:t>.</w:t>
      </w:r>
    </w:p>
  </w:footnote>
  <w:footnote w:id="7">
    <w:p w:rsidR="003F4C07" w:rsidP="00332A07" w14:paraId="11672D15" w14:textId="57CFAB5E">
      <w:pPr>
        <w:pStyle w:val="FootnoteText"/>
      </w:pPr>
      <w:r>
        <w:rPr>
          <w:rStyle w:val="FootnoteReference"/>
        </w:rPr>
        <w:footnoteRef/>
      </w:r>
      <w:r>
        <w:t xml:space="preserve"> </w:t>
      </w:r>
      <w:r w:rsidRPr="00A73B0C">
        <w:rPr>
          <w:i/>
        </w:rPr>
        <w:t>See</w:t>
      </w:r>
      <w:r w:rsidRPr="00D55B6D">
        <w:t xml:space="preserve"> </w:t>
      </w:r>
      <w:r w:rsidRPr="000D2585" w:rsidR="00B419AC">
        <w:rPr>
          <w:i/>
          <w:iCs/>
        </w:rPr>
        <w:t>id</w:t>
      </w:r>
      <w:r w:rsidR="00B419AC">
        <w:t>.</w:t>
      </w:r>
      <w:r w:rsidRPr="00D55B6D">
        <w:t xml:space="preserve"> at </w:t>
      </w:r>
      <w:r>
        <w:t>2</w:t>
      </w:r>
      <w:r w:rsidR="00332A07">
        <w:t xml:space="preserve">; </w:t>
      </w:r>
      <w:r w:rsidRPr="000D2585" w:rsidR="00332A07">
        <w:rPr>
          <w:i/>
          <w:iCs/>
        </w:rPr>
        <w:t>see also</w:t>
      </w:r>
      <w:r w:rsidR="00332A07">
        <w:t xml:space="preserve"> Application for Assignment of Assets Pursuant to Section 214 of the Communications Act of 1934, as Amended, 3 Rivers Telephone Cooperative, Inc., Assignor and </w:t>
      </w:r>
      <w:r w:rsidR="00332A07">
        <w:t>Siyeh</w:t>
      </w:r>
      <w:r w:rsidR="00332A07">
        <w:t xml:space="preserve"> Communications, Assignee, WC Docket No. 20-85 (filed Mar.23, 2020)</w:t>
      </w:r>
      <w:r w:rsidR="00D02C05">
        <w:t xml:space="preserve">, as supplemented, Letter from Gregory J. Vogt, Counsel for </w:t>
      </w:r>
      <w:r w:rsidR="00D02C05">
        <w:t>Siyeh</w:t>
      </w:r>
      <w:r w:rsidR="00D02C05">
        <w:t xml:space="preserve"> Communications to Marlene H. Dortch, Secretary, FCC (</w:t>
      </w:r>
      <w:r w:rsidR="00B419AC">
        <w:t>Mar. 30, 2020).</w:t>
      </w:r>
      <w:r w:rsidR="00E41E31">
        <w:t xml:space="preserve">  Pursuant to section 63.03 of the Commission’s rules, the Bureau is accepting the section 214 application for filing in WC Docket No. 20-85 with applicable comment filing dates.  47 CFR § 63.03.</w:t>
      </w:r>
    </w:p>
  </w:footnote>
  <w:footnote w:id="8">
    <w:p w:rsidR="00E41E31" w:rsidP="00E41E31" w14:paraId="3C3D4ABB" w14:textId="77777777">
      <w:pPr>
        <w:pStyle w:val="FootnoteText"/>
      </w:pPr>
      <w:r>
        <w:rPr>
          <w:rStyle w:val="FootnoteReference"/>
        </w:rPr>
        <w:footnoteRef/>
      </w:r>
      <w:r>
        <w:t xml:space="preserve"> Study Area Petition at 3. </w:t>
      </w:r>
    </w:p>
  </w:footnote>
  <w:footnote w:id="9">
    <w:p w:rsidR="00E41E31" w:rsidRPr="00D55B6D" w:rsidP="00E41E31" w14:paraId="1668C7C5" w14:textId="77777777">
      <w:pPr>
        <w:pStyle w:val="FootnoteText"/>
      </w:pPr>
      <w:r w:rsidRPr="00D55B6D">
        <w:rPr>
          <w:rStyle w:val="FootnoteReference"/>
          <w:sz w:val="20"/>
        </w:rPr>
        <w:footnoteRef/>
      </w:r>
      <w:r w:rsidRPr="00D55B6D">
        <w:t xml:space="preserve"> </w:t>
      </w:r>
      <w:r w:rsidRPr="00D55B6D">
        <w:rPr>
          <w:i/>
        </w:rPr>
        <w:t>See Connect America Fund et al</w:t>
      </w:r>
      <w:r w:rsidRPr="00D55B6D">
        <w:t xml:space="preserve">., WC Docket No. 10-90, et al., Report and Order and Further Notice of Proposed Rulemaking, 26 FCC </w:t>
      </w:r>
      <w:r w:rsidRPr="00D55B6D">
        <w:t>Rcd</w:t>
      </w:r>
      <w:r w:rsidRPr="00D55B6D">
        <w:t xml:space="preserve"> 17663, 17763, paras. 266-67 (2011) (</w:t>
      </w:r>
      <w:r w:rsidRPr="00D55B6D">
        <w:rPr>
          <w:i/>
        </w:rPr>
        <w:t>USF/ICC Transformation Order</w:t>
      </w:r>
      <w:r w:rsidRPr="00D55B6D">
        <w:t xml:space="preserve">); </w:t>
      </w:r>
      <w:r w:rsidRPr="00D55B6D">
        <w:rPr>
          <w:i/>
        </w:rPr>
        <w:t xml:space="preserve">aff’d </w:t>
      </w:r>
      <w:r w:rsidRPr="00D55B6D">
        <w:rPr>
          <w:i/>
        </w:rPr>
        <w:t>In</w:t>
      </w:r>
      <w:r w:rsidRPr="00D55B6D">
        <w:rPr>
          <w:i/>
        </w:rPr>
        <w:t xml:space="preserve"> re</w:t>
      </w:r>
      <w:r w:rsidRPr="00D55B6D">
        <w:t>: FCC 11-161, 753 F.3d 1015 (10th Cir. 2014); 47 CFR § 36.4.</w:t>
      </w:r>
    </w:p>
  </w:footnote>
  <w:footnote w:id="10">
    <w:p w:rsidR="00E41E31" w:rsidRPr="00D55B6D" w:rsidP="00E41E31" w14:paraId="4CC49041" w14:textId="77777777">
      <w:pPr>
        <w:pStyle w:val="FootnoteText"/>
      </w:pPr>
      <w:r w:rsidRPr="00D55B6D">
        <w:rPr>
          <w:rStyle w:val="FootnoteReference"/>
          <w:sz w:val="20"/>
        </w:rPr>
        <w:footnoteRef/>
      </w:r>
      <w:r w:rsidRPr="00D55B6D">
        <w:t xml:space="preserve"> </w:t>
      </w:r>
      <w:r>
        <w:t xml:space="preserve">Study Area </w:t>
      </w:r>
      <w:r w:rsidRPr="00D55B6D">
        <w:t>Petition at 4-5.</w:t>
      </w:r>
    </w:p>
  </w:footnote>
  <w:footnote w:id="11">
    <w:p w:rsidR="00C627FA" w14:paraId="60F6CE2D" w14:textId="49F07033">
      <w:pPr>
        <w:pStyle w:val="FootnoteText"/>
      </w:pPr>
      <w:r>
        <w:rPr>
          <w:rStyle w:val="FootnoteReference"/>
        </w:rPr>
        <w:footnoteRef/>
      </w:r>
      <w:r>
        <w:t xml:space="preserve"> Study Area Petition at 3-4.</w:t>
      </w:r>
    </w:p>
  </w:footnote>
  <w:footnote w:id="12">
    <w:p w:rsidR="00E52449" w:rsidRPr="00D55B6D" w:rsidP="00E52449" w14:paraId="4B0C861C" w14:textId="77777777">
      <w:pPr>
        <w:pStyle w:val="FootnoteText"/>
      </w:pPr>
      <w:r w:rsidRPr="00D55B6D">
        <w:rPr>
          <w:rStyle w:val="FootnoteReference"/>
          <w:sz w:val="20"/>
        </w:rPr>
        <w:footnoteRef/>
      </w:r>
      <w:r w:rsidRPr="00D55B6D">
        <w:t xml:space="preserve"> </w:t>
      </w:r>
      <w:r w:rsidRPr="00D55B6D">
        <w:rPr>
          <w:i/>
        </w:rPr>
        <w:t>See USF/ICC Transformation Order</w:t>
      </w:r>
      <w:r w:rsidRPr="00D55B6D">
        <w:t xml:space="preserve">, 26 FCC </w:t>
      </w:r>
      <w:r w:rsidRPr="00D55B6D">
        <w:t>Rcd</w:t>
      </w:r>
      <w:r w:rsidRPr="00D55B6D">
        <w:t xml:space="preserve"> at 17763, paras. 266-67.</w:t>
      </w:r>
    </w:p>
  </w:footnote>
  <w:footnote w:id="13">
    <w:p w:rsidR="00E52449" w:rsidRPr="00D55B6D" w:rsidP="00E52449" w14:paraId="3A81BD3C" w14:textId="77777777">
      <w:pPr>
        <w:pStyle w:val="FootnoteText"/>
      </w:pPr>
      <w:r w:rsidRPr="00D55B6D">
        <w:rPr>
          <w:rStyle w:val="FootnoteReference"/>
          <w:sz w:val="20"/>
        </w:rPr>
        <w:footnoteRef/>
      </w:r>
      <w:r w:rsidRPr="00D55B6D">
        <w:t xml:space="preserve"> </w:t>
      </w:r>
      <w:r w:rsidRPr="00D55B6D">
        <w:rPr>
          <w:i/>
        </w:rPr>
        <w:t>See id</w:t>
      </w:r>
      <w:r w:rsidRPr="00D55B6D">
        <w:t>.; 47 CFR § 36.4.</w:t>
      </w:r>
    </w:p>
  </w:footnote>
  <w:footnote w:id="14">
    <w:p w:rsidR="00E52449" w:rsidRPr="00D55B6D" w:rsidP="00E52449" w14:paraId="1E457134" w14:textId="77777777">
      <w:pPr>
        <w:pStyle w:val="FootnoteText"/>
      </w:pPr>
      <w:r w:rsidRPr="00D55B6D">
        <w:rPr>
          <w:rStyle w:val="FootnoteReference"/>
          <w:sz w:val="20"/>
        </w:rPr>
        <w:footnoteRef/>
      </w:r>
      <w:r w:rsidRPr="00D55B6D">
        <w:t xml:space="preserve"> Consistent with the Commission’s decision in June 2014, the fee associated with the application to transfer lines below the exchange level is waived.  </w:t>
      </w:r>
      <w:r w:rsidRPr="00D55B6D">
        <w:rPr>
          <w:i/>
        </w:rPr>
        <w:t>See Connect America Fund, et al</w:t>
      </w:r>
      <w:r w:rsidRPr="00D55B6D">
        <w:t xml:space="preserve">., Report and Order, et al., WC Docket No 10- 90, et al., 29 FCC </w:t>
      </w:r>
      <w:r w:rsidRPr="00D55B6D">
        <w:t>Rcd</w:t>
      </w:r>
      <w:r w:rsidRPr="00D55B6D">
        <w:t xml:space="preserve"> 7051, 7082-83, para. 89 (2014).</w:t>
      </w:r>
    </w:p>
  </w:footnote>
  <w:footnote w:id="15">
    <w:p w:rsidR="00E52449" w:rsidRPr="00D55B6D" w:rsidP="00E52449" w14:paraId="69149987" w14:textId="77777777">
      <w:pPr>
        <w:pStyle w:val="FootnoteText"/>
      </w:pPr>
      <w:r w:rsidRPr="00D55B6D">
        <w:rPr>
          <w:rStyle w:val="FootnoteReference"/>
          <w:sz w:val="20"/>
        </w:rPr>
        <w:footnoteRef/>
      </w:r>
      <w:r w:rsidRPr="00D55B6D">
        <w:t xml:space="preserve"> 47 CFR §§ 1.415, 1.419.</w:t>
      </w:r>
    </w:p>
  </w:footnote>
  <w:footnote w:id="16">
    <w:p w:rsidR="00386919" w:rsidP="00386919" w14:paraId="658164F8" w14:textId="77777777">
      <w:pPr>
        <w:pStyle w:val="FootnoteText"/>
      </w:pPr>
      <w:r>
        <w:rPr>
          <w:rStyle w:val="FootnoteReference"/>
        </w:rPr>
        <w:footnoteRef/>
      </w:r>
      <w: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Pr>
          <w:i/>
          <w:iCs/>
        </w:rPr>
        <w:t xml:space="preserve">  FCC Announces Closure of FCC Headquarters Open Window and Change in Hand Delivery Filing</w:t>
      </w:r>
      <w:r w:rsidRPr="00AE2784">
        <w:t>,</w:t>
      </w:r>
      <w:r>
        <w:rPr>
          <w:i/>
          <w:iCs/>
        </w:rPr>
        <w:t xml:space="preserve"> </w:t>
      </w:r>
      <w:r>
        <w:t>Public Notice, DA 20-304 (rel. Mar. 19, 2020).</w:t>
      </w:r>
    </w:p>
  </w:footnote>
  <w:footnote w:id="17">
    <w:p w:rsidR="00E52449" w:rsidRPr="00D55B6D" w:rsidP="00E52449" w14:paraId="3CF88D04" w14:textId="77777777">
      <w:pPr>
        <w:pStyle w:val="FootnoteText"/>
      </w:pPr>
      <w:r w:rsidRPr="00D55B6D">
        <w:rPr>
          <w:rStyle w:val="FootnoteReference"/>
          <w:sz w:val="20"/>
        </w:rPr>
        <w:footnoteRef/>
      </w:r>
      <w:r w:rsidRPr="00D55B6D">
        <w:t xml:space="preserve"> Documents will generally be available electronically in ASCII, Microsoft Word, and/or Adobe Acrobat.</w:t>
      </w:r>
    </w:p>
  </w:footnote>
  <w:footnote w:id="18">
    <w:p w:rsidR="001D7D12" w:rsidRPr="00DF3D92" w:rsidP="001D7D12" w14:paraId="097EB5CD" w14:textId="77777777">
      <w:pPr>
        <w:pStyle w:val="FootnoteText"/>
      </w:pPr>
      <w:r w:rsidRPr="00DF3D92">
        <w:rPr>
          <w:rStyle w:val="FootnoteReference"/>
        </w:rPr>
        <w:footnoteRef/>
      </w:r>
      <w:r w:rsidRPr="00DF3D92">
        <w:t xml:space="preserve"> </w:t>
      </w:r>
      <w:r w:rsidRPr="00DF3D92">
        <w:rPr>
          <w:i/>
        </w:rPr>
        <w:t>See</w:t>
      </w:r>
      <w:r w:rsidRPr="00DF3D92">
        <w:t xml:space="preserve"> 47 CFR § 1.1206.</w:t>
      </w:r>
    </w:p>
  </w:footnote>
  <w:footnote w:id="19">
    <w:p w:rsidR="001D7D12" w:rsidRPr="00DF3D92" w:rsidP="001D7D12" w14:paraId="5D1130B2" w14:textId="77777777">
      <w:pPr>
        <w:pStyle w:val="FootnoteText"/>
      </w:pPr>
      <w:r w:rsidRPr="00DF3D92">
        <w:rPr>
          <w:rStyle w:val="FootnoteReference"/>
        </w:rPr>
        <w:footnoteRef/>
      </w:r>
      <w:r w:rsidRPr="00DF3D92">
        <w:t xml:space="preserve"> </w:t>
      </w:r>
      <w:r w:rsidRPr="00DF3D92">
        <w:rPr>
          <w:i/>
        </w:rPr>
        <w:t>Id</w:t>
      </w:r>
      <w:r w:rsidRPr="00DF3D92">
        <w:t>. § 1.2016(b)(2)(iii).</w:t>
      </w:r>
    </w:p>
  </w:footnote>
  <w:footnote w:id="20">
    <w:p w:rsidR="001D7D12" w:rsidRPr="00DF3D92" w:rsidP="001D7D12" w14:paraId="7785F17B" w14:textId="77777777">
      <w:pPr>
        <w:pStyle w:val="FootnoteText"/>
      </w:pPr>
      <w:r w:rsidRPr="00DF3D92">
        <w:rPr>
          <w:rStyle w:val="FootnoteReference"/>
        </w:rPr>
        <w:footnoteRef/>
      </w:r>
      <w:r w:rsidRPr="00DF3D92">
        <w:t xml:space="preserve"> </w:t>
      </w:r>
      <w:r w:rsidRPr="00DF3D92">
        <w:rPr>
          <w:i/>
        </w:rPr>
        <w:t>Id</w:t>
      </w:r>
      <w:r w:rsidRPr="00DF3D92">
        <w:t>. § 1.206(b)(1).</w:t>
      </w:r>
    </w:p>
  </w:footnote>
  <w:footnote w:id="21">
    <w:p w:rsidR="001D7D12" w:rsidRPr="00DF3D92" w:rsidP="001D7D12" w14:paraId="688DED33" w14:textId="77777777">
      <w:pPr>
        <w:pStyle w:val="FootnoteText"/>
      </w:pPr>
      <w:r w:rsidRPr="00DF3D92">
        <w:rPr>
          <w:rStyle w:val="FootnoteReference"/>
        </w:rPr>
        <w:footnoteRef/>
      </w:r>
      <w:r w:rsidRPr="00DF3D92">
        <w:t xml:space="preserve"> </w:t>
      </w:r>
      <w:r w:rsidRPr="00DF3D92">
        <w:rPr>
          <w:i/>
        </w:rPr>
        <w:t>Id</w:t>
      </w:r>
      <w:r w:rsidRPr="00DF3D92">
        <w:t>.</w:t>
      </w:r>
    </w:p>
  </w:footnote>
  <w:footnote w:id="22">
    <w:p w:rsidR="001D7D12" w:rsidRPr="00DF3D92" w:rsidP="001D7D12" w14:paraId="27D19E90" w14:textId="77777777">
      <w:pPr>
        <w:pStyle w:val="FootnoteText"/>
      </w:pPr>
      <w:r w:rsidRPr="00DF3D92">
        <w:rPr>
          <w:rStyle w:val="FootnoteReference"/>
        </w:rPr>
        <w:footnoteRef/>
      </w:r>
      <w:r w:rsidRPr="00DF3D92">
        <w:t xml:space="preserve"> </w:t>
      </w:r>
      <w:r w:rsidRPr="00DF3D92">
        <w:rPr>
          <w:i/>
        </w:rPr>
        <w:t>Id</w:t>
      </w:r>
      <w:r w:rsidRPr="00DF3D92">
        <w:t>. § 1.1206(b)(2).</w:t>
      </w:r>
    </w:p>
  </w:footnote>
  <w:footnote w:id="23">
    <w:p w:rsidR="001D7D12" w:rsidRPr="00DF3D92" w:rsidP="001D7D12" w14:paraId="2FBCB668" w14:textId="77777777">
      <w:pPr>
        <w:pStyle w:val="FootnoteText"/>
      </w:pPr>
      <w:r w:rsidRPr="00DF3D92">
        <w:rPr>
          <w:rStyle w:val="FootnoteReference"/>
        </w:rPr>
        <w:footnoteRef/>
      </w:r>
      <w:r w:rsidRPr="00DF3D92">
        <w:t xml:space="preserve"> </w:t>
      </w:r>
      <w:r w:rsidRPr="00DF3D92">
        <w:rPr>
          <w:i/>
        </w:rPr>
        <w:t>Id</w:t>
      </w:r>
      <w:r w:rsidRPr="00DF3D92">
        <w:t>. § 1.1206(b)(2)(</w:t>
      </w:r>
      <w:r w:rsidRPr="00DF3D92">
        <w:t>i</w:t>
      </w:r>
      <w:r w:rsidRPr="00DF3D92">
        <w:t xml:space="preserve">); </w:t>
      </w:r>
      <w:r w:rsidRPr="00DF3D92">
        <w:rPr>
          <w:i/>
        </w:rPr>
        <w:t>see also</w:t>
      </w:r>
      <w:r w:rsidRPr="00DF3D92">
        <w:t xml:space="preserve"> </w:t>
      </w:r>
      <w:r w:rsidRPr="00DF3D92">
        <w:rPr>
          <w:i/>
        </w:rPr>
        <w:t xml:space="preserve">id. </w:t>
      </w:r>
      <w:r w:rsidRPr="00DF3D92">
        <w:t>§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BF0" w14:paraId="528B2D4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A426B8C" w14:textId="1326E1CD">
    <w:pPr>
      <w:tabs>
        <w:tab w:val="center" w:pos="4680"/>
        <w:tab w:val="right" w:pos="9360"/>
      </w:tabs>
    </w:pPr>
    <w:r w:rsidRPr="009838BC">
      <w:rPr>
        <w:b/>
      </w:rPr>
      <w:tab/>
      <w:t>Federal Communications Commission</w:t>
    </w:r>
    <w:r w:rsidRPr="009838BC">
      <w:rPr>
        <w:b/>
      </w:rPr>
      <w:tab/>
    </w:r>
    <w:r w:rsidR="00E52449">
      <w:rPr>
        <w:b/>
      </w:rPr>
      <w:t xml:space="preserve">DA </w:t>
    </w:r>
    <w:r w:rsidR="00A85583">
      <w:rPr>
        <w:b/>
      </w:rPr>
      <w:t>20</w:t>
    </w:r>
    <w:r w:rsidR="00E52449">
      <w:rPr>
        <w:b/>
      </w:rPr>
      <w:t>-</w:t>
    </w:r>
    <w:r w:rsidR="001A6BF0">
      <w:rPr>
        <w:b/>
      </w:rPr>
      <w:t>381</w:t>
    </w:r>
  </w:p>
  <w:p w:rsidR="009838BC" w:rsidRPr="009838BC" w:rsidP="009838BC" w14:paraId="01249AAD" w14:textId="6432F60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44E96E4"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0B08205" w14:textId="0D4BCD3F">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471D6858" w14:textId="77777777">
                    <w:pPr>
                      <w:rPr>
                        <w:rFonts w:ascii="Arial" w:hAnsi="Arial"/>
                        <w:b/>
                      </w:rPr>
                    </w:pPr>
                    <w:r>
                      <w:rPr>
                        <w:rFonts w:ascii="Arial" w:hAnsi="Arial"/>
                        <w:b/>
                      </w:rPr>
                      <w:t>Federal Communications Commission</w:t>
                    </w:r>
                  </w:p>
                  <w:p w:rsidR="009838BC" w:rsidP="009838BC" w14:paraId="4E38E1B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7372873"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44984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E78EC3C" w14:textId="66326A7B">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E0277B5" w14:textId="77777777">
                    <w:pPr>
                      <w:spacing w:before="40"/>
                      <w:jc w:val="right"/>
                      <w:rPr>
                        <w:rFonts w:ascii="Arial" w:hAnsi="Arial"/>
                        <w:b/>
                        <w:sz w:val="16"/>
                      </w:rPr>
                    </w:pPr>
                    <w:r>
                      <w:rPr>
                        <w:rFonts w:ascii="Arial" w:hAnsi="Arial"/>
                        <w:b/>
                        <w:sz w:val="16"/>
                      </w:rPr>
                      <w:t>News Media Information 202 / 418-0500</w:t>
                    </w:r>
                  </w:p>
                  <w:p w:rsidR="009838BC" w:rsidP="009838BC" w14:paraId="5FB71BCA"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0EB207B3" w14:textId="77777777">
                    <w:pPr>
                      <w:jc w:val="right"/>
                    </w:pPr>
                    <w:r>
                      <w:rPr>
                        <w:rFonts w:ascii="Arial" w:hAnsi="Arial"/>
                        <w:b/>
                        <w:sz w:val="16"/>
                      </w:rPr>
                      <w:t>TTY: 1-888-835-5322</w:t>
                    </w:r>
                  </w:p>
                </w:txbxContent>
              </v:textbox>
            </v:shape>
          </w:pict>
        </mc:Fallback>
      </mc:AlternateContent>
    </w:r>
  </w:p>
  <w:p w:rsidR="006F7393" w:rsidRPr="009838BC" w:rsidP="009838BC" w14:paraId="200B7B4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EE4A26"/>
    <w:multiLevelType w:val="hybridMultilevel"/>
    <w:tmpl w:val="7638C998"/>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49"/>
    <w:rsid w:val="000072CE"/>
    <w:rsid w:val="00013A8B"/>
    <w:rsid w:val="00021445"/>
    <w:rsid w:val="00036039"/>
    <w:rsid w:val="00037F90"/>
    <w:rsid w:val="000875BF"/>
    <w:rsid w:val="00096D8C"/>
    <w:rsid w:val="000B46B9"/>
    <w:rsid w:val="000C0B65"/>
    <w:rsid w:val="000D2585"/>
    <w:rsid w:val="000D50C6"/>
    <w:rsid w:val="000E3D42"/>
    <w:rsid w:val="000E5884"/>
    <w:rsid w:val="00122BD5"/>
    <w:rsid w:val="00156E08"/>
    <w:rsid w:val="00171616"/>
    <w:rsid w:val="001979D9"/>
    <w:rsid w:val="001A6BF0"/>
    <w:rsid w:val="001D6BCF"/>
    <w:rsid w:val="001D7D12"/>
    <w:rsid w:val="001E01CA"/>
    <w:rsid w:val="002060D9"/>
    <w:rsid w:val="00220A4C"/>
    <w:rsid w:val="00226822"/>
    <w:rsid w:val="00234455"/>
    <w:rsid w:val="00254487"/>
    <w:rsid w:val="00260594"/>
    <w:rsid w:val="00285017"/>
    <w:rsid w:val="002A2D2E"/>
    <w:rsid w:val="002B53E7"/>
    <w:rsid w:val="002F199A"/>
    <w:rsid w:val="00332A07"/>
    <w:rsid w:val="00343749"/>
    <w:rsid w:val="00357D50"/>
    <w:rsid w:val="00386919"/>
    <w:rsid w:val="003925DC"/>
    <w:rsid w:val="003B0550"/>
    <w:rsid w:val="003B694F"/>
    <w:rsid w:val="003F171C"/>
    <w:rsid w:val="003F4C07"/>
    <w:rsid w:val="00412FC5"/>
    <w:rsid w:val="00422276"/>
    <w:rsid w:val="004242F1"/>
    <w:rsid w:val="00445A00"/>
    <w:rsid w:val="00451B0F"/>
    <w:rsid w:val="0046125F"/>
    <w:rsid w:val="00487524"/>
    <w:rsid w:val="00496106"/>
    <w:rsid w:val="004A5F1C"/>
    <w:rsid w:val="004C12D0"/>
    <w:rsid w:val="004C2EE3"/>
    <w:rsid w:val="004E101F"/>
    <w:rsid w:val="004E4A22"/>
    <w:rsid w:val="00511968"/>
    <w:rsid w:val="00511EE2"/>
    <w:rsid w:val="0055614C"/>
    <w:rsid w:val="00591617"/>
    <w:rsid w:val="005D1037"/>
    <w:rsid w:val="00607BA5"/>
    <w:rsid w:val="00621058"/>
    <w:rsid w:val="00625C48"/>
    <w:rsid w:val="00626EB6"/>
    <w:rsid w:val="00627779"/>
    <w:rsid w:val="006353A3"/>
    <w:rsid w:val="00655D03"/>
    <w:rsid w:val="00683F84"/>
    <w:rsid w:val="006A6A81"/>
    <w:rsid w:val="006E26AF"/>
    <w:rsid w:val="006F50EB"/>
    <w:rsid w:val="006F7393"/>
    <w:rsid w:val="0070224F"/>
    <w:rsid w:val="007115F7"/>
    <w:rsid w:val="00785689"/>
    <w:rsid w:val="0079754B"/>
    <w:rsid w:val="007A1E6D"/>
    <w:rsid w:val="007B69B4"/>
    <w:rsid w:val="00822CE0"/>
    <w:rsid w:val="00834B4E"/>
    <w:rsid w:val="00837C62"/>
    <w:rsid w:val="00841AB1"/>
    <w:rsid w:val="008665F7"/>
    <w:rsid w:val="008C22FD"/>
    <w:rsid w:val="00910F12"/>
    <w:rsid w:val="00926503"/>
    <w:rsid w:val="00930ECF"/>
    <w:rsid w:val="0093745F"/>
    <w:rsid w:val="00967D60"/>
    <w:rsid w:val="009838BC"/>
    <w:rsid w:val="00997DF0"/>
    <w:rsid w:val="009B6F47"/>
    <w:rsid w:val="00A45F4F"/>
    <w:rsid w:val="00A462AA"/>
    <w:rsid w:val="00A600A9"/>
    <w:rsid w:val="00A73B0C"/>
    <w:rsid w:val="00A82A59"/>
    <w:rsid w:val="00A85583"/>
    <w:rsid w:val="00A866AC"/>
    <w:rsid w:val="00A97231"/>
    <w:rsid w:val="00AA55B7"/>
    <w:rsid w:val="00AA5B9E"/>
    <w:rsid w:val="00AB2407"/>
    <w:rsid w:val="00AB53DF"/>
    <w:rsid w:val="00AD6750"/>
    <w:rsid w:val="00AE2784"/>
    <w:rsid w:val="00B07E5C"/>
    <w:rsid w:val="00B326E3"/>
    <w:rsid w:val="00B419AC"/>
    <w:rsid w:val="00B50F33"/>
    <w:rsid w:val="00B51D55"/>
    <w:rsid w:val="00B811F7"/>
    <w:rsid w:val="00B92FA4"/>
    <w:rsid w:val="00BA5DC6"/>
    <w:rsid w:val="00BA6196"/>
    <w:rsid w:val="00BC6D8C"/>
    <w:rsid w:val="00BD5283"/>
    <w:rsid w:val="00C16AF2"/>
    <w:rsid w:val="00C23390"/>
    <w:rsid w:val="00C34006"/>
    <w:rsid w:val="00C426B1"/>
    <w:rsid w:val="00C627FA"/>
    <w:rsid w:val="00C62904"/>
    <w:rsid w:val="00C82B6B"/>
    <w:rsid w:val="00C90D6A"/>
    <w:rsid w:val="00CC72B6"/>
    <w:rsid w:val="00CF25EE"/>
    <w:rsid w:val="00CF7B85"/>
    <w:rsid w:val="00D0218D"/>
    <w:rsid w:val="00D02C05"/>
    <w:rsid w:val="00D216CD"/>
    <w:rsid w:val="00D448EF"/>
    <w:rsid w:val="00D46E8D"/>
    <w:rsid w:val="00D55B6D"/>
    <w:rsid w:val="00D62127"/>
    <w:rsid w:val="00D94B15"/>
    <w:rsid w:val="00DA2529"/>
    <w:rsid w:val="00DB0929"/>
    <w:rsid w:val="00DB130A"/>
    <w:rsid w:val="00DC10A1"/>
    <w:rsid w:val="00DC655F"/>
    <w:rsid w:val="00DD7EBD"/>
    <w:rsid w:val="00DF3D92"/>
    <w:rsid w:val="00DF62B6"/>
    <w:rsid w:val="00E07225"/>
    <w:rsid w:val="00E155B7"/>
    <w:rsid w:val="00E41E31"/>
    <w:rsid w:val="00E52449"/>
    <w:rsid w:val="00E5409F"/>
    <w:rsid w:val="00EC0185"/>
    <w:rsid w:val="00ED35A9"/>
    <w:rsid w:val="00EE5DCC"/>
    <w:rsid w:val="00F021FA"/>
    <w:rsid w:val="00F57ACA"/>
    <w:rsid w:val="00F62E97"/>
    <w:rsid w:val="00F64209"/>
    <w:rsid w:val="00F85A94"/>
    <w:rsid w:val="00F93BF5"/>
    <w:rsid w:val="00F96F63"/>
    <w:rsid w:val="00FE4637"/>
    <w:rsid w:val="00FE7EC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303C74D-BD9B-4DFC-A916-EEA18578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0D50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0C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AD6750"/>
    <w:rPr>
      <w:sz w:val="16"/>
      <w:szCs w:val="16"/>
    </w:rPr>
  </w:style>
  <w:style w:type="paragraph" w:styleId="CommentText">
    <w:name w:val="annotation text"/>
    <w:basedOn w:val="Normal"/>
    <w:link w:val="CommentTextChar"/>
    <w:uiPriority w:val="99"/>
    <w:semiHidden/>
    <w:unhideWhenUsed/>
    <w:rsid w:val="00AD6750"/>
    <w:rPr>
      <w:sz w:val="20"/>
    </w:rPr>
  </w:style>
  <w:style w:type="character" w:customStyle="1" w:styleId="CommentTextChar">
    <w:name w:val="Comment Text Char"/>
    <w:basedOn w:val="DefaultParagraphFont"/>
    <w:link w:val="CommentText"/>
    <w:uiPriority w:val="99"/>
    <w:semiHidden/>
    <w:rsid w:val="00AD6750"/>
    <w:rPr>
      <w:snapToGrid w:val="0"/>
      <w:kern w:val="28"/>
    </w:rPr>
  </w:style>
  <w:style w:type="paragraph" w:styleId="CommentSubject">
    <w:name w:val="annotation subject"/>
    <w:basedOn w:val="CommentText"/>
    <w:next w:val="CommentText"/>
    <w:link w:val="CommentSubjectChar"/>
    <w:uiPriority w:val="99"/>
    <w:semiHidden/>
    <w:unhideWhenUsed/>
    <w:rsid w:val="00AD6750"/>
    <w:rPr>
      <w:b/>
      <w:bCs/>
    </w:rPr>
  </w:style>
  <w:style w:type="character" w:customStyle="1" w:styleId="CommentSubjectChar">
    <w:name w:val="Comment Subject Char"/>
    <w:basedOn w:val="CommentTextChar"/>
    <w:link w:val="CommentSubject"/>
    <w:uiPriority w:val="99"/>
    <w:semiHidden/>
    <w:rsid w:val="00AD6750"/>
    <w:rPr>
      <w:b/>
      <w:bCs/>
      <w:snapToGrid w:val="0"/>
      <w:kern w:val="28"/>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 Char,fn Char2"/>
    <w:link w:val="FootnoteText"/>
    <w:rsid w:val="001D7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bdel-Hamid.Eqab@fcc.gov" TargetMode="External" /><Relationship Id="rId6" Type="http://schemas.openxmlformats.org/officeDocument/2006/relationships/hyperlink" Target="mailto:Charles.Tyler@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