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6A36" w:rsidP="00016A36" w14:paraId="6D86B0DA" w14:textId="77777777">
      <w:pPr>
        <w:jc w:val="center"/>
        <w:rPr>
          <w:b/>
        </w:rPr>
      </w:pPr>
      <w:r w:rsidRPr="0070224F">
        <w:rPr>
          <w:rFonts w:ascii="Times New Roman Bold" w:hAnsi="Times New Roman Bold"/>
          <w:b/>
          <w:kern w:val="0"/>
          <w:szCs w:val="22"/>
        </w:rPr>
        <w:t>Before</w:t>
      </w:r>
      <w:r>
        <w:rPr>
          <w:b/>
        </w:rPr>
        <w:t xml:space="preserve"> the</w:t>
      </w:r>
    </w:p>
    <w:p w:rsidR="00016A36" w:rsidP="00016A36" w14:paraId="633B7B7A" w14:textId="77777777">
      <w:pPr>
        <w:pStyle w:val="StyleBoldCentered"/>
      </w:pPr>
      <w:r>
        <w:t>F</w:t>
      </w:r>
      <w:r>
        <w:rPr>
          <w:caps w:val="0"/>
        </w:rPr>
        <w:t>ederal Communications Commission</w:t>
      </w:r>
    </w:p>
    <w:p w:rsidR="00016A36" w:rsidP="00016A36" w14:paraId="7BFCE0E4" w14:textId="77777777">
      <w:pPr>
        <w:pStyle w:val="StyleBoldCentered"/>
      </w:pPr>
      <w:r>
        <w:rPr>
          <w:caps w:val="0"/>
        </w:rPr>
        <w:t>Washington, D.C. 20554</w:t>
      </w:r>
    </w:p>
    <w:p w:rsidR="00016A36" w:rsidP="00016A36" w14:paraId="2F4C8869" w14:textId="77777777"/>
    <w:p w:rsidR="00016A36" w:rsidP="00016A36" w14:paraId="2619E81B" w14:textId="77777777"/>
    <w:tbl>
      <w:tblPr>
        <w:tblW w:w="0" w:type="auto"/>
        <w:tblLayout w:type="fixed"/>
        <w:tblLook w:val="0000"/>
      </w:tblPr>
      <w:tblGrid>
        <w:gridCol w:w="4698"/>
        <w:gridCol w:w="630"/>
        <w:gridCol w:w="4248"/>
      </w:tblGrid>
      <w:tr w14:paraId="2880F5A0" w14:textId="77777777" w:rsidTr="00FE5EDF">
        <w:tblPrEx>
          <w:tblW w:w="0" w:type="auto"/>
          <w:tblLayout w:type="fixed"/>
          <w:tblLook w:val="0000"/>
        </w:tblPrEx>
        <w:tc>
          <w:tcPr>
            <w:tcW w:w="4698" w:type="dxa"/>
          </w:tcPr>
          <w:p w:rsidR="00016A36" w:rsidP="00FE5EDF" w14:paraId="4AEA23FB" w14:textId="77777777">
            <w:pPr>
              <w:tabs>
                <w:tab w:val="center" w:pos="4680"/>
              </w:tabs>
              <w:suppressAutoHyphens/>
              <w:rPr>
                <w:spacing w:val="-2"/>
              </w:rPr>
            </w:pPr>
            <w:r>
              <w:rPr>
                <w:spacing w:val="-2"/>
              </w:rPr>
              <w:t>In the Matter of</w:t>
            </w:r>
          </w:p>
          <w:p w:rsidR="00016A36" w:rsidP="00FE5EDF" w14:paraId="13733BAA" w14:textId="77777777">
            <w:pPr>
              <w:tabs>
                <w:tab w:val="center" w:pos="4680"/>
              </w:tabs>
              <w:suppressAutoHyphens/>
              <w:rPr>
                <w:spacing w:val="-2"/>
              </w:rPr>
            </w:pPr>
          </w:p>
          <w:p w:rsidR="00016A36" w:rsidRPr="003C73D8" w:rsidP="00FE5EDF" w14:paraId="46C49650" w14:textId="77777777">
            <w:pPr>
              <w:tabs>
                <w:tab w:val="center" w:pos="4680"/>
              </w:tabs>
              <w:suppressAutoHyphens/>
              <w:rPr>
                <w:spacing w:val="-2"/>
                <w:szCs w:val="22"/>
              </w:rPr>
            </w:pPr>
            <w:r w:rsidRPr="003C73D8">
              <w:rPr>
                <w:spacing w:val="-2"/>
                <w:szCs w:val="22"/>
              </w:rPr>
              <w:t>Lifeline and Link Up Reform and Modernization</w:t>
            </w:r>
          </w:p>
          <w:p w:rsidR="00016A36" w:rsidRPr="007115F7" w:rsidP="00FE5EDF" w14:paraId="7EC765AF" w14:textId="77777777">
            <w:pPr>
              <w:tabs>
                <w:tab w:val="center" w:pos="4680"/>
              </w:tabs>
              <w:suppressAutoHyphens/>
              <w:rPr>
                <w:spacing w:val="-2"/>
              </w:rPr>
            </w:pPr>
          </w:p>
        </w:tc>
        <w:tc>
          <w:tcPr>
            <w:tcW w:w="630" w:type="dxa"/>
          </w:tcPr>
          <w:p w:rsidR="00016A36" w:rsidP="00FE5EDF" w14:paraId="4294D69F" w14:textId="77777777">
            <w:pPr>
              <w:tabs>
                <w:tab w:val="center" w:pos="4680"/>
              </w:tabs>
              <w:suppressAutoHyphens/>
              <w:rPr>
                <w:b/>
                <w:spacing w:val="-2"/>
              </w:rPr>
            </w:pPr>
            <w:r>
              <w:rPr>
                <w:b/>
                <w:spacing w:val="-2"/>
              </w:rPr>
              <w:t>)</w:t>
            </w:r>
          </w:p>
          <w:p w:rsidR="00016A36" w:rsidP="00FE5EDF" w14:paraId="62FA68E7" w14:textId="77777777">
            <w:pPr>
              <w:tabs>
                <w:tab w:val="center" w:pos="4680"/>
              </w:tabs>
              <w:suppressAutoHyphens/>
              <w:rPr>
                <w:b/>
                <w:spacing w:val="-2"/>
              </w:rPr>
            </w:pPr>
            <w:r>
              <w:rPr>
                <w:b/>
                <w:spacing w:val="-2"/>
              </w:rPr>
              <w:t>)</w:t>
            </w:r>
          </w:p>
          <w:p w:rsidR="00016A36" w:rsidP="00FE5EDF" w14:paraId="3B974946" w14:textId="77777777">
            <w:pPr>
              <w:tabs>
                <w:tab w:val="center" w:pos="4680"/>
              </w:tabs>
              <w:suppressAutoHyphens/>
              <w:rPr>
                <w:b/>
                <w:spacing w:val="-2"/>
              </w:rPr>
            </w:pPr>
            <w:r>
              <w:rPr>
                <w:b/>
                <w:spacing w:val="-2"/>
              </w:rPr>
              <w:t>)</w:t>
            </w:r>
          </w:p>
          <w:p w:rsidR="00016A36" w:rsidRPr="00C34527" w:rsidP="00FE5EDF" w14:paraId="35E2D6BA" w14:textId="77777777">
            <w:pPr>
              <w:tabs>
                <w:tab w:val="center" w:pos="4680"/>
              </w:tabs>
              <w:suppressAutoHyphens/>
              <w:rPr>
                <w:b/>
                <w:spacing w:val="-2"/>
              </w:rPr>
            </w:pPr>
            <w:r>
              <w:rPr>
                <w:b/>
                <w:spacing w:val="-2"/>
              </w:rPr>
              <w:t>)</w:t>
            </w:r>
          </w:p>
        </w:tc>
        <w:tc>
          <w:tcPr>
            <w:tcW w:w="4248" w:type="dxa"/>
          </w:tcPr>
          <w:p w:rsidR="00016A36" w:rsidP="00FE5EDF" w14:paraId="5A545E4F" w14:textId="77777777">
            <w:pPr>
              <w:tabs>
                <w:tab w:val="center" w:pos="4680"/>
              </w:tabs>
              <w:suppressAutoHyphens/>
              <w:rPr>
                <w:spacing w:val="-2"/>
              </w:rPr>
            </w:pPr>
          </w:p>
          <w:p w:rsidR="00016A36" w:rsidP="00FE5EDF" w14:paraId="71B2D423" w14:textId="77777777">
            <w:pPr>
              <w:pStyle w:val="TOAHeading"/>
              <w:tabs>
                <w:tab w:val="center" w:pos="4680"/>
                <w:tab w:val="clear" w:pos="9360"/>
              </w:tabs>
              <w:rPr>
                <w:spacing w:val="-2"/>
              </w:rPr>
            </w:pPr>
          </w:p>
          <w:p w:rsidR="00016A36" w:rsidRPr="003C73D8" w:rsidP="00FE5EDF" w14:paraId="748141F1" w14:textId="77777777">
            <w:pPr>
              <w:tabs>
                <w:tab w:val="center" w:pos="4680"/>
              </w:tabs>
              <w:suppressAutoHyphens/>
              <w:rPr>
                <w:spacing w:val="-2"/>
                <w:szCs w:val="22"/>
              </w:rPr>
            </w:pPr>
            <w:r w:rsidRPr="003C73D8">
              <w:rPr>
                <w:spacing w:val="-2"/>
                <w:szCs w:val="22"/>
              </w:rPr>
              <w:t>WC Docket No. 11-42</w:t>
            </w:r>
          </w:p>
          <w:p w:rsidR="00016A36" w:rsidP="00FE5EDF" w14:paraId="1DCBA4E0" w14:textId="77777777">
            <w:pPr>
              <w:tabs>
                <w:tab w:val="center" w:pos="4680"/>
              </w:tabs>
              <w:suppressAutoHyphens/>
              <w:rPr>
                <w:spacing w:val="-2"/>
              </w:rPr>
            </w:pPr>
          </w:p>
        </w:tc>
      </w:tr>
    </w:tbl>
    <w:p w:rsidR="00016A36" w:rsidP="00016A36" w14:paraId="765BC334" w14:textId="77777777"/>
    <w:p w:rsidR="00016A36" w:rsidP="00016A36" w14:paraId="395C980E" w14:textId="77777777">
      <w:pPr>
        <w:pStyle w:val="StyleBoldCentered"/>
      </w:pPr>
      <w:r>
        <w:t>ORDER</w:t>
      </w:r>
    </w:p>
    <w:p w:rsidR="00016A36" w:rsidP="00016A36" w14:paraId="304215CC" w14:textId="77777777">
      <w:pPr>
        <w:tabs>
          <w:tab w:val="left" w:pos="-720"/>
        </w:tabs>
        <w:suppressAutoHyphens/>
        <w:spacing w:line="227" w:lineRule="auto"/>
        <w:rPr>
          <w:spacing w:val="-2"/>
        </w:rPr>
      </w:pPr>
    </w:p>
    <w:p w:rsidR="00016A36" w:rsidP="00016A36" w14:paraId="724AFC3D" w14:textId="0D23098B">
      <w:pPr>
        <w:tabs>
          <w:tab w:val="left" w:pos="720"/>
          <w:tab w:val="right" w:pos="9360"/>
        </w:tabs>
        <w:suppressAutoHyphens/>
        <w:spacing w:line="227" w:lineRule="auto"/>
        <w:rPr>
          <w:spacing w:val="-2"/>
        </w:rPr>
      </w:pPr>
      <w:r>
        <w:rPr>
          <w:b/>
          <w:spacing w:val="-2"/>
        </w:rPr>
        <w:t xml:space="preserve">Adopted:  March </w:t>
      </w:r>
      <w:r w:rsidR="007F79D6">
        <w:rPr>
          <w:b/>
          <w:spacing w:val="-2"/>
        </w:rPr>
        <w:t>30</w:t>
      </w:r>
      <w:r>
        <w:rPr>
          <w:b/>
          <w:spacing w:val="-2"/>
        </w:rPr>
        <w:t>, 2020</w:t>
      </w:r>
      <w:r>
        <w:rPr>
          <w:b/>
          <w:spacing w:val="-2"/>
        </w:rPr>
        <w:tab/>
        <w:t xml:space="preserve">Released:  March </w:t>
      </w:r>
      <w:r w:rsidR="007F79D6">
        <w:rPr>
          <w:b/>
          <w:spacing w:val="-2"/>
        </w:rPr>
        <w:t>30</w:t>
      </w:r>
      <w:r>
        <w:rPr>
          <w:b/>
          <w:spacing w:val="-2"/>
        </w:rPr>
        <w:t>, 2020</w:t>
      </w:r>
    </w:p>
    <w:p w:rsidR="00016A36" w:rsidP="00016A36" w14:paraId="41BB94CA" w14:textId="77777777"/>
    <w:p w:rsidR="00016A36" w:rsidP="00016A36" w14:paraId="5447E11F" w14:textId="77777777">
      <w:pPr>
        <w:rPr>
          <w:spacing w:val="-2"/>
        </w:rPr>
      </w:pPr>
      <w:r>
        <w:t xml:space="preserve">By the </w:t>
      </w:r>
      <w:r w:rsidRPr="003C73D8">
        <w:rPr>
          <w:spacing w:val="-2"/>
          <w:szCs w:val="22"/>
        </w:rPr>
        <w:t>Chief, Wireline Competition Bureau</w:t>
      </w:r>
      <w:r>
        <w:rPr>
          <w:spacing w:val="-2"/>
        </w:rPr>
        <w:t>:</w:t>
      </w:r>
    </w:p>
    <w:p w:rsidR="00016A36" w:rsidP="00016A36" w14:paraId="64945700" w14:textId="77777777">
      <w:pPr>
        <w:rPr>
          <w:spacing w:val="-2"/>
        </w:rPr>
      </w:pPr>
    </w:p>
    <w:p w:rsidR="00016A36" w:rsidP="00016A36" w14:paraId="29DA74B1" w14:textId="189B9A20">
      <w:pPr>
        <w:pStyle w:val="Heading1"/>
      </w:pPr>
      <w:r>
        <w:t>INTRODUCTION</w:t>
      </w:r>
    </w:p>
    <w:p w:rsidR="00BF2186" w:rsidP="00016A36" w14:paraId="61F3E3E2" w14:textId="77777777">
      <w:pPr>
        <w:pStyle w:val="ParaNum"/>
      </w:pPr>
      <w:r>
        <w:t xml:space="preserve">The coronavirus </w:t>
      </w:r>
      <w:r>
        <w:t>COVID</w:t>
      </w:r>
      <w:r>
        <w:t>-19 pandemic is an outbreak of a respiratory illness that has spread throughout the United States.</w:t>
      </w:r>
      <w:r>
        <w:rPr>
          <w:rStyle w:val="FootnoteReference"/>
          <w:szCs w:val="22"/>
        </w:rPr>
        <w:footnoteReference w:id="3"/>
      </w:r>
      <w:r>
        <w:t xml:space="preserve">  Efforts to slow the spread of the disease and mitigate </w:t>
      </w:r>
      <w:r w:rsidRPr="00C34527">
        <w:rPr>
          <w:color w:val="000000"/>
        </w:rPr>
        <w:t xml:space="preserve">strain </w:t>
      </w:r>
      <w:r>
        <w:t xml:space="preserve">on the nation’s healthcare system have resulted in the dramatic disruption of many aspects of Americans’ lives, including social distancing measures to prevent person-to-person transmission that require the closure of schools and workplaces.  Across the country, people are turning to telemedicine, telework, and online learning to enable social distancing measures, which has only increased the importance of access to affordable communications services for low-income households.  </w:t>
      </w:r>
    </w:p>
    <w:p w:rsidR="00016A36" w:rsidP="00016A36" w14:paraId="3CBB6E09" w14:textId="4B64C000">
      <w:pPr>
        <w:pStyle w:val="ParaNum"/>
      </w:pPr>
      <w:r>
        <w:t>To help Americans stay connected during the pandemic, the Wireline Competition Bureau has already waived a number of rules and deadlines.</w:t>
      </w:r>
      <w:r>
        <w:rPr>
          <w:rStyle w:val="FootnoteReference"/>
        </w:rPr>
        <w:footnoteReference w:id="4"/>
      </w:r>
      <w:r>
        <w:t xml:space="preserve">  </w:t>
      </w:r>
      <w:r w:rsidR="00036A8B">
        <w:t xml:space="preserve">In </w:t>
      </w:r>
      <w:r w:rsidRPr="00BF2186" w:rsidR="00036A8B">
        <w:rPr>
          <w:szCs w:val="22"/>
        </w:rPr>
        <w:t xml:space="preserve">this Order, </w:t>
      </w:r>
      <w:r w:rsidRPr="00BF2186" w:rsidR="00A32200">
        <w:rPr>
          <w:szCs w:val="22"/>
        </w:rPr>
        <w:t xml:space="preserve">the Bureau </w:t>
      </w:r>
      <w:r w:rsidRPr="00BF2186" w:rsidR="0048792D">
        <w:rPr>
          <w:szCs w:val="22"/>
        </w:rPr>
        <w:t>takes several actions to help ensure that no Lifeline subscribers are involuntarily de-enrolled from the Lifeline program during this unprecedent</w:t>
      </w:r>
      <w:r w:rsidRPr="00BF2186" w:rsidR="004E6F0E">
        <w:rPr>
          <w:szCs w:val="22"/>
        </w:rPr>
        <w:t>ed</w:t>
      </w:r>
      <w:r w:rsidRPr="00BF2186" w:rsidR="0048792D">
        <w:rPr>
          <w:szCs w:val="22"/>
        </w:rPr>
        <w:t xml:space="preserve"> national pandemic.  First, the Bureau </w:t>
      </w:r>
      <w:r w:rsidRPr="00BF2186" w:rsidR="00A32200">
        <w:rPr>
          <w:szCs w:val="22"/>
        </w:rPr>
        <w:t>temporarily waives, on its own motion, the Lifeline program’s usage requirements</w:t>
      </w:r>
      <w:r>
        <w:rPr>
          <w:vertAlign w:val="superscript"/>
        </w:rPr>
        <w:footnoteReference w:id="5"/>
      </w:r>
      <w:r w:rsidRPr="00BF2186" w:rsidR="00A32200">
        <w:rPr>
          <w:szCs w:val="22"/>
        </w:rPr>
        <w:t xml:space="preserve"> and general de-enrollment procedures</w:t>
      </w:r>
      <w:r w:rsidRPr="00BF2186" w:rsidR="0048792D">
        <w:rPr>
          <w:szCs w:val="22"/>
        </w:rPr>
        <w:t>,</w:t>
      </w:r>
      <w:r>
        <w:rPr>
          <w:vertAlign w:val="superscript"/>
        </w:rPr>
        <w:footnoteReference w:id="6"/>
      </w:r>
      <w:r w:rsidRPr="00BF2186" w:rsidR="00A32200">
        <w:rPr>
          <w:szCs w:val="22"/>
        </w:rPr>
        <w:t xml:space="preserve"> </w:t>
      </w:r>
      <w:r w:rsidRPr="00BF2186" w:rsidR="0048792D">
        <w:rPr>
          <w:szCs w:val="22"/>
        </w:rPr>
        <w:t xml:space="preserve">until </w:t>
      </w:r>
      <w:r w:rsidRPr="00BF2186">
        <w:rPr>
          <w:szCs w:val="22"/>
        </w:rPr>
        <w:t>May 29, 2020</w:t>
      </w:r>
      <w:r w:rsidRPr="00BF2186" w:rsidR="00A32200">
        <w:rPr>
          <w:szCs w:val="22"/>
        </w:rPr>
        <w:t>.</w:t>
      </w:r>
      <w:r>
        <w:rPr>
          <w:vertAlign w:val="superscript"/>
        </w:rPr>
        <w:footnoteReference w:id="7"/>
      </w:r>
      <w:r w:rsidRPr="00BF2186" w:rsidR="00A32200">
        <w:rPr>
          <w:szCs w:val="22"/>
        </w:rPr>
        <w:t xml:space="preserve">  </w:t>
      </w:r>
      <w:r w:rsidRPr="00BF2186" w:rsidR="0048792D">
        <w:rPr>
          <w:szCs w:val="22"/>
        </w:rPr>
        <w:t>Second, we</w:t>
      </w:r>
      <w:r w:rsidRPr="00BF2186" w:rsidR="00A32200">
        <w:rPr>
          <w:szCs w:val="22"/>
        </w:rPr>
        <w:t xml:space="preserve"> extend, on our own motion, our previous waiver of the Lifeline program’s recertification and reverification </w:t>
      </w:r>
      <w:r w:rsidRPr="00BF2186" w:rsidR="006D16AF">
        <w:rPr>
          <w:szCs w:val="22"/>
        </w:rPr>
        <w:t>rules</w:t>
      </w:r>
      <w:r>
        <w:rPr>
          <w:rStyle w:val="FootnoteReference"/>
          <w:szCs w:val="22"/>
        </w:rPr>
        <w:footnoteReference w:id="8"/>
      </w:r>
      <w:r w:rsidRPr="00BF2186" w:rsidR="006D16AF">
        <w:rPr>
          <w:szCs w:val="22"/>
        </w:rPr>
        <w:t xml:space="preserve"> </w:t>
      </w:r>
      <w:r w:rsidRPr="00BF2186" w:rsidR="0048792D">
        <w:rPr>
          <w:szCs w:val="22"/>
        </w:rPr>
        <w:t xml:space="preserve">to </w:t>
      </w:r>
      <w:r w:rsidRPr="00BF2186">
        <w:rPr>
          <w:szCs w:val="22"/>
        </w:rPr>
        <w:t xml:space="preserve">May 29, 2020 </w:t>
      </w:r>
      <w:r w:rsidRPr="00BF2186" w:rsidR="00A32200">
        <w:rPr>
          <w:szCs w:val="22"/>
        </w:rPr>
        <w:t>to ensure that all of the waiver periods for Lifeline’s de-enrollment rules will have the same duration.</w:t>
      </w:r>
      <w:r>
        <w:rPr>
          <w:vertAlign w:val="superscript"/>
        </w:rPr>
        <w:footnoteReference w:id="9"/>
      </w:r>
      <w:r w:rsidRPr="00BF2186" w:rsidR="00A32200">
        <w:rPr>
          <w:szCs w:val="22"/>
        </w:rPr>
        <w:t xml:space="preserve">  </w:t>
      </w:r>
      <w:r w:rsidRPr="00BF2186" w:rsidR="0048792D">
        <w:rPr>
          <w:szCs w:val="22"/>
        </w:rPr>
        <w:t xml:space="preserve">Third, we direct the Universal Service Administrative Company </w:t>
      </w:r>
      <w:r w:rsidRPr="00BF2186" w:rsidR="0048792D">
        <w:rPr>
          <w:szCs w:val="22"/>
        </w:rPr>
        <w:t xml:space="preserve">(USAC) to pause </w:t>
      </w:r>
      <w:r w:rsidRPr="00BF2186">
        <w:rPr>
          <w:szCs w:val="22"/>
        </w:rPr>
        <w:t xml:space="preserve">any </w:t>
      </w:r>
      <w:r w:rsidR="004B0945">
        <w:rPr>
          <w:szCs w:val="22"/>
        </w:rPr>
        <w:t>in</w:t>
      </w:r>
      <w:r w:rsidRPr="00BF2186">
        <w:rPr>
          <w:szCs w:val="22"/>
        </w:rPr>
        <w:t>voluntary de</w:t>
      </w:r>
      <w:r w:rsidR="00C56FAB">
        <w:rPr>
          <w:szCs w:val="22"/>
        </w:rPr>
        <w:t>-</w:t>
      </w:r>
      <w:r w:rsidRPr="00BF2186">
        <w:rPr>
          <w:szCs w:val="22"/>
        </w:rPr>
        <w:t>enrollment of</w:t>
      </w:r>
      <w:r w:rsidRPr="00BF2186" w:rsidR="0048792D">
        <w:rPr>
          <w:szCs w:val="22"/>
        </w:rPr>
        <w:t xml:space="preserve"> existing subscribers.  </w:t>
      </w:r>
      <w:r w:rsidRPr="00BF2186" w:rsidR="00A32200">
        <w:rPr>
          <w:szCs w:val="22"/>
        </w:rPr>
        <w:t xml:space="preserve">Based on the record before us, we find that good cause exists to temporarily waive these rules, as provided herein, to assist Lifeline program participants potentially affected by the coronavirus and community efforts to slow its spread.  We will continue to monitor the situation to determine whether any additional </w:t>
      </w:r>
      <w:r w:rsidRPr="00BF2186" w:rsidR="0048792D">
        <w:rPr>
          <w:szCs w:val="22"/>
        </w:rPr>
        <w:t xml:space="preserve">extension of these </w:t>
      </w:r>
      <w:r w:rsidRPr="00BF2186" w:rsidR="00A32200">
        <w:rPr>
          <w:szCs w:val="22"/>
        </w:rPr>
        <w:t>waiver</w:t>
      </w:r>
      <w:r w:rsidRPr="00BF2186" w:rsidR="0048792D">
        <w:rPr>
          <w:szCs w:val="22"/>
        </w:rPr>
        <w:t xml:space="preserve">s and directives </w:t>
      </w:r>
      <w:r w:rsidRPr="00BF2186" w:rsidR="00A32200">
        <w:rPr>
          <w:szCs w:val="22"/>
        </w:rPr>
        <w:t>is needed</w:t>
      </w:r>
      <w:r w:rsidR="00036A8B">
        <w:t>.</w:t>
      </w:r>
    </w:p>
    <w:p w:rsidR="00016A36" w:rsidRPr="00C53A02" w:rsidP="00016A36" w14:paraId="2D55DB65" w14:textId="77777777">
      <w:pPr>
        <w:pStyle w:val="Heading1"/>
      </w:pPr>
      <w:r>
        <w:t>BACKGROUND</w:t>
      </w:r>
    </w:p>
    <w:p w:rsidR="00A00BE0" w:rsidP="00E95CDE" w14:paraId="63725F35" w14:textId="0602A8C6">
      <w:pPr>
        <w:pStyle w:val="ParaNum"/>
        <w:rPr>
          <w:szCs w:val="22"/>
        </w:rPr>
      </w:pPr>
      <w:r>
        <w:rPr>
          <w:szCs w:val="22"/>
        </w:rPr>
        <w:t>The Lifeline program provides qualifying low-income consumers discounts on voice or broadband Internet access service to help ensure that all Americans have access to affordable communications service.</w:t>
      </w:r>
      <w:r>
        <w:rPr>
          <w:rStyle w:val="FootnoteReference"/>
          <w:szCs w:val="22"/>
        </w:rPr>
        <w:footnoteReference w:id="10"/>
      </w:r>
      <w:r>
        <w:rPr>
          <w:szCs w:val="22"/>
        </w:rPr>
        <w:t xml:space="preserve">  Under the Federal Communications Commission’s rules, </w:t>
      </w:r>
      <w:r w:rsidR="002C3761">
        <w:rPr>
          <w:szCs w:val="22"/>
        </w:rPr>
        <w:t xml:space="preserve">Lifeline providers </w:t>
      </w:r>
      <w:r w:rsidR="00A96D89">
        <w:rPr>
          <w:szCs w:val="22"/>
        </w:rPr>
        <w:t>must</w:t>
      </w:r>
      <w:r>
        <w:rPr>
          <w:szCs w:val="22"/>
        </w:rPr>
        <w:t xml:space="preserve"> </w:t>
      </w:r>
      <w:r w:rsidR="005450FD">
        <w:rPr>
          <w:szCs w:val="22"/>
        </w:rPr>
        <w:t xml:space="preserve">only </w:t>
      </w:r>
      <w:r w:rsidR="00A96D89">
        <w:rPr>
          <w:szCs w:val="22"/>
        </w:rPr>
        <w:t xml:space="preserve">claim reimbursement from the Lifeline program for </w:t>
      </w:r>
      <w:r w:rsidR="005450FD">
        <w:rPr>
          <w:szCs w:val="22"/>
        </w:rPr>
        <w:t xml:space="preserve">those </w:t>
      </w:r>
      <w:r w:rsidR="00A96D89">
        <w:rPr>
          <w:szCs w:val="22"/>
        </w:rPr>
        <w:t xml:space="preserve">subscribers </w:t>
      </w:r>
      <w:r w:rsidR="005450FD">
        <w:rPr>
          <w:szCs w:val="22"/>
        </w:rPr>
        <w:t xml:space="preserve">who are </w:t>
      </w:r>
      <w:r w:rsidR="00A96D89">
        <w:rPr>
          <w:szCs w:val="22"/>
        </w:rPr>
        <w:t>actual qualifying low-income consumers</w:t>
      </w:r>
      <w:r w:rsidR="005450FD">
        <w:rPr>
          <w:szCs w:val="22"/>
        </w:rPr>
        <w:t>.</w:t>
      </w:r>
      <w:r>
        <w:rPr>
          <w:rStyle w:val="FootnoteReference"/>
          <w:szCs w:val="22"/>
        </w:rPr>
        <w:footnoteReference w:id="11"/>
      </w:r>
    </w:p>
    <w:p w:rsidR="00963AE0" w:rsidP="009B6965" w14:paraId="7CE06389" w14:textId="18203DF6">
      <w:pPr>
        <w:pStyle w:val="ParaNum"/>
        <w:rPr>
          <w:szCs w:val="22"/>
        </w:rPr>
      </w:pPr>
      <w:r>
        <w:rPr>
          <w:szCs w:val="22"/>
        </w:rPr>
        <w:t>Lifeline providers are required</w:t>
      </w:r>
      <w:r w:rsidR="00EF0656">
        <w:rPr>
          <w:szCs w:val="22"/>
        </w:rPr>
        <w:t xml:space="preserve"> </w:t>
      </w:r>
      <w:r w:rsidR="00E45D9C">
        <w:rPr>
          <w:szCs w:val="22"/>
        </w:rPr>
        <w:t xml:space="preserve">by the program rules </w:t>
      </w:r>
      <w:r w:rsidR="00EF0656">
        <w:rPr>
          <w:szCs w:val="22"/>
        </w:rPr>
        <w:t>to de-enroll any Lifeline subscriber who the carrier has a reasonable basis to believe</w:t>
      </w:r>
      <w:r w:rsidR="00344280">
        <w:rPr>
          <w:szCs w:val="22"/>
        </w:rPr>
        <w:t xml:space="preserve"> is no </w:t>
      </w:r>
      <w:r w:rsidR="00071879">
        <w:rPr>
          <w:szCs w:val="22"/>
        </w:rPr>
        <w:t>longer eligible for the program.</w:t>
      </w:r>
      <w:r>
        <w:rPr>
          <w:rStyle w:val="FootnoteReference"/>
          <w:szCs w:val="22"/>
        </w:rPr>
        <w:footnoteReference w:id="12"/>
      </w:r>
      <w:r w:rsidR="00670D8A">
        <w:rPr>
          <w:szCs w:val="22"/>
        </w:rPr>
        <w:t xml:space="preserve">  A Lifeline provider who believes that a subscriber is no longer eligible for the program must provide that subscriber with written notice</w:t>
      </w:r>
      <w:r w:rsidR="004855A9">
        <w:rPr>
          <w:szCs w:val="22"/>
        </w:rPr>
        <w:t>, and the subscriber then has 30 days to demonstrate their continued eligibility</w:t>
      </w:r>
      <w:r w:rsidR="00E74EE2">
        <w:rPr>
          <w:szCs w:val="22"/>
        </w:rPr>
        <w:t>, or else be de-enrolled from the program</w:t>
      </w:r>
      <w:r w:rsidR="004855A9">
        <w:rPr>
          <w:szCs w:val="22"/>
        </w:rPr>
        <w:t>.</w:t>
      </w:r>
      <w:r>
        <w:rPr>
          <w:rStyle w:val="FootnoteReference"/>
          <w:szCs w:val="22"/>
        </w:rPr>
        <w:footnoteReference w:id="13"/>
      </w:r>
      <w:r w:rsidR="009B6965">
        <w:rPr>
          <w:szCs w:val="22"/>
        </w:rPr>
        <w:t xml:space="preserve">  </w:t>
      </w:r>
      <w:r w:rsidR="001B6CA3">
        <w:rPr>
          <w:szCs w:val="22"/>
        </w:rPr>
        <w:t>For</w:t>
      </w:r>
      <w:r w:rsidR="00957CEF">
        <w:rPr>
          <w:szCs w:val="22"/>
        </w:rPr>
        <w:t xml:space="preserve"> </w:t>
      </w:r>
      <w:r w:rsidR="00016A36">
        <w:rPr>
          <w:szCs w:val="22"/>
        </w:rPr>
        <w:t>Lifeline subscribers</w:t>
      </w:r>
      <w:r w:rsidR="00957CEF">
        <w:rPr>
          <w:szCs w:val="22"/>
        </w:rPr>
        <w:t xml:space="preserve"> who do not pay a fee for their Lifeline-supported service, the subscriber</w:t>
      </w:r>
      <w:r w:rsidR="00931B81">
        <w:rPr>
          <w:szCs w:val="22"/>
        </w:rPr>
        <w:t>’</w:t>
      </w:r>
      <w:r w:rsidR="00957CEF">
        <w:rPr>
          <w:szCs w:val="22"/>
        </w:rPr>
        <w:t>s eligible telecommunications carrier (ETC) may only claim reimbursement from the Lifeline program for those subscribers who have</w:t>
      </w:r>
      <w:r w:rsidR="00016A36">
        <w:rPr>
          <w:szCs w:val="22"/>
        </w:rPr>
        <w:t xml:space="preserve"> use</w:t>
      </w:r>
      <w:r w:rsidR="00957CEF">
        <w:rPr>
          <w:szCs w:val="22"/>
        </w:rPr>
        <w:t>d</w:t>
      </w:r>
      <w:r w:rsidR="00016A36">
        <w:rPr>
          <w:szCs w:val="22"/>
        </w:rPr>
        <w:t xml:space="preserve"> the</w:t>
      </w:r>
      <w:r w:rsidR="00957CEF">
        <w:rPr>
          <w:szCs w:val="22"/>
        </w:rPr>
        <w:t>ir Lifeline</w:t>
      </w:r>
      <w:r w:rsidR="00016A36">
        <w:rPr>
          <w:szCs w:val="22"/>
        </w:rPr>
        <w:t xml:space="preserve"> service </w:t>
      </w:r>
      <w:r w:rsidR="00957CEF">
        <w:rPr>
          <w:szCs w:val="22"/>
        </w:rPr>
        <w:t xml:space="preserve">in the past </w:t>
      </w:r>
      <w:r w:rsidR="00016A36">
        <w:rPr>
          <w:szCs w:val="22"/>
        </w:rPr>
        <w:t>30 days.</w:t>
      </w:r>
      <w:r>
        <w:rPr>
          <w:rStyle w:val="FootnoteReference"/>
          <w:szCs w:val="22"/>
        </w:rPr>
        <w:footnoteReference w:id="14"/>
      </w:r>
      <w:r w:rsidR="00016A36">
        <w:rPr>
          <w:szCs w:val="22"/>
        </w:rPr>
        <w:t xml:space="preserve">  </w:t>
      </w:r>
      <w:r w:rsidR="00957CEF">
        <w:rPr>
          <w:szCs w:val="22"/>
        </w:rPr>
        <w:t xml:space="preserve">If a Lifeline subscriber receiving a free-to-end-user service does </w:t>
      </w:r>
      <w:r w:rsidR="00460894">
        <w:rPr>
          <w:szCs w:val="22"/>
        </w:rPr>
        <w:t xml:space="preserve">not </w:t>
      </w:r>
      <w:r w:rsidR="00016A36">
        <w:rPr>
          <w:szCs w:val="22"/>
        </w:rPr>
        <w:t>use their service for 30 days</w:t>
      </w:r>
      <w:r w:rsidR="00957CEF">
        <w:rPr>
          <w:szCs w:val="22"/>
        </w:rPr>
        <w:t>, the ETC must notify the subscriber</w:t>
      </w:r>
      <w:r w:rsidR="00016A36">
        <w:rPr>
          <w:szCs w:val="22"/>
        </w:rPr>
        <w:t xml:space="preserve"> that they have 15 days to “cure” the non-usage</w:t>
      </w:r>
      <w:r w:rsidR="00957CEF">
        <w:rPr>
          <w:szCs w:val="22"/>
        </w:rPr>
        <w:t xml:space="preserve"> or they will be de-enrolled from the Lifeline program</w:t>
      </w:r>
      <w:r w:rsidR="00016A36">
        <w:rPr>
          <w:szCs w:val="22"/>
        </w:rPr>
        <w:t>.</w:t>
      </w:r>
      <w:r>
        <w:rPr>
          <w:rStyle w:val="FootnoteReference"/>
          <w:szCs w:val="22"/>
        </w:rPr>
        <w:footnoteReference w:id="15"/>
      </w:r>
      <w:r w:rsidR="00A72F0C">
        <w:rPr>
          <w:szCs w:val="22"/>
        </w:rPr>
        <w:t xml:space="preserve"> </w:t>
      </w:r>
      <w:r w:rsidR="005D60E8">
        <w:rPr>
          <w:szCs w:val="22"/>
        </w:rPr>
        <w:t xml:space="preserve"> Subscriber</w:t>
      </w:r>
      <w:r w:rsidR="003D6DD7">
        <w:rPr>
          <w:szCs w:val="22"/>
        </w:rPr>
        <w:t>s</w:t>
      </w:r>
      <w:r w:rsidR="005D60E8">
        <w:rPr>
          <w:szCs w:val="22"/>
        </w:rPr>
        <w:t xml:space="preserve"> who do not use the service </w:t>
      </w:r>
      <w:r w:rsidR="00A72881">
        <w:rPr>
          <w:szCs w:val="22"/>
        </w:rPr>
        <w:t>during the cure period must then be de-enrolled</w:t>
      </w:r>
      <w:r w:rsidR="008B1CC1">
        <w:rPr>
          <w:szCs w:val="22"/>
        </w:rPr>
        <w:t>.</w:t>
      </w:r>
      <w:r w:rsidR="00016A36">
        <w:rPr>
          <w:szCs w:val="22"/>
        </w:rPr>
        <w:t xml:space="preserve"> </w:t>
      </w:r>
    </w:p>
    <w:p w:rsidR="00016A36" w:rsidRPr="00E95CDE" w:rsidP="00E95CDE" w14:paraId="7AC33DF9" w14:textId="2EE630A3">
      <w:pPr>
        <w:pStyle w:val="ParaNum"/>
        <w:rPr>
          <w:szCs w:val="22"/>
        </w:rPr>
      </w:pPr>
      <w:r>
        <w:rPr>
          <w:szCs w:val="22"/>
        </w:rPr>
        <w:t>Lifeline subscribers are also required to certify their continued eligibility for the</w:t>
      </w:r>
      <w:r w:rsidRPr="00E95CDE">
        <w:rPr>
          <w:szCs w:val="22"/>
        </w:rPr>
        <w:t xml:space="preserve"> </w:t>
      </w:r>
      <w:r>
        <w:rPr>
          <w:szCs w:val="22"/>
        </w:rPr>
        <w:t>program</w:t>
      </w:r>
      <w:r w:rsidR="00EF2E4A">
        <w:rPr>
          <w:szCs w:val="22"/>
        </w:rPr>
        <w:t>,</w:t>
      </w:r>
      <w:r w:rsidR="00485FD8">
        <w:rPr>
          <w:szCs w:val="22"/>
        </w:rPr>
        <w:t xml:space="preserve"> </w:t>
      </w:r>
      <w:r w:rsidR="0069447D">
        <w:rPr>
          <w:szCs w:val="22"/>
        </w:rPr>
        <w:t xml:space="preserve">and may also be required to provide proof of eligibility </w:t>
      </w:r>
      <w:r w:rsidR="006A0E2D">
        <w:rPr>
          <w:szCs w:val="22"/>
        </w:rPr>
        <w:t>for USAC’s National Verifier eligibility determination system.</w:t>
      </w:r>
      <w:r>
        <w:rPr>
          <w:rStyle w:val="FootnoteReference"/>
          <w:szCs w:val="22"/>
        </w:rPr>
        <w:footnoteReference w:id="16"/>
      </w:r>
      <w:r w:rsidR="00B95EE5">
        <w:rPr>
          <w:szCs w:val="22"/>
        </w:rPr>
        <w:t xml:space="preserve">  In li</w:t>
      </w:r>
      <w:r w:rsidR="006E402D">
        <w:rPr>
          <w:szCs w:val="22"/>
        </w:rPr>
        <w:t xml:space="preserve">ght of the challenges posed by the </w:t>
      </w:r>
      <w:r w:rsidR="006E402D">
        <w:rPr>
          <w:szCs w:val="22"/>
        </w:rPr>
        <w:t>COVID</w:t>
      </w:r>
      <w:r w:rsidR="006E402D">
        <w:rPr>
          <w:szCs w:val="22"/>
        </w:rPr>
        <w:t>-19 pandemic</w:t>
      </w:r>
      <w:r w:rsidR="007942FE">
        <w:rPr>
          <w:szCs w:val="22"/>
        </w:rPr>
        <w:t>, the Bureau, on March 17, 2020, granted a 60</w:t>
      </w:r>
      <w:r w:rsidR="00C62F9F">
        <w:rPr>
          <w:szCs w:val="22"/>
        </w:rPr>
        <w:t>-</w:t>
      </w:r>
      <w:r w:rsidR="007942FE">
        <w:rPr>
          <w:szCs w:val="22"/>
        </w:rPr>
        <w:t>day</w:t>
      </w:r>
      <w:r w:rsidR="00623BE8">
        <w:rPr>
          <w:szCs w:val="22"/>
        </w:rPr>
        <w:t xml:space="preserve"> waiver of </w:t>
      </w:r>
      <w:r w:rsidR="006A0E2D">
        <w:rPr>
          <w:szCs w:val="22"/>
        </w:rPr>
        <w:t xml:space="preserve">these </w:t>
      </w:r>
      <w:r w:rsidR="000A76B6">
        <w:rPr>
          <w:szCs w:val="22"/>
        </w:rPr>
        <w:t xml:space="preserve">certification </w:t>
      </w:r>
      <w:r w:rsidR="00623BE8">
        <w:rPr>
          <w:szCs w:val="22"/>
        </w:rPr>
        <w:t>requirement</w:t>
      </w:r>
      <w:r w:rsidR="006A0E2D">
        <w:rPr>
          <w:szCs w:val="22"/>
        </w:rPr>
        <w:t>s</w:t>
      </w:r>
      <w:r w:rsidR="00623BE8">
        <w:rPr>
          <w:szCs w:val="22"/>
        </w:rPr>
        <w:t xml:space="preserve"> to ensure that no Lifeline subscriber would be de-enrolled for failing to certify </w:t>
      </w:r>
      <w:r w:rsidR="006A0E2D">
        <w:rPr>
          <w:szCs w:val="22"/>
        </w:rPr>
        <w:t xml:space="preserve">or verify </w:t>
      </w:r>
      <w:r w:rsidR="00623BE8">
        <w:rPr>
          <w:szCs w:val="22"/>
        </w:rPr>
        <w:t>their continued eligibility</w:t>
      </w:r>
      <w:r w:rsidR="005941F7">
        <w:rPr>
          <w:szCs w:val="22"/>
        </w:rPr>
        <w:t>.</w:t>
      </w:r>
      <w:r>
        <w:rPr>
          <w:rStyle w:val="FootnoteReference"/>
          <w:szCs w:val="22"/>
        </w:rPr>
        <w:footnoteReference w:id="17"/>
      </w:r>
    </w:p>
    <w:p w:rsidR="00016A36" w:rsidRPr="00FF690C" w:rsidP="00016A36" w14:paraId="2F2D74B7" w14:textId="77777777">
      <w:pPr>
        <w:pStyle w:val="Heading1"/>
      </w:pPr>
      <w:r>
        <w:t>DISCUSSION</w:t>
      </w:r>
    </w:p>
    <w:p w:rsidR="00016A36" w:rsidRPr="003C73D8" w:rsidP="00927868" w14:paraId="7DE362AC" w14:textId="77777777">
      <w:pPr>
        <w:pStyle w:val="ParaNum"/>
        <w:widowControl/>
        <w:rPr>
          <w:szCs w:val="22"/>
        </w:rPr>
      </w:pPr>
      <w:r w:rsidRPr="003C73D8">
        <w:rPr>
          <w:szCs w:val="22"/>
        </w:rPr>
        <w:t>Generally, the Commission’s rules may be waived for good cause shown.</w:t>
      </w:r>
      <w:r>
        <w:rPr>
          <w:rStyle w:val="FootnoteReference"/>
          <w:szCs w:val="22"/>
        </w:rPr>
        <w:footnoteReference w:id="18"/>
      </w:r>
      <w:r w:rsidRPr="003C73D8">
        <w:rPr>
          <w:szCs w:val="22"/>
        </w:rPr>
        <w:t xml:space="preserve"> </w:t>
      </w:r>
      <w:r>
        <w:rPr>
          <w:szCs w:val="22"/>
        </w:rPr>
        <w:t xml:space="preserve"> </w:t>
      </w:r>
      <w:r w:rsidRPr="003C73D8">
        <w:rPr>
          <w:szCs w:val="22"/>
        </w:rPr>
        <w:t>The Commission may exercise its discretion to waive a rule where the particular facts make strict compliance inconsistent with the public interest.</w:t>
      </w:r>
      <w:r>
        <w:rPr>
          <w:rStyle w:val="FootnoteReference"/>
          <w:szCs w:val="22"/>
        </w:rPr>
        <w:footnoteReference w:id="19"/>
      </w:r>
      <w:r w:rsidRPr="003C73D8">
        <w:rPr>
          <w:szCs w:val="22"/>
        </w:rPr>
        <w:t xml:space="preserve">  In addition, the Commission may take into account considerations </w:t>
      </w:r>
      <w:r w:rsidRPr="003C73D8">
        <w:rPr>
          <w:szCs w:val="22"/>
        </w:rPr>
        <w:t>of hardship, equity, or more effective implementation of overall policy on an overall basis.</w:t>
      </w:r>
      <w:r>
        <w:rPr>
          <w:rStyle w:val="FootnoteReference"/>
          <w:szCs w:val="22"/>
        </w:rPr>
        <w:footnoteReference w:id="20"/>
      </w:r>
      <w:r w:rsidRPr="003C73D8">
        <w:rPr>
          <w:szCs w:val="22"/>
        </w:rPr>
        <w:t xml:space="preserve">  </w:t>
      </w:r>
    </w:p>
    <w:p w:rsidR="00821F00" w:rsidRPr="00E71DAD" w:rsidP="00E71DAD" w14:paraId="2F945F0B" w14:textId="52DEFED5">
      <w:pPr>
        <w:pStyle w:val="ParaNum"/>
        <w:widowControl/>
        <w:rPr>
          <w:szCs w:val="22"/>
        </w:rPr>
      </w:pPr>
      <w:r w:rsidRPr="00931F84">
        <w:rPr>
          <w:szCs w:val="22"/>
        </w:rPr>
        <w:t>Based on the record before us, we find</w:t>
      </w:r>
      <w:r w:rsidR="001A3022">
        <w:rPr>
          <w:szCs w:val="22"/>
        </w:rPr>
        <w:t xml:space="preserve"> </w:t>
      </w:r>
      <w:r w:rsidR="001F1717">
        <w:rPr>
          <w:szCs w:val="22"/>
        </w:rPr>
        <w:t xml:space="preserve">that good cause exists to waive for 60 days </w:t>
      </w:r>
      <w:r w:rsidR="001B6456">
        <w:rPr>
          <w:szCs w:val="22"/>
        </w:rPr>
        <w:t>section 54.405(e)(1)</w:t>
      </w:r>
      <w:r w:rsidR="00E54248">
        <w:rPr>
          <w:szCs w:val="22"/>
        </w:rPr>
        <w:t xml:space="preserve"> of the </w:t>
      </w:r>
      <w:r w:rsidR="005021E4">
        <w:rPr>
          <w:szCs w:val="22"/>
        </w:rPr>
        <w:t>Commission’s rules, which require</w:t>
      </w:r>
      <w:r w:rsidR="002769BC">
        <w:rPr>
          <w:szCs w:val="22"/>
        </w:rPr>
        <w:t>s</w:t>
      </w:r>
      <w:r w:rsidR="005021E4">
        <w:rPr>
          <w:szCs w:val="22"/>
        </w:rPr>
        <w:t xml:space="preserve"> Lifeline providers </w:t>
      </w:r>
      <w:r w:rsidR="00304B71">
        <w:rPr>
          <w:szCs w:val="22"/>
        </w:rPr>
        <w:t>to</w:t>
      </w:r>
      <w:r w:rsidR="002967D9">
        <w:rPr>
          <w:szCs w:val="22"/>
        </w:rPr>
        <w:t xml:space="preserve"> de-enroll</w:t>
      </w:r>
      <w:r w:rsidR="00A26847">
        <w:rPr>
          <w:szCs w:val="22"/>
        </w:rPr>
        <w:t>, pending written notice</w:t>
      </w:r>
      <w:r w:rsidR="00414D68">
        <w:rPr>
          <w:szCs w:val="22"/>
        </w:rPr>
        <w:t xml:space="preserve"> and a</w:t>
      </w:r>
      <w:r w:rsidR="000E42C4">
        <w:rPr>
          <w:szCs w:val="22"/>
        </w:rPr>
        <w:t xml:space="preserve"> dispute resolution process</w:t>
      </w:r>
      <w:r w:rsidR="00A26847">
        <w:rPr>
          <w:szCs w:val="22"/>
        </w:rPr>
        <w:t>,</w:t>
      </w:r>
      <w:r w:rsidR="002967D9">
        <w:rPr>
          <w:szCs w:val="22"/>
        </w:rPr>
        <w:t xml:space="preserve"> any Lifeline subscriber</w:t>
      </w:r>
      <w:r w:rsidR="00806D05">
        <w:rPr>
          <w:szCs w:val="22"/>
        </w:rPr>
        <w:t xml:space="preserve"> for whom the Lifeline provider </w:t>
      </w:r>
      <w:r w:rsidR="00F80A27">
        <w:rPr>
          <w:szCs w:val="22"/>
        </w:rPr>
        <w:t xml:space="preserve">has a reasonable basis to </w:t>
      </w:r>
      <w:r w:rsidR="00806D05">
        <w:rPr>
          <w:szCs w:val="22"/>
        </w:rPr>
        <w:t xml:space="preserve">believe </w:t>
      </w:r>
      <w:r w:rsidR="00A26847">
        <w:rPr>
          <w:szCs w:val="22"/>
        </w:rPr>
        <w:t xml:space="preserve">that the </w:t>
      </w:r>
      <w:r w:rsidR="00414D68">
        <w:rPr>
          <w:szCs w:val="22"/>
        </w:rPr>
        <w:t>subscriber is no longer eligible for the program.</w:t>
      </w:r>
      <w:r w:rsidR="004A3B58">
        <w:rPr>
          <w:szCs w:val="22"/>
        </w:rPr>
        <w:t xml:space="preserve">  </w:t>
      </w:r>
      <w:r w:rsidRPr="00E71DAD">
        <w:rPr>
          <w:szCs w:val="22"/>
        </w:rPr>
        <w:t>We also find</w:t>
      </w:r>
      <w:r w:rsidRPr="00E71DAD" w:rsidR="001F1717">
        <w:rPr>
          <w:szCs w:val="22"/>
        </w:rPr>
        <w:t xml:space="preserve"> </w:t>
      </w:r>
      <w:r w:rsidRPr="000D12FC" w:rsidR="001F1717">
        <w:rPr>
          <w:szCs w:val="22"/>
        </w:rPr>
        <w:t>that good cause exists to waive</w:t>
      </w:r>
      <w:r w:rsidRPr="00D23393" w:rsidR="001F1717">
        <w:rPr>
          <w:szCs w:val="22"/>
        </w:rPr>
        <w:t xml:space="preserve"> for 60 days sections 54.405(e)(3)</w:t>
      </w:r>
      <w:r w:rsidRPr="00BE4C23" w:rsidR="001F1717">
        <w:rPr>
          <w:szCs w:val="22"/>
        </w:rPr>
        <w:t xml:space="preserve"> </w:t>
      </w:r>
      <w:r w:rsidRPr="003A1523" w:rsidR="001F1717">
        <w:rPr>
          <w:szCs w:val="22"/>
        </w:rPr>
        <w:t>and 54.407</w:t>
      </w:r>
      <w:r w:rsidRPr="00534DEB" w:rsidR="001F1717">
        <w:rPr>
          <w:szCs w:val="22"/>
        </w:rPr>
        <w:t>(c)(2)</w:t>
      </w:r>
      <w:r w:rsidRPr="00AA1C08" w:rsidR="001F1717">
        <w:rPr>
          <w:szCs w:val="22"/>
        </w:rPr>
        <w:t xml:space="preserve"> of the Commission’s rules, which require Lifeline subscribers </w:t>
      </w:r>
      <w:r w:rsidR="000D12FC">
        <w:rPr>
          <w:szCs w:val="22"/>
        </w:rPr>
        <w:t xml:space="preserve">who do not pay a fee for their Lifeline-supported service </w:t>
      </w:r>
      <w:r w:rsidRPr="000D12FC" w:rsidR="001F1717">
        <w:rPr>
          <w:szCs w:val="22"/>
        </w:rPr>
        <w:t>to use the service every 45 days or be de-enrolled.  This waiver will prevent the de-enrollment of any Lifeline subscriber, including those who are in the 15 day cure period, who would otherwise have been de-enrolled for non-usage over the next 60 days.</w:t>
      </w:r>
      <w:r>
        <w:rPr>
          <w:rStyle w:val="FootnoteReference"/>
          <w:szCs w:val="22"/>
        </w:rPr>
        <w:footnoteReference w:id="21"/>
      </w:r>
      <w:r w:rsidRPr="00E71DAD" w:rsidR="001F1717">
        <w:rPr>
          <w:szCs w:val="22"/>
        </w:rPr>
        <w:t xml:space="preserve">  We direct ETCs to restart calculating Lifeline subscribers’ non-usage periods after the end of the waiver period on May </w:t>
      </w:r>
      <w:r w:rsidR="000B214D">
        <w:rPr>
          <w:szCs w:val="22"/>
        </w:rPr>
        <w:t>29</w:t>
      </w:r>
      <w:r w:rsidRPr="00E71DAD" w:rsidR="001F1717">
        <w:rPr>
          <w:szCs w:val="22"/>
        </w:rPr>
        <w:t>, 2020, so no Lifeline subscriber could be de-enrolled for non-usage until 45 days after the waiver period ends.</w:t>
      </w:r>
      <w:r w:rsidR="008D6A2D">
        <w:rPr>
          <w:szCs w:val="22"/>
        </w:rPr>
        <w:t xml:space="preserve">  Similarly, we direct ETCs and USAC to refrain from sending any</w:t>
      </w:r>
      <w:r w:rsidR="00A90839">
        <w:rPr>
          <w:szCs w:val="22"/>
        </w:rPr>
        <w:t xml:space="preserve"> new</w:t>
      </w:r>
      <w:r w:rsidR="008D6A2D">
        <w:rPr>
          <w:szCs w:val="22"/>
        </w:rPr>
        <w:t xml:space="preserve"> 30-day notices pursuant to </w:t>
      </w:r>
      <w:r w:rsidR="00A90839">
        <w:rPr>
          <w:szCs w:val="22"/>
        </w:rPr>
        <w:t>section 54.405(e)(1) until after the waiver period ends.</w:t>
      </w:r>
    </w:p>
    <w:p w:rsidR="00A4774E" w:rsidP="00B22F19" w14:paraId="0F05310C" w14:textId="3B2CB04B">
      <w:pPr>
        <w:pStyle w:val="ParaNum"/>
        <w:rPr>
          <w:szCs w:val="22"/>
        </w:rPr>
      </w:pPr>
      <w:bookmarkStart w:id="0" w:name="_Hlk36385717"/>
      <w:r>
        <w:rPr>
          <w:szCs w:val="22"/>
        </w:rPr>
        <w:t xml:space="preserve">We find that, in light of the coronavirus pandemic and community efforts to slow its spread, </w:t>
      </w:r>
      <w:r w:rsidR="00AB5E76">
        <w:rPr>
          <w:szCs w:val="22"/>
        </w:rPr>
        <w:t xml:space="preserve">including </w:t>
      </w:r>
      <w:r w:rsidR="00AB35E3">
        <w:rPr>
          <w:szCs w:val="22"/>
        </w:rPr>
        <w:t xml:space="preserve">recent </w:t>
      </w:r>
      <w:r w:rsidR="00AB5E76">
        <w:rPr>
          <w:szCs w:val="22"/>
        </w:rPr>
        <w:t xml:space="preserve">shelter-in-place orders and </w:t>
      </w:r>
      <w:r w:rsidR="00247157">
        <w:rPr>
          <w:szCs w:val="22"/>
        </w:rPr>
        <w:t xml:space="preserve">guidelines on </w:t>
      </w:r>
      <w:r w:rsidR="00FA55EC">
        <w:rPr>
          <w:szCs w:val="22"/>
        </w:rPr>
        <w:t>social distancing,</w:t>
      </w:r>
      <w:r>
        <w:rPr>
          <w:rStyle w:val="FootnoteReference"/>
          <w:szCs w:val="22"/>
        </w:rPr>
        <w:footnoteReference w:id="22"/>
      </w:r>
      <w:r w:rsidR="00FA55EC">
        <w:rPr>
          <w:szCs w:val="22"/>
        </w:rPr>
        <w:t xml:space="preserve"> </w:t>
      </w:r>
      <w:r>
        <w:rPr>
          <w:szCs w:val="22"/>
        </w:rPr>
        <w:t xml:space="preserve">requiring Lifeline subscribers to </w:t>
      </w:r>
      <w:r w:rsidR="00FA55EC">
        <w:rPr>
          <w:szCs w:val="22"/>
        </w:rPr>
        <w:t xml:space="preserve">potentially leave their homes </w:t>
      </w:r>
      <w:r w:rsidR="006E773F">
        <w:rPr>
          <w:szCs w:val="22"/>
        </w:rPr>
        <w:t xml:space="preserve">either to gather the necessary documentation to prove their continued </w:t>
      </w:r>
      <w:r w:rsidR="000B7068">
        <w:rPr>
          <w:szCs w:val="22"/>
        </w:rPr>
        <w:t xml:space="preserve">eligibility in the program or </w:t>
      </w:r>
      <w:r w:rsidR="00FA55EC">
        <w:rPr>
          <w:szCs w:val="22"/>
        </w:rPr>
        <w:t xml:space="preserve">to </w:t>
      </w:r>
      <w:r w:rsidR="007F2402">
        <w:rPr>
          <w:szCs w:val="22"/>
        </w:rPr>
        <w:t>re</w:t>
      </w:r>
      <w:r w:rsidR="004B6AF4">
        <w:rPr>
          <w:szCs w:val="22"/>
        </w:rPr>
        <w:t>-enroll in</w:t>
      </w:r>
      <w:r w:rsidR="007F2402">
        <w:rPr>
          <w:szCs w:val="22"/>
        </w:rPr>
        <w:t xml:space="preserve"> the Lifeline program after being de-enrolled for non-usage would </w:t>
      </w:r>
      <w:r w:rsidR="004B6AF4">
        <w:rPr>
          <w:szCs w:val="22"/>
        </w:rPr>
        <w:t xml:space="preserve">create a potential risk to </w:t>
      </w:r>
      <w:r w:rsidR="007F2402">
        <w:rPr>
          <w:szCs w:val="22"/>
        </w:rPr>
        <w:t>public health and be contrary to the public interest</w:t>
      </w:r>
      <w:r>
        <w:rPr>
          <w:szCs w:val="22"/>
        </w:rPr>
        <w:t>.</w:t>
      </w:r>
      <w:r w:rsidR="00C90C4D">
        <w:rPr>
          <w:szCs w:val="22"/>
        </w:rPr>
        <w:t xml:space="preserve"> </w:t>
      </w:r>
      <w:r w:rsidR="000C23F4">
        <w:rPr>
          <w:szCs w:val="22"/>
        </w:rPr>
        <w:t xml:space="preserve"> </w:t>
      </w:r>
      <w:bookmarkStart w:id="1" w:name="_Hlk36385677"/>
      <w:r w:rsidR="00C90C4D">
        <w:rPr>
          <w:szCs w:val="22"/>
        </w:rPr>
        <w:t xml:space="preserve">Additionally, </w:t>
      </w:r>
      <w:r w:rsidR="00ED2428">
        <w:rPr>
          <w:szCs w:val="22"/>
        </w:rPr>
        <w:t xml:space="preserve">as </w:t>
      </w:r>
      <w:r w:rsidRPr="00ED2428" w:rsidR="00ED2428">
        <w:rPr>
          <w:szCs w:val="22"/>
        </w:rPr>
        <w:t>Lifeline provider Smith Bagley, Inc. (</w:t>
      </w:r>
      <w:r w:rsidRPr="00ED2428" w:rsidR="00ED2428">
        <w:rPr>
          <w:szCs w:val="22"/>
        </w:rPr>
        <w:t>SBI</w:t>
      </w:r>
      <w:r w:rsidRPr="00ED2428" w:rsidR="00ED2428">
        <w:rPr>
          <w:szCs w:val="22"/>
        </w:rPr>
        <w:t xml:space="preserve">) points out, Lifeline subscribers </w:t>
      </w:r>
      <w:r w:rsidR="00ED2428">
        <w:rPr>
          <w:szCs w:val="22"/>
        </w:rPr>
        <w:t xml:space="preserve">who are de-enrolled for non-usage </w:t>
      </w:r>
      <w:r w:rsidR="00166DDB">
        <w:rPr>
          <w:szCs w:val="22"/>
        </w:rPr>
        <w:t>often</w:t>
      </w:r>
      <w:r w:rsidR="00ED2428">
        <w:rPr>
          <w:szCs w:val="22"/>
        </w:rPr>
        <w:t xml:space="preserve"> return to carriers’ retail stores to re-enroll, but many of those stores are currently</w:t>
      </w:r>
      <w:r w:rsidRPr="00ED2428" w:rsidR="00ED2428">
        <w:rPr>
          <w:szCs w:val="22"/>
        </w:rPr>
        <w:t xml:space="preserve"> closed: </w:t>
      </w:r>
      <w:r w:rsidR="00ED2428">
        <w:rPr>
          <w:szCs w:val="22"/>
        </w:rPr>
        <w:t xml:space="preserve"> “W</w:t>
      </w:r>
      <w:r w:rsidRPr="00ED2428" w:rsidR="000C23F4">
        <w:rPr>
          <w:szCs w:val="22"/>
        </w:rPr>
        <w:t xml:space="preserve">ith </w:t>
      </w:r>
      <w:r w:rsidRPr="00ED2428" w:rsidR="000C23F4">
        <w:rPr>
          <w:szCs w:val="22"/>
        </w:rPr>
        <w:t>SBI’s</w:t>
      </w:r>
      <w:r w:rsidRPr="00ED2428" w:rsidR="000C23F4">
        <w:rPr>
          <w:szCs w:val="22"/>
        </w:rPr>
        <w:t xml:space="preserve"> stores now closed, virtually all customers de-enrolled for non-usage would be </w:t>
      </w:r>
      <w:r w:rsidR="000C23F4">
        <w:rPr>
          <w:szCs w:val="22"/>
        </w:rPr>
        <w:t>unable to re-enroll in the near future.”</w:t>
      </w:r>
      <w:r>
        <w:rPr>
          <w:rStyle w:val="FootnoteReference"/>
          <w:szCs w:val="22"/>
        </w:rPr>
        <w:footnoteReference w:id="23"/>
      </w:r>
      <w:r w:rsidR="000C23F4">
        <w:rPr>
          <w:szCs w:val="22"/>
        </w:rPr>
        <w:t xml:space="preserve">  </w:t>
      </w:r>
      <w:r>
        <w:rPr>
          <w:szCs w:val="22"/>
        </w:rPr>
        <w:t xml:space="preserve">Because we recognize the importance of connectivity for all Americans during this pandemic, we </w:t>
      </w:r>
      <w:r w:rsidR="007D4775">
        <w:rPr>
          <w:szCs w:val="22"/>
        </w:rPr>
        <w:t>believe that the public interest will be best served by allowing Lifeline subscribers to continue to receive service even if they have not used that service in the past 45 days</w:t>
      </w:r>
      <w:r w:rsidR="00F27E8D">
        <w:rPr>
          <w:szCs w:val="22"/>
        </w:rPr>
        <w:t>, so that they will continue to have access to a ready connection to communications service should the need arise</w:t>
      </w:r>
      <w:r>
        <w:rPr>
          <w:szCs w:val="22"/>
        </w:rPr>
        <w:t xml:space="preserve">.  </w:t>
      </w:r>
    </w:p>
    <w:bookmarkEnd w:id="0"/>
    <w:bookmarkEnd w:id="1"/>
    <w:p w:rsidR="00016A36" w:rsidP="00B22F19" w14:paraId="1FDC6A86" w14:textId="65E9A463">
      <w:pPr>
        <w:pStyle w:val="ParaNum"/>
        <w:rPr>
          <w:szCs w:val="22"/>
        </w:rPr>
      </w:pPr>
      <w:r>
        <w:t xml:space="preserve">We will continue to monitor the situation to determine whether any additional waiver of these rules and deadlines is needed and </w:t>
      </w:r>
      <w:r w:rsidR="00783621">
        <w:t xml:space="preserve">we </w:t>
      </w:r>
      <w:r>
        <w:t xml:space="preserve">otherwise </w:t>
      </w:r>
      <w:r>
        <w:rPr>
          <w:szCs w:val="22"/>
        </w:rPr>
        <w:t xml:space="preserve">direct </w:t>
      </w:r>
      <w:r w:rsidR="0025562D">
        <w:rPr>
          <w:szCs w:val="22"/>
        </w:rPr>
        <w:t>carriers to send non-usage notifications</w:t>
      </w:r>
      <w:r>
        <w:rPr>
          <w:szCs w:val="22"/>
        </w:rPr>
        <w:t>, as needed, to subscribers impacted by the waiver</w:t>
      </w:r>
      <w:r w:rsidR="0025562D">
        <w:rPr>
          <w:szCs w:val="22"/>
        </w:rPr>
        <w:t xml:space="preserve"> who have continued not to use their Lifeline service</w:t>
      </w:r>
      <w:r>
        <w:rPr>
          <w:szCs w:val="22"/>
        </w:rPr>
        <w:t xml:space="preserve"> at the end of the waiver period.</w:t>
      </w:r>
      <w:r w:rsidR="00191678">
        <w:rPr>
          <w:szCs w:val="22"/>
        </w:rPr>
        <w:t xml:space="preserve">  We also note, however, that while we are suspending de-enrollment</w:t>
      </w:r>
      <w:r w:rsidR="0013059D">
        <w:rPr>
          <w:szCs w:val="22"/>
        </w:rPr>
        <w:t xml:space="preserve"> rules to ensure that no current Lifeline subscriber involuntarily loses service during the waiver period, the</w:t>
      </w:r>
      <w:r w:rsidR="00C32542">
        <w:rPr>
          <w:szCs w:val="22"/>
        </w:rPr>
        <w:t xml:space="preserve"> Lifeline</w:t>
      </w:r>
      <w:r w:rsidR="0013059D">
        <w:rPr>
          <w:szCs w:val="22"/>
        </w:rPr>
        <w:t xml:space="preserve"> </w:t>
      </w:r>
      <w:r w:rsidR="00E82308">
        <w:rPr>
          <w:szCs w:val="22"/>
        </w:rPr>
        <w:t xml:space="preserve">eligibility rules will remain in effect, and those who are not eligible for the program may not </w:t>
      </w:r>
      <w:r w:rsidR="00C32542">
        <w:rPr>
          <w:szCs w:val="22"/>
        </w:rPr>
        <w:t>enroll and</w:t>
      </w:r>
      <w:r w:rsidR="00E82308">
        <w:rPr>
          <w:szCs w:val="22"/>
        </w:rPr>
        <w:t xml:space="preserve"> receive servi</w:t>
      </w:r>
      <w:r w:rsidR="006E25B0">
        <w:rPr>
          <w:szCs w:val="22"/>
        </w:rPr>
        <w:t>c</w:t>
      </w:r>
      <w:r w:rsidR="00E82308">
        <w:rPr>
          <w:szCs w:val="22"/>
        </w:rPr>
        <w:t>e.</w:t>
      </w:r>
      <w:r>
        <w:rPr>
          <w:rStyle w:val="FootnoteReference"/>
          <w:szCs w:val="22"/>
        </w:rPr>
        <w:footnoteReference w:id="24"/>
      </w:r>
    </w:p>
    <w:p w:rsidR="00C62F9F" w:rsidP="00B22F19" w14:paraId="0D8B0E75" w14:textId="16CF4229">
      <w:pPr>
        <w:pStyle w:val="ParaNum"/>
        <w:rPr>
          <w:szCs w:val="22"/>
        </w:rPr>
      </w:pPr>
      <w:r>
        <w:rPr>
          <w:szCs w:val="22"/>
        </w:rPr>
        <w:t>For the same reasons that</w:t>
      </w:r>
      <w:r>
        <w:rPr>
          <w:szCs w:val="22"/>
        </w:rPr>
        <w:t xml:space="preserve"> we conclude relief from the </w:t>
      </w:r>
      <w:r w:rsidR="002B4AA6">
        <w:rPr>
          <w:szCs w:val="22"/>
        </w:rPr>
        <w:t xml:space="preserve">general de-enrollment and </w:t>
      </w:r>
      <w:r>
        <w:rPr>
          <w:szCs w:val="22"/>
        </w:rPr>
        <w:t>non-usage rule</w:t>
      </w:r>
      <w:r w:rsidR="00821F00">
        <w:rPr>
          <w:szCs w:val="22"/>
        </w:rPr>
        <w:t>s</w:t>
      </w:r>
      <w:r>
        <w:rPr>
          <w:szCs w:val="22"/>
        </w:rPr>
        <w:t xml:space="preserve"> is warranted, we also conclude that it is appropriate to extend </w:t>
      </w:r>
      <w:r w:rsidR="00247157">
        <w:rPr>
          <w:szCs w:val="22"/>
        </w:rPr>
        <w:t>our recent</w:t>
      </w:r>
      <w:r>
        <w:rPr>
          <w:szCs w:val="22"/>
        </w:rPr>
        <w:t xml:space="preserve"> waiver of Lifeline’s </w:t>
      </w:r>
      <w:r>
        <w:rPr>
          <w:szCs w:val="22"/>
        </w:rPr>
        <w:t>recertification</w:t>
      </w:r>
      <w:r w:rsidR="00464D8E">
        <w:rPr>
          <w:szCs w:val="22"/>
        </w:rPr>
        <w:t xml:space="preserve"> and</w:t>
      </w:r>
      <w:r>
        <w:rPr>
          <w:szCs w:val="22"/>
        </w:rPr>
        <w:t xml:space="preserve"> reverification</w:t>
      </w:r>
      <w:r w:rsidR="00D16A5C">
        <w:rPr>
          <w:szCs w:val="22"/>
        </w:rPr>
        <w:t xml:space="preserve"> rules for the same duration.</w:t>
      </w:r>
      <w:r>
        <w:rPr>
          <w:rStyle w:val="FootnoteReference"/>
          <w:szCs w:val="22"/>
        </w:rPr>
        <w:footnoteReference w:id="25"/>
      </w:r>
      <w:r w:rsidR="00D16A5C">
        <w:rPr>
          <w:szCs w:val="22"/>
        </w:rPr>
        <w:t xml:space="preserve">  </w:t>
      </w:r>
      <w:r w:rsidR="007845FB">
        <w:rPr>
          <w:szCs w:val="22"/>
        </w:rPr>
        <w:t xml:space="preserve">The </w:t>
      </w:r>
      <w:r w:rsidR="00D9059E">
        <w:rPr>
          <w:szCs w:val="22"/>
        </w:rPr>
        <w:t xml:space="preserve">circumstances </w:t>
      </w:r>
      <w:r w:rsidR="00C079E5">
        <w:rPr>
          <w:szCs w:val="22"/>
        </w:rPr>
        <w:t>necessitating</w:t>
      </w:r>
      <w:r w:rsidR="007845FB">
        <w:rPr>
          <w:szCs w:val="22"/>
        </w:rPr>
        <w:t xml:space="preserve"> the initial waiver of </w:t>
      </w:r>
      <w:r w:rsidR="00B270D3">
        <w:rPr>
          <w:szCs w:val="22"/>
        </w:rPr>
        <w:t>those rules and deadlines</w:t>
      </w:r>
      <w:r w:rsidR="00C079E5">
        <w:rPr>
          <w:szCs w:val="22"/>
        </w:rPr>
        <w:t xml:space="preserve"> have not changed,</w:t>
      </w:r>
      <w:r>
        <w:rPr>
          <w:rStyle w:val="FootnoteReference"/>
          <w:szCs w:val="22"/>
        </w:rPr>
        <w:footnoteReference w:id="26"/>
      </w:r>
      <w:r w:rsidR="00D9059E">
        <w:rPr>
          <w:szCs w:val="22"/>
        </w:rPr>
        <w:t xml:space="preserve"> </w:t>
      </w:r>
      <w:r w:rsidR="000C1F01">
        <w:rPr>
          <w:szCs w:val="22"/>
        </w:rPr>
        <w:t xml:space="preserve">and it is therefore appropriate to extend relief to </w:t>
      </w:r>
      <w:r w:rsidR="00B11568">
        <w:rPr>
          <w:szCs w:val="22"/>
        </w:rPr>
        <w:t xml:space="preserve">all </w:t>
      </w:r>
      <w:r w:rsidR="000C1F01">
        <w:rPr>
          <w:szCs w:val="22"/>
        </w:rPr>
        <w:t>Lifeline subscribers for the same period.</w:t>
      </w:r>
      <w:r w:rsidR="00375A45">
        <w:rPr>
          <w:szCs w:val="22"/>
        </w:rPr>
        <w:t xml:space="preserve">  </w:t>
      </w:r>
    </w:p>
    <w:p w:rsidR="00536297" w:rsidP="00B22F19" w14:paraId="14EF09A7" w14:textId="69A28067">
      <w:pPr>
        <w:pStyle w:val="ParaNum"/>
        <w:rPr>
          <w:szCs w:val="22"/>
        </w:rPr>
      </w:pPr>
      <w:r>
        <w:t xml:space="preserve">This waiver will prevent the de-enrollment of any Lifeline subscribers who would otherwise have been required to certify their continued eligibility to the National Verifier over the next 60 days.  </w:t>
      </w:r>
      <w:r>
        <w:rPr>
          <w:szCs w:val="22"/>
        </w:rPr>
        <w:t xml:space="preserve">Because the National Verifier sends recertification notices to subscribers 90 days prior to their anniversary dates, this waiver will impact Lifeline subscribers with anniversary dates that fall on or between April 14, 2020 and August </w:t>
      </w:r>
      <w:r w:rsidR="00F15272">
        <w:rPr>
          <w:szCs w:val="22"/>
        </w:rPr>
        <w:t>27</w:t>
      </w:r>
      <w:r>
        <w:rPr>
          <w:szCs w:val="22"/>
        </w:rPr>
        <w:t>, 2020.</w:t>
      </w:r>
      <w:r>
        <w:rPr>
          <w:rStyle w:val="FootnoteReference"/>
          <w:szCs w:val="22"/>
        </w:rPr>
        <w:footnoteReference w:id="27"/>
      </w:r>
      <w:r>
        <w:rPr>
          <w:szCs w:val="22"/>
        </w:rPr>
        <w:t xml:space="preserve">  Similarly, USAC also conducts a one-time reverification of eligibility for each existing Lifeline subscriber around the time </w:t>
      </w:r>
      <w:r w:rsidR="00247157">
        <w:rPr>
          <w:szCs w:val="22"/>
        </w:rPr>
        <w:t xml:space="preserve">that </w:t>
      </w:r>
      <w:r>
        <w:rPr>
          <w:szCs w:val="22"/>
        </w:rPr>
        <w:t>the National Verifier is hard launched in a state or territory.  We direct USAC to not de-enroll any Lifeline subscriber for failure to successfully respond to a reverification documentation request for those subscribers with documentation deadlines falling on or before May</w:t>
      </w:r>
      <w:r w:rsidR="00522B71">
        <w:rPr>
          <w:szCs w:val="22"/>
        </w:rPr>
        <w:t xml:space="preserve"> </w:t>
      </w:r>
      <w:r w:rsidR="00455887">
        <w:rPr>
          <w:szCs w:val="22"/>
        </w:rPr>
        <w:t>29</w:t>
      </w:r>
      <w:r>
        <w:rPr>
          <w:szCs w:val="22"/>
        </w:rPr>
        <w:t xml:space="preserve">, 2020.  We also direct USAC to not open any new reverification documentation requests until after May </w:t>
      </w:r>
      <w:r w:rsidR="00455887">
        <w:rPr>
          <w:szCs w:val="22"/>
        </w:rPr>
        <w:t>29</w:t>
      </w:r>
      <w:r>
        <w:rPr>
          <w:szCs w:val="22"/>
        </w:rPr>
        <w:t>, 2020 and to provide impacted subscribers a new opportunity to provide any necessary eligibility documentation after the end of the waiver period.</w:t>
      </w:r>
      <w:r w:rsidR="008E5AB4">
        <w:rPr>
          <w:szCs w:val="22"/>
        </w:rPr>
        <w:t xml:space="preserve">  </w:t>
      </w:r>
    </w:p>
    <w:p w:rsidR="00E456CE" w:rsidP="00B22F19" w14:paraId="3620B4F4" w14:textId="0CD09CB0">
      <w:pPr>
        <w:pStyle w:val="ParaNum"/>
        <w:rPr>
          <w:szCs w:val="22"/>
        </w:rPr>
      </w:pPr>
      <w:r>
        <w:rPr>
          <w:szCs w:val="22"/>
        </w:rPr>
        <w:t>S</w:t>
      </w:r>
      <w:r w:rsidR="002F3EAF">
        <w:rPr>
          <w:szCs w:val="22"/>
        </w:rPr>
        <w:t>ince 2017</w:t>
      </w:r>
      <w:r w:rsidR="00B0364F">
        <w:rPr>
          <w:szCs w:val="22"/>
        </w:rPr>
        <w:t>,</w:t>
      </w:r>
      <w:r w:rsidR="002F3EAF">
        <w:rPr>
          <w:szCs w:val="22"/>
        </w:rPr>
        <w:t xml:space="preserve"> USAC has been conducting periodic</w:t>
      </w:r>
      <w:r w:rsidR="00D23393">
        <w:rPr>
          <w:szCs w:val="22"/>
        </w:rPr>
        <w:t>, targeted</w:t>
      </w:r>
      <w:r w:rsidR="002F3EAF">
        <w:rPr>
          <w:szCs w:val="22"/>
        </w:rPr>
        <w:t xml:space="preserve"> reviews to </w:t>
      </w:r>
      <w:r w:rsidR="00AA1C08">
        <w:rPr>
          <w:szCs w:val="22"/>
        </w:rPr>
        <w:t>identify</w:t>
      </w:r>
      <w:r w:rsidR="00D23393">
        <w:rPr>
          <w:szCs w:val="22"/>
        </w:rPr>
        <w:t xml:space="preserve"> </w:t>
      </w:r>
      <w:r w:rsidR="00AA1C08">
        <w:rPr>
          <w:szCs w:val="22"/>
        </w:rPr>
        <w:t>and de-enroll ineligible subscribers, deceased subscribers,</w:t>
      </w:r>
      <w:r w:rsidR="00F07AEB">
        <w:rPr>
          <w:szCs w:val="22"/>
        </w:rPr>
        <w:t xml:space="preserve"> </w:t>
      </w:r>
      <w:r w:rsidR="006C6A18">
        <w:rPr>
          <w:szCs w:val="22"/>
        </w:rPr>
        <w:t xml:space="preserve">subscribers </w:t>
      </w:r>
      <w:r w:rsidR="00AA1C08">
        <w:rPr>
          <w:szCs w:val="22"/>
        </w:rPr>
        <w:t xml:space="preserve">in oversubscribed </w:t>
      </w:r>
      <w:r w:rsidR="00E466BF">
        <w:rPr>
          <w:szCs w:val="22"/>
        </w:rPr>
        <w:t>addresses, phantom subscribers, and duplicate subscribers</w:t>
      </w:r>
      <w:r w:rsidR="00D23393">
        <w:rPr>
          <w:szCs w:val="22"/>
        </w:rPr>
        <w:t>.</w:t>
      </w:r>
      <w:r>
        <w:rPr>
          <w:rStyle w:val="FootnoteReference"/>
          <w:szCs w:val="22"/>
        </w:rPr>
        <w:footnoteReference w:id="28"/>
      </w:r>
      <w:r w:rsidR="003F6617">
        <w:rPr>
          <w:szCs w:val="22"/>
        </w:rPr>
        <w:t xml:space="preserve">  These reviews </w:t>
      </w:r>
      <w:r w:rsidR="00F56E59">
        <w:rPr>
          <w:szCs w:val="22"/>
        </w:rPr>
        <w:t>often</w:t>
      </w:r>
      <w:r w:rsidR="003F6617">
        <w:rPr>
          <w:szCs w:val="22"/>
        </w:rPr>
        <w:t xml:space="preserve"> require ETCs </w:t>
      </w:r>
      <w:r w:rsidR="00F56E59">
        <w:rPr>
          <w:szCs w:val="22"/>
        </w:rPr>
        <w:t>or</w:t>
      </w:r>
      <w:r w:rsidR="003F6617">
        <w:rPr>
          <w:szCs w:val="22"/>
        </w:rPr>
        <w:t xml:space="preserve"> subscribers to respond to inquiries and requests for documentation from USAC in the course of the review.  </w:t>
      </w:r>
      <w:r w:rsidR="00247157">
        <w:rPr>
          <w:szCs w:val="22"/>
        </w:rPr>
        <w:t>T</w:t>
      </w:r>
      <w:r w:rsidR="00C37F63">
        <w:rPr>
          <w:szCs w:val="22"/>
        </w:rPr>
        <w:t xml:space="preserve">hese reviews remain </w:t>
      </w:r>
      <w:r w:rsidR="00247157">
        <w:rPr>
          <w:szCs w:val="22"/>
        </w:rPr>
        <w:t>a critical</w:t>
      </w:r>
      <w:r w:rsidR="00C37F63">
        <w:rPr>
          <w:szCs w:val="22"/>
        </w:rPr>
        <w:t xml:space="preserve"> tool in combating waste, fraud, and abuse in the program</w:t>
      </w:r>
      <w:r w:rsidR="00247157">
        <w:rPr>
          <w:szCs w:val="22"/>
        </w:rPr>
        <w:t>.  Due to this unprecedented nationwide public health crisis</w:t>
      </w:r>
      <w:r w:rsidR="00C37F63">
        <w:rPr>
          <w:szCs w:val="22"/>
        </w:rPr>
        <w:t>, we find that the</w:t>
      </w:r>
      <w:r w:rsidR="000E1FC1">
        <w:rPr>
          <w:szCs w:val="22"/>
        </w:rPr>
        <w:t xml:space="preserve"> benefit</w:t>
      </w:r>
      <w:r w:rsidR="00E168F0">
        <w:rPr>
          <w:szCs w:val="22"/>
        </w:rPr>
        <w:t xml:space="preserve">s </w:t>
      </w:r>
      <w:r w:rsidR="00247157">
        <w:rPr>
          <w:szCs w:val="22"/>
        </w:rPr>
        <w:t xml:space="preserve">of these reviews </w:t>
      </w:r>
      <w:r w:rsidR="00E168F0">
        <w:rPr>
          <w:szCs w:val="22"/>
        </w:rPr>
        <w:t>are</w:t>
      </w:r>
      <w:r w:rsidR="00DB0828">
        <w:rPr>
          <w:szCs w:val="22"/>
        </w:rPr>
        <w:t xml:space="preserve"> outweighed by the public interest </w:t>
      </w:r>
      <w:r w:rsidR="00B018F0">
        <w:rPr>
          <w:szCs w:val="22"/>
        </w:rPr>
        <w:t xml:space="preserve">for a limited </w:t>
      </w:r>
      <w:r w:rsidR="00B018F0">
        <w:rPr>
          <w:szCs w:val="22"/>
        </w:rPr>
        <w:t>period of time</w:t>
      </w:r>
      <w:r w:rsidR="00B018F0">
        <w:rPr>
          <w:szCs w:val="22"/>
        </w:rPr>
        <w:t xml:space="preserve"> to </w:t>
      </w:r>
      <w:r w:rsidR="00DB0828">
        <w:rPr>
          <w:szCs w:val="22"/>
        </w:rPr>
        <w:t>ensur</w:t>
      </w:r>
      <w:r w:rsidR="00B018F0">
        <w:rPr>
          <w:szCs w:val="22"/>
        </w:rPr>
        <w:t>e</w:t>
      </w:r>
      <w:r w:rsidR="00DB0828">
        <w:rPr>
          <w:szCs w:val="22"/>
        </w:rPr>
        <w:t xml:space="preserve"> that low-income consumers stay connected </w:t>
      </w:r>
      <w:r w:rsidR="000E1FC1">
        <w:rPr>
          <w:szCs w:val="22"/>
        </w:rPr>
        <w:t xml:space="preserve">during the coronavirus </w:t>
      </w:r>
      <w:r w:rsidR="00247157">
        <w:rPr>
          <w:szCs w:val="22"/>
        </w:rPr>
        <w:t>pandemic</w:t>
      </w:r>
      <w:r w:rsidR="00FB7B22">
        <w:rPr>
          <w:szCs w:val="22"/>
        </w:rPr>
        <w:t>.  We therefore direct USAC to pause</w:t>
      </w:r>
      <w:r w:rsidR="009A2144">
        <w:rPr>
          <w:szCs w:val="22"/>
        </w:rPr>
        <w:t xml:space="preserve"> until May 29, 2020</w:t>
      </w:r>
      <w:r w:rsidR="00FB7B22">
        <w:rPr>
          <w:szCs w:val="22"/>
        </w:rPr>
        <w:t xml:space="preserve"> </w:t>
      </w:r>
      <w:r w:rsidR="00247157">
        <w:rPr>
          <w:szCs w:val="22"/>
        </w:rPr>
        <w:t>these periodic</w:t>
      </w:r>
      <w:r w:rsidR="00FB7B22">
        <w:rPr>
          <w:szCs w:val="22"/>
        </w:rPr>
        <w:t xml:space="preserve"> reviews, and to begin them again after the waiver period has ended.</w:t>
      </w:r>
      <w:r w:rsidR="00F537FC">
        <w:rPr>
          <w:szCs w:val="22"/>
        </w:rPr>
        <w:t xml:space="preserve">  USAC should not </w:t>
      </w:r>
      <w:r w:rsidR="009A2144">
        <w:rPr>
          <w:szCs w:val="22"/>
        </w:rPr>
        <w:t xml:space="preserve">involuntarily </w:t>
      </w:r>
      <w:r w:rsidR="00F537FC">
        <w:rPr>
          <w:szCs w:val="22"/>
        </w:rPr>
        <w:t xml:space="preserve">de-enroll any subscriber nor seek additional documentation from an ETC or subscriber </w:t>
      </w:r>
      <w:r w:rsidR="00247157">
        <w:rPr>
          <w:szCs w:val="22"/>
        </w:rPr>
        <w:t>as part</w:t>
      </w:r>
      <w:r w:rsidR="00F537FC">
        <w:rPr>
          <w:szCs w:val="22"/>
        </w:rPr>
        <w:t xml:space="preserve"> of these review</w:t>
      </w:r>
      <w:r w:rsidR="00B018F0">
        <w:rPr>
          <w:szCs w:val="22"/>
        </w:rPr>
        <w:t>s</w:t>
      </w:r>
      <w:r w:rsidR="00F537FC">
        <w:rPr>
          <w:szCs w:val="22"/>
        </w:rPr>
        <w:t xml:space="preserve"> for 60 days.</w:t>
      </w:r>
    </w:p>
    <w:p w:rsidR="00B018F0" w:rsidRPr="00B018F0" w:rsidP="00B018F0" w14:paraId="5C33057E" w14:textId="0AC51DC5">
      <w:pPr>
        <w:pStyle w:val="ParaNum"/>
        <w:rPr>
          <w:szCs w:val="22"/>
        </w:rPr>
      </w:pPr>
      <w:r>
        <w:t xml:space="preserve">Finally, we do not waive section 54.405(e)(5) of our de-enrollment rules, which requires a carrier to de-enroll a Lifeline subscriber upon the subscriber’s request.  </w:t>
      </w:r>
      <w:r w:rsidR="00E17BD8">
        <w:t>W</w:t>
      </w:r>
      <w:r>
        <w:t>aiv</w:t>
      </w:r>
      <w:r w:rsidR="00F2770A">
        <w:t xml:space="preserve">ing </w:t>
      </w:r>
      <w:r w:rsidR="00E17BD8">
        <w:t xml:space="preserve">this rule </w:t>
      </w:r>
      <w:r w:rsidR="000A093D">
        <w:t xml:space="preserve">would </w:t>
      </w:r>
      <w:r w:rsidR="00F2770A">
        <w:t xml:space="preserve">frustrate the subscriber’s intent to </w:t>
      </w:r>
      <w:r w:rsidR="00E17BD8">
        <w:t>switch providers</w:t>
      </w:r>
      <w:r w:rsidR="00F2770A">
        <w:t xml:space="preserve"> </w:t>
      </w:r>
      <w:r w:rsidR="00E17BD8">
        <w:t xml:space="preserve">or otherwise change service and would force the subscriber </w:t>
      </w:r>
      <w:r>
        <w:t xml:space="preserve">to remain with a provider that is not providing </w:t>
      </w:r>
      <w:r w:rsidR="00543CD2">
        <w:t xml:space="preserve">the </w:t>
      </w:r>
      <w:r w:rsidR="00E17BD8">
        <w:t>preferred</w:t>
      </w:r>
      <w:r>
        <w:t xml:space="preserve"> service</w:t>
      </w:r>
      <w:r w:rsidR="00E17BD8">
        <w:t xml:space="preserve">.  </w:t>
      </w:r>
      <w:r w:rsidR="00543CD2">
        <w:t>Permitting these subscriber-requested de-enrollments to continue will preserve consumer choice.</w:t>
      </w:r>
    </w:p>
    <w:p w:rsidR="00FE4AAE" w:rsidP="00016A36" w14:paraId="245A5235" w14:textId="309FA7D8">
      <w:pPr>
        <w:pStyle w:val="ParaNum"/>
        <w:rPr>
          <w:snapToGrid/>
        </w:rPr>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Universal Service Fund (USF) programs</w:t>
      </w:r>
      <w:r w:rsidRPr="006E1205">
        <w:rPr>
          <w:snapToGrid/>
        </w:rPr>
        <w:t xml:space="preserve">.  Although we grant the limited waivers 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Lifeline program</w:t>
      </w:r>
      <w:r w:rsidRPr="006E1205">
        <w:rPr>
          <w:snapToGrid/>
        </w:rPr>
        <w:t xml:space="preserve"> rules and requirements.  We will require USAC to recover funds that we discover were not used properly through its normal processes.  We emphasize that we retain the discretion 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w:t>
      </w:r>
      <w:r w:rsidRPr="006E1205">
        <w:rPr>
          <w:snapToGrid/>
        </w:rPr>
        <w:t>occurred</w:t>
      </w:r>
      <w:r w:rsidRPr="006E1205">
        <w:rPr>
          <w:snapToGrid/>
        </w:rPr>
        <w:t xml:space="preserve">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Lifeline p</w:t>
      </w:r>
      <w:r w:rsidRPr="006E1205">
        <w:rPr>
          <w:snapToGrid/>
        </w:rPr>
        <w:t>rogram</w:t>
      </w:r>
      <w:r>
        <w:rPr>
          <w:snapToGrid/>
        </w:rPr>
        <w:t xml:space="preserve"> </w:t>
      </w:r>
      <w:r w:rsidRPr="006E1205">
        <w:rPr>
          <w:snapToGrid/>
        </w:rPr>
        <w:t>and will continue to aggressively purs</w:t>
      </w:r>
      <w:r>
        <w:rPr>
          <w:snapToGrid/>
        </w:rPr>
        <w:t>ue instances of waste, fraud, or</w:t>
      </w:r>
      <w:r w:rsidRPr="006E1205">
        <w:rPr>
          <w:snapToGrid/>
        </w:rPr>
        <w:t xml:space="preserve"> abuse under our own procedures and in cooperation with law enforcement agencies.</w:t>
      </w:r>
    </w:p>
    <w:p w:rsidR="00016A36" w:rsidRPr="003C73D8" w:rsidP="00916F9B" w14:paraId="27F6F277" w14:textId="14D8A577">
      <w:pPr>
        <w:pStyle w:val="Heading1"/>
      </w:pPr>
      <w:r>
        <w:t>ORDERING CLAUSES</w:t>
      </w:r>
    </w:p>
    <w:p w:rsidR="00016A36" w:rsidRPr="003C73D8" w:rsidP="00016A36" w14:paraId="47C07A80" w14:textId="6814AAB7">
      <w:pPr>
        <w:pStyle w:val="ParaNum"/>
        <w:rPr>
          <w:szCs w:val="22"/>
        </w:rPr>
      </w:pPr>
      <w:r w:rsidRPr="003C73D8">
        <w:rPr>
          <w:szCs w:val="22"/>
        </w:rPr>
        <w:t>ACCORDINGLY, IT IS ORDERED, pursuant to the authority contained in sections 1-4 and 254 of the Communications Act of 1934, as amended, 47 U</w:t>
      </w:r>
      <w:r>
        <w:rPr>
          <w:szCs w:val="22"/>
        </w:rPr>
        <w:t>.</w:t>
      </w:r>
      <w:r w:rsidRPr="003C73D8">
        <w:rPr>
          <w:szCs w:val="22"/>
        </w:rPr>
        <w:t>S</w:t>
      </w:r>
      <w:r>
        <w:rPr>
          <w:szCs w:val="22"/>
        </w:rPr>
        <w:t>.</w:t>
      </w:r>
      <w:r w:rsidRPr="003C73D8">
        <w:rPr>
          <w:szCs w:val="22"/>
        </w:rPr>
        <w:t>C</w:t>
      </w:r>
      <w:r>
        <w:rPr>
          <w:szCs w:val="22"/>
        </w:rPr>
        <w:t>.</w:t>
      </w:r>
      <w:r w:rsidRPr="003C73D8">
        <w:rPr>
          <w:szCs w:val="22"/>
        </w:rPr>
        <w:t xml:space="preserve"> §§ 151-154 and 254, and sections 0.91, 0.291, and 1.3 of the Commission’s rules, 47 CFR §§ 0.91, 0.291, and 1.3, that sections 47 CFR </w:t>
      </w:r>
      <w:r>
        <w:rPr>
          <w:szCs w:val="22"/>
        </w:rPr>
        <w:t xml:space="preserve">§§ </w:t>
      </w:r>
      <w:r w:rsidRPr="003C73D8">
        <w:rPr>
          <w:szCs w:val="22"/>
        </w:rPr>
        <w:t>54.405(e)(</w:t>
      </w:r>
      <w:r w:rsidR="00983523">
        <w:rPr>
          <w:szCs w:val="22"/>
        </w:rPr>
        <w:t xml:space="preserve">1), </w:t>
      </w:r>
      <w:r w:rsidRPr="003C73D8">
        <w:rPr>
          <w:szCs w:val="22"/>
        </w:rPr>
        <w:t>54.405(e)(</w:t>
      </w:r>
      <w:r w:rsidR="00CD384A">
        <w:rPr>
          <w:szCs w:val="22"/>
        </w:rPr>
        <w:t>3</w:t>
      </w:r>
      <w:r w:rsidRPr="003C73D8">
        <w:rPr>
          <w:szCs w:val="22"/>
        </w:rPr>
        <w:t>)</w:t>
      </w:r>
      <w:r w:rsidR="00536297">
        <w:rPr>
          <w:szCs w:val="22"/>
        </w:rPr>
        <w:t>, 54.405(e)(4),</w:t>
      </w:r>
      <w:r w:rsidR="00886684">
        <w:rPr>
          <w:szCs w:val="22"/>
        </w:rPr>
        <w:t xml:space="preserve"> </w:t>
      </w:r>
      <w:r w:rsidRPr="003C73D8">
        <w:rPr>
          <w:szCs w:val="22"/>
        </w:rPr>
        <w:t>54.4</w:t>
      </w:r>
      <w:r w:rsidR="00CD384A">
        <w:rPr>
          <w:szCs w:val="22"/>
        </w:rPr>
        <w:t>07(c)(2)</w:t>
      </w:r>
      <w:r w:rsidR="00D87457">
        <w:rPr>
          <w:szCs w:val="22"/>
        </w:rPr>
        <w:t>, and 54.410(f)</w:t>
      </w:r>
      <w:r w:rsidRPr="003C73D8">
        <w:rPr>
          <w:szCs w:val="22"/>
        </w:rPr>
        <w:t xml:space="preserve"> of the Commission’s rules are waived to the limited exte</w:t>
      </w:r>
      <w:bookmarkStart w:id="3" w:name="_GoBack"/>
      <w:bookmarkEnd w:id="3"/>
      <w:r w:rsidRPr="003C73D8">
        <w:rPr>
          <w:szCs w:val="22"/>
        </w:rPr>
        <w:t xml:space="preserve">nt provided herein.  </w:t>
      </w:r>
    </w:p>
    <w:p w:rsidR="00016A36" w:rsidRPr="003C73D8" w:rsidP="00016A36" w14:paraId="3E284DFA" w14:textId="77777777">
      <w:pPr>
        <w:pStyle w:val="ParaNum"/>
        <w:rPr>
          <w:szCs w:val="22"/>
        </w:rPr>
      </w:pPr>
      <w:bookmarkStart w:id="4" w:name="_Hlk495052368"/>
      <w:r w:rsidRPr="003C73D8">
        <w:rPr>
          <w:szCs w:val="22"/>
        </w:rPr>
        <w:t xml:space="preserve">IT IS FURTHER ORDERED, that pursuant to section 1.102(b)(1) of the Commission’s rules, 47 CFR § 1.102(b)(1), this Order SHALL BE EFFECTIVE upon release.  </w:t>
      </w:r>
    </w:p>
    <w:bookmarkEnd w:id="4"/>
    <w:p w:rsidR="00016A36" w:rsidP="00016A36" w14:paraId="2B44429E" w14:textId="77777777">
      <w:pPr>
        <w:pStyle w:val="ParaNum"/>
        <w:numPr>
          <w:ilvl w:val="0"/>
          <w:numId w:val="0"/>
        </w:numPr>
        <w:rPr>
          <w:szCs w:val="22"/>
        </w:rPr>
      </w:pPr>
    </w:p>
    <w:p w:rsidR="00016A36" w:rsidP="00016A36" w14:paraId="74BC7638" w14:textId="77777777">
      <w:r>
        <w:tab/>
      </w:r>
      <w:r>
        <w:tab/>
      </w:r>
      <w:r>
        <w:tab/>
      </w:r>
      <w:r>
        <w:tab/>
      </w:r>
      <w:r>
        <w:tab/>
      </w:r>
      <w:r>
        <w:tab/>
        <w:t>FEDERAL COMMUNICATIONS COMMISSION</w:t>
      </w:r>
    </w:p>
    <w:p w:rsidR="00016A36" w:rsidP="00016A36" w14:paraId="7D1045D7" w14:textId="77777777"/>
    <w:p w:rsidR="00016A36" w:rsidP="00016A36" w14:paraId="745440EA" w14:textId="77777777"/>
    <w:p w:rsidR="00016A36" w:rsidP="00016A36" w14:paraId="5F4B3BEE" w14:textId="77777777"/>
    <w:p w:rsidR="00016A36" w:rsidP="00016A36" w14:paraId="6446FB17" w14:textId="77777777"/>
    <w:p w:rsidR="00016A36" w:rsidRPr="003C73D8" w:rsidP="00016A36" w14:paraId="121B9533" w14:textId="77777777">
      <w:pPr>
        <w:pStyle w:val="ParaNum"/>
        <w:numPr>
          <w:ilvl w:val="0"/>
          <w:numId w:val="0"/>
        </w:numPr>
        <w:spacing w:after="0"/>
        <w:ind w:left="4320"/>
        <w:rPr>
          <w:szCs w:val="22"/>
        </w:rPr>
      </w:pPr>
      <w:r w:rsidRPr="003C73D8">
        <w:rPr>
          <w:szCs w:val="22"/>
        </w:rPr>
        <w:t>Kris Anne Monteith</w:t>
      </w:r>
    </w:p>
    <w:p w:rsidR="00016A36" w:rsidRPr="003C73D8" w:rsidP="00016A36" w14:paraId="473771F6" w14:textId="77777777">
      <w:pPr>
        <w:pStyle w:val="ParaNum"/>
        <w:numPr>
          <w:ilvl w:val="0"/>
          <w:numId w:val="0"/>
        </w:numPr>
        <w:spacing w:after="0"/>
        <w:ind w:left="4320"/>
        <w:rPr>
          <w:szCs w:val="22"/>
        </w:rPr>
      </w:pPr>
      <w:r w:rsidRPr="003C73D8">
        <w:rPr>
          <w:szCs w:val="22"/>
        </w:rPr>
        <w:t>Chief</w:t>
      </w:r>
    </w:p>
    <w:p w:rsidR="00016A36" w:rsidRPr="00905231" w:rsidP="00016A36" w14:paraId="351BB931" w14:textId="77777777">
      <w:pPr>
        <w:pStyle w:val="ParaNum"/>
        <w:numPr>
          <w:ilvl w:val="0"/>
          <w:numId w:val="0"/>
        </w:numPr>
        <w:spacing w:after="0"/>
        <w:ind w:left="4320"/>
        <w:rPr>
          <w:szCs w:val="22"/>
        </w:rPr>
      </w:pPr>
      <w:r w:rsidRPr="003C73D8">
        <w:rPr>
          <w:szCs w:val="22"/>
        </w:rPr>
        <w:t>Wireline Competition Bureau</w:t>
      </w:r>
    </w:p>
    <w:p w:rsidR="00016A36" w:rsidP="00016A36" w14:paraId="039C69F1" w14:textId="77777777">
      <w:pPr>
        <w:pStyle w:val="Heading1"/>
        <w:numPr>
          <w:ilvl w:val="0"/>
          <w:numId w:val="0"/>
        </w:numPr>
      </w:pPr>
    </w:p>
    <w:p w:rsidR="003F73EC" w14:paraId="6E89CB84" w14:textId="77777777"/>
    <w:sectPr w:rsidSect="00FE5EDF">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EDF" w:rsidP="00FE5EDF" w14:paraId="6868DC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5EDF" w14:paraId="19D33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EDF" w:rsidP="00FE5EDF" w14:paraId="1C400CA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EDF" w14:paraId="3A474A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ADE" w:rsidP="00016A36" w14:paraId="4FAA4A6F" w14:textId="77777777">
      <w:r>
        <w:separator/>
      </w:r>
    </w:p>
  </w:footnote>
  <w:footnote w:type="continuationSeparator" w:id="1">
    <w:p w:rsidR="00AE2ADE" w:rsidP="00016A36" w14:paraId="53A65EFA" w14:textId="77777777">
      <w:r>
        <w:continuationSeparator/>
      </w:r>
    </w:p>
  </w:footnote>
  <w:footnote w:type="continuationNotice" w:id="2">
    <w:p w:rsidR="00AE2ADE" w14:paraId="180AFACB" w14:textId="77777777"/>
  </w:footnote>
  <w:footnote w:id="3">
    <w:p w:rsidR="00BF2186" w:rsidRPr="00440E2F" w:rsidP="00BF2186" w14:paraId="0B9CAA6D" w14:textId="2E658F4C">
      <w:pPr>
        <w:pStyle w:val="FootnoteText"/>
      </w:pPr>
      <w:r>
        <w:rPr>
          <w:rStyle w:val="FootnoteReference"/>
        </w:rPr>
        <w:footnoteRef/>
      </w:r>
      <w:r>
        <w:t xml:space="preserve"> </w:t>
      </w:r>
      <w:r>
        <w:rPr>
          <w:i/>
          <w:iCs/>
        </w:rPr>
        <w:t>See</w:t>
      </w:r>
      <w:r>
        <w:t xml:space="preserve"> Centers for Disease Control and Prevention, Coronavirus (</w:t>
      </w:r>
      <w:r>
        <w:t>COVID</w:t>
      </w:r>
      <w:r>
        <w:t xml:space="preserve">-19) (last visited Mar. </w:t>
      </w:r>
      <w:r w:rsidR="005201ED">
        <w:t>30</w:t>
      </w:r>
      <w:r>
        <w:t xml:space="preserve">, 2020), </w:t>
      </w:r>
      <w:hyperlink r:id="rId1" w:history="1">
        <w:r w:rsidRPr="00EC6087">
          <w:rPr>
            <w:rStyle w:val="Hyperlink"/>
          </w:rPr>
          <w:t>https://www.cdc.gov/coronavirus/2019-ncov/index.html</w:t>
        </w:r>
      </w:hyperlink>
      <w:r>
        <w:t xml:space="preserve">.   </w:t>
      </w:r>
    </w:p>
  </w:footnote>
  <w:footnote w:id="4">
    <w:p w:rsidR="00BF2186" w:rsidRPr="00D2434A" w:rsidP="00BF2186" w14:paraId="0CF7F4E5" w14:textId="4F7D343A">
      <w:pPr>
        <w:pStyle w:val="FootnoteText"/>
      </w:pPr>
      <w:r>
        <w:rPr>
          <w:rStyle w:val="FootnoteReference"/>
        </w:rPr>
        <w:footnoteRef/>
      </w:r>
      <w:r>
        <w:t xml:space="preserve"> </w:t>
      </w:r>
      <w:r>
        <w:rPr>
          <w:i/>
          <w:iCs/>
        </w:rPr>
        <w:t>See, e.g.</w:t>
      </w:r>
      <w:r>
        <w:t>,</w:t>
      </w:r>
      <w:r w:rsidRPr="00742423">
        <w:t xml:space="preserve"> </w:t>
      </w:r>
      <w:r w:rsidR="00651FD9">
        <w:rPr>
          <w:i/>
          <w:iCs/>
        </w:rPr>
        <w:t>Lifeline and Link Up Reform and Modernization</w:t>
      </w:r>
      <w:r w:rsidR="00651FD9">
        <w:t>, WC Docket No. 11-42, Order, DA 20-285 (WCB Mar. 17, 2020) (temporarily waiving Lifeline recertification</w:t>
      </w:r>
      <w:r w:rsidR="000C23F4">
        <w:t xml:space="preserve"> and</w:t>
      </w:r>
      <w:r w:rsidR="00651FD9">
        <w:t xml:space="preserve"> reverification</w:t>
      </w:r>
      <w:r w:rsidR="000C23F4">
        <w:t xml:space="preserve"> requirements</w:t>
      </w:r>
      <w:r w:rsidR="00651FD9">
        <w:t xml:space="preserve">) </w:t>
      </w:r>
      <w:r w:rsidRPr="00481DE5" w:rsidR="00651FD9">
        <w:t>(</w:t>
      </w:r>
      <w:r w:rsidR="00651FD9">
        <w:rPr>
          <w:i/>
          <w:iCs/>
        </w:rPr>
        <w:t>Lifeline Recertification and Reverification Waiver Order</w:t>
      </w:r>
      <w:r w:rsidR="00651FD9">
        <w:t>)</w:t>
      </w:r>
      <w:r>
        <w:t xml:space="preserve">; </w:t>
      </w:r>
      <w:r>
        <w:rPr>
          <w:i/>
          <w:iCs/>
        </w:rPr>
        <w:t>Rural Health Care Universal Service Support Mechanism</w:t>
      </w:r>
      <w:r>
        <w:t>, WC Docket No. 02-60, CC Docket No. 02-6, Order, DA 20-290 (WCB Mar. 18, 2020) (temporarily waiving the Commission’s gift rules for the Rural Health Care and E-Rate programs)</w:t>
      </w:r>
      <w:r w:rsidR="000C23F4">
        <w:t>.</w:t>
      </w:r>
    </w:p>
  </w:footnote>
  <w:footnote w:id="5">
    <w:p w:rsidR="00A32200" w:rsidRPr="00BF0D5B" w:rsidP="00A32200" w14:paraId="773BDC5F" w14:textId="77777777">
      <w:pPr>
        <w:pStyle w:val="FootnoteText"/>
      </w:pPr>
      <w:r>
        <w:rPr>
          <w:rStyle w:val="FootnoteReference"/>
        </w:rPr>
        <w:footnoteRef/>
      </w:r>
      <w:r>
        <w:t xml:space="preserve"> 47 CFR §§ 54.405(e)(3) and 54.407(c)(2).</w:t>
      </w:r>
    </w:p>
  </w:footnote>
  <w:footnote w:id="6">
    <w:p w:rsidR="00A32200" w:rsidP="00A32200" w14:paraId="4E8232E7" w14:textId="77777777">
      <w:pPr>
        <w:pStyle w:val="FootnoteText"/>
      </w:pPr>
      <w:r>
        <w:rPr>
          <w:rStyle w:val="FootnoteReference"/>
        </w:rPr>
        <w:footnoteRef/>
      </w:r>
      <w:r>
        <w:t xml:space="preserve"> 47 CFR § 54.405(e)(1).</w:t>
      </w:r>
    </w:p>
  </w:footnote>
  <w:footnote w:id="7">
    <w:p w:rsidR="00BF2186" w:rsidP="00BF2186" w14:paraId="023D6F4A" w14:textId="77777777">
      <w:pPr>
        <w:pStyle w:val="FootnoteText"/>
      </w:pPr>
      <w:r>
        <w:rPr>
          <w:rStyle w:val="FootnoteReference"/>
        </w:rPr>
        <w:footnoteRef/>
      </w:r>
      <w:r>
        <w:t xml:space="preserve"> 47 CFR § 1.3.</w:t>
      </w:r>
    </w:p>
  </w:footnote>
  <w:footnote w:id="8">
    <w:p w:rsidR="005B62FB" w14:paraId="34238646" w14:textId="1E416A67">
      <w:pPr>
        <w:pStyle w:val="FootnoteText"/>
      </w:pPr>
      <w:r>
        <w:rPr>
          <w:rStyle w:val="FootnoteReference"/>
        </w:rPr>
        <w:footnoteRef/>
      </w:r>
      <w:r>
        <w:t xml:space="preserve"> 47 CFR §§ 54.405(e)(4) and 54.410(f).</w:t>
      </w:r>
    </w:p>
  </w:footnote>
  <w:footnote w:id="9">
    <w:p w:rsidR="00A32200" w:rsidRPr="001A3022" w:rsidP="00A32200" w14:paraId="73E7B4A3" w14:textId="2056801F">
      <w:pPr>
        <w:pStyle w:val="FootnoteText"/>
      </w:pPr>
      <w:r>
        <w:rPr>
          <w:rStyle w:val="FootnoteReference"/>
        </w:rPr>
        <w:footnoteRef/>
      </w:r>
      <w:r>
        <w:t xml:space="preserve"> </w:t>
      </w:r>
      <w:r>
        <w:rPr>
          <w:i/>
          <w:iCs/>
        </w:rPr>
        <w:t>See Lifeline Recertification and Reverification Waiver Order</w:t>
      </w:r>
      <w:r>
        <w:t>.  Consistent with our previous waiver, in the states of California, Oregon, and Texas, where the state administrator conducts the recertification process and certain de-enrollment processes, we encourage the state administrator to pause and extend recertification and other de-enrollment deadlines in those states as quickly as possible.  We direct eligible telecommunications carriers in those states to continue to follow the state administrator’s processes and direction in implementing this waiver.</w:t>
      </w:r>
    </w:p>
  </w:footnote>
  <w:footnote w:id="10">
    <w:p w:rsidR="00016A36" w:rsidRPr="00124469" w:rsidP="00016A36" w14:paraId="6992EACA" w14:textId="6E31F63A">
      <w:pPr>
        <w:pStyle w:val="FootnoteText"/>
      </w:pPr>
      <w:r>
        <w:rPr>
          <w:rStyle w:val="FootnoteReference"/>
        </w:rPr>
        <w:footnoteRef/>
      </w:r>
      <w:r>
        <w:t xml:space="preserve"> </w:t>
      </w:r>
      <w:r>
        <w:rPr>
          <w:i/>
          <w:iCs/>
        </w:rPr>
        <w:t xml:space="preserve">See </w:t>
      </w:r>
      <w:r w:rsidR="00D23393">
        <w:rPr>
          <w:i/>
          <w:iCs/>
        </w:rPr>
        <w:t>Bridgin</w:t>
      </w:r>
      <w:r w:rsidR="00BE4C23">
        <w:rPr>
          <w:i/>
          <w:iCs/>
        </w:rPr>
        <w:t>g the Digital Divide for Low-Income Consumers</w:t>
      </w:r>
      <w:r>
        <w:t>,</w:t>
      </w:r>
      <w:r w:rsidR="00BE4C23">
        <w:t xml:space="preserve"> </w:t>
      </w:r>
      <w:r w:rsidR="00D71767">
        <w:t xml:space="preserve">Fifth Report and Order, </w:t>
      </w:r>
      <w:r w:rsidR="008568BD">
        <w:t xml:space="preserve">Memorandum Opinion and Order and Order on Reconsideration, </w:t>
      </w:r>
      <w:r w:rsidR="003A1523">
        <w:t>and Further Notice of Proposed Rulemaking,</w:t>
      </w:r>
      <w:r>
        <w:t xml:space="preserve"> 34 FCC Rcd </w:t>
      </w:r>
      <w:r w:rsidR="00534DEB">
        <w:t>10886,</w:t>
      </w:r>
      <w:r>
        <w:t xml:space="preserve"> 10887, para. 3</w:t>
      </w:r>
      <w:r w:rsidR="003A1523">
        <w:t xml:space="preserve"> (2019) (</w:t>
      </w:r>
      <w:r w:rsidR="003A1523">
        <w:rPr>
          <w:i/>
          <w:iCs/>
        </w:rPr>
        <w:t>2019 Lifeline Order</w:t>
      </w:r>
      <w:r w:rsidR="003A1523">
        <w:t>)</w:t>
      </w:r>
      <w:r>
        <w:t>.</w:t>
      </w:r>
    </w:p>
  </w:footnote>
  <w:footnote w:id="11">
    <w:p w:rsidR="00C2731D" w:rsidRPr="00C2731D" w14:paraId="4FA76C5D" w14:textId="537AC62A">
      <w:pPr>
        <w:pStyle w:val="FootnoteText"/>
      </w:pPr>
      <w:r>
        <w:rPr>
          <w:rStyle w:val="FootnoteReference"/>
        </w:rPr>
        <w:footnoteRef/>
      </w:r>
      <w:r>
        <w:t xml:space="preserve"> </w:t>
      </w:r>
      <w:r>
        <w:rPr>
          <w:i/>
          <w:iCs/>
        </w:rPr>
        <w:t>See</w:t>
      </w:r>
      <w:r>
        <w:t xml:space="preserve"> 47 CFR § 54.</w:t>
      </w:r>
      <w:r w:rsidR="004733A9">
        <w:t>407(a).</w:t>
      </w:r>
    </w:p>
  </w:footnote>
  <w:footnote w:id="12">
    <w:p w:rsidR="00071879" w14:paraId="0526F990" w14:textId="11055F2A">
      <w:pPr>
        <w:pStyle w:val="FootnoteText"/>
      </w:pPr>
      <w:r>
        <w:rPr>
          <w:rStyle w:val="FootnoteReference"/>
        </w:rPr>
        <w:footnoteRef/>
      </w:r>
      <w:r>
        <w:t xml:space="preserve"> 47 CFR § 54.405(e)(1).</w:t>
      </w:r>
    </w:p>
  </w:footnote>
  <w:footnote w:id="13">
    <w:p w:rsidR="004855A9" w:rsidRPr="004855A9" w14:paraId="5A1D1DBD" w14:textId="02878B4E">
      <w:pPr>
        <w:pStyle w:val="FootnoteText"/>
      </w:pPr>
      <w:r>
        <w:rPr>
          <w:rStyle w:val="FootnoteReference"/>
        </w:rPr>
        <w:footnoteRef/>
      </w:r>
      <w:r>
        <w:t xml:space="preserve"> </w:t>
      </w:r>
      <w:r>
        <w:rPr>
          <w:i/>
          <w:iCs/>
        </w:rPr>
        <w:t>Id.</w:t>
      </w:r>
    </w:p>
  </w:footnote>
  <w:footnote w:id="14">
    <w:p w:rsidR="00016A36" w:rsidP="00016A36" w14:paraId="444634EE" w14:textId="77777777">
      <w:pPr>
        <w:pStyle w:val="FootnoteText"/>
      </w:pPr>
      <w:r>
        <w:rPr>
          <w:rStyle w:val="FootnoteReference"/>
        </w:rPr>
        <w:footnoteRef/>
      </w:r>
      <w:r>
        <w:t xml:space="preserve"> 47 CFR § 54.407(c)(2).</w:t>
      </w:r>
    </w:p>
  </w:footnote>
  <w:footnote w:id="15">
    <w:p w:rsidR="00016A36" w:rsidP="00016A36" w14:paraId="5469575E" w14:textId="77777777">
      <w:pPr>
        <w:pStyle w:val="FootnoteText"/>
      </w:pPr>
      <w:r>
        <w:rPr>
          <w:rStyle w:val="FootnoteReference"/>
        </w:rPr>
        <w:footnoteRef/>
      </w:r>
      <w:r>
        <w:t xml:space="preserve"> 47 CFR § 54.405(e)(3).</w:t>
      </w:r>
    </w:p>
  </w:footnote>
  <w:footnote w:id="16">
    <w:p w:rsidR="008A51D1" w:rsidP="008A51D1" w14:paraId="6288A584" w14:textId="77777777">
      <w:pPr>
        <w:pStyle w:val="FootnoteText"/>
      </w:pPr>
      <w:r>
        <w:rPr>
          <w:rStyle w:val="FootnoteReference"/>
        </w:rPr>
        <w:footnoteRef/>
      </w:r>
      <w:r>
        <w:t xml:space="preserve"> </w:t>
      </w:r>
      <w:r w:rsidRPr="00F0764E">
        <w:rPr>
          <w:i/>
          <w:iCs/>
        </w:rPr>
        <w:t>See</w:t>
      </w:r>
      <w:r>
        <w:t xml:space="preserve"> 47 CFR §§ 54.405(e)(4) and 54.410(f).</w:t>
      </w:r>
    </w:p>
  </w:footnote>
  <w:footnote w:id="17">
    <w:p w:rsidR="005941F7" w:rsidRPr="005941F7" w14:paraId="5CC7DF26" w14:textId="70B9F858">
      <w:pPr>
        <w:pStyle w:val="FootnoteText"/>
      </w:pPr>
      <w:r>
        <w:rPr>
          <w:rStyle w:val="FootnoteReference"/>
        </w:rPr>
        <w:footnoteRef/>
      </w:r>
      <w:r>
        <w:t xml:space="preserve"> </w:t>
      </w:r>
      <w:r>
        <w:rPr>
          <w:i/>
          <w:iCs/>
        </w:rPr>
        <w:t>Lifeline Recertification and Reverification Waiver Order</w:t>
      </w:r>
      <w:r w:rsidR="00A66325">
        <w:t xml:space="preserve"> at 2, para. 6.</w:t>
      </w:r>
    </w:p>
  </w:footnote>
  <w:footnote w:id="18">
    <w:p w:rsidR="00016A36" w:rsidP="00016A36" w14:paraId="017B4F2C" w14:textId="77777777">
      <w:pPr>
        <w:pStyle w:val="FootnoteText"/>
      </w:pPr>
      <w:r>
        <w:rPr>
          <w:rStyle w:val="FootnoteReference"/>
        </w:rPr>
        <w:footnoteRef/>
      </w:r>
      <w:r>
        <w:t xml:space="preserve"> </w:t>
      </w:r>
      <w:r w:rsidRPr="00E91516">
        <w:t xml:space="preserve">47 CFR § 1.3.  </w:t>
      </w:r>
    </w:p>
  </w:footnote>
  <w:footnote w:id="19">
    <w:p w:rsidR="00016A36" w:rsidP="00016A36" w14:paraId="7298FF82" w14:textId="77777777">
      <w:pPr>
        <w:pStyle w:val="FootnoteText"/>
      </w:pPr>
      <w:r>
        <w:rPr>
          <w:rStyle w:val="FootnoteReference"/>
        </w:rPr>
        <w:footnoteRef/>
      </w:r>
      <w:r>
        <w:t xml:space="preserve"> </w:t>
      </w:r>
      <w:r w:rsidRPr="00E91516">
        <w:rPr>
          <w:i/>
        </w:rPr>
        <w:t>Northeast Cellular Telephone Co. v. FCC</w:t>
      </w:r>
      <w:r w:rsidRPr="00E91516">
        <w:t xml:space="preserve">, 897 </w:t>
      </w:r>
      <w:r w:rsidRPr="00E91516">
        <w:t>F.2d</w:t>
      </w:r>
      <w:r w:rsidRPr="00E91516">
        <w:t xml:space="preserve"> 1164, 1166 (D.C. Cir. 1990).  </w:t>
      </w:r>
    </w:p>
  </w:footnote>
  <w:footnote w:id="20">
    <w:p w:rsidR="00016A36" w:rsidP="00016A36" w14:paraId="728F04BA" w14:textId="77777777">
      <w:pPr>
        <w:pStyle w:val="FootnoteText"/>
      </w:pPr>
      <w:r>
        <w:rPr>
          <w:rStyle w:val="FootnoteReference"/>
        </w:rPr>
        <w:footnoteRef/>
      </w:r>
      <w:r>
        <w:t xml:space="preserve"> </w:t>
      </w:r>
      <w:r w:rsidRPr="00D954AA">
        <w:rPr>
          <w:i/>
        </w:rPr>
        <w:t>WAIT Radio v. FCC</w:t>
      </w:r>
      <w:r>
        <w:t xml:space="preserve">, 418 </w:t>
      </w:r>
      <w:r>
        <w:t>F.2d</w:t>
      </w:r>
      <w:r>
        <w:t xml:space="preserve"> 1153, 1159 (D.C. Cir. 1969); </w:t>
      </w:r>
      <w:r w:rsidRPr="00E91516">
        <w:rPr>
          <w:i/>
        </w:rPr>
        <w:t>Northeast Cellular</w:t>
      </w:r>
      <w:r w:rsidRPr="00E91516">
        <w:t xml:space="preserve">, 897 </w:t>
      </w:r>
      <w:r w:rsidRPr="00E91516">
        <w:t>F.2d</w:t>
      </w:r>
      <w:r w:rsidRPr="00E91516">
        <w:t xml:space="preserve"> at 1166.</w:t>
      </w:r>
    </w:p>
  </w:footnote>
  <w:footnote w:id="21">
    <w:p w:rsidR="001F1717" w:rsidRPr="00C34EC8" w:rsidP="001F1717" w14:paraId="197A8388" w14:textId="796A02CC">
      <w:pPr>
        <w:pStyle w:val="FootnoteText"/>
      </w:pPr>
      <w:r>
        <w:rPr>
          <w:rStyle w:val="FootnoteReference"/>
        </w:rPr>
        <w:footnoteRef/>
      </w:r>
      <w:r>
        <w:t xml:space="preserve"> </w:t>
      </w:r>
      <w:r>
        <w:rPr>
          <w:i/>
          <w:iCs/>
        </w:rPr>
        <w:t>See</w:t>
      </w:r>
      <w:r>
        <w:t xml:space="preserve"> 47 CFR § 54.405(e)(</w:t>
      </w:r>
      <w:r w:rsidR="001F15EA">
        <w:t>3</w:t>
      </w:r>
      <w:r>
        <w:t>).</w:t>
      </w:r>
    </w:p>
  </w:footnote>
  <w:footnote w:id="22">
    <w:p w:rsidR="00C42117" w:rsidRPr="00E66AD3" w14:paraId="2D093DD4" w14:textId="3D25F1E6">
      <w:pPr>
        <w:pStyle w:val="FootnoteText"/>
      </w:pPr>
      <w:r>
        <w:rPr>
          <w:rStyle w:val="FootnoteReference"/>
        </w:rPr>
        <w:footnoteRef/>
      </w:r>
      <w:r>
        <w:t xml:space="preserve"> </w:t>
      </w:r>
      <w:r w:rsidR="00E66AD3">
        <w:rPr>
          <w:i/>
          <w:iCs/>
        </w:rPr>
        <w:t>See, e.g.</w:t>
      </w:r>
      <w:r w:rsidR="00E66AD3">
        <w:t xml:space="preserve">, </w:t>
      </w:r>
      <w:r w:rsidR="00247157">
        <w:t xml:space="preserve">Centers for Disease Control and Prevention, </w:t>
      </w:r>
      <w:r w:rsidR="00E66AD3">
        <w:t xml:space="preserve">How To Protect Yourself </w:t>
      </w:r>
      <w:hyperlink r:id="rId2" w:history="1">
        <w:r w:rsidR="00E66AD3">
          <w:rPr>
            <w:rStyle w:val="Hyperlink"/>
          </w:rPr>
          <w:t>https://www.cdc.gov/coronavirus/2019-ncov/prepare/prevention.html</w:t>
        </w:r>
      </w:hyperlink>
      <w:r w:rsidR="00F3241E">
        <w:t xml:space="preserve">; </w:t>
      </w:r>
      <w:r w:rsidRPr="00F3241E" w:rsidR="00F3241E">
        <w:t xml:space="preserve">Sarah </w:t>
      </w:r>
      <w:r w:rsidRPr="00F3241E" w:rsidR="00F3241E">
        <w:t>Mervosh</w:t>
      </w:r>
      <w:r w:rsidRPr="00F3241E" w:rsidR="00F3241E">
        <w:t xml:space="preserve">, Denise Lu, and Vanessa Swales, </w:t>
      </w:r>
      <w:r w:rsidRPr="00F3241E" w:rsidR="00F3241E">
        <w:rPr>
          <w:i/>
          <w:iCs/>
        </w:rPr>
        <w:t>See Which States and Cities Have Told Residents to Stay at Home</w:t>
      </w:r>
      <w:r w:rsidRPr="00F3241E" w:rsidR="00F3241E">
        <w:t xml:space="preserve"> (Mar. 27, 2020) </w:t>
      </w:r>
      <w:hyperlink r:id="rId3" w:history="1">
        <w:r w:rsidRPr="00F3241E" w:rsidR="00F3241E">
          <w:rPr>
            <w:rStyle w:val="Hyperlink"/>
          </w:rPr>
          <w:t>https://www.nytimes.com/interactive/2020/us/coronavirus-stay-at-home-order.html</w:t>
        </w:r>
      </w:hyperlink>
      <w:r w:rsidRPr="00F3241E" w:rsidR="00F3241E">
        <w:t xml:space="preserve"> (stating that as of March 2</w:t>
      </w:r>
      <w:r w:rsidR="0091672B">
        <w:t>8</w:t>
      </w:r>
      <w:r w:rsidRPr="00F3241E" w:rsidR="00F3241E">
        <w:t>, at least 2</w:t>
      </w:r>
      <w:r w:rsidR="0091672B">
        <w:t>29</w:t>
      </w:r>
      <w:r w:rsidRPr="00F3241E" w:rsidR="00F3241E">
        <w:t xml:space="preserve"> million people in 2</w:t>
      </w:r>
      <w:r w:rsidR="0091672B">
        <w:t>6</w:t>
      </w:r>
      <w:r w:rsidRPr="00F3241E" w:rsidR="00F3241E">
        <w:t xml:space="preserve"> states are being urged to stay at home).</w:t>
      </w:r>
    </w:p>
  </w:footnote>
  <w:footnote w:id="23">
    <w:p w:rsidR="000C23F4" w14:paraId="5D0C8BF0" w14:textId="204CB351">
      <w:pPr>
        <w:pStyle w:val="FootnoteText"/>
      </w:pPr>
      <w:r>
        <w:rPr>
          <w:rStyle w:val="FootnoteReference"/>
        </w:rPr>
        <w:footnoteRef/>
      </w:r>
      <w:r>
        <w:t xml:space="preserve"> </w:t>
      </w:r>
      <w:bookmarkStart w:id="2" w:name="_Hlk36385853"/>
      <w:r w:rsidRPr="004514D5" w:rsidR="00ED2428">
        <w:rPr>
          <w:i/>
          <w:iCs/>
        </w:rPr>
        <w:t xml:space="preserve">See </w:t>
      </w:r>
      <w:r w:rsidRPr="004514D5" w:rsidR="00ED2428">
        <w:t xml:space="preserve">Letter from David A. </w:t>
      </w:r>
      <w:r w:rsidRPr="004514D5" w:rsidR="00ED2428">
        <w:t>LaFuria</w:t>
      </w:r>
      <w:r w:rsidRPr="004514D5" w:rsidR="00ED2428">
        <w:t xml:space="preserve"> and Steven M. Chernoff, Counsel to Smith Bagley, Inc., to Marlene H. Dortch, Secretary, FCC, WC Docket No. 11-42, at 4-5 (filed Mar. 24, 2020) (requesting a </w:t>
      </w:r>
      <w:r w:rsidR="00ED2428">
        <w:t xml:space="preserve">temporary </w:t>
      </w:r>
      <w:r w:rsidRPr="004514D5" w:rsidR="00ED2428">
        <w:t>suspension of the non-usage rule</w:t>
      </w:r>
      <w:r w:rsidR="00ED2428">
        <w:t xml:space="preserve"> for this reason).</w:t>
      </w:r>
      <w:bookmarkEnd w:id="2"/>
    </w:p>
  </w:footnote>
  <w:footnote w:id="24">
    <w:p w:rsidR="00E82308" w14:paraId="2B46B78E" w14:textId="1F2DF392">
      <w:pPr>
        <w:pStyle w:val="FootnoteText"/>
      </w:pPr>
      <w:r>
        <w:rPr>
          <w:rStyle w:val="FootnoteReference"/>
        </w:rPr>
        <w:footnoteRef/>
      </w:r>
      <w:r>
        <w:t xml:space="preserve"> 47 CFR §</w:t>
      </w:r>
      <w:r w:rsidR="006E25B0">
        <w:t xml:space="preserve"> 54.409(a).</w:t>
      </w:r>
    </w:p>
  </w:footnote>
  <w:footnote w:id="25">
    <w:p w:rsidR="00EE7D41" w14:paraId="20725324" w14:textId="32A1DDF1">
      <w:pPr>
        <w:pStyle w:val="FootnoteText"/>
      </w:pPr>
      <w:r>
        <w:rPr>
          <w:rStyle w:val="FootnoteReference"/>
        </w:rPr>
        <w:footnoteRef/>
      </w:r>
      <w:r>
        <w:t xml:space="preserve"> 47 CFR §§ 54.405(e)(4)</w:t>
      </w:r>
      <w:r w:rsidR="00891668">
        <w:t xml:space="preserve"> and</w:t>
      </w:r>
      <w:r>
        <w:t xml:space="preserve"> 54.410(f).</w:t>
      </w:r>
    </w:p>
  </w:footnote>
  <w:footnote w:id="26">
    <w:p w:rsidR="00C079E5" w14:paraId="1831A4C4" w14:textId="06636F9B">
      <w:pPr>
        <w:pStyle w:val="FootnoteText"/>
      </w:pPr>
      <w:r>
        <w:rPr>
          <w:rStyle w:val="FootnoteReference"/>
        </w:rPr>
        <w:footnoteRef/>
      </w:r>
      <w:r>
        <w:t xml:space="preserve"> </w:t>
      </w:r>
      <w:r>
        <w:rPr>
          <w:i/>
          <w:iCs/>
        </w:rPr>
        <w:t>Lifeline Recertification and Reverification Waiver Order</w:t>
      </w:r>
      <w:r>
        <w:t xml:space="preserve"> at </w:t>
      </w:r>
      <w:r w:rsidR="008019C3">
        <w:t>3, para. 7</w:t>
      </w:r>
    </w:p>
  </w:footnote>
  <w:footnote w:id="27">
    <w:p w:rsidR="00536297" w:rsidP="00536297" w14:paraId="0D173A46" w14:textId="77777777">
      <w:pPr>
        <w:pStyle w:val="FootnoteText"/>
      </w:pPr>
      <w:r>
        <w:rPr>
          <w:rStyle w:val="FootnoteReference"/>
        </w:rPr>
        <w:footnoteRef/>
      </w:r>
      <w:r>
        <w:t xml:space="preserve"> Any subscriber with an anniversary date prior to April 14, 2020 has already completed their 60-day recertification notice period prior to the adoption of this Order.</w:t>
      </w:r>
    </w:p>
  </w:footnote>
  <w:footnote w:id="28">
    <w:p w:rsidR="00D23393" w:rsidRPr="00534DEB" w14:paraId="3C827523" w14:textId="6B3A2B98">
      <w:pPr>
        <w:pStyle w:val="FootnoteText"/>
      </w:pPr>
      <w:r>
        <w:rPr>
          <w:rStyle w:val="FootnoteReference"/>
        </w:rPr>
        <w:footnoteRef/>
      </w:r>
      <w:r>
        <w:t xml:space="preserve"> </w:t>
      </w:r>
      <w:r>
        <w:rPr>
          <w:i/>
          <w:iCs/>
        </w:rPr>
        <w:t>See 201</w:t>
      </w:r>
      <w:r w:rsidR="00534DEB">
        <w:rPr>
          <w:i/>
          <w:iCs/>
        </w:rPr>
        <w:t>9 Lifeline Order</w:t>
      </w:r>
      <w:r w:rsidR="00534DEB">
        <w:t xml:space="preserve">, 34 FCC Rcd at </w:t>
      </w:r>
      <w:r w:rsidR="00363846">
        <w:t>10895</w:t>
      </w:r>
      <w:r w:rsidR="00BB57E5">
        <w:t>-96</w:t>
      </w:r>
      <w:r w:rsidR="00BE32BD">
        <w:t>, 10925</w:t>
      </w:r>
      <w:r w:rsidR="00363846">
        <w:t>, paras. 21</w:t>
      </w:r>
      <w:r w:rsidR="00591486">
        <w:t>-23</w:t>
      </w:r>
      <w:r w:rsidR="00297AC5">
        <w:t>, 93</w:t>
      </w:r>
      <w:r w:rsidR="003638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EDF" w:rsidP="00FE5EDF" w14:paraId="19DB61ED" w14:textId="7DFE2BD9">
    <w:pPr>
      <w:pStyle w:val="Header"/>
      <w:rPr>
        <w:b w:val="0"/>
      </w:rPr>
    </w:pPr>
    <w:r>
      <w:tab/>
      <w:t>Federal Communications Commission</w:t>
    </w:r>
    <w:r>
      <w:tab/>
      <w:t>DA 20-</w:t>
    </w:r>
    <w:r w:rsidR="00927868">
      <w:t>354</w:t>
    </w:r>
  </w:p>
  <w:p w:rsidR="00FE5EDF" w14:paraId="10488CD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5EDF" w14:paraId="4A5053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EDF" w:rsidP="00FE5EDF" w14:paraId="77A5F35E" w14:textId="7E6D336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927868">
      <w:rPr>
        <w:spacing w:val="-2"/>
      </w:rPr>
      <w:t>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861076"/>
    <w:multiLevelType w:val="hybridMultilevel"/>
    <w:tmpl w:val="866C638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36"/>
    <w:rsid w:val="00011C82"/>
    <w:rsid w:val="00016A36"/>
    <w:rsid w:val="00016E7D"/>
    <w:rsid w:val="0003666A"/>
    <w:rsid w:val="00036A8B"/>
    <w:rsid w:val="0004283B"/>
    <w:rsid w:val="00043F50"/>
    <w:rsid w:val="000629EE"/>
    <w:rsid w:val="00063100"/>
    <w:rsid w:val="00071879"/>
    <w:rsid w:val="00077DB4"/>
    <w:rsid w:val="00077DE8"/>
    <w:rsid w:val="00083275"/>
    <w:rsid w:val="00086CBF"/>
    <w:rsid w:val="0009533F"/>
    <w:rsid w:val="0009684E"/>
    <w:rsid w:val="000A093D"/>
    <w:rsid w:val="000A76B6"/>
    <w:rsid w:val="000B19DF"/>
    <w:rsid w:val="000B214D"/>
    <w:rsid w:val="000B3A60"/>
    <w:rsid w:val="000B7068"/>
    <w:rsid w:val="000C1F01"/>
    <w:rsid w:val="000C23F4"/>
    <w:rsid w:val="000C5DF7"/>
    <w:rsid w:val="000C661F"/>
    <w:rsid w:val="000C7412"/>
    <w:rsid w:val="000D12FC"/>
    <w:rsid w:val="000E1FC1"/>
    <w:rsid w:val="000E2F62"/>
    <w:rsid w:val="000E42C4"/>
    <w:rsid w:val="000E72E9"/>
    <w:rsid w:val="000F382F"/>
    <w:rsid w:val="000F54AF"/>
    <w:rsid w:val="000F5DE8"/>
    <w:rsid w:val="000F7C93"/>
    <w:rsid w:val="0010112C"/>
    <w:rsid w:val="00104B04"/>
    <w:rsid w:val="00106030"/>
    <w:rsid w:val="00124469"/>
    <w:rsid w:val="0013059D"/>
    <w:rsid w:val="00130D12"/>
    <w:rsid w:val="0015073E"/>
    <w:rsid w:val="00150B07"/>
    <w:rsid w:val="0015357A"/>
    <w:rsid w:val="00166DDB"/>
    <w:rsid w:val="00172626"/>
    <w:rsid w:val="00172B45"/>
    <w:rsid w:val="00172B6C"/>
    <w:rsid w:val="00182166"/>
    <w:rsid w:val="00191678"/>
    <w:rsid w:val="001A3022"/>
    <w:rsid w:val="001B0827"/>
    <w:rsid w:val="001B0D1B"/>
    <w:rsid w:val="001B2082"/>
    <w:rsid w:val="001B5C23"/>
    <w:rsid w:val="001B6456"/>
    <w:rsid w:val="001B6CA3"/>
    <w:rsid w:val="001B6FEE"/>
    <w:rsid w:val="001C0917"/>
    <w:rsid w:val="001C5C5D"/>
    <w:rsid w:val="001D5A59"/>
    <w:rsid w:val="001D7658"/>
    <w:rsid w:val="001F03C6"/>
    <w:rsid w:val="001F15EA"/>
    <w:rsid w:val="001F1717"/>
    <w:rsid w:val="001F40E4"/>
    <w:rsid w:val="00205D29"/>
    <w:rsid w:val="00213373"/>
    <w:rsid w:val="002204A5"/>
    <w:rsid w:val="0022275F"/>
    <w:rsid w:val="0023031A"/>
    <w:rsid w:val="00233887"/>
    <w:rsid w:val="00247157"/>
    <w:rsid w:val="002532EB"/>
    <w:rsid w:val="0025562D"/>
    <w:rsid w:val="002615AE"/>
    <w:rsid w:val="002769BC"/>
    <w:rsid w:val="00283FE5"/>
    <w:rsid w:val="00293800"/>
    <w:rsid w:val="002967D9"/>
    <w:rsid w:val="00296D98"/>
    <w:rsid w:val="00297AC5"/>
    <w:rsid w:val="002A0B50"/>
    <w:rsid w:val="002A3A9F"/>
    <w:rsid w:val="002A6C69"/>
    <w:rsid w:val="002A757B"/>
    <w:rsid w:val="002B3B9B"/>
    <w:rsid w:val="002B4AA6"/>
    <w:rsid w:val="002B7D0F"/>
    <w:rsid w:val="002C3761"/>
    <w:rsid w:val="002D2BED"/>
    <w:rsid w:val="002D2FA2"/>
    <w:rsid w:val="002E2FA6"/>
    <w:rsid w:val="002E5E40"/>
    <w:rsid w:val="002F3EAF"/>
    <w:rsid w:val="002F7E69"/>
    <w:rsid w:val="003028E8"/>
    <w:rsid w:val="003032CA"/>
    <w:rsid w:val="003047D4"/>
    <w:rsid w:val="00304B71"/>
    <w:rsid w:val="003277EB"/>
    <w:rsid w:val="00335D76"/>
    <w:rsid w:val="00344280"/>
    <w:rsid w:val="003446B6"/>
    <w:rsid w:val="00363846"/>
    <w:rsid w:val="00375A45"/>
    <w:rsid w:val="00383A73"/>
    <w:rsid w:val="003A1523"/>
    <w:rsid w:val="003C2CC0"/>
    <w:rsid w:val="003C73D8"/>
    <w:rsid w:val="003D0183"/>
    <w:rsid w:val="003D6DD7"/>
    <w:rsid w:val="003E1770"/>
    <w:rsid w:val="003E62D8"/>
    <w:rsid w:val="003F6617"/>
    <w:rsid w:val="003F71AA"/>
    <w:rsid w:val="003F73EC"/>
    <w:rsid w:val="00407498"/>
    <w:rsid w:val="00414D68"/>
    <w:rsid w:val="00427763"/>
    <w:rsid w:val="00440E2F"/>
    <w:rsid w:val="0045085D"/>
    <w:rsid w:val="00450A1F"/>
    <w:rsid w:val="004514D5"/>
    <w:rsid w:val="00451648"/>
    <w:rsid w:val="004518BF"/>
    <w:rsid w:val="00455887"/>
    <w:rsid w:val="00460894"/>
    <w:rsid w:val="00464D8E"/>
    <w:rsid w:val="004733A9"/>
    <w:rsid w:val="00481DE5"/>
    <w:rsid w:val="004836CF"/>
    <w:rsid w:val="004855A9"/>
    <w:rsid w:val="00485FD8"/>
    <w:rsid w:val="0048792D"/>
    <w:rsid w:val="004A3B58"/>
    <w:rsid w:val="004B0945"/>
    <w:rsid w:val="004B28D6"/>
    <w:rsid w:val="004B6AF4"/>
    <w:rsid w:val="004C4B5E"/>
    <w:rsid w:val="004D57A5"/>
    <w:rsid w:val="004E6F0E"/>
    <w:rsid w:val="004F4E73"/>
    <w:rsid w:val="004F7827"/>
    <w:rsid w:val="005021E4"/>
    <w:rsid w:val="005043C7"/>
    <w:rsid w:val="005201ED"/>
    <w:rsid w:val="00522B71"/>
    <w:rsid w:val="00532923"/>
    <w:rsid w:val="00534DEB"/>
    <w:rsid w:val="00535A0D"/>
    <w:rsid w:val="00536297"/>
    <w:rsid w:val="00543CD2"/>
    <w:rsid w:val="005450FD"/>
    <w:rsid w:val="00545E4A"/>
    <w:rsid w:val="00567CF5"/>
    <w:rsid w:val="00572D4B"/>
    <w:rsid w:val="00576D42"/>
    <w:rsid w:val="005774FE"/>
    <w:rsid w:val="00584F24"/>
    <w:rsid w:val="00591486"/>
    <w:rsid w:val="0059318D"/>
    <w:rsid w:val="00593C70"/>
    <w:rsid w:val="005941F7"/>
    <w:rsid w:val="00596A21"/>
    <w:rsid w:val="005A60BC"/>
    <w:rsid w:val="005B62FB"/>
    <w:rsid w:val="005C25E0"/>
    <w:rsid w:val="005D60E8"/>
    <w:rsid w:val="005E2346"/>
    <w:rsid w:val="005F2323"/>
    <w:rsid w:val="0061691F"/>
    <w:rsid w:val="00623771"/>
    <w:rsid w:val="00623BE8"/>
    <w:rsid w:val="00632862"/>
    <w:rsid w:val="0063547B"/>
    <w:rsid w:val="006354D9"/>
    <w:rsid w:val="00651FD9"/>
    <w:rsid w:val="006632AC"/>
    <w:rsid w:val="00663C5A"/>
    <w:rsid w:val="00663D03"/>
    <w:rsid w:val="00670D8A"/>
    <w:rsid w:val="00681BA7"/>
    <w:rsid w:val="00683C44"/>
    <w:rsid w:val="0069447D"/>
    <w:rsid w:val="006A0428"/>
    <w:rsid w:val="006A0E2D"/>
    <w:rsid w:val="006B64E0"/>
    <w:rsid w:val="006C6A18"/>
    <w:rsid w:val="006D0545"/>
    <w:rsid w:val="006D16AF"/>
    <w:rsid w:val="006E026B"/>
    <w:rsid w:val="006E1205"/>
    <w:rsid w:val="006E25B0"/>
    <w:rsid w:val="006E3A6A"/>
    <w:rsid w:val="006E402D"/>
    <w:rsid w:val="006E773F"/>
    <w:rsid w:val="006F3E46"/>
    <w:rsid w:val="0070224F"/>
    <w:rsid w:val="007115F7"/>
    <w:rsid w:val="00713EE6"/>
    <w:rsid w:val="00716190"/>
    <w:rsid w:val="0072474F"/>
    <w:rsid w:val="00725754"/>
    <w:rsid w:val="00736BD9"/>
    <w:rsid w:val="00742423"/>
    <w:rsid w:val="00750122"/>
    <w:rsid w:val="00752611"/>
    <w:rsid w:val="0075672B"/>
    <w:rsid w:val="0076223D"/>
    <w:rsid w:val="0077773D"/>
    <w:rsid w:val="00780040"/>
    <w:rsid w:val="00781C39"/>
    <w:rsid w:val="00783621"/>
    <w:rsid w:val="0078373F"/>
    <w:rsid w:val="007845FB"/>
    <w:rsid w:val="00786EF7"/>
    <w:rsid w:val="007942FE"/>
    <w:rsid w:val="007A3D18"/>
    <w:rsid w:val="007A4AA3"/>
    <w:rsid w:val="007B3B3A"/>
    <w:rsid w:val="007B5C55"/>
    <w:rsid w:val="007B5E80"/>
    <w:rsid w:val="007D2E8E"/>
    <w:rsid w:val="007D4775"/>
    <w:rsid w:val="007D54EE"/>
    <w:rsid w:val="007F2402"/>
    <w:rsid w:val="007F79D6"/>
    <w:rsid w:val="008019C3"/>
    <w:rsid w:val="00806D05"/>
    <w:rsid w:val="00821E97"/>
    <w:rsid w:val="00821F00"/>
    <w:rsid w:val="00824599"/>
    <w:rsid w:val="00824B00"/>
    <w:rsid w:val="008376A7"/>
    <w:rsid w:val="00842BE4"/>
    <w:rsid w:val="00850363"/>
    <w:rsid w:val="00850921"/>
    <w:rsid w:val="0085588F"/>
    <w:rsid w:val="008560AE"/>
    <w:rsid w:val="008568BD"/>
    <w:rsid w:val="0086132C"/>
    <w:rsid w:val="00872E65"/>
    <w:rsid w:val="00883EB5"/>
    <w:rsid w:val="00886684"/>
    <w:rsid w:val="00890D8C"/>
    <w:rsid w:val="00891668"/>
    <w:rsid w:val="00891675"/>
    <w:rsid w:val="008A51D1"/>
    <w:rsid w:val="008A52D8"/>
    <w:rsid w:val="008B1CC1"/>
    <w:rsid w:val="008B5111"/>
    <w:rsid w:val="008C0381"/>
    <w:rsid w:val="008D6A2D"/>
    <w:rsid w:val="008E4C4F"/>
    <w:rsid w:val="008E5AB4"/>
    <w:rsid w:val="008F1DF5"/>
    <w:rsid w:val="008F27DA"/>
    <w:rsid w:val="008F2D00"/>
    <w:rsid w:val="008F753C"/>
    <w:rsid w:val="00905231"/>
    <w:rsid w:val="0091672B"/>
    <w:rsid w:val="00916F9B"/>
    <w:rsid w:val="00921241"/>
    <w:rsid w:val="00927868"/>
    <w:rsid w:val="00931B81"/>
    <w:rsid w:val="00931F84"/>
    <w:rsid w:val="00933F6B"/>
    <w:rsid w:val="00957CEF"/>
    <w:rsid w:val="00963AE0"/>
    <w:rsid w:val="00983523"/>
    <w:rsid w:val="009838F4"/>
    <w:rsid w:val="00987A4D"/>
    <w:rsid w:val="00987C0B"/>
    <w:rsid w:val="00991D19"/>
    <w:rsid w:val="0099220F"/>
    <w:rsid w:val="009A2144"/>
    <w:rsid w:val="009A23A3"/>
    <w:rsid w:val="009A2F10"/>
    <w:rsid w:val="009B1E7D"/>
    <w:rsid w:val="009B6965"/>
    <w:rsid w:val="009C5B45"/>
    <w:rsid w:val="009E4950"/>
    <w:rsid w:val="00A00BE0"/>
    <w:rsid w:val="00A0219F"/>
    <w:rsid w:val="00A07087"/>
    <w:rsid w:val="00A100DA"/>
    <w:rsid w:val="00A25EBB"/>
    <w:rsid w:val="00A26847"/>
    <w:rsid w:val="00A26E2F"/>
    <w:rsid w:val="00A270FF"/>
    <w:rsid w:val="00A32200"/>
    <w:rsid w:val="00A368F9"/>
    <w:rsid w:val="00A46211"/>
    <w:rsid w:val="00A4774E"/>
    <w:rsid w:val="00A5456A"/>
    <w:rsid w:val="00A60BC1"/>
    <w:rsid w:val="00A66244"/>
    <w:rsid w:val="00A66325"/>
    <w:rsid w:val="00A71179"/>
    <w:rsid w:val="00A716FD"/>
    <w:rsid w:val="00A72881"/>
    <w:rsid w:val="00A72F0C"/>
    <w:rsid w:val="00A77779"/>
    <w:rsid w:val="00A8056D"/>
    <w:rsid w:val="00A834EE"/>
    <w:rsid w:val="00A90839"/>
    <w:rsid w:val="00A93A8B"/>
    <w:rsid w:val="00A96D89"/>
    <w:rsid w:val="00AA1C08"/>
    <w:rsid w:val="00AA5E95"/>
    <w:rsid w:val="00AB35E3"/>
    <w:rsid w:val="00AB5E76"/>
    <w:rsid w:val="00AB76B8"/>
    <w:rsid w:val="00AB7E8C"/>
    <w:rsid w:val="00AE09C0"/>
    <w:rsid w:val="00AE2ADE"/>
    <w:rsid w:val="00B018F0"/>
    <w:rsid w:val="00B0364F"/>
    <w:rsid w:val="00B11568"/>
    <w:rsid w:val="00B13CB2"/>
    <w:rsid w:val="00B150C0"/>
    <w:rsid w:val="00B157F2"/>
    <w:rsid w:val="00B22F19"/>
    <w:rsid w:val="00B270D3"/>
    <w:rsid w:val="00B44023"/>
    <w:rsid w:val="00B50B66"/>
    <w:rsid w:val="00B54B00"/>
    <w:rsid w:val="00B56A4D"/>
    <w:rsid w:val="00B70131"/>
    <w:rsid w:val="00B83DB9"/>
    <w:rsid w:val="00B84571"/>
    <w:rsid w:val="00B84BD2"/>
    <w:rsid w:val="00B927E3"/>
    <w:rsid w:val="00B95EE5"/>
    <w:rsid w:val="00BA037E"/>
    <w:rsid w:val="00BA5008"/>
    <w:rsid w:val="00BB0557"/>
    <w:rsid w:val="00BB1B10"/>
    <w:rsid w:val="00BB57E5"/>
    <w:rsid w:val="00BC7B91"/>
    <w:rsid w:val="00BD08F7"/>
    <w:rsid w:val="00BE32BD"/>
    <w:rsid w:val="00BE4C23"/>
    <w:rsid w:val="00BF0D5B"/>
    <w:rsid w:val="00BF0D66"/>
    <w:rsid w:val="00BF2186"/>
    <w:rsid w:val="00BF7BC2"/>
    <w:rsid w:val="00C06705"/>
    <w:rsid w:val="00C079E5"/>
    <w:rsid w:val="00C13D17"/>
    <w:rsid w:val="00C240B6"/>
    <w:rsid w:val="00C2731D"/>
    <w:rsid w:val="00C32542"/>
    <w:rsid w:val="00C34527"/>
    <w:rsid w:val="00C34EC8"/>
    <w:rsid w:val="00C37F63"/>
    <w:rsid w:val="00C42117"/>
    <w:rsid w:val="00C53A02"/>
    <w:rsid w:val="00C56FAB"/>
    <w:rsid w:val="00C61BE5"/>
    <w:rsid w:val="00C62162"/>
    <w:rsid w:val="00C62F9F"/>
    <w:rsid w:val="00C63D95"/>
    <w:rsid w:val="00C80754"/>
    <w:rsid w:val="00C8240E"/>
    <w:rsid w:val="00C86936"/>
    <w:rsid w:val="00C9048F"/>
    <w:rsid w:val="00C90C4D"/>
    <w:rsid w:val="00CA321D"/>
    <w:rsid w:val="00CA7DC8"/>
    <w:rsid w:val="00CB150D"/>
    <w:rsid w:val="00CB596C"/>
    <w:rsid w:val="00CC4AA1"/>
    <w:rsid w:val="00CC767A"/>
    <w:rsid w:val="00CD384A"/>
    <w:rsid w:val="00CE0B60"/>
    <w:rsid w:val="00CE3A2E"/>
    <w:rsid w:val="00CF0390"/>
    <w:rsid w:val="00CF2530"/>
    <w:rsid w:val="00D062FA"/>
    <w:rsid w:val="00D13AF1"/>
    <w:rsid w:val="00D16A5C"/>
    <w:rsid w:val="00D223BD"/>
    <w:rsid w:val="00D23393"/>
    <w:rsid w:val="00D2434A"/>
    <w:rsid w:val="00D27B89"/>
    <w:rsid w:val="00D44944"/>
    <w:rsid w:val="00D50B2E"/>
    <w:rsid w:val="00D53ECB"/>
    <w:rsid w:val="00D63088"/>
    <w:rsid w:val="00D71767"/>
    <w:rsid w:val="00D87457"/>
    <w:rsid w:val="00D9059E"/>
    <w:rsid w:val="00D954AA"/>
    <w:rsid w:val="00DA0DAB"/>
    <w:rsid w:val="00DA4C1B"/>
    <w:rsid w:val="00DB0828"/>
    <w:rsid w:val="00DB5A03"/>
    <w:rsid w:val="00DC3822"/>
    <w:rsid w:val="00DC3883"/>
    <w:rsid w:val="00DE4AF7"/>
    <w:rsid w:val="00DF0622"/>
    <w:rsid w:val="00DF0C6C"/>
    <w:rsid w:val="00DF5A63"/>
    <w:rsid w:val="00E12595"/>
    <w:rsid w:val="00E1512B"/>
    <w:rsid w:val="00E168F0"/>
    <w:rsid w:val="00E17BD8"/>
    <w:rsid w:val="00E231BA"/>
    <w:rsid w:val="00E432A4"/>
    <w:rsid w:val="00E451B2"/>
    <w:rsid w:val="00E45473"/>
    <w:rsid w:val="00E456CE"/>
    <w:rsid w:val="00E45D9C"/>
    <w:rsid w:val="00E466BF"/>
    <w:rsid w:val="00E471BB"/>
    <w:rsid w:val="00E47CEA"/>
    <w:rsid w:val="00E5331D"/>
    <w:rsid w:val="00E54248"/>
    <w:rsid w:val="00E666C0"/>
    <w:rsid w:val="00E66AD3"/>
    <w:rsid w:val="00E71DAD"/>
    <w:rsid w:val="00E74EE2"/>
    <w:rsid w:val="00E82308"/>
    <w:rsid w:val="00E86D30"/>
    <w:rsid w:val="00E90732"/>
    <w:rsid w:val="00E91516"/>
    <w:rsid w:val="00E95CDE"/>
    <w:rsid w:val="00EC0773"/>
    <w:rsid w:val="00EC6087"/>
    <w:rsid w:val="00ED2428"/>
    <w:rsid w:val="00ED5DC1"/>
    <w:rsid w:val="00ED7B5A"/>
    <w:rsid w:val="00EE1B8A"/>
    <w:rsid w:val="00EE7434"/>
    <w:rsid w:val="00EE7D41"/>
    <w:rsid w:val="00EF0656"/>
    <w:rsid w:val="00EF0F2D"/>
    <w:rsid w:val="00EF2E4A"/>
    <w:rsid w:val="00F0764E"/>
    <w:rsid w:val="00F07AEB"/>
    <w:rsid w:val="00F10201"/>
    <w:rsid w:val="00F10E6C"/>
    <w:rsid w:val="00F15272"/>
    <w:rsid w:val="00F176A0"/>
    <w:rsid w:val="00F26E6B"/>
    <w:rsid w:val="00F2770A"/>
    <w:rsid w:val="00F27E8D"/>
    <w:rsid w:val="00F3241E"/>
    <w:rsid w:val="00F4134E"/>
    <w:rsid w:val="00F51DBA"/>
    <w:rsid w:val="00F537FC"/>
    <w:rsid w:val="00F56B8C"/>
    <w:rsid w:val="00F56E59"/>
    <w:rsid w:val="00F63760"/>
    <w:rsid w:val="00F72034"/>
    <w:rsid w:val="00F72083"/>
    <w:rsid w:val="00F73B1E"/>
    <w:rsid w:val="00F75903"/>
    <w:rsid w:val="00F80A27"/>
    <w:rsid w:val="00F83A71"/>
    <w:rsid w:val="00F93C6D"/>
    <w:rsid w:val="00FA409D"/>
    <w:rsid w:val="00FA4C67"/>
    <w:rsid w:val="00FA55EC"/>
    <w:rsid w:val="00FB7B22"/>
    <w:rsid w:val="00FC681F"/>
    <w:rsid w:val="00FE4AAE"/>
    <w:rsid w:val="00FE5EDF"/>
    <w:rsid w:val="00FF69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0DBA72C-ECEC-4038-A6A5-E5CFE8DF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6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2786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27868"/>
    <w:pPr>
      <w:keepNext/>
      <w:numPr>
        <w:ilvl w:val="1"/>
        <w:numId w:val="2"/>
      </w:numPr>
      <w:spacing w:after="120"/>
      <w:outlineLvl w:val="1"/>
    </w:pPr>
    <w:rPr>
      <w:b/>
    </w:rPr>
  </w:style>
  <w:style w:type="paragraph" w:styleId="Heading3">
    <w:name w:val="heading 3"/>
    <w:basedOn w:val="Normal"/>
    <w:next w:val="ParaNum"/>
    <w:link w:val="Heading3Char"/>
    <w:qFormat/>
    <w:rsid w:val="0092786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92786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278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2786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2786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2786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2786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78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7868"/>
  </w:style>
  <w:style w:type="character" w:customStyle="1" w:styleId="Heading1Char">
    <w:name w:val="Heading 1 Char"/>
    <w:basedOn w:val="DefaultParagraphFont"/>
    <w:link w:val="Heading1"/>
    <w:rsid w:val="00016A3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16A3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16A3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16A3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16A3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16A3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16A3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16A3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16A36"/>
    <w:rPr>
      <w:rFonts w:ascii="Times New Roman" w:eastAsia="Times New Roman" w:hAnsi="Times New Roman" w:cs="Times New Roman"/>
      <w:b/>
      <w:snapToGrid w:val="0"/>
      <w:kern w:val="28"/>
      <w:szCs w:val="20"/>
    </w:rPr>
  </w:style>
  <w:style w:type="paragraph" w:customStyle="1" w:styleId="ParaNum">
    <w:name w:val="ParaNum"/>
    <w:basedOn w:val="Normal"/>
    <w:rsid w:val="00927868"/>
    <w:pPr>
      <w:numPr>
        <w:numId w:val="1"/>
      </w:numPr>
      <w:tabs>
        <w:tab w:val="clear" w:pos="1080"/>
        <w:tab w:val="num" w:pos="1440"/>
      </w:tabs>
      <w:spacing w:after="120"/>
    </w:pPr>
  </w:style>
  <w:style w:type="paragraph" w:styleId="FootnoteText">
    <w:name w:val="footnote text"/>
    <w:link w:val="FootnoteTextChar"/>
    <w:rsid w:val="0092786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16A36"/>
    <w:rPr>
      <w:rFonts w:ascii="Times New Roman" w:eastAsia="Times New Roman" w:hAnsi="Times New Roman" w:cs="Times New Roman"/>
      <w:sz w:val="20"/>
      <w:szCs w:val="20"/>
    </w:rPr>
  </w:style>
  <w:style w:type="character" w:styleId="FootnoteReference">
    <w:name w:val="footnote reference"/>
    <w:rsid w:val="00927868"/>
    <w:rPr>
      <w:rFonts w:ascii="Times New Roman" w:hAnsi="Times New Roman"/>
      <w:dstrike w:val="0"/>
      <w:color w:val="auto"/>
      <w:sz w:val="20"/>
      <w:vertAlign w:val="superscript"/>
    </w:rPr>
  </w:style>
  <w:style w:type="paragraph" w:styleId="TOAHeading">
    <w:name w:val="toa heading"/>
    <w:basedOn w:val="Normal"/>
    <w:next w:val="Normal"/>
    <w:semiHidden/>
    <w:rsid w:val="00927868"/>
    <w:pPr>
      <w:tabs>
        <w:tab w:val="right" w:pos="9360"/>
      </w:tabs>
      <w:suppressAutoHyphens/>
    </w:pPr>
  </w:style>
  <w:style w:type="paragraph" w:styleId="Header">
    <w:name w:val="header"/>
    <w:basedOn w:val="Normal"/>
    <w:link w:val="HeaderChar"/>
    <w:autoRedefine/>
    <w:rsid w:val="00927868"/>
    <w:pPr>
      <w:tabs>
        <w:tab w:val="center" w:pos="4680"/>
        <w:tab w:val="right" w:pos="9360"/>
      </w:tabs>
    </w:pPr>
    <w:rPr>
      <w:b/>
    </w:rPr>
  </w:style>
  <w:style w:type="character" w:customStyle="1" w:styleId="HeaderChar">
    <w:name w:val="Header Char"/>
    <w:basedOn w:val="DefaultParagraphFont"/>
    <w:link w:val="Header"/>
    <w:rsid w:val="00016A36"/>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927868"/>
    <w:pPr>
      <w:tabs>
        <w:tab w:val="center" w:pos="4320"/>
        <w:tab w:val="right" w:pos="8640"/>
      </w:tabs>
    </w:pPr>
  </w:style>
  <w:style w:type="character" w:customStyle="1" w:styleId="FooterChar">
    <w:name w:val="Footer Char"/>
    <w:link w:val="Footer"/>
    <w:uiPriority w:val="99"/>
    <w:rsid w:val="00927868"/>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927868"/>
    <w:pPr>
      <w:jc w:val="center"/>
    </w:pPr>
    <w:rPr>
      <w:rFonts w:ascii="Times New Roman Bold" w:hAnsi="Times New Roman Bold"/>
      <w:b/>
      <w:bCs/>
      <w:caps/>
      <w:szCs w:val="22"/>
    </w:rPr>
  </w:style>
  <w:style w:type="character" w:styleId="Hyperlink">
    <w:name w:val="Hyperlink"/>
    <w:rsid w:val="00927868"/>
    <w:rPr>
      <w:color w:val="0000FF"/>
      <w:u w:val="single"/>
    </w:rPr>
  </w:style>
  <w:style w:type="paragraph" w:styleId="BalloonText">
    <w:name w:val="Balloon Text"/>
    <w:basedOn w:val="Normal"/>
    <w:link w:val="BalloonTextChar"/>
    <w:uiPriority w:val="99"/>
    <w:semiHidden/>
    <w:unhideWhenUsed/>
    <w:rsid w:val="0006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EE"/>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0629EE"/>
    <w:rPr>
      <w:sz w:val="16"/>
      <w:szCs w:val="16"/>
    </w:rPr>
  </w:style>
  <w:style w:type="paragraph" w:styleId="CommentText">
    <w:name w:val="annotation text"/>
    <w:basedOn w:val="Normal"/>
    <w:link w:val="CommentTextChar"/>
    <w:uiPriority w:val="99"/>
    <w:semiHidden/>
    <w:unhideWhenUsed/>
    <w:rsid w:val="000629EE"/>
    <w:rPr>
      <w:sz w:val="20"/>
    </w:rPr>
  </w:style>
  <w:style w:type="character" w:customStyle="1" w:styleId="CommentTextChar">
    <w:name w:val="Comment Text Char"/>
    <w:basedOn w:val="DefaultParagraphFont"/>
    <w:link w:val="CommentText"/>
    <w:uiPriority w:val="99"/>
    <w:semiHidden/>
    <w:rsid w:val="000629E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629EE"/>
    <w:rPr>
      <w:b/>
      <w:bCs/>
    </w:rPr>
  </w:style>
  <w:style w:type="character" w:customStyle="1" w:styleId="CommentSubjectChar">
    <w:name w:val="Comment Subject Char"/>
    <w:basedOn w:val="CommentTextChar"/>
    <w:link w:val="CommentSubject"/>
    <w:uiPriority w:val="99"/>
    <w:semiHidden/>
    <w:rsid w:val="000629EE"/>
    <w:rPr>
      <w:rFonts w:ascii="Times New Roman" w:eastAsia="Times New Roman" w:hAnsi="Times New Roman" w:cs="Times New Roman"/>
      <w:b/>
      <w:bCs/>
      <w:snapToGrid w:val="0"/>
      <w:kern w:val="28"/>
      <w:sz w:val="20"/>
      <w:szCs w:val="20"/>
    </w:rPr>
  </w:style>
  <w:style w:type="character" w:customStyle="1" w:styleId="UnresolvedMention">
    <w:name w:val="Unresolved Mention"/>
    <w:basedOn w:val="DefaultParagraphFont"/>
    <w:uiPriority w:val="99"/>
    <w:semiHidden/>
    <w:unhideWhenUsed/>
    <w:rsid w:val="00F3241E"/>
    <w:rPr>
      <w:color w:val="605E5C"/>
      <w:shd w:val="clear" w:color="auto" w:fill="E1DFDD"/>
    </w:rPr>
  </w:style>
  <w:style w:type="paragraph" w:styleId="EndnoteText">
    <w:name w:val="endnote text"/>
    <w:basedOn w:val="Normal"/>
    <w:link w:val="EndnoteTextChar"/>
    <w:semiHidden/>
    <w:rsid w:val="00927868"/>
    <w:rPr>
      <w:sz w:val="20"/>
    </w:rPr>
  </w:style>
  <w:style w:type="character" w:customStyle="1" w:styleId="EndnoteTextChar">
    <w:name w:val="Endnote Text Char"/>
    <w:basedOn w:val="DefaultParagraphFont"/>
    <w:link w:val="EndnoteText"/>
    <w:semiHidden/>
    <w:rsid w:val="00927868"/>
    <w:rPr>
      <w:rFonts w:ascii="Times New Roman" w:eastAsia="Times New Roman" w:hAnsi="Times New Roman" w:cs="Times New Roman"/>
      <w:snapToGrid w:val="0"/>
      <w:kern w:val="28"/>
      <w:sz w:val="20"/>
      <w:szCs w:val="20"/>
    </w:rPr>
  </w:style>
  <w:style w:type="character" w:styleId="EndnoteReference">
    <w:name w:val="endnote reference"/>
    <w:semiHidden/>
    <w:rsid w:val="00927868"/>
    <w:rPr>
      <w:vertAlign w:val="superscript"/>
    </w:rPr>
  </w:style>
  <w:style w:type="paragraph" w:styleId="TOC1">
    <w:name w:val="toc 1"/>
    <w:basedOn w:val="Normal"/>
    <w:next w:val="Normal"/>
    <w:semiHidden/>
    <w:rsid w:val="0092786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7868"/>
    <w:pPr>
      <w:tabs>
        <w:tab w:val="left" w:pos="720"/>
        <w:tab w:val="right" w:leader="dot" w:pos="9360"/>
      </w:tabs>
      <w:suppressAutoHyphens/>
      <w:ind w:left="720" w:right="720" w:hanging="360"/>
    </w:pPr>
    <w:rPr>
      <w:noProof/>
    </w:rPr>
  </w:style>
  <w:style w:type="paragraph" w:styleId="TOC3">
    <w:name w:val="toc 3"/>
    <w:basedOn w:val="Normal"/>
    <w:next w:val="Normal"/>
    <w:semiHidden/>
    <w:rsid w:val="009278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78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78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78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78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78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7868"/>
    <w:pPr>
      <w:tabs>
        <w:tab w:val="left" w:pos="3240"/>
        <w:tab w:val="right" w:leader="dot" w:pos="9360"/>
      </w:tabs>
      <w:suppressAutoHyphens/>
      <w:ind w:left="3240" w:hanging="360"/>
    </w:pPr>
    <w:rPr>
      <w:noProof/>
    </w:rPr>
  </w:style>
  <w:style w:type="character" w:customStyle="1" w:styleId="EquationCaption">
    <w:name w:val="_Equation Caption"/>
    <w:rsid w:val="00927868"/>
  </w:style>
  <w:style w:type="character" w:styleId="PageNumber">
    <w:name w:val="page number"/>
    <w:basedOn w:val="DefaultParagraphFont"/>
    <w:rsid w:val="00927868"/>
  </w:style>
  <w:style w:type="paragraph" w:styleId="BlockText">
    <w:name w:val="Block Text"/>
    <w:basedOn w:val="Normal"/>
    <w:rsid w:val="00927868"/>
    <w:pPr>
      <w:spacing w:after="240"/>
      <w:ind w:left="1440" w:right="1440"/>
    </w:pPr>
  </w:style>
  <w:style w:type="paragraph" w:customStyle="1" w:styleId="Paratitle">
    <w:name w:val="Para title"/>
    <w:basedOn w:val="Normal"/>
    <w:rsid w:val="00927868"/>
    <w:pPr>
      <w:tabs>
        <w:tab w:val="center" w:pos="9270"/>
      </w:tabs>
      <w:spacing w:after="240"/>
    </w:pPr>
    <w:rPr>
      <w:spacing w:val="-2"/>
    </w:rPr>
  </w:style>
  <w:style w:type="paragraph" w:customStyle="1" w:styleId="Bullet">
    <w:name w:val="Bullet"/>
    <w:basedOn w:val="Normal"/>
    <w:rsid w:val="00927868"/>
    <w:pPr>
      <w:tabs>
        <w:tab w:val="left" w:pos="2160"/>
      </w:tabs>
      <w:spacing w:after="220"/>
      <w:ind w:left="2160" w:hanging="720"/>
    </w:pPr>
  </w:style>
  <w:style w:type="paragraph" w:customStyle="1" w:styleId="TableFormat">
    <w:name w:val="TableFormat"/>
    <w:basedOn w:val="Bullet"/>
    <w:rsid w:val="00927868"/>
    <w:pPr>
      <w:tabs>
        <w:tab w:val="clear" w:pos="2160"/>
        <w:tab w:val="left" w:pos="5040"/>
      </w:tabs>
      <w:ind w:left="5040" w:hanging="3600"/>
    </w:pPr>
  </w:style>
  <w:style w:type="paragraph" w:customStyle="1" w:styleId="TOCTitle">
    <w:name w:val="TOC Title"/>
    <w:basedOn w:val="Normal"/>
    <w:rsid w:val="00927868"/>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 Id="rId2" Type="http://schemas.openxmlformats.org/officeDocument/2006/relationships/hyperlink" Target="https://www.cdc.gov/coronavirus/2019-ncov/prepare/prevention.html" TargetMode="External" /><Relationship Id="rId3" Type="http://schemas.openxmlformats.org/officeDocument/2006/relationships/hyperlink" Target="https://www.nytimes.com/interactive/2020/us/coronavirus-stay-at-home-order.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