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4C2EE3" w14:paraId="51D3D5F5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46C3F357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665B3A8D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54E22D48" w14:textId="77777777"/>
    <w:p w:rsidR="004C2EE3" w:rsidP="0070224F" w14:paraId="03EFF8E1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553C559B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282B7B6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272AB41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P="007115F7" w14:paraId="2C4C296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bookmarkStart w:id="0" w:name="_Hlk45795835"/>
            <w:r>
              <w:rPr>
                <w:spacing w:val="-2"/>
              </w:rPr>
              <w:t>Connect America Fund</w:t>
            </w:r>
            <w:bookmarkEnd w:id="0"/>
          </w:p>
        </w:tc>
        <w:tc>
          <w:tcPr>
            <w:tcW w:w="630" w:type="dxa"/>
          </w:tcPr>
          <w:p w:rsidR="004C2EE3" w14:paraId="00DE2E9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66AE113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ED7A4A8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1D4840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14:paraId="00D97622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3195A063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4C2EE3" w14:paraId="5436CBFC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</w:tc>
      </w:tr>
    </w:tbl>
    <w:p w:rsidR="004C2EE3" w:rsidP="0070224F" w14:paraId="06ACEF62" w14:textId="77777777"/>
    <w:p w:rsidR="00841AB1" w:rsidP="00F021FA" w14:paraId="33682E70" w14:textId="77777777">
      <w:pPr>
        <w:pStyle w:val="StyleBoldCentered"/>
      </w:pPr>
      <w:r>
        <w:t>Order</w:t>
      </w:r>
    </w:p>
    <w:p w:rsidR="004C2EE3" w14:paraId="3ECA3C21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6F7195BA" w14:textId="3CC6156B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DB2D86">
        <w:rPr>
          <w:b/>
          <w:spacing w:val="-2"/>
        </w:rPr>
        <w:t xml:space="preserve">December </w:t>
      </w:r>
      <w:r w:rsidR="00465AC6">
        <w:rPr>
          <w:b/>
          <w:spacing w:val="-2"/>
        </w:rPr>
        <w:t>21</w:t>
      </w:r>
      <w:r w:rsidR="000F6F76">
        <w:rPr>
          <w:b/>
          <w:spacing w:val="-2"/>
        </w:rPr>
        <w:t>,</w:t>
      </w:r>
      <w:r w:rsidR="00500EDF">
        <w:rPr>
          <w:b/>
          <w:spacing w:val="-2"/>
        </w:rPr>
        <w:t xml:space="preserve"> 2020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DB2D86">
        <w:rPr>
          <w:b/>
          <w:spacing w:val="-2"/>
        </w:rPr>
        <w:t xml:space="preserve">December </w:t>
      </w:r>
      <w:r w:rsidR="00465AC6">
        <w:rPr>
          <w:b/>
          <w:spacing w:val="-2"/>
        </w:rPr>
        <w:t>21</w:t>
      </w:r>
      <w:r w:rsidR="000F6F76">
        <w:rPr>
          <w:b/>
          <w:spacing w:val="-2"/>
        </w:rPr>
        <w:t>,</w:t>
      </w:r>
      <w:r w:rsidR="00500EDF">
        <w:rPr>
          <w:b/>
          <w:spacing w:val="-2"/>
        </w:rPr>
        <w:t xml:space="preserve"> 2020</w:t>
      </w:r>
    </w:p>
    <w:p w:rsidR="00822CE0" w14:paraId="7389F54E" w14:textId="77777777"/>
    <w:p w:rsidR="004C2EE3" w:rsidRPr="0019171E" w14:paraId="0E94B18B" w14:textId="77777777">
      <w:pPr>
        <w:rPr>
          <w:spacing w:val="-2"/>
          <w:szCs w:val="22"/>
        </w:rPr>
      </w:pPr>
      <w:r w:rsidRPr="0019171E">
        <w:rPr>
          <w:szCs w:val="22"/>
        </w:rPr>
        <w:t xml:space="preserve">By </w:t>
      </w:r>
      <w:r w:rsidRPr="0019171E" w:rsidR="004E4A22">
        <w:rPr>
          <w:szCs w:val="22"/>
        </w:rPr>
        <w:t>the</w:t>
      </w:r>
      <w:r w:rsidRPr="0019171E" w:rsidR="002A2D2E">
        <w:rPr>
          <w:szCs w:val="22"/>
        </w:rPr>
        <w:t xml:space="preserve"> </w:t>
      </w:r>
      <w:r w:rsidR="000F6F76">
        <w:rPr>
          <w:szCs w:val="22"/>
        </w:rPr>
        <w:t xml:space="preserve">Chief, </w:t>
      </w:r>
      <w:r w:rsidRPr="0019171E" w:rsidR="008C1743">
        <w:rPr>
          <w:spacing w:val="-2"/>
          <w:szCs w:val="22"/>
        </w:rPr>
        <w:t>Wireline Competition Bureau</w:t>
      </w:r>
      <w:r w:rsidRPr="0019171E">
        <w:rPr>
          <w:spacing w:val="-2"/>
          <w:szCs w:val="22"/>
        </w:rPr>
        <w:t>:</w:t>
      </w:r>
    </w:p>
    <w:p w:rsidR="00822CE0" w:rsidRPr="0019171E" w14:paraId="796BCCE0" w14:textId="77777777">
      <w:pPr>
        <w:rPr>
          <w:spacing w:val="-2"/>
          <w:szCs w:val="22"/>
        </w:rPr>
      </w:pPr>
    </w:p>
    <w:p w:rsidR="00412FC5" w:rsidRPr="0019171E" w:rsidP="008560FD" w14:paraId="379FB419" w14:textId="5F277FBE">
      <w:pPr>
        <w:pStyle w:val="ParaNum"/>
        <w:rPr>
          <w:szCs w:val="22"/>
        </w:rPr>
      </w:pPr>
      <w:r w:rsidRPr="0019171E">
        <w:rPr>
          <w:szCs w:val="22"/>
        </w:rPr>
        <w:t xml:space="preserve">In this Order, the </w:t>
      </w:r>
      <w:bookmarkStart w:id="1" w:name="_Hlk45796252"/>
      <w:r w:rsidRPr="0019171E">
        <w:rPr>
          <w:szCs w:val="22"/>
        </w:rPr>
        <w:t xml:space="preserve">Wireline Competition Bureau (Bureau), on its own motion, grants a </w:t>
      </w:r>
      <w:bookmarkStart w:id="2" w:name="_Hlk45795904"/>
      <w:r w:rsidRPr="0019171E" w:rsidR="00D5731F">
        <w:rPr>
          <w:szCs w:val="22"/>
        </w:rPr>
        <w:t xml:space="preserve">limited </w:t>
      </w:r>
      <w:r w:rsidRPr="0019171E">
        <w:rPr>
          <w:szCs w:val="22"/>
        </w:rPr>
        <w:t xml:space="preserve">waiver of the </w:t>
      </w:r>
      <w:r w:rsidRPr="0019171E" w:rsidR="00251A1D">
        <w:rPr>
          <w:szCs w:val="22"/>
        </w:rPr>
        <w:t xml:space="preserve">performance testing </w:t>
      </w:r>
      <w:r w:rsidRPr="0019171E">
        <w:rPr>
          <w:szCs w:val="22"/>
        </w:rPr>
        <w:t xml:space="preserve">requirements for </w:t>
      </w:r>
      <w:r w:rsidRPr="0019171E" w:rsidR="00D5731F">
        <w:rPr>
          <w:szCs w:val="22"/>
        </w:rPr>
        <w:t xml:space="preserve">recipients of </w:t>
      </w:r>
      <w:bookmarkEnd w:id="1"/>
      <w:bookmarkEnd w:id="2"/>
      <w:r w:rsidR="001D1DD6">
        <w:rPr>
          <w:szCs w:val="22"/>
        </w:rPr>
        <w:t>Alternative Connect America Cost Model I (A-CAM I) support, Rural Broadband Experiment support, and Alaska Plan support (together, A-CAM/RBE/Alaska carriers)</w:t>
      </w:r>
      <w:r w:rsidRPr="0019171E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3"/>
      </w:r>
      <w:r w:rsidRPr="0019171E">
        <w:rPr>
          <w:szCs w:val="22"/>
        </w:rPr>
        <w:t xml:space="preserve">  </w:t>
      </w:r>
      <w:r w:rsidRPr="0019171E" w:rsidR="00BA61AC">
        <w:rPr>
          <w:szCs w:val="22"/>
        </w:rPr>
        <w:t>Specifically, t</w:t>
      </w:r>
      <w:r w:rsidRPr="0019171E">
        <w:rPr>
          <w:szCs w:val="22"/>
        </w:rPr>
        <w:t xml:space="preserve">he Bureau </w:t>
      </w:r>
      <w:r w:rsidR="00C62BCD">
        <w:rPr>
          <w:szCs w:val="22"/>
        </w:rPr>
        <w:t>waives</w:t>
      </w:r>
      <w:r w:rsidRPr="0019171E" w:rsidR="00803FEF">
        <w:rPr>
          <w:szCs w:val="22"/>
        </w:rPr>
        <w:t xml:space="preserve"> </w:t>
      </w:r>
      <w:r w:rsidRPr="0019171E" w:rsidR="00A42402">
        <w:rPr>
          <w:szCs w:val="22"/>
        </w:rPr>
        <w:t>certain</w:t>
      </w:r>
      <w:r w:rsidRPr="0019171E" w:rsidR="00803FEF">
        <w:rPr>
          <w:szCs w:val="22"/>
        </w:rPr>
        <w:t xml:space="preserve"> sampling requirements</w:t>
      </w:r>
      <w:r w:rsidR="001D1DD6">
        <w:rPr>
          <w:szCs w:val="22"/>
        </w:rPr>
        <w:t xml:space="preserve"> for these carriers</w:t>
      </w:r>
      <w:r w:rsidRPr="0019171E" w:rsidR="00803FEF">
        <w:rPr>
          <w:szCs w:val="22"/>
        </w:rPr>
        <w:t xml:space="preserve">, as explained below.  </w:t>
      </w:r>
      <w:r w:rsidR="00003D17">
        <w:rPr>
          <w:snapToGrid/>
          <w:kern w:val="0"/>
          <w:szCs w:val="22"/>
        </w:rPr>
        <w:t>According to NTCA, an industry organization representing rural incumbent local exchange companies, these companies are encountering issues access customer premises to install equipment because of COVID-19 and problems obtaining necessary testing equipment.</w:t>
      </w:r>
      <w:r>
        <w:rPr>
          <w:rStyle w:val="FootnoteReference"/>
          <w:snapToGrid/>
          <w:kern w:val="0"/>
          <w:szCs w:val="22"/>
        </w:rPr>
        <w:footnoteReference w:id="4"/>
      </w:r>
      <w:r w:rsidR="00003D17">
        <w:rPr>
          <w:snapToGrid/>
          <w:kern w:val="0"/>
          <w:szCs w:val="22"/>
        </w:rPr>
        <w:t xml:space="preserve">  </w:t>
      </w:r>
      <w:r w:rsidRPr="0019171E" w:rsidR="00803FEF">
        <w:rPr>
          <w:szCs w:val="22"/>
        </w:rPr>
        <w:t xml:space="preserve">Because </w:t>
      </w:r>
      <w:r w:rsidR="001D1DD6">
        <w:rPr>
          <w:szCs w:val="22"/>
        </w:rPr>
        <w:t>of the</w:t>
      </w:r>
      <w:r w:rsidRPr="0019171E" w:rsidR="00803FEF">
        <w:rPr>
          <w:szCs w:val="22"/>
        </w:rPr>
        <w:t xml:space="preserve"> continu</w:t>
      </w:r>
      <w:r w:rsidRPr="0019171E" w:rsidR="00DE75BB">
        <w:rPr>
          <w:szCs w:val="22"/>
        </w:rPr>
        <w:t>ing</w:t>
      </w:r>
      <w:r w:rsidRPr="0019171E" w:rsidR="00803FEF">
        <w:rPr>
          <w:szCs w:val="22"/>
        </w:rPr>
        <w:t xml:space="preserve"> challenges posed by </w:t>
      </w:r>
      <w:r w:rsidRPr="0019171E" w:rsidR="00423FC0">
        <w:rPr>
          <w:szCs w:val="22"/>
        </w:rPr>
        <w:t xml:space="preserve">the </w:t>
      </w:r>
      <w:r w:rsidRPr="0019171E" w:rsidR="00803FEF">
        <w:rPr>
          <w:szCs w:val="22"/>
        </w:rPr>
        <w:t>COVID-19</w:t>
      </w:r>
      <w:r w:rsidRPr="0019171E" w:rsidR="00553D84">
        <w:rPr>
          <w:szCs w:val="22"/>
        </w:rPr>
        <w:t xml:space="preserve"> pandemic</w:t>
      </w:r>
      <w:r w:rsidR="001D1DD6">
        <w:rPr>
          <w:szCs w:val="22"/>
        </w:rPr>
        <w:t xml:space="preserve"> and possible supply-chain issues</w:t>
      </w:r>
      <w:r w:rsidRPr="0019171E" w:rsidR="00803FEF">
        <w:rPr>
          <w:szCs w:val="22"/>
        </w:rPr>
        <w:t xml:space="preserve">, </w:t>
      </w:r>
      <w:r w:rsidRPr="0019171E" w:rsidR="00DE75BB">
        <w:rPr>
          <w:szCs w:val="22"/>
        </w:rPr>
        <w:t xml:space="preserve">we find there is good cause to </w:t>
      </w:r>
      <w:r w:rsidR="001D1DD6">
        <w:rPr>
          <w:szCs w:val="22"/>
        </w:rPr>
        <w:t xml:space="preserve">modify the sample size for pre-testing </w:t>
      </w:r>
      <w:r w:rsidRPr="0019171E" w:rsidR="00251A1D">
        <w:rPr>
          <w:szCs w:val="22"/>
        </w:rPr>
        <w:t>throughout 2021</w:t>
      </w:r>
      <w:r w:rsidR="007C46F5">
        <w:rPr>
          <w:szCs w:val="22"/>
        </w:rPr>
        <w:t>, while maintaining the current testing and pre-testing schedule</w:t>
      </w:r>
      <w:r w:rsidRPr="0019171E" w:rsidR="00DE75BB">
        <w:rPr>
          <w:szCs w:val="22"/>
        </w:rPr>
        <w:t>.</w:t>
      </w:r>
    </w:p>
    <w:p w:rsidR="00872B26" w:rsidRPr="0019171E" w:rsidP="00AA0BD1" w14:paraId="04CCED57" w14:textId="24B60675">
      <w:pPr>
        <w:pStyle w:val="ParaNum"/>
        <w:rPr>
          <w:szCs w:val="22"/>
        </w:rPr>
      </w:pPr>
      <w:r w:rsidRPr="0019171E">
        <w:rPr>
          <w:i/>
          <w:iCs/>
          <w:szCs w:val="22"/>
        </w:rPr>
        <w:t xml:space="preserve">Background.  </w:t>
      </w:r>
      <w:r w:rsidRPr="0019171E" w:rsidR="00FE29E3">
        <w:rPr>
          <w:szCs w:val="22"/>
        </w:rPr>
        <w:t xml:space="preserve">In the </w:t>
      </w:r>
      <w:r w:rsidRPr="0019171E" w:rsidR="007A6CCD">
        <w:rPr>
          <w:szCs w:val="22"/>
        </w:rPr>
        <w:t xml:space="preserve">Performance Measures orders, </w:t>
      </w:r>
      <w:r w:rsidRPr="0019171E" w:rsidR="00E955ED">
        <w:rPr>
          <w:szCs w:val="22"/>
        </w:rPr>
        <w:t>the Commission adopted requirements that recipients of high-cost support test their broadband networks for compliance with the appropriate speed and latency metrics</w:t>
      </w:r>
      <w:r w:rsidRPr="0019171E" w:rsidR="2936118C">
        <w:rPr>
          <w:szCs w:val="22"/>
        </w:rPr>
        <w:t>,</w:t>
      </w:r>
      <w:r w:rsidRPr="0019171E" w:rsidR="00E955ED">
        <w:rPr>
          <w:szCs w:val="22"/>
        </w:rPr>
        <w:t xml:space="preserve"> and </w:t>
      </w:r>
      <w:r w:rsidRPr="0019171E" w:rsidR="00CD0941">
        <w:rPr>
          <w:szCs w:val="22"/>
        </w:rPr>
        <w:t xml:space="preserve">report </w:t>
      </w:r>
      <w:r w:rsidRPr="0019171E" w:rsidR="00E955ED">
        <w:rPr>
          <w:szCs w:val="22"/>
        </w:rPr>
        <w:t xml:space="preserve">and </w:t>
      </w:r>
      <w:r w:rsidRPr="0019171E" w:rsidR="00CD0941">
        <w:rPr>
          <w:szCs w:val="22"/>
        </w:rPr>
        <w:t xml:space="preserve">certify </w:t>
      </w:r>
      <w:r w:rsidRPr="0019171E" w:rsidR="00E955ED">
        <w:rPr>
          <w:szCs w:val="22"/>
        </w:rPr>
        <w:t xml:space="preserve">the results.  </w:t>
      </w:r>
      <w:r w:rsidR="004E66B4">
        <w:t>Testing must be conducted with a random sample of subscribers generated through the Universal Service Administrative Company’s (USAC) randomization tool.</w:t>
      </w:r>
      <w:r>
        <w:rPr>
          <w:rStyle w:val="FootnoteReference"/>
        </w:rPr>
        <w:footnoteReference w:id="5"/>
      </w:r>
      <w:r w:rsidR="004E66B4">
        <w:t xml:space="preserve">  </w:t>
      </w:r>
      <w:r w:rsidRPr="0019171E" w:rsidR="00AA0BD1">
        <w:rPr>
          <w:szCs w:val="22"/>
        </w:rPr>
        <w:t>The testing is necessary</w:t>
      </w:r>
      <w:r w:rsidRPr="0019171E" w:rsidR="00A13205">
        <w:rPr>
          <w:szCs w:val="22"/>
        </w:rPr>
        <w:t xml:space="preserve"> to</w:t>
      </w:r>
      <w:r w:rsidRPr="0019171E" w:rsidR="00AA0BD1">
        <w:rPr>
          <w:szCs w:val="22"/>
        </w:rPr>
        <w:t xml:space="preserve"> protect taxpayers’ investment and ensure that carriers receiving this support deploy networks that meet the performance standards they promised to deliver to rural consumers.</w:t>
      </w:r>
      <w:r>
        <w:rPr>
          <w:rStyle w:val="FootnoteReference"/>
          <w:sz w:val="22"/>
          <w:szCs w:val="22"/>
        </w:rPr>
        <w:footnoteReference w:id="6"/>
      </w:r>
      <w:r w:rsidRPr="0019171E" w:rsidR="00AA0BD1">
        <w:rPr>
          <w:szCs w:val="22"/>
        </w:rPr>
        <w:t xml:space="preserve">  Carriers failing to meet the required standards will be subject to withholding of universal service support, based on the level of non-compliance.</w:t>
      </w:r>
      <w:r>
        <w:rPr>
          <w:rStyle w:val="FootnoteReference"/>
          <w:sz w:val="22"/>
          <w:szCs w:val="22"/>
        </w:rPr>
        <w:footnoteReference w:id="7"/>
      </w:r>
      <w:r w:rsidRPr="0019171E" w:rsidR="00AA0BD1">
        <w:rPr>
          <w:szCs w:val="22"/>
        </w:rPr>
        <w:t xml:space="preserve">  </w:t>
      </w:r>
    </w:p>
    <w:p w:rsidR="000C6674" w:rsidRPr="0019171E" w:rsidP="00465AC6" w14:paraId="44B9D64E" w14:textId="53025114">
      <w:pPr>
        <w:pStyle w:val="ParaNum"/>
        <w:widowControl/>
        <w:rPr>
          <w:szCs w:val="22"/>
        </w:rPr>
      </w:pPr>
      <w:r w:rsidRPr="0019171E">
        <w:rPr>
          <w:szCs w:val="22"/>
        </w:rPr>
        <w:t>To ensure carriers are familiar with the required testing and how to properly measure the speed and latency of their networks</w:t>
      </w:r>
      <w:r w:rsidRPr="0019171E" w:rsidR="00014CE6">
        <w:rPr>
          <w:szCs w:val="22"/>
        </w:rPr>
        <w:t xml:space="preserve"> in accordance with Commission rules</w:t>
      </w:r>
      <w:r w:rsidRPr="0019171E" w:rsidR="004232AC">
        <w:rPr>
          <w:szCs w:val="22"/>
        </w:rPr>
        <w:t>,</w:t>
      </w:r>
      <w:r w:rsidRPr="0019171E" w:rsidR="00872B26">
        <w:rPr>
          <w:szCs w:val="22"/>
        </w:rPr>
        <w:t xml:space="preserve"> </w:t>
      </w:r>
      <w:r w:rsidRPr="0019171E">
        <w:rPr>
          <w:szCs w:val="22"/>
        </w:rPr>
        <w:t xml:space="preserve">the Commission adopted pre-testing periods in which no support reductions </w:t>
      </w:r>
      <w:r w:rsidRPr="0019171E" w:rsidR="004232AC">
        <w:rPr>
          <w:szCs w:val="22"/>
        </w:rPr>
        <w:t xml:space="preserve">will occur </w:t>
      </w:r>
      <w:r w:rsidRPr="0019171E">
        <w:rPr>
          <w:szCs w:val="22"/>
        </w:rPr>
        <w:t xml:space="preserve">for failing to meet </w:t>
      </w:r>
      <w:r w:rsidRPr="0019171E" w:rsidR="00A167F9">
        <w:rPr>
          <w:szCs w:val="22"/>
        </w:rPr>
        <w:t xml:space="preserve">the required </w:t>
      </w:r>
      <w:r w:rsidRPr="0019171E">
        <w:rPr>
          <w:szCs w:val="22"/>
        </w:rPr>
        <w:t>standards</w:t>
      </w:r>
      <w:r w:rsidRPr="0019171E" w:rsidR="00214937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8"/>
      </w:r>
      <w:r w:rsidRPr="0019171E">
        <w:rPr>
          <w:szCs w:val="22"/>
        </w:rPr>
        <w:t xml:space="preserve"> </w:t>
      </w:r>
      <w:r w:rsidRPr="0019171E" w:rsidR="00A13205">
        <w:rPr>
          <w:szCs w:val="22"/>
        </w:rPr>
        <w:t xml:space="preserve"> </w:t>
      </w:r>
      <w:r w:rsidRPr="0019171E" w:rsidR="0043786B">
        <w:rPr>
          <w:szCs w:val="22"/>
        </w:rPr>
        <w:t xml:space="preserve">For </w:t>
      </w:r>
      <w:r w:rsidRPr="0019171E" w:rsidR="0043786B">
        <w:rPr>
          <w:szCs w:val="22"/>
        </w:rPr>
        <w:t xml:space="preserve">both pre-testing and testing, </w:t>
      </w:r>
      <w:r w:rsidRPr="0019171E" w:rsidR="000F6BF0">
        <w:rPr>
          <w:szCs w:val="22"/>
        </w:rPr>
        <w:t>the Commission required that carriers</w:t>
      </w:r>
      <w:r w:rsidRPr="0019171E" w:rsidR="000F6BF0">
        <w:rPr>
          <w:snapToGrid/>
          <w:kern w:val="0"/>
          <w:szCs w:val="22"/>
        </w:rPr>
        <w:t xml:space="preserve"> submit speed and latency test results, as well as an annual certification, in a format determined by the Bureau.</w:t>
      </w:r>
      <w:r>
        <w:rPr>
          <w:rStyle w:val="FootnoteReference"/>
          <w:snapToGrid/>
          <w:kern w:val="0"/>
          <w:sz w:val="22"/>
          <w:szCs w:val="22"/>
        </w:rPr>
        <w:footnoteReference w:id="9"/>
      </w:r>
      <w:r w:rsidRPr="0019171E" w:rsidR="000F6BF0">
        <w:rPr>
          <w:snapToGrid/>
          <w:kern w:val="0"/>
          <w:szCs w:val="22"/>
        </w:rPr>
        <w:t xml:space="preserve">  </w:t>
      </w:r>
      <w:r w:rsidRPr="0019171E" w:rsidR="0031458D">
        <w:rPr>
          <w:szCs w:val="22"/>
        </w:rPr>
        <w:t xml:space="preserve"> </w:t>
      </w:r>
    </w:p>
    <w:p w:rsidR="003C15C2" w:rsidRPr="0019171E" w:rsidP="00AA0BD1" w14:paraId="285F54EA" w14:textId="6BDF268C">
      <w:pPr>
        <w:pStyle w:val="ParaNum"/>
        <w:rPr>
          <w:szCs w:val="22"/>
        </w:rPr>
      </w:pPr>
      <w:r w:rsidRPr="0019171E">
        <w:rPr>
          <w:i/>
          <w:iCs/>
          <w:szCs w:val="22"/>
        </w:rPr>
        <w:t xml:space="preserve">Discussion.  </w:t>
      </w:r>
      <w:r w:rsidRPr="0019171E" w:rsidR="00B1413F">
        <w:rPr>
          <w:szCs w:val="22"/>
        </w:rPr>
        <w:t xml:space="preserve">On its own motion, the Bureau </w:t>
      </w:r>
      <w:r w:rsidRPr="0019171E" w:rsidR="00694112">
        <w:rPr>
          <w:szCs w:val="22"/>
        </w:rPr>
        <w:t xml:space="preserve">grants a waiver </w:t>
      </w:r>
      <w:r w:rsidRPr="0019171E" w:rsidR="000F6BF0">
        <w:rPr>
          <w:szCs w:val="22"/>
        </w:rPr>
        <w:t>allowing</w:t>
      </w:r>
      <w:r w:rsidRPr="0019171E" w:rsidR="00694112">
        <w:rPr>
          <w:szCs w:val="22"/>
        </w:rPr>
        <w:t xml:space="preserve"> </w:t>
      </w:r>
      <w:r w:rsidR="00B34759">
        <w:rPr>
          <w:szCs w:val="22"/>
        </w:rPr>
        <w:t xml:space="preserve">A-CAM/RBE/Alaska </w:t>
      </w:r>
      <w:r w:rsidRPr="0019171E" w:rsidR="00694112">
        <w:rPr>
          <w:szCs w:val="22"/>
        </w:rPr>
        <w:t xml:space="preserve">carriers </w:t>
      </w:r>
      <w:r w:rsidR="00B34759">
        <w:rPr>
          <w:szCs w:val="22"/>
        </w:rPr>
        <w:t>to pre-test only</w:t>
      </w:r>
      <w:r w:rsidRPr="0019171E" w:rsidR="00B34759">
        <w:rPr>
          <w:szCs w:val="22"/>
        </w:rPr>
        <w:t xml:space="preserve"> 70% of </w:t>
      </w:r>
      <w:r w:rsidR="004E66B4">
        <w:rPr>
          <w:szCs w:val="22"/>
        </w:rPr>
        <w:t>their</w:t>
      </w:r>
      <w:r w:rsidRPr="0019171E" w:rsidR="00B34759">
        <w:rPr>
          <w:szCs w:val="22"/>
        </w:rPr>
        <w:t xml:space="preserve"> USAC-selected sample</w:t>
      </w:r>
      <w:r w:rsidR="004E66B4">
        <w:rPr>
          <w:szCs w:val="22"/>
        </w:rPr>
        <w:t>s</w:t>
      </w:r>
      <w:r w:rsidRPr="0019171E" w:rsidR="00B34759">
        <w:rPr>
          <w:szCs w:val="22"/>
        </w:rPr>
        <w:t xml:space="preserve"> </w:t>
      </w:r>
      <w:r w:rsidR="00B34759">
        <w:rPr>
          <w:szCs w:val="22"/>
        </w:rPr>
        <w:t>during the four quarters of pre-testing in 2021</w:t>
      </w:r>
      <w:r w:rsidRPr="0019171E" w:rsidR="00694112">
        <w:rPr>
          <w:szCs w:val="22"/>
        </w:rPr>
        <w:t>.</w:t>
      </w:r>
      <w:r>
        <w:rPr>
          <w:rStyle w:val="FootnoteReference"/>
          <w:szCs w:val="22"/>
        </w:rPr>
        <w:footnoteReference w:id="10"/>
      </w:r>
      <w:r w:rsidRPr="0019171E" w:rsidR="00694112">
        <w:rPr>
          <w:szCs w:val="22"/>
        </w:rPr>
        <w:t xml:space="preserve">  Generally, the Commission’s rules may be waived for good cause shown.</w:t>
      </w:r>
      <w:r>
        <w:rPr>
          <w:rStyle w:val="FootnoteReference"/>
          <w:sz w:val="22"/>
          <w:szCs w:val="22"/>
        </w:rPr>
        <w:footnoteReference w:id="11"/>
      </w:r>
      <w:r w:rsidRPr="0019171E">
        <w:rPr>
          <w:szCs w:val="22"/>
        </w:rPr>
        <w:t xml:space="preserve">  The </w:t>
      </w:r>
      <w:r w:rsidR="00C24273">
        <w:rPr>
          <w:szCs w:val="22"/>
        </w:rPr>
        <w:t>Bureau</w:t>
      </w:r>
      <w:r w:rsidRPr="0019171E" w:rsidR="00C24273">
        <w:rPr>
          <w:szCs w:val="22"/>
        </w:rPr>
        <w:t xml:space="preserve"> </w:t>
      </w:r>
      <w:r w:rsidRPr="0019171E">
        <w:rPr>
          <w:szCs w:val="22"/>
        </w:rPr>
        <w:t>may exercise its discretion to waive a rule where the particular facts make strict compliance inconsistent with the public interest.</w:t>
      </w:r>
      <w:r>
        <w:rPr>
          <w:rStyle w:val="FootnoteReference"/>
          <w:sz w:val="22"/>
          <w:szCs w:val="22"/>
        </w:rPr>
        <w:footnoteReference w:id="12"/>
      </w:r>
      <w:r w:rsidRPr="0019171E" w:rsidR="00182755">
        <w:rPr>
          <w:szCs w:val="22"/>
        </w:rPr>
        <w:t xml:space="preserve">  </w:t>
      </w:r>
      <w:r w:rsidRPr="0019171E">
        <w:rPr>
          <w:szCs w:val="22"/>
        </w:rPr>
        <w:t xml:space="preserve">In addition, the </w:t>
      </w:r>
      <w:r w:rsidR="00C24273">
        <w:rPr>
          <w:szCs w:val="22"/>
        </w:rPr>
        <w:t>Bureau</w:t>
      </w:r>
      <w:r w:rsidRPr="0019171E" w:rsidR="00C24273">
        <w:rPr>
          <w:szCs w:val="22"/>
        </w:rPr>
        <w:t xml:space="preserve"> </w:t>
      </w:r>
      <w:r w:rsidRPr="0019171E">
        <w:rPr>
          <w:szCs w:val="22"/>
        </w:rPr>
        <w:t>may take into account considerations of hardship, equity, or more effective implementation of overall policy on an individual basis.</w:t>
      </w:r>
      <w:r>
        <w:rPr>
          <w:rStyle w:val="FootnoteReference"/>
          <w:sz w:val="22"/>
          <w:szCs w:val="22"/>
        </w:rPr>
        <w:footnoteReference w:id="13"/>
      </w:r>
      <w:r w:rsidRPr="0019171E">
        <w:rPr>
          <w:szCs w:val="22"/>
        </w:rPr>
        <w:t xml:space="preserve">  Waiver of the Commission’s rules is appropriate when (i) special circumstances warrant a deviation from the general rule, and (ii) such deviation will serve the public interest.</w:t>
      </w:r>
      <w:r>
        <w:rPr>
          <w:rStyle w:val="FootnoteReference"/>
          <w:sz w:val="22"/>
          <w:szCs w:val="22"/>
        </w:rPr>
        <w:footnoteReference w:id="14"/>
      </w:r>
    </w:p>
    <w:p w:rsidR="003F278F" w:rsidRPr="003F278F" w:rsidP="00826957" w14:paraId="73964F9B" w14:textId="66A3815A">
      <w:pPr>
        <w:pStyle w:val="ParaNum"/>
        <w:widowControl/>
        <w:autoSpaceDE w:val="0"/>
        <w:autoSpaceDN w:val="0"/>
        <w:adjustRightInd w:val="0"/>
        <w:rPr>
          <w:szCs w:val="22"/>
        </w:rPr>
      </w:pPr>
      <w:r w:rsidRPr="0019171E">
        <w:rPr>
          <w:szCs w:val="22"/>
        </w:rPr>
        <w:t xml:space="preserve">In </w:t>
      </w:r>
      <w:r w:rsidRPr="0019171E" w:rsidR="00B31DAC">
        <w:rPr>
          <w:szCs w:val="22"/>
        </w:rPr>
        <w:t xml:space="preserve">the </w:t>
      </w:r>
      <w:r w:rsidRPr="0019171E" w:rsidR="00B31DAC">
        <w:rPr>
          <w:i/>
          <w:iCs/>
          <w:szCs w:val="22"/>
        </w:rPr>
        <w:t>Performance Measures Reconsideration Order</w:t>
      </w:r>
      <w:r w:rsidRPr="0019171E">
        <w:rPr>
          <w:szCs w:val="22"/>
        </w:rPr>
        <w:t xml:space="preserve">, the Commission included </w:t>
      </w:r>
      <w:r w:rsidR="00B34759">
        <w:rPr>
          <w:szCs w:val="22"/>
        </w:rPr>
        <w:t xml:space="preserve">one </w:t>
      </w:r>
      <w:r>
        <w:rPr>
          <w:szCs w:val="22"/>
        </w:rPr>
        <w:t>year</w:t>
      </w:r>
      <w:r w:rsidRPr="0019171E">
        <w:rPr>
          <w:szCs w:val="22"/>
        </w:rPr>
        <w:t xml:space="preserve"> of pre-testing </w:t>
      </w:r>
      <w:r w:rsidRPr="0019171E" w:rsidR="00E206BD">
        <w:rPr>
          <w:szCs w:val="22"/>
        </w:rPr>
        <w:t xml:space="preserve">for </w:t>
      </w:r>
      <w:r>
        <w:rPr>
          <w:szCs w:val="22"/>
        </w:rPr>
        <w:t>A-CAM/RBE/Alaska carriers</w:t>
      </w:r>
      <w:r w:rsidRPr="0019171E" w:rsidR="00E206BD">
        <w:rPr>
          <w:szCs w:val="22"/>
        </w:rPr>
        <w:t>.</w:t>
      </w:r>
      <w:r>
        <w:rPr>
          <w:rStyle w:val="FootnoteReference"/>
          <w:sz w:val="22"/>
          <w:szCs w:val="22"/>
        </w:rPr>
        <w:footnoteReference w:id="15"/>
      </w:r>
      <w:r w:rsidRPr="0019171E">
        <w:rPr>
          <w:szCs w:val="22"/>
        </w:rPr>
        <w:t xml:space="preserve">  </w:t>
      </w:r>
      <w:r w:rsidRPr="0019171E" w:rsidR="006613BF">
        <w:rPr>
          <w:szCs w:val="22"/>
        </w:rPr>
        <w:t xml:space="preserve">However, the </w:t>
      </w:r>
      <w:r w:rsidR="00C50792">
        <w:rPr>
          <w:szCs w:val="22"/>
        </w:rPr>
        <w:t>Bureau</w:t>
      </w:r>
      <w:r w:rsidRPr="0019171E" w:rsidR="00C50792">
        <w:rPr>
          <w:szCs w:val="22"/>
        </w:rPr>
        <w:t xml:space="preserve"> </w:t>
      </w:r>
      <w:r w:rsidRPr="0019171E" w:rsidR="006613BF">
        <w:rPr>
          <w:szCs w:val="22"/>
        </w:rPr>
        <w:t xml:space="preserve">has </w:t>
      </w:r>
      <w:r w:rsidR="00C50792">
        <w:rPr>
          <w:szCs w:val="22"/>
        </w:rPr>
        <w:t xml:space="preserve">already </w:t>
      </w:r>
      <w:r w:rsidRPr="0019171E" w:rsidR="006613BF">
        <w:rPr>
          <w:szCs w:val="22"/>
        </w:rPr>
        <w:t xml:space="preserve">recognized that </w:t>
      </w:r>
      <w:r w:rsidRPr="0019171E" w:rsidR="00FE5D91">
        <w:rPr>
          <w:szCs w:val="22"/>
        </w:rPr>
        <w:t>installing testing equipment in subscriber homes has been made more difficult by the C</w:t>
      </w:r>
      <w:r w:rsidRPr="0019171E" w:rsidR="00F173DD">
        <w:rPr>
          <w:szCs w:val="22"/>
        </w:rPr>
        <w:t>OVID</w:t>
      </w:r>
      <w:r w:rsidRPr="0019171E" w:rsidR="00FE5D91">
        <w:rPr>
          <w:szCs w:val="22"/>
        </w:rPr>
        <w:t>-19 pandemic.</w:t>
      </w:r>
      <w:r>
        <w:rPr>
          <w:rStyle w:val="FootnoteReference"/>
          <w:sz w:val="22"/>
          <w:szCs w:val="22"/>
        </w:rPr>
        <w:footnoteReference w:id="16"/>
      </w:r>
      <w:r w:rsidRPr="0019171E" w:rsidR="00FE5D91">
        <w:rPr>
          <w:szCs w:val="22"/>
        </w:rPr>
        <w:t xml:space="preserve">  </w:t>
      </w:r>
      <w:r w:rsidRPr="0019171E">
        <w:rPr>
          <w:snapToGrid/>
          <w:kern w:val="0"/>
          <w:szCs w:val="22"/>
        </w:rPr>
        <w:t xml:space="preserve">A primary purpose of pre-testing </w:t>
      </w:r>
      <w:r w:rsidR="00CE50D9">
        <w:rPr>
          <w:snapToGrid/>
          <w:kern w:val="0"/>
          <w:szCs w:val="22"/>
        </w:rPr>
        <w:t>is</w:t>
      </w:r>
      <w:r w:rsidRPr="0019171E" w:rsidR="00CE50D9">
        <w:rPr>
          <w:snapToGrid/>
          <w:kern w:val="0"/>
          <w:szCs w:val="22"/>
        </w:rPr>
        <w:t xml:space="preserve"> </w:t>
      </w:r>
      <w:r w:rsidRPr="0019171E">
        <w:rPr>
          <w:snapToGrid/>
          <w:kern w:val="0"/>
          <w:szCs w:val="22"/>
        </w:rPr>
        <w:t xml:space="preserve">to allow carriers to gain experience with the testing requirements and procedures so that they </w:t>
      </w:r>
      <w:r w:rsidR="00CE50D9">
        <w:rPr>
          <w:snapToGrid/>
          <w:kern w:val="0"/>
          <w:szCs w:val="22"/>
        </w:rPr>
        <w:t>can</w:t>
      </w:r>
      <w:r w:rsidRPr="0019171E" w:rsidR="00CE50D9">
        <w:rPr>
          <w:snapToGrid/>
          <w:kern w:val="0"/>
          <w:szCs w:val="22"/>
        </w:rPr>
        <w:t xml:space="preserve"> </w:t>
      </w:r>
      <w:r w:rsidRPr="0019171E">
        <w:rPr>
          <w:snapToGrid/>
          <w:kern w:val="0"/>
          <w:szCs w:val="22"/>
        </w:rPr>
        <w:t>be fully prepared for testing before carriers are subject to the withholding of support for failure to meet the required performance standards.</w:t>
      </w:r>
      <w:r>
        <w:rPr>
          <w:rStyle w:val="FootnoteReference"/>
          <w:snapToGrid/>
          <w:kern w:val="0"/>
          <w:sz w:val="22"/>
          <w:szCs w:val="22"/>
        </w:rPr>
        <w:footnoteReference w:id="17"/>
      </w:r>
      <w:r w:rsidRPr="0019171E">
        <w:rPr>
          <w:snapToGrid/>
          <w:kern w:val="0"/>
          <w:szCs w:val="22"/>
        </w:rPr>
        <w:t xml:space="preserve">  </w:t>
      </w:r>
      <w:r w:rsidR="00CE50D9">
        <w:rPr>
          <w:snapToGrid/>
          <w:kern w:val="0"/>
          <w:szCs w:val="22"/>
        </w:rPr>
        <w:t>This purpose</w:t>
      </w:r>
      <w:r w:rsidRPr="0019171E" w:rsidR="00CE50D9">
        <w:rPr>
          <w:snapToGrid/>
          <w:kern w:val="0"/>
          <w:szCs w:val="22"/>
        </w:rPr>
        <w:t xml:space="preserve"> </w:t>
      </w:r>
      <w:r w:rsidRPr="0019171E">
        <w:rPr>
          <w:snapToGrid/>
          <w:kern w:val="0"/>
          <w:szCs w:val="22"/>
        </w:rPr>
        <w:t>cannot be achieved if carriers are not pre-testing any subscribers or are testing only a very small number of subscribers.</w:t>
      </w:r>
      <w:r>
        <w:rPr>
          <w:snapToGrid/>
          <w:kern w:val="0"/>
          <w:szCs w:val="22"/>
        </w:rPr>
        <w:t xml:space="preserve">  </w:t>
      </w:r>
    </w:p>
    <w:p w:rsidR="0080386E" w:rsidRPr="003F278F" w:rsidP="00AA0BD1" w14:paraId="5A310F06" w14:textId="095C7EB5">
      <w:pPr>
        <w:pStyle w:val="ParaNum"/>
        <w:rPr>
          <w:szCs w:val="22"/>
        </w:rPr>
      </w:pPr>
      <w:r w:rsidRPr="003F278F">
        <w:rPr>
          <w:szCs w:val="22"/>
        </w:rPr>
        <w:t xml:space="preserve">For </w:t>
      </w:r>
      <w:r w:rsidRPr="003F278F" w:rsidR="006112E8">
        <w:rPr>
          <w:szCs w:val="22"/>
        </w:rPr>
        <w:t>pre</w:t>
      </w:r>
      <w:r w:rsidRPr="003F278F" w:rsidR="458B17D2">
        <w:rPr>
          <w:szCs w:val="22"/>
        </w:rPr>
        <w:t>-</w:t>
      </w:r>
      <w:r w:rsidRPr="003F278F" w:rsidR="006112E8">
        <w:rPr>
          <w:szCs w:val="22"/>
        </w:rPr>
        <w:t xml:space="preserve">testing </w:t>
      </w:r>
      <w:r w:rsidRPr="003F278F" w:rsidR="003F278F">
        <w:rPr>
          <w:szCs w:val="22"/>
        </w:rPr>
        <w:t>for carriers receiving Connect America Fund (CAF) Phase II model funding</w:t>
      </w:r>
      <w:r w:rsidRPr="003F278F">
        <w:rPr>
          <w:szCs w:val="22"/>
        </w:rPr>
        <w:t xml:space="preserve">, the Bureau waived certain subscriber sampling requirements to minimize </w:t>
      </w:r>
      <w:r w:rsidRPr="003F278F">
        <w:rPr>
          <w:snapToGrid/>
          <w:kern w:val="0"/>
          <w:szCs w:val="22"/>
        </w:rPr>
        <w:t>unnecessary person-to-person contact through installation of equipment needed for testing in subscriber homes and diversion of resources needed to address the increased network demands as a result of the C</w:t>
      </w:r>
      <w:r w:rsidRPr="003F278F" w:rsidR="005B1100">
        <w:rPr>
          <w:snapToGrid/>
          <w:kern w:val="0"/>
          <w:szCs w:val="22"/>
        </w:rPr>
        <w:t>OVID</w:t>
      </w:r>
      <w:r w:rsidRPr="003F278F">
        <w:rPr>
          <w:snapToGrid/>
          <w:kern w:val="0"/>
          <w:szCs w:val="22"/>
        </w:rPr>
        <w:t>-19 pandemic.</w:t>
      </w:r>
      <w:r>
        <w:rPr>
          <w:rStyle w:val="FootnoteReference"/>
          <w:snapToGrid/>
          <w:kern w:val="0"/>
          <w:sz w:val="22"/>
          <w:szCs w:val="22"/>
        </w:rPr>
        <w:footnoteReference w:id="18"/>
      </w:r>
      <w:r w:rsidRPr="003F278F">
        <w:rPr>
          <w:snapToGrid/>
          <w:kern w:val="0"/>
          <w:szCs w:val="22"/>
        </w:rPr>
        <w:t xml:space="preserve">  </w:t>
      </w:r>
      <w:r w:rsidR="00C24273">
        <w:rPr>
          <w:snapToGrid/>
          <w:kern w:val="0"/>
          <w:szCs w:val="22"/>
        </w:rPr>
        <w:t>In a recent survey of its members, NTCA</w:t>
      </w:r>
      <w:r w:rsidR="00003D17">
        <w:rPr>
          <w:snapToGrid/>
          <w:kern w:val="0"/>
          <w:szCs w:val="22"/>
        </w:rPr>
        <w:t xml:space="preserve"> </w:t>
      </w:r>
      <w:r w:rsidR="00C24273">
        <w:rPr>
          <w:snapToGrid/>
          <w:kern w:val="0"/>
          <w:szCs w:val="22"/>
        </w:rPr>
        <w:t>found that many of its members are experiencing difficulties obtaining equipment, including the type of consumer premises equipment needed for performance testing.</w:t>
      </w:r>
      <w:r>
        <w:rPr>
          <w:rStyle w:val="FootnoteReference"/>
          <w:snapToGrid/>
          <w:kern w:val="0"/>
          <w:szCs w:val="22"/>
        </w:rPr>
        <w:footnoteReference w:id="19"/>
      </w:r>
      <w:r w:rsidR="00C24273">
        <w:rPr>
          <w:snapToGrid/>
          <w:kern w:val="0"/>
          <w:szCs w:val="22"/>
        </w:rPr>
        <w:t xml:space="preserve">  </w:t>
      </w:r>
      <w:r w:rsidR="003F278F">
        <w:rPr>
          <w:snapToGrid/>
          <w:kern w:val="0"/>
          <w:szCs w:val="22"/>
        </w:rPr>
        <w:t>T</w:t>
      </w:r>
      <w:r w:rsidRPr="003F278F">
        <w:rPr>
          <w:snapToGrid/>
          <w:kern w:val="0"/>
          <w:szCs w:val="22"/>
        </w:rPr>
        <w:t xml:space="preserve">o </w:t>
      </w:r>
      <w:r w:rsidR="003F278F">
        <w:rPr>
          <w:snapToGrid/>
          <w:kern w:val="0"/>
          <w:szCs w:val="22"/>
        </w:rPr>
        <w:t xml:space="preserve">take into account the difficulties posed by the </w:t>
      </w:r>
      <w:r w:rsidR="00CE50D9">
        <w:rPr>
          <w:snapToGrid/>
          <w:kern w:val="0"/>
          <w:szCs w:val="22"/>
        </w:rPr>
        <w:t xml:space="preserve">COVID-19 </w:t>
      </w:r>
      <w:r w:rsidR="003F278F">
        <w:rPr>
          <w:snapToGrid/>
          <w:kern w:val="0"/>
          <w:szCs w:val="22"/>
        </w:rPr>
        <w:t>pandemic as well as possible supply-chain issues</w:t>
      </w:r>
      <w:r w:rsidR="00C62BCD">
        <w:rPr>
          <w:snapToGrid/>
          <w:kern w:val="0"/>
          <w:szCs w:val="22"/>
        </w:rPr>
        <w:t>,</w:t>
      </w:r>
      <w:r w:rsidR="003F278F">
        <w:rPr>
          <w:snapToGrid/>
          <w:kern w:val="0"/>
          <w:szCs w:val="22"/>
        </w:rPr>
        <w:t xml:space="preserve"> while still ensuring that A-CAM/RBE/Alaska carriers are ready to begin testing in 2022</w:t>
      </w:r>
      <w:r w:rsidRPr="003F278F" w:rsidR="007A47E2">
        <w:rPr>
          <w:snapToGrid/>
          <w:kern w:val="0"/>
          <w:szCs w:val="22"/>
        </w:rPr>
        <w:t xml:space="preserve">, we </w:t>
      </w:r>
      <w:r w:rsidRPr="003F278F" w:rsidR="00870264">
        <w:rPr>
          <w:snapToGrid/>
          <w:kern w:val="0"/>
          <w:szCs w:val="22"/>
        </w:rPr>
        <w:t xml:space="preserve">require </w:t>
      </w:r>
      <w:r w:rsidR="003F278F">
        <w:rPr>
          <w:szCs w:val="22"/>
        </w:rPr>
        <w:t>these</w:t>
      </w:r>
      <w:r w:rsidRPr="003F278F" w:rsidR="00870264">
        <w:rPr>
          <w:szCs w:val="22"/>
        </w:rPr>
        <w:t xml:space="preserve"> carrier</w:t>
      </w:r>
      <w:r w:rsidR="003F278F">
        <w:rPr>
          <w:szCs w:val="22"/>
        </w:rPr>
        <w:t xml:space="preserve">s to </w:t>
      </w:r>
      <w:r w:rsidR="00901DFD">
        <w:rPr>
          <w:szCs w:val="22"/>
        </w:rPr>
        <w:t>pre-</w:t>
      </w:r>
      <w:r w:rsidR="003F278F">
        <w:rPr>
          <w:szCs w:val="22"/>
        </w:rPr>
        <w:t xml:space="preserve">test and file results for at least </w:t>
      </w:r>
      <w:r w:rsidRPr="003F278F" w:rsidR="00826957">
        <w:rPr>
          <w:szCs w:val="22"/>
        </w:rPr>
        <w:t>70%</w:t>
      </w:r>
      <w:r w:rsidRPr="003F278F" w:rsidR="00870264">
        <w:rPr>
          <w:szCs w:val="22"/>
        </w:rPr>
        <w:t xml:space="preserve"> of </w:t>
      </w:r>
      <w:r w:rsidR="003F278F">
        <w:rPr>
          <w:szCs w:val="22"/>
        </w:rPr>
        <w:t>their</w:t>
      </w:r>
      <w:r w:rsidRPr="003F278F" w:rsidR="00870264">
        <w:rPr>
          <w:szCs w:val="22"/>
        </w:rPr>
        <w:t xml:space="preserve"> USAC-selected </w:t>
      </w:r>
      <w:r w:rsidR="00CE50D9">
        <w:rPr>
          <w:szCs w:val="22"/>
        </w:rPr>
        <w:t xml:space="preserve">random </w:t>
      </w:r>
      <w:r w:rsidRPr="003F278F" w:rsidR="00870264">
        <w:rPr>
          <w:szCs w:val="22"/>
        </w:rPr>
        <w:t xml:space="preserve">sample </w:t>
      </w:r>
      <w:r w:rsidR="003F278F">
        <w:rPr>
          <w:szCs w:val="22"/>
        </w:rPr>
        <w:t>for each required speed tier</w:t>
      </w:r>
      <w:r w:rsidRPr="003F278F" w:rsidR="00870264">
        <w:rPr>
          <w:szCs w:val="22"/>
        </w:rPr>
        <w:t>.  For example, if a carrier is required to have 50 subscribers in a state</w:t>
      </w:r>
      <w:r w:rsidR="003F278F">
        <w:rPr>
          <w:szCs w:val="22"/>
        </w:rPr>
        <w:t xml:space="preserve"> at a particular speed tier, it must pre-test </w:t>
      </w:r>
      <w:r w:rsidR="00CE50D9">
        <w:rPr>
          <w:szCs w:val="22"/>
        </w:rPr>
        <w:t xml:space="preserve">at least </w:t>
      </w:r>
      <w:r w:rsidR="003F278F">
        <w:rPr>
          <w:szCs w:val="22"/>
        </w:rPr>
        <w:t>35 USAC-selected</w:t>
      </w:r>
      <w:r w:rsidRPr="003F278F" w:rsidR="00870264">
        <w:rPr>
          <w:szCs w:val="22"/>
        </w:rPr>
        <w:t xml:space="preserve"> </w:t>
      </w:r>
      <w:r w:rsidR="003F278F">
        <w:rPr>
          <w:szCs w:val="22"/>
        </w:rPr>
        <w:t xml:space="preserve">subscribers </w:t>
      </w:r>
      <w:r w:rsidR="00901DFD">
        <w:rPr>
          <w:szCs w:val="22"/>
        </w:rPr>
        <w:t xml:space="preserve">for that speed tier </w:t>
      </w:r>
      <w:r w:rsidR="003F278F">
        <w:rPr>
          <w:szCs w:val="22"/>
        </w:rPr>
        <w:t xml:space="preserve">to be in </w:t>
      </w:r>
      <w:r w:rsidR="003F278F">
        <w:rPr>
          <w:szCs w:val="22"/>
        </w:rPr>
        <w:t>compliance with our rules</w:t>
      </w:r>
      <w:r w:rsidRPr="003F278F" w:rsidR="00870264">
        <w:rPr>
          <w:szCs w:val="22"/>
        </w:rPr>
        <w:t>.</w:t>
      </w:r>
      <w:r>
        <w:rPr>
          <w:rStyle w:val="FootnoteReference"/>
          <w:szCs w:val="22"/>
        </w:rPr>
        <w:footnoteReference w:id="20"/>
      </w:r>
      <w:r w:rsidRPr="003F278F" w:rsidR="00870264">
        <w:rPr>
          <w:szCs w:val="22"/>
        </w:rPr>
        <w:t> </w:t>
      </w:r>
      <w:r w:rsidR="003F278F">
        <w:rPr>
          <w:szCs w:val="22"/>
        </w:rPr>
        <w:t xml:space="preserve"> </w:t>
      </w:r>
      <w:r w:rsidRPr="003F278F" w:rsidR="00826957">
        <w:rPr>
          <w:szCs w:val="22"/>
        </w:rPr>
        <w:t xml:space="preserve">However, </w:t>
      </w:r>
      <w:r w:rsidR="003F278F">
        <w:rPr>
          <w:szCs w:val="22"/>
        </w:rPr>
        <w:t>we expect all A-CAM/RBE/Alaska</w:t>
      </w:r>
      <w:r w:rsidRPr="003F278F" w:rsidR="00826957">
        <w:rPr>
          <w:szCs w:val="22"/>
        </w:rPr>
        <w:t xml:space="preserve"> carriers</w:t>
      </w:r>
      <w:r w:rsidR="003F278F">
        <w:rPr>
          <w:szCs w:val="22"/>
        </w:rPr>
        <w:t xml:space="preserve"> to </w:t>
      </w:r>
      <w:r w:rsidR="00C24273">
        <w:rPr>
          <w:szCs w:val="22"/>
        </w:rPr>
        <w:t>work diligently to obtain any necessary equipment and expand the number</w:t>
      </w:r>
      <w:r w:rsidR="00F308D2">
        <w:rPr>
          <w:szCs w:val="22"/>
        </w:rPr>
        <w:t xml:space="preserve"> of tested subscribers in the USAC-selected sample throughout the pre-testing period.  These efforts should ensure that all A-CAM/RBE/Alaska</w:t>
      </w:r>
      <w:r w:rsidRPr="003F278F" w:rsidR="00F308D2">
        <w:rPr>
          <w:szCs w:val="22"/>
        </w:rPr>
        <w:t xml:space="preserve"> carriers</w:t>
      </w:r>
      <w:r w:rsidR="00F308D2">
        <w:rPr>
          <w:szCs w:val="22"/>
        </w:rPr>
        <w:t xml:space="preserve"> are</w:t>
      </w:r>
      <w:r w:rsidRPr="003F278F" w:rsidR="00826957">
        <w:rPr>
          <w:szCs w:val="22"/>
        </w:rPr>
        <w:t xml:space="preserve"> prepared to begin testing a</w:t>
      </w:r>
      <w:r w:rsidRPr="003F278F" w:rsidR="00CE5026">
        <w:rPr>
          <w:szCs w:val="22"/>
        </w:rPr>
        <w:t xml:space="preserve">ll of the subscribers in the </w:t>
      </w:r>
      <w:r w:rsidRPr="003F278F" w:rsidR="00826957">
        <w:rPr>
          <w:szCs w:val="22"/>
        </w:rPr>
        <w:t xml:space="preserve">USAC-selected </w:t>
      </w:r>
      <w:r w:rsidR="00CE50D9">
        <w:rPr>
          <w:szCs w:val="22"/>
        </w:rPr>
        <w:t xml:space="preserve">random </w:t>
      </w:r>
      <w:r w:rsidRPr="003F278F" w:rsidR="00826957">
        <w:rPr>
          <w:szCs w:val="22"/>
        </w:rPr>
        <w:t>sample in the first quarter of 202</w:t>
      </w:r>
      <w:r w:rsidR="003F278F">
        <w:rPr>
          <w:szCs w:val="22"/>
        </w:rPr>
        <w:t>2</w:t>
      </w:r>
      <w:r w:rsidR="00F308D2">
        <w:rPr>
          <w:szCs w:val="22"/>
        </w:rPr>
        <w:t>, consistent with the schedule adopted by the Commission in 2019</w:t>
      </w:r>
      <w:r w:rsidRPr="003F278F" w:rsidR="00874276">
        <w:rPr>
          <w:szCs w:val="22"/>
        </w:rPr>
        <w:t>.</w:t>
      </w:r>
      <w:r>
        <w:rPr>
          <w:rStyle w:val="FootnoteReference"/>
          <w:szCs w:val="22"/>
        </w:rPr>
        <w:footnoteReference w:id="21"/>
      </w:r>
    </w:p>
    <w:p w:rsidR="00C53C1F" w:rsidRPr="0019171E" w:rsidP="00AA0BD1" w14:paraId="271A3B0A" w14:textId="4FBD4AC3">
      <w:pPr>
        <w:pStyle w:val="ParaNum"/>
        <w:rPr>
          <w:szCs w:val="22"/>
        </w:rPr>
      </w:pPr>
      <w:r w:rsidRPr="0019171E">
        <w:rPr>
          <w:szCs w:val="22"/>
        </w:rPr>
        <w:t xml:space="preserve">Accordingly, IT IS ORDERED that, pursuant to sections 0.91, 0.291, and 1.3 of the Commission’s rules, 47 CFR §§ 0.91, 0.291, 1.3, </w:t>
      </w:r>
      <w:r w:rsidRPr="0019171E" w:rsidR="007D344B">
        <w:rPr>
          <w:szCs w:val="22"/>
        </w:rPr>
        <w:t xml:space="preserve">the </w:t>
      </w:r>
      <w:r w:rsidR="003F278F">
        <w:rPr>
          <w:szCs w:val="22"/>
        </w:rPr>
        <w:t>performance testing sample size</w:t>
      </w:r>
      <w:r w:rsidRPr="0019171E" w:rsidR="00A5081B">
        <w:rPr>
          <w:szCs w:val="22"/>
        </w:rPr>
        <w:t xml:space="preserve"> </w:t>
      </w:r>
      <w:r w:rsidRPr="0019171E" w:rsidR="007D344B">
        <w:rPr>
          <w:szCs w:val="22"/>
        </w:rPr>
        <w:t>requirements</w:t>
      </w:r>
      <w:r w:rsidRPr="0019171E">
        <w:rPr>
          <w:szCs w:val="22"/>
        </w:rPr>
        <w:t xml:space="preserve"> </w:t>
      </w:r>
      <w:r w:rsidRPr="0019171E" w:rsidR="007D344B">
        <w:rPr>
          <w:szCs w:val="22"/>
        </w:rPr>
        <w:t>ARE</w:t>
      </w:r>
      <w:r w:rsidRPr="0019171E">
        <w:rPr>
          <w:szCs w:val="22"/>
        </w:rPr>
        <w:t xml:space="preserve"> WAIVED to the extent described above.</w:t>
      </w:r>
    </w:p>
    <w:p w:rsidR="00C53C1F" w:rsidP="00AA0BD1" w14:paraId="3457AAA7" w14:textId="77777777">
      <w:pPr>
        <w:pStyle w:val="ParaNum"/>
        <w:rPr>
          <w:szCs w:val="22"/>
        </w:rPr>
      </w:pPr>
      <w:r w:rsidRPr="0019171E">
        <w:rPr>
          <w:szCs w:val="22"/>
        </w:rPr>
        <w:t xml:space="preserve">IT IS FURTHER ORDERED that, pursuant to section 1.102(b)(1) of the Commission’s rules, 47 CFR § 1.102(b)(1), this Order SHALL BE EFFECTIVE upon release. </w:t>
      </w:r>
    </w:p>
    <w:p w:rsidR="000F6F76" w:rsidP="000F6F76" w14:paraId="223A8F1A" w14:textId="77777777">
      <w:pPr>
        <w:pStyle w:val="ParaNum"/>
        <w:numPr>
          <w:ilvl w:val="0"/>
          <w:numId w:val="0"/>
        </w:numPr>
        <w:rPr>
          <w:szCs w:val="22"/>
        </w:rPr>
      </w:pPr>
    </w:p>
    <w:p w:rsidR="000F6F76" w:rsidP="0017296B" w14:paraId="3B90A865" w14:textId="77777777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0F6F76" w:rsidP="0017296B" w14:paraId="3798FD43" w14:textId="77777777"/>
    <w:p w:rsidR="000F6F76" w:rsidP="0017296B" w14:paraId="0338D3A0" w14:textId="77777777"/>
    <w:p w:rsidR="000F6F76" w:rsidP="0017296B" w14:paraId="361B6443" w14:textId="77777777"/>
    <w:p w:rsidR="000F6F76" w:rsidP="0017296B" w14:paraId="53E22E97" w14:textId="77777777"/>
    <w:p w:rsidR="000F6F76" w:rsidRPr="0019171E" w:rsidP="000F6F76" w14:paraId="272235F1" w14:textId="77777777">
      <w:pPr>
        <w:pStyle w:val="ParaNum"/>
        <w:numPr>
          <w:ilvl w:val="0"/>
          <w:numId w:val="0"/>
        </w:numPr>
        <w:spacing w:after="0"/>
        <w:ind w:left="2880" w:firstLine="720"/>
        <w:rPr>
          <w:szCs w:val="22"/>
        </w:rPr>
      </w:pPr>
      <w:r>
        <w:tab/>
      </w:r>
      <w:r w:rsidRPr="0019171E">
        <w:rPr>
          <w:szCs w:val="22"/>
        </w:rPr>
        <w:t xml:space="preserve">Kris Anne Monteith </w:t>
      </w:r>
    </w:p>
    <w:p w:rsidR="000F6F76" w:rsidRPr="0019171E" w:rsidP="000F6F76" w14:paraId="667C2548" w14:textId="77777777">
      <w:pPr>
        <w:pStyle w:val="ParaNum"/>
        <w:numPr>
          <w:ilvl w:val="0"/>
          <w:numId w:val="0"/>
        </w:numPr>
        <w:spacing w:after="0"/>
        <w:ind w:left="3600" w:firstLine="720"/>
        <w:rPr>
          <w:szCs w:val="22"/>
        </w:rPr>
      </w:pPr>
      <w:r w:rsidRPr="0019171E">
        <w:rPr>
          <w:szCs w:val="22"/>
        </w:rPr>
        <w:t xml:space="preserve">Chief </w:t>
      </w:r>
    </w:p>
    <w:p w:rsidR="00C53C1F" w:rsidRPr="0019171E" w:rsidP="000F6F76" w14:paraId="43AF26FA" w14:textId="77777777">
      <w:pPr>
        <w:pStyle w:val="ParaNum"/>
        <w:numPr>
          <w:ilvl w:val="0"/>
          <w:numId w:val="0"/>
        </w:numPr>
        <w:spacing w:after="0"/>
        <w:ind w:left="3600" w:firstLine="720"/>
        <w:rPr>
          <w:szCs w:val="22"/>
        </w:rPr>
      </w:pPr>
      <w:r w:rsidRPr="0019171E">
        <w:rPr>
          <w:szCs w:val="22"/>
        </w:rPr>
        <w:t>Wireline Competition Bureau</w:t>
      </w:r>
    </w:p>
    <w:sectPr w:rsidSect="005561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32CA45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62A8445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0F6F76" w14:paraId="14214BD9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188F992E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D47C0" w14:paraId="4DE814FC" w14:textId="77777777">
      <w:r>
        <w:separator/>
      </w:r>
    </w:p>
  </w:footnote>
  <w:footnote w:type="continuationSeparator" w:id="1">
    <w:p w:rsidR="007D47C0" w:rsidP="00C721AC" w14:paraId="6FBC8E22" w14:textId="77777777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D47C0" w:rsidP="00215443" w14:paraId="7E1B7DE3" w14:textId="77777777">
      <w:pPr>
        <w:jc w:val="center"/>
        <w:rPr>
          <w:sz w:val="20"/>
        </w:rPr>
      </w:pPr>
    </w:p>
  </w:footnote>
  <w:footnote w:id="3">
    <w:p w:rsidR="008560FD" w:rsidRPr="00643187" w14:paraId="26146BC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E29E3">
        <w:t xml:space="preserve">47 CFR § 54.313(j). </w:t>
      </w:r>
      <w:r w:rsidR="00D5731F">
        <w:t xml:space="preserve"> </w:t>
      </w:r>
      <w:r w:rsidRPr="005326FA" w:rsidR="00FE29E3">
        <w:rPr>
          <w:i/>
        </w:rPr>
        <w:t>See</w:t>
      </w:r>
      <w:r w:rsidR="00FE29E3">
        <w:t xml:space="preserve"> 47 CFR § 1.3 (Commission may waive its rules on its own motion).</w:t>
      </w:r>
      <w:r w:rsidR="00643187">
        <w:t xml:space="preserve">  The Commission adopted detailed performance measures requirements in 2018 and an order </w:t>
      </w:r>
      <w:r w:rsidRPr="00643187" w:rsidR="00643187">
        <w:t xml:space="preserve">on reconsideration in 2019.  </w:t>
      </w:r>
      <w:r w:rsidRPr="00643187" w:rsidR="00643187">
        <w:rPr>
          <w:i/>
          <w:iCs/>
        </w:rPr>
        <w:t>See</w:t>
      </w:r>
      <w:r w:rsidRPr="00643187" w:rsidR="00643187">
        <w:t xml:space="preserve"> </w:t>
      </w:r>
      <w:r w:rsidRPr="00643187" w:rsidR="00643187">
        <w:rPr>
          <w:i/>
          <w:iCs/>
        </w:rPr>
        <w:t>Connect America Fund</w:t>
      </w:r>
      <w:r w:rsidRPr="00643187" w:rsidR="00643187">
        <w:t>, Order, WC Docket No. 10-90, 33 FCC Rcd 6509 (WCB 2018) (</w:t>
      </w:r>
      <w:r w:rsidRPr="00500EDF" w:rsidR="00643187">
        <w:rPr>
          <w:i/>
          <w:iCs/>
        </w:rPr>
        <w:t>First Performance Measures Order</w:t>
      </w:r>
      <w:r w:rsidRPr="00643187" w:rsidR="00643187">
        <w:t xml:space="preserve">) and </w:t>
      </w:r>
      <w:r w:rsidRPr="00643187" w:rsidR="00643187">
        <w:rPr>
          <w:i/>
          <w:iCs/>
        </w:rPr>
        <w:t>Connect America Fund</w:t>
      </w:r>
      <w:r w:rsidRPr="00643187" w:rsidR="00643187">
        <w:t>, Order on Reconsideration, WC Docket No. 10-90, 34 FCC Rcd 10109 (2019) (</w:t>
      </w:r>
      <w:r w:rsidRPr="00500EDF" w:rsidR="00643187">
        <w:rPr>
          <w:i/>
          <w:iCs/>
        </w:rPr>
        <w:t>Performance Measures Reconsideration Order</w:t>
      </w:r>
      <w:r w:rsidRPr="00643187" w:rsidR="00643187">
        <w:t>).</w:t>
      </w:r>
      <w:r w:rsidR="00D5731F">
        <w:t xml:space="preserve">  </w:t>
      </w:r>
    </w:p>
  </w:footnote>
  <w:footnote w:id="4">
    <w:p w:rsidR="00003D17" w:rsidP="00003D17" w14:paraId="04E0A488" w14:textId="4BCDF4E5">
      <w:pPr>
        <w:pStyle w:val="FootnoteText"/>
      </w:pPr>
      <w:r>
        <w:rPr>
          <w:rStyle w:val="FootnoteReference"/>
        </w:rPr>
        <w:footnoteRef/>
      </w:r>
      <w:r>
        <w:t xml:space="preserve"> Letter from Michael R. Romano, Senior Vice President, NTCA, to Marlene H. Dortch, Secretary, FCC, WC Docket No. 10-90 (filed Dec. 17, 2020) (NTCA Letter).</w:t>
      </w:r>
    </w:p>
  </w:footnote>
  <w:footnote w:id="5">
    <w:p w:rsidR="004E66B4" w:rsidRPr="00643187" w:rsidP="004E66B4" w14:paraId="2C44EACA" w14:textId="77777777">
      <w:pPr>
        <w:pStyle w:val="FootnoteText"/>
      </w:pPr>
      <w:r w:rsidRPr="00643187">
        <w:rPr>
          <w:rStyle w:val="FootnoteReference"/>
        </w:rPr>
        <w:footnoteRef/>
      </w:r>
      <w:r w:rsidRPr="00643187">
        <w:t xml:space="preserve"> </w:t>
      </w:r>
      <w:r w:rsidRPr="00A13205">
        <w:rPr>
          <w:i/>
          <w:iCs/>
        </w:rPr>
        <w:t>See</w:t>
      </w:r>
      <w:r>
        <w:t xml:space="preserve"> </w:t>
      </w:r>
      <w:r w:rsidRPr="00500EDF">
        <w:rPr>
          <w:i/>
          <w:iCs/>
        </w:rPr>
        <w:t>Performance Measures Reconsideration Order</w:t>
      </w:r>
      <w:r>
        <w:t>, 34 FCC Rcd at 10140, paras. 81-82.</w:t>
      </w:r>
    </w:p>
  </w:footnote>
  <w:footnote w:id="6">
    <w:p w:rsidR="00A13205" w14:paraId="7BE7C7B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EDF" w:rsidR="00251A1D">
        <w:rPr>
          <w:i/>
          <w:iCs/>
        </w:rPr>
        <w:t>Performance Measures Reconsideration Order</w:t>
      </w:r>
      <w:r w:rsidR="00251A1D">
        <w:rPr>
          <w:i/>
          <w:iCs/>
        </w:rPr>
        <w:t xml:space="preserve">, </w:t>
      </w:r>
      <w:r w:rsidR="00251A1D">
        <w:t>34 FCC Rcd</w:t>
      </w:r>
      <w:r>
        <w:t xml:space="preserve"> at 10110, para. 2.</w:t>
      </w:r>
    </w:p>
  </w:footnote>
  <w:footnote w:id="7">
    <w:p w:rsidR="00A13205" w14:paraId="05E4F22D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13205">
        <w:rPr>
          <w:i/>
          <w:iCs/>
        </w:rPr>
        <w:t>Id</w:t>
      </w:r>
      <w:r>
        <w:t xml:space="preserve">. at 10133-38, paras. 65-75; </w:t>
      </w:r>
      <w:r w:rsidRPr="00500EDF">
        <w:rPr>
          <w:i/>
          <w:iCs/>
        </w:rPr>
        <w:t>First Performance Measures Order</w:t>
      </w:r>
      <w:r>
        <w:t xml:space="preserve">, </w:t>
      </w:r>
      <w:r w:rsidRPr="00643187">
        <w:t>33 FCC Rcd</w:t>
      </w:r>
      <w:r>
        <w:t xml:space="preserve"> at 6530-33, paras. 56-67.</w:t>
      </w:r>
    </w:p>
  </w:footnote>
  <w:footnote w:id="8">
    <w:p w:rsidR="00A73978" w14:paraId="3B2B5B3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EDF">
        <w:rPr>
          <w:i/>
          <w:iCs/>
        </w:rPr>
        <w:t>Performance Measures Reconsideration Order</w:t>
      </w:r>
      <w:r>
        <w:t>, 34 FCC Rcd at 10139, paras. 78-79.</w:t>
      </w:r>
    </w:p>
  </w:footnote>
  <w:footnote w:id="9">
    <w:p w:rsidR="000F6BF0" w14:paraId="56495D1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EDF" w:rsidR="00EE1159">
        <w:rPr>
          <w:i/>
          <w:iCs/>
        </w:rPr>
        <w:t>First Performance Measures Order</w:t>
      </w:r>
      <w:r w:rsidR="00EE1159">
        <w:t xml:space="preserve">, </w:t>
      </w:r>
      <w:r w:rsidRPr="00643187" w:rsidR="00EE1159">
        <w:t>33 FCC Rcd</w:t>
      </w:r>
      <w:r w:rsidR="00EE1159">
        <w:t xml:space="preserve"> at 6533</w:t>
      </w:r>
      <w:r>
        <w:t>, para. 67</w:t>
      </w:r>
      <w:r w:rsidR="00EE1159">
        <w:t>.</w:t>
      </w:r>
    </w:p>
  </w:footnote>
  <w:footnote w:id="10">
    <w:p w:rsidR="002432B9" w14:paraId="510D684F" w14:textId="60FA924A">
      <w:pPr>
        <w:pStyle w:val="FootnoteText"/>
      </w:pPr>
      <w:r>
        <w:rPr>
          <w:rStyle w:val="FootnoteReference"/>
        </w:rPr>
        <w:footnoteRef/>
      </w:r>
      <w:r>
        <w:t xml:space="preserve"> As explained below, this relief is similar to that already granted to Connect America Fund CAF Phase II model carriers.  See </w:t>
      </w:r>
      <w:r w:rsidRPr="004564B7" w:rsidR="00C24273">
        <w:rPr>
          <w:i/>
          <w:iCs/>
        </w:rPr>
        <w:t xml:space="preserve">Connect </w:t>
      </w:r>
      <w:r w:rsidRPr="00C84D02" w:rsidR="00C24273">
        <w:rPr>
          <w:i/>
          <w:iCs/>
        </w:rPr>
        <w:t>America Fund</w:t>
      </w:r>
      <w:r w:rsidRPr="00C84D02" w:rsidR="00C24273">
        <w:t xml:space="preserve">, Order, WC Docket No. 10-90, </w:t>
      </w:r>
      <w:r w:rsidRPr="00C84D02" w:rsidR="00C24273">
        <w:rPr>
          <w:color w:val="1D2B3E"/>
        </w:rPr>
        <w:t>35 FCC Rcd 163 (WCB 2020)</w:t>
      </w:r>
      <w:r w:rsidR="00C24273">
        <w:rPr>
          <w:color w:val="1D2B3E"/>
        </w:rPr>
        <w:t xml:space="preserve"> (</w:t>
      </w:r>
      <w:r w:rsidRPr="0085764C" w:rsidR="00C24273">
        <w:rPr>
          <w:i/>
          <w:iCs/>
          <w:color w:val="1D2B3E"/>
        </w:rPr>
        <w:t>70% Subscriber Waiver Order</w:t>
      </w:r>
      <w:r w:rsidR="00C24273">
        <w:rPr>
          <w:color w:val="1D2B3E"/>
        </w:rPr>
        <w:t>).</w:t>
      </w:r>
    </w:p>
  </w:footnote>
  <w:footnote w:id="11">
    <w:p w:rsidR="00694112" w14:paraId="57857002" w14:textId="77777777">
      <w:pPr>
        <w:pStyle w:val="FootnoteText"/>
      </w:pPr>
      <w:r>
        <w:rPr>
          <w:rStyle w:val="FootnoteReference"/>
        </w:rPr>
        <w:footnoteRef/>
      </w:r>
      <w:r>
        <w:t xml:space="preserve"> 47 CFR § 1.3. </w:t>
      </w:r>
    </w:p>
  </w:footnote>
  <w:footnote w:id="12">
    <w:p w:rsidR="003C15C2" w14:paraId="3526D418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EDF">
        <w:rPr>
          <w:i/>
          <w:iCs/>
        </w:rPr>
        <w:t>Northeast Cellular Telephone Co. v. FCC</w:t>
      </w:r>
      <w:r>
        <w:t>, 897 F.2d 1164, 1166 (D.C. Cir. 1990) (</w:t>
      </w:r>
      <w:r w:rsidRPr="00500EDF">
        <w:rPr>
          <w:i/>
          <w:iCs/>
        </w:rPr>
        <w:t>Northeast Cellular</w:t>
      </w:r>
      <w:r>
        <w:t>).</w:t>
      </w:r>
    </w:p>
  </w:footnote>
  <w:footnote w:id="13">
    <w:p w:rsidR="003C15C2" w14:paraId="2DA36E9E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EDF">
        <w:rPr>
          <w:i/>
          <w:iCs/>
        </w:rPr>
        <w:t>WAIT Radio v. FCC</w:t>
      </w:r>
      <w:r>
        <w:t xml:space="preserve">, 418 F.2d 1153, 1159 (D.C. Cir. 1969); </w:t>
      </w:r>
      <w:r w:rsidRPr="00500EDF">
        <w:rPr>
          <w:i/>
          <w:iCs/>
        </w:rPr>
        <w:t>Northeast Cellular,</w:t>
      </w:r>
      <w:r>
        <w:t xml:space="preserve"> 897 F.2d at 1166.</w:t>
      </w:r>
    </w:p>
  </w:footnote>
  <w:footnote w:id="14">
    <w:p w:rsidR="003C15C2" w:rsidRPr="004564B7" w14:paraId="71D76B54" w14:textId="77777777">
      <w:pPr>
        <w:pStyle w:val="FootnoteText"/>
      </w:pPr>
      <w:r w:rsidRPr="004564B7">
        <w:rPr>
          <w:rStyle w:val="FootnoteReference"/>
        </w:rPr>
        <w:footnoteRef/>
      </w:r>
      <w:r w:rsidRPr="004564B7">
        <w:t xml:space="preserve"> </w:t>
      </w:r>
      <w:r w:rsidRPr="004564B7">
        <w:rPr>
          <w:i/>
          <w:iCs/>
        </w:rPr>
        <w:t>Northeast Cellular</w:t>
      </w:r>
      <w:r w:rsidRPr="004564B7">
        <w:t>, 897 F.2d at 1166.</w:t>
      </w:r>
    </w:p>
  </w:footnote>
  <w:footnote w:id="15">
    <w:p w:rsidR="00A42402" w:rsidRPr="004564B7" w14:paraId="703D5DBD" w14:textId="77777777">
      <w:pPr>
        <w:pStyle w:val="FootnoteText"/>
      </w:pPr>
      <w:r w:rsidRPr="004564B7">
        <w:rPr>
          <w:rStyle w:val="FootnoteReference"/>
        </w:rPr>
        <w:footnoteRef/>
      </w:r>
      <w:r w:rsidRPr="004564B7">
        <w:t xml:space="preserve"> </w:t>
      </w:r>
      <w:r w:rsidRPr="004564B7" w:rsidR="00FB71B9">
        <w:rPr>
          <w:i/>
          <w:iCs/>
        </w:rPr>
        <w:t>Performance Measures Reconsideration Order</w:t>
      </w:r>
      <w:r w:rsidRPr="004564B7" w:rsidR="00FB71B9">
        <w:t>, 34 FCC Rcd at 10140, para. 81.</w:t>
      </w:r>
    </w:p>
  </w:footnote>
  <w:footnote w:id="16">
    <w:p w:rsidR="00FE5D91" w14:paraId="7D420EF9" w14:textId="02FD3471">
      <w:pPr>
        <w:pStyle w:val="FootnoteText"/>
      </w:pPr>
      <w:r w:rsidRPr="004564B7">
        <w:rPr>
          <w:rStyle w:val="FootnoteReference"/>
        </w:rPr>
        <w:footnoteRef/>
      </w:r>
      <w:r w:rsidRPr="004564B7">
        <w:t xml:space="preserve"> </w:t>
      </w:r>
      <w:r w:rsidRPr="004564B7">
        <w:rPr>
          <w:i/>
          <w:iCs/>
        </w:rPr>
        <w:t>Connect America Fund</w:t>
      </w:r>
      <w:r w:rsidRPr="004564B7">
        <w:t>, Order, WC Docket No. 10-90, 35 FCC Rcd 3015 (WCB 2020) (</w:t>
      </w:r>
      <w:r w:rsidRPr="004564B7">
        <w:rPr>
          <w:i/>
          <w:iCs/>
        </w:rPr>
        <w:t>Subscriber Waiver Order</w:t>
      </w:r>
      <w:r w:rsidRPr="004564B7">
        <w:t>).</w:t>
      </w:r>
    </w:p>
  </w:footnote>
  <w:footnote w:id="17">
    <w:p w:rsidR="003F278F" w:rsidP="003F278F" w14:paraId="456E2BD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00EDF">
        <w:rPr>
          <w:i/>
          <w:iCs/>
        </w:rPr>
        <w:t>Performance Measures Reconsideration Order</w:t>
      </w:r>
      <w:r>
        <w:t>, 34 FCC Rcd at 10139-40, para. 79-80.</w:t>
      </w:r>
    </w:p>
  </w:footnote>
  <w:footnote w:id="18">
    <w:p w:rsidR="00826957" w:rsidRPr="00C84D02" w:rsidP="00826957" w14:paraId="1C24FFC1" w14:textId="6C434A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5FF4" w:rsidR="00055FF4">
        <w:rPr>
          <w:i/>
          <w:iCs/>
        </w:rPr>
        <w:t>Subscriber Waiver Order</w:t>
      </w:r>
      <w:r w:rsidR="00020FC8">
        <w:rPr>
          <w:i/>
          <w:iCs/>
        </w:rPr>
        <w:t xml:space="preserve">; </w:t>
      </w:r>
      <w:r w:rsidR="00C24273">
        <w:rPr>
          <w:i/>
          <w:iCs/>
        </w:rPr>
        <w:t>70% Subscriber Waiver Order</w:t>
      </w:r>
      <w:r w:rsidRPr="00C84D02" w:rsidR="00055FF4">
        <w:t>.</w:t>
      </w:r>
    </w:p>
  </w:footnote>
  <w:footnote w:id="19">
    <w:p w:rsidR="00C24273" w14:paraId="26E8E7B1" w14:textId="3C537A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764C">
        <w:rPr>
          <w:i/>
          <w:iCs/>
        </w:rPr>
        <w:t>NTCA Letter</w:t>
      </w:r>
      <w:r>
        <w:t xml:space="preserve"> at 2.</w:t>
      </w:r>
    </w:p>
  </w:footnote>
  <w:footnote w:id="20">
    <w:p w:rsidR="00C62BCD" w14:paraId="5E8B9B4F" w14:textId="3F1A4141">
      <w:pPr>
        <w:pStyle w:val="FootnoteText"/>
      </w:pPr>
      <w:r>
        <w:rPr>
          <w:rStyle w:val="FootnoteReference"/>
        </w:rPr>
        <w:footnoteRef/>
      </w:r>
      <w:r>
        <w:t xml:space="preserve"> It is possible that some carriers may not be able to reach even 70% of their USAC-selected for testing because </w:t>
      </w:r>
      <w:r w:rsidR="002201F6">
        <w:t>they are unable to obtain sufficient</w:t>
      </w:r>
      <w:r>
        <w:t xml:space="preserve"> amounts of testing equipment.  Any such carrier should file a request for waiver with the Commission </w:t>
      </w:r>
      <w:r w:rsidR="002201F6">
        <w:t>that includes</w:t>
      </w:r>
      <w:r>
        <w:t xml:space="preserve"> the following:  (1) an affidavit signed by a company official explaining that the carrier does not have sufficient testing equipment</w:t>
      </w:r>
      <w:r w:rsidR="001D64DA">
        <w:t>,</w:t>
      </w:r>
      <w:r>
        <w:t xml:space="preserve"> the reason(s) therefor</w:t>
      </w:r>
      <w:r w:rsidR="001D64DA">
        <w:t>,</w:t>
      </w:r>
      <w:r>
        <w:t xml:space="preserve"> and when the company anticipates having sufficient equipment and (2) evidence, such as an order form, showing when the order </w:t>
      </w:r>
      <w:r w:rsidR="001D64DA">
        <w:t xml:space="preserve">for testing equipment </w:t>
      </w:r>
      <w:r>
        <w:t>was placed (confidential information, such as price and quantity of the equipment ordered</w:t>
      </w:r>
      <w:r w:rsidR="001D64DA">
        <w:t>,</w:t>
      </w:r>
      <w:r>
        <w:t xml:space="preserve"> may be redacted).</w:t>
      </w:r>
    </w:p>
  </w:footnote>
  <w:footnote w:id="21">
    <w:p w:rsidR="00F308D2" w14:paraId="0D3A0DE9" w14:textId="1D00E69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764C">
        <w:rPr>
          <w:i/>
          <w:iCs/>
        </w:rPr>
        <w:t>See</w:t>
      </w:r>
      <w:r>
        <w:t xml:space="preserve"> </w:t>
      </w:r>
      <w:r w:rsidRPr="004564B7">
        <w:rPr>
          <w:i/>
          <w:iCs/>
        </w:rPr>
        <w:t>Performance Measures Reconsideration Order</w:t>
      </w:r>
      <w:r w:rsidRPr="004564B7">
        <w:t>, 34 FCC Rcd at 10140, para. 81.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5AC6" w14:paraId="6612984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1EAEECB9" w14:textId="5EF99094">
    <w:pPr>
      <w:pStyle w:val="Header"/>
      <w:rPr>
        <w:b w:val="0"/>
      </w:rPr>
    </w:pPr>
    <w:r>
      <w:tab/>
      <w:t>Federal Communications Commission</w:t>
    </w:r>
    <w:r>
      <w:tab/>
    </w:r>
    <w:r w:rsidR="00A13205">
      <w:t xml:space="preserve">DA </w:t>
    </w:r>
    <w:r w:rsidR="0096086B">
      <w:t>20</w:t>
    </w:r>
    <w:r w:rsidR="003928F7">
      <w:t>-</w:t>
    </w:r>
    <w:r w:rsidR="00465AC6">
      <w:t>1512</w:t>
    </w:r>
    <w:bookmarkStart w:id="3" w:name="_GoBack"/>
    <w:bookmarkEnd w:id="3"/>
  </w:p>
  <w:p w:rsidR="00D25FB5" w:rsidRPr="00465AC6" w:rsidP="00465AC6" w14:paraId="499F65AB" w14:textId="7C076D4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94A5883" w14:textId="78DC5C19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 w:rsidR="008C1743">
      <w:rPr>
        <w:spacing w:val="-2"/>
      </w:rPr>
      <w:t xml:space="preserve">DA </w:t>
    </w:r>
    <w:r w:rsidR="0096086B">
      <w:rPr>
        <w:spacing w:val="-2"/>
      </w:rPr>
      <w:t>20</w:t>
    </w:r>
    <w:r w:rsidR="003928F7">
      <w:rPr>
        <w:spacing w:val="-2"/>
      </w:rPr>
      <w:t>-</w:t>
    </w:r>
    <w:r w:rsidR="00465AC6">
      <w:rPr>
        <w:spacing w:val="-2"/>
      </w:rPr>
      <w:t>1512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67"/>
    <w:rsid w:val="00003D17"/>
    <w:rsid w:val="00014CE6"/>
    <w:rsid w:val="00020FC8"/>
    <w:rsid w:val="00036039"/>
    <w:rsid w:val="00037F90"/>
    <w:rsid w:val="0005068A"/>
    <w:rsid w:val="00055FF4"/>
    <w:rsid w:val="00065222"/>
    <w:rsid w:val="0007001F"/>
    <w:rsid w:val="0007755F"/>
    <w:rsid w:val="000875BF"/>
    <w:rsid w:val="0009270D"/>
    <w:rsid w:val="00096D8C"/>
    <w:rsid w:val="000A1702"/>
    <w:rsid w:val="000C0B65"/>
    <w:rsid w:val="000C6674"/>
    <w:rsid w:val="000E05FE"/>
    <w:rsid w:val="000E3D42"/>
    <w:rsid w:val="000F01B5"/>
    <w:rsid w:val="000F6BF0"/>
    <w:rsid w:val="000F6F76"/>
    <w:rsid w:val="0010151D"/>
    <w:rsid w:val="0010569F"/>
    <w:rsid w:val="001157E6"/>
    <w:rsid w:val="00122BD5"/>
    <w:rsid w:val="00131688"/>
    <w:rsid w:val="00133F79"/>
    <w:rsid w:val="00163DB1"/>
    <w:rsid w:val="0017296B"/>
    <w:rsid w:val="00182755"/>
    <w:rsid w:val="0019171E"/>
    <w:rsid w:val="00194A66"/>
    <w:rsid w:val="001A5D8C"/>
    <w:rsid w:val="001D1DD6"/>
    <w:rsid w:val="001D2E03"/>
    <w:rsid w:val="001D64DA"/>
    <w:rsid w:val="001D6BCF"/>
    <w:rsid w:val="001D7B47"/>
    <w:rsid w:val="001E01CA"/>
    <w:rsid w:val="0020503D"/>
    <w:rsid w:val="00214937"/>
    <w:rsid w:val="00215443"/>
    <w:rsid w:val="002201F6"/>
    <w:rsid w:val="002367C1"/>
    <w:rsid w:val="002432B9"/>
    <w:rsid w:val="00251A1D"/>
    <w:rsid w:val="00275CF5"/>
    <w:rsid w:val="0028301F"/>
    <w:rsid w:val="00285017"/>
    <w:rsid w:val="002A01D1"/>
    <w:rsid w:val="002A2563"/>
    <w:rsid w:val="002A2D2E"/>
    <w:rsid w:val="002A4CF8"/>
    <w:rsid w:val="002C00E8"/>
    <w:rsid w:val="002C41BB"/>
    <w:rsid w:val="002D2B84"/>
    <w:rsid w:val="002D4756"/>
    <w:rsid w:val="002E1A80"/>
    <w:rsid w:val="0030415B"/>
    <w:rsid w:val="0031015C"/>
    <w:rsid w:val="0031458D"/>
    <w:rsid w:val="00323FBD"/>
    <w:rsid w:val="00343749"/>
    <w:rsid w:val="003660ED"/>
    <w:rsid w:val="00367188"/>
    <w:rsid w:val="0038452B"/>
    <w:rsid w:val="003928F7"/>
    <w:rsid w:val="003A06AB"/>
    <w:rsid w:val="003A611C"/>
    <w:rsid w:val="003B0550"/>
    <w:rsid w:val="003B694F"/>
    <w:rsid w:val="003C15C2"/>
    <w:rsid w:val="003D2F3C"/>
    <w:rsid w:val="003E6BD4"/>
    <w:rsid w:val="003F171C"/>
    <w:rsid w:val="003F278F"/>
    <w:rsid w:val="00402F2A"/>
    <w:rsid w:val="00412FC5"/>
    <w:rsid w:val="004179D6"/>
    <w:rsid w:val="00420D5F"/>
    <w:rsid w:val="00422276"/>
    <w:rsid w:val="004232AC"/>
    <w:rsid w:val="00423FC0"/>
    <w:rsid w:val="004242F1"/>
    <w:rsid w:val="00425C80"/>
    <w:rsid w:val="0043786B"/>
    <w:rsid w:val="00441C90"/>
    <w:rsid w:val="00445A00"/>
    <w:rsid w:val="00451267"/>
    <w:rsid w:val="00451B0F"/>
    <w:rsid w:val="004564B7"/>
    <w:rsid w:val="00465AC6"/>
    <w:rsid w:val="00496766"/>
    <w:rsid w:val="004A7D61"/>
    <w:rsid w:val="004B1D19"/>
    <w:rsid w:val="004C2EE3"/>
    <w:rsid w:val="004E4A22"/>
    <w:rsid w:val="004E66B4"/>
    <w:rsid w:val="00500EDF"/>
    <w:rsid w:val="00511968"/>
    <w:rsid w:val="00512F0E"/>
    <w:rsid w:val="00525709"/>
    <w:rsid w:val="005326FA"/>
    <w:rsid w:val="00542964"/>
    <w:rsid w:val="005535A1"/>
    <w:rsid w:val="00553D84"/>
    <w:rsid w:val="00555A33"/>
    <w:rsid w:val="0055614C"/>
    <w:rsid w:val="00566D06"/>
    <w:rsid w:val="00567B35"/>
    <w:rsid w:val="00575CF9"/>
    <w:rsid w:val="005B1100"/>
    <w:rsid w:val="005D1011"/>
    <w:rsid w:val="005E0037"/>
    <w:rsid w:val="005E14C2"/>
    <w:rsid w:val="005F2713"/>
    <w:rsid w:val="005F27A6"/>
    <w:rsid w:val="0060105E"/>
    <w:rsid w:val="00605D6E"/>
    <w:rsid w:val="00607BA5"/>
    <w:rsid w:val="006112E8"/>
    <w:rsid w:val="0061180A"/>
    <w:rsid w:val="00626EB6"/>
    <w:rsid w:val="00643187"/>
    <w:rsid w:val="00655D03"/>
    <w:rsid w:val="006613BF"/>
    <w:rsid w:val="00683388"/>
    <w:rsid w:val="00683F84"/>
    <w:rsid w:val="00685EF4"/>
    <w:rsid w:val="00694112"/>
    <w:rsid w:val="006A6A81"/>
    <w:rsid w:val="006E4D2D"/>
    <w:rsid w:val="006E7CE3"/>
    <w:rsid w:val="006F7393"/>
    <w:rsid w:val="0070224F"/>
    <w:rsid w:val="00710CC9"/>
    <w:rsid w:val="007115F7"/>
    <w:rsid w:val="00734FCB"/>
    <w:rsid w:val="007507C8"/>
    <w:rsid w:val="00785689"/>
    <w:rsid w:val="0079754B"/>
    <w:rsid w:val="007A1E6D"/>
    <w:rsid w:val="007A28E1"/>
    <w:rsid w:val="007A47E2"/>
    <w:rsid w:val="007A6CCD"/>
    <w:rsid w:val="007B0EB2"/>
    <w:rsid w:val="007B3BFD"/>
    <w:rsid w:val="007B76D3"/>
    <w:rsid w:val="007C3DD4"/>
    <w:rsid w:val="007C46F5"/>
    <w:rsid w:val="007C6662"/>
    <w:rsid w:val="007D10C3"/>
    <w:rsid w:val="007D344B"/>
    <w:rsid w:val="007D47C0"/>
    <w:rsid w:val="007E1D25"/>
    <w:rsid w:val="007F432A"/>
    <w:rsid w:val="0080386E"/>
    <w:rsid w:val="00803FEF"/>
    <w:rsid w:val="00810B6F"/>
    <w:rsid w:val="00817081"/>
    <w:rsid w:val="00822CE0"/>
    <w:rsid w:val="00826957"/>
    <w:rsid w:val="00841AB1"/>
    <w:rsid w:val="008560FD"/>
    <w:rsid w:val="0085764C"/>
    <w:rsid w:val="0086419F"/>
    <w:rsid w:val="0086425F"/>
    <w:rsid w:val="00867CD2"/>
    <w:rsid w:val="00870264"/>
    <w:rsid w:val="00870ADE"/>
    <w:rsid w:val="00872B26"/>
    <w:rsid w:val="00874276"/>
    <w:rsid w:val="0088686D"/>
    <w:rsid w:val="008B1F92"/>
    <w:rsid w:val="008C1743"/>
    <w:rsid w:val="008C68F1"/>
    <w:rsid w:val="008E5BD8"/>
    <w:rsid w:val="008E6D38"/>
    <w:rsid w:val="008F2832"/>
    <w:rsid w:val="00901DFD"/>
    <w:rsid w:val="009029E2"/>
    <w:rsid w:val="00920165"/>
    <w:rsid w:val="00921803"/>
    <w:rsid w:val="00926503"/>
    <w:rsid w:val="009359C1"/>
    <w:rsid w:val="0095750A"/>
    <w:rsid w:val="0096086B"/>
    <w:rsid w:val="009726D8"/>
    <w:rsid w:val="0098215A"/>
    <w:rsid w:val="00994DE2"/>
    <w:rsid w:val="009A5C2D"/>
    <w:rsid w:val="009B3FAA"/>
    <w:rsid w:val="009D7308"/>
    <w:rsid w:val="009E535D"/>
    <w:rsid w:val="009F76DB"/>
    <w:rsid w:val="00A06F82"/>
    <w:rsid w:val="00A11047"/>
    <w:rsid w:val="00A13205"/>
    <w:rsid w:val="00A14B31"/>
    <w:rsid w:val="00A167F9"/>
    <w:rsid w:val="00A32C3B"/>
    <w:rsid w:val="00A32D66"/>
    <w:rsid w:val="00A42402"/>
    <w:rsid w:val="00A45F4F"/>
    <w:rsid w:val="00A45F60"/>
    <w:rsid w:val="00A5081B"/>
    <w:rsid w:val="00A600A9"/>
    <w:rsid w:val="00A614BD"/>
    <w:rsid w:val="00A73978"/>
    <w:rsid w:val="00AA0BD1"/>
    <w:rsid w:val="00AA55B7"/>
    <w:rsid w:val="00AA5B9E"/>
    <w:rsid w:val="00AB2407"/>
    <w:rsid w:val="00AB53DF"/>
    <w:rsid w:val="00AC57A6"/>
    <w:rsid w:val="00AE4033"/>
    <w:rsid w:val="00AE7610"/>
    <w:rsid w:val="00AF41D6"/>
    <w:rsid w:val="00B07E5C"/>
    <w:rsid w:val="00B1413F"/>
    <w:rsid w:val="00B16750"/>
    <w:rsid w:val="00B31DAC"/>
    <w:rsid w:val="00B34759"/>
    <w:rsid w:val="00B505DC"/>
    <w:rsid w:val="00B56C30"/>
    <w:rsid w:val="00B6038B"/>
    <w:rsid w:val="00B811F7"/>
    <w:rsid w:val="00BA5DC6"/>
    <w:rsid w:val="00BA6196"/>
    <w:rsid w:val="00BA61AC"/>
    <w:rsid w:val="00BC28E8"/>
    <w:rsid w:val="00BC6D8C"/>
    <w:rsid w:val="00C05932"/>
    <w:rsid w:val="00C24273"/>
    <w:rsid w:val="00C34006"/>
    <w:rsid w:val="00C36B4C"/>
    <w:rsid w:val="00C36DB5"/>
    <w:rsid w:val="00C377A1"/>
    <w:rsid w:val="00C426B1"/>
    <w:rsid w:val="00C47E08"/>
    <w:rsid w:val="00C50792"/>
    <w:rsid w:val="00C53C1F"/>
    <w:rsid w:val="00C62BCD"/>
    <w:rsid w:val="00C641B9"/>
    <w:rsid w:val="00C66160"/>
    <w:rsid w:val="00C721AC"/>
    <w:rsid w:val="00C81946"/>
    <w:rsid w:val="00C846CE"/>
    <w:rsid w:val="00C84D02"/>
    <w:rsid w:val="00C86680"/>
    <w:rsid w:val="00C90D6A"/>
    <w:rsid w:val="00CA247E"/>
    <w:rsid w:val="00CA6D21"/>
    <w:rsid w:val="00CC72B6"/>
    <w:rsid w:val="00CD0941"/>
    <w:rsid w:val="00CE5026"/>
    <w:rsid w:val="00CE50D9"/>
    <w:rsid w:val="00CE6F9A"/>
    <w:rsid w:val="00D0218D"/>
    <w:rsid w:val="00D24D7B"/>
    <w:rsid w:val="00D25FB5"/>
    <w:rsid w:val="00D337DA"/>
    <w:rsid w:val="00D37A02"/>
    <w:rsid w:val="00D43F26"/>
    <w:rsid w:val="00D44223"/>
    <w:rsid w:val="00D5731F"/>
    <w:rsid w:val="00D667AE"/>
    <w:rsid w:val="00D66974"/>
    <w:rsid w:val="00D74763"/>
    <w:rsid w:val="00D75653"/>
    <w:rsid w:val="00D927FE"/>
    <w:rsid w:val="00DA2529"/>
    <w:rsid w:val="00DA2A3D"/>
    <w:rsid w:val="00DB130A"/>
    <w:rsid w:val="00DB2D86"/>
    <w:rsid w:val="00DB2EBB"/>
    <w:rsid w:val="00DC05A4"/>
    <w:rsid w:val="00DC10A1"/>
    <w:rsid w:val="00DC655F"/>
    <w:rsid w:val="00DD0B59"/>
    <w:rsid w:val="00DD7EBD"/>
    <w:rsid w:val="00DE0395"/>
    <w:rsid w:val="00DE75BB"/>
    <w:rsid w:val="00DF62B6"/>
    <w:rsid w:val="00E07225"/>
    <w:rsid w:val="00E206BD"/>
    <w:rsid w:val="00E2492C"/>
    <w:rsid w:val="00E5409F"/>
    <w:rsid w:val="00E65905"/>
    <w:rsid w:val="00E7073A"/>
    <w:rsid w:val="00E72817"/>
    <w:rsid w:val="00E955ED"/>
    <w:rsid w:val="00E96C68"/>
    <w:rsid w:val="00EA2C16"/>
    <w:rsid w:val="00EB1945"/>
    <w:rsid w:val="00EC102C"/>
    <w:rsid w:val="00EE1159"/>
    <w:rsid w:val="00EE6488"/>
    <w:rsid w:val="00F01409"/>
    <w:rsid w:val="00F021FA"/>
    <w:rsid w:val="00F173DD"/>
    <w:rsid w:val="00F24659"/>
    <w:rsid w:val="00F308D2"/>
    <w:rsid w:val="00F52D51"/>
    <w:rsid w:val="00F57488"/>
    <w:rsid w:val="00F62E97"/>
    <w:rsid w:val="00F64209"/>
    <w:rsid w:val="00F93BF5"/>
    <w:rsid w:val="00F94156"/>
    <w:rsid w:val="00F95A57"/>
    <w:rsid w:val="00FA69FC"/>
    <w:rsid w:val="00FB71B9"/>
    <w:rsid w:val="00FD1EC9"/>
    <w:rsid w:val="00FD5B9B"/>
    <w:rsid w:val="00FE29E3"/>
    <w:rsid w:val="00FE5D91"/>
    <w:rsid w:val="00FF26EF"/>
    <w:rsid w:val="123B2EDC"/>
    <w:rsid w:val="1BA03AAE"/>
    <w:rsid w:val="223A60B4"/>
    <w:rsid w:val="28FBF8CC"/>
    <w:rsid w:val="2936118C"/>
    <w:rsid w:val="31937CD7"/>
    <w:rsid w:val="337D8CD7"/>
    <w:rsid w:val="3D32C163"/>
    <w:rsid w:val="458B17D2"/>
    <w:rsid w:val="5247F31F"/>
    <w:rsid w:val="53E47B7D"/>
    <w:rsid w:val="543A6E7B"/>
    <w:rsid w:val="5879BEF1"/>
    <w:rsid w:val="5D1624C7"/>
    <w:rsid w:val="5E1B28AD"/>
    <w:rsid w:val="62B7F764"/>
    <w:rsid w:val="6A84F2BA"/>
    <w:rsid w:val="6B744AA6"/>
    <w:rsid w:val="6B9A2C73"/>
    <w:rsid w:val="752EFE50"/>
    <w:rsid w:val="78D3D6FC"/>
    <w:rsid w:val="7AEC1812"/>
    <w:rsid w:val="7B3BB11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740285FC-3C11-41D7-903A-0512FBF4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AC6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465AC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465AC6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465AC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465AC6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465AC6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465AC6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465AC6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465AC6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465AC6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65AC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65AC6"/>
  </w:style>
  <w:style w:type="paragraph" w:customStyle="1" w:styleId="ParaNum">
    <w:name w:val="ParaNum"/>
    <w:basedOn w:val="Normal"/>
    <w:rsid w:val="00465AC6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465AC6"/>
    <w:rPr>
      <w:sz w:val="20"/>
    </w:rPr>
  </w:style>
  <w:style w:type="character" w:styleId="EndnoteReference">
    <w:name w:val="endnote reference"/>
    <w:semiHidden/>
    <w:rsid w:val="00465AC6"/>
    <w:rPr>
      <w:vertAlign w:val="superscript"/>
    </w:rPr>
  </w:style>
  <w:style w:type="paragraph" w:styleId="FootnoteText">
    <w:name w:val="footnote text"/>
    <w:rsid w:val="00465AC6"/>
    <w:pPr>
      <w:spacing w:after="120"/>
    </w:pPr>
  </w:style>
  <w:style w:type="character" w:styleId="FootnoteReference">
    <w:name w:val="footnote reference"/>
    <w:rsid w:val="00465AC6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465AC6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65AC6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65AC6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65AC6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65AC6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65AC6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65AC6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65AC6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65AC6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65AC6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65AC6"/>
  </w:style>
  <w:style w:type="paragraph" w:styleId="Header">
    <w:name w:val="header"/>
    <w:basedOn w:val="Normal"/>
    <w:autoRedefine/>
    <w:rsid w:val="00465AC6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465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5AC6"/>
  </w:style>
  <w:style w:type="paragraph" w:styleId="BlockText">
    <w:name w:val="Block Text"/>
    <w:basedOn w:val="Normal"/>
    <w:rsid w:val="00465AC6"/>
    <w:pPr>
      <w:spacing w:after="240"/>
      <w:ind w:left="1440" w:right="1440"/>
    </w:pPr>
  </w:style>
  <w:style w:type="paragraph" w:customStyle="1" w:styleId="Paratitle">
    <w:name w:val="Para title"/>
    <w:basedOn w:val="Normal"/>
    <w:rsid w:val="00465AC6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65AC6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65AC6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65AC6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65AC6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65AC6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65AC6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CD09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094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094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CD0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0941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semiHidden/>
    <w:unhideWhenUsed/>
    <w:rsid w:val="00CD09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0941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4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