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3C7909A8" w14:textId="4A73EE7B">
      <w:pPr>
        <w:jc w:val="center"/>
        <w:rPr>
          <w:b/>
        </w:rPr>
      </w:pPr>
      <w:r w:rsidRPr="7FB8AFA7">
        <w:rPr>
          <w:rFonts w:ascii="Times New Roman Bold" w:hAnsi="Times New Roman Bold"/>
          <w:b/>
          <w:kern w:val="0"/>
        </w:rPr>
        <w:t>Before</w:t>
      </w:r>
      <w:r>
        <w:rPr>
          <w:b/>
        </w:rPr>
        <w:t xml:space="preserve"> the</w:t>
      </w:r>
    </w:p>
    <w:p w:rsidR="00921803" w:rsidP="00921803" w14:paraId="0A743F70" w14:textId="77777777">
      <w:pPr>
        <w:pStyle w:val="StyleBoldCentered"/>
      </w:pPr>
      <w:r>
        <w:t>F</w:t>
      </w:r>
      <w:r>
        <w:rPr>
          <w:caps w:val="0"/>
        </w:rPr>
        <w:t>ederal Communications Commission</w:t>
      </w:r>
    </w:p>
    <w:p w:rsidR="004C2EE3" w:rsidP="00096D8C" w14:paraId="28B25127" w14:textId="77777777">
      <w:pPr>
        <w:pStyle w:val="StyleBoldCentered"/>
      </w:pPr>
      <w:r>
        <w:rPr>
          <w:caps w:val="0"/>
        </w:rPr>
        <w:t>Washington, D.C. 20554</w:t>
      </w:r>
    </w:p>
    <w:p w:rsidR="004C2EE3" w:rsidP="0070224F" w14:paraId="5BE0181D" w14:textId="77777777"/>
    <w:p w:rsidR="004C2EE3" w:rsidP="0070224F" w14:paraId="3F09ED4C" w14:textId="77777777"/>
    <w:tbl>
      <w:tblPr>
        <w:tblW w:w="0" w:type="auto"/>
        <w:tblLayout w:type="fixed"/>
        <w:tblLook w:val="0000"/>
      </w:tblPr>
      <w:tblGrid>
        <w:gridCol w:w="4698"/>
        <w:gridCol w:w="630"/>
        <w:gridCol w:w="4248"/>
      </w:tblGrid>
      <w:tr w14:paraId="0525B038" w14:textId="77777777">
        <w:tblPrEx>
          <w:tblW w:w="0" w:type="auto"/>
          <w:tblLayout w:type="fixed"/>
          <w:tblLook w:val="0000"/>
        </w:tblPrEx>
        <w:tc>
          <w:tcPr>
            <w:tcW w:w="4698" w:type="dxa"/>
          </w:tcPr>
          <w:p w:rsidR="006612A0" w:rsidP="006612A0" w14:paraId="7AE15180" w14:textId="77777777">
            <w:pPr>
              <w:tabs>
                <w:tab w:val="center" w:pos="4680"/>
              </w:tabs>
              <w:suppressAutoHyphens/>
              <w:rPr>
                <w:spacing w:val="-2"/>
              </w:rPr>
            </w:pPr>
            <w:r>
              <w:rPr>
                <w:spacing w:val="-2"/>
              </w:rPr>
              <w:t>In the Matter of</w:t>
            </w:r>
          </w:p>
          <w:p w:rsidR="006612A0" w:rsidP="006612A0" w14:paraId="310093FC" w14:textId="77777777">
            <w:pPr>
              <w:tabs>
                <w:tab w:val="center" w:pos="4680"/>
              </w:tabs>
              <w:suppressAutoHyphens/>
              <w:rPr>
                <w:spacing w:val="-2"/>
              </w:rPr>
            </w:pPr>
          </w:p>
          <w:p w:rsidR="006612A0" w:rsidP="006612A0" w14:paraId="7E3A0761" w14:textId="77777777">
            <w:pPr>
              <w:tabs>
                <w:tab w:val="center" w:pos="4680"/>
              </w:tabs>
              <w:suppressAutoHyphens/>
              <w:rPr>
                <w:spacing w:val="-2"/>
              </w:rPr>
            </w:pPr>
            <w:r>
              <w:rPr>
                <w:spacing w:val="-2"/>
              </w:rPr>
              <w:t>Rural Health Care Universal Service Support</w:t>
            </w:r>
          </w:p>
          <w:p w:rsidR="006612A0" w:rsidP="006612A0" w14:paraId="133A1677" w14:textId="77777777">
            <w:pPr>
              <w:tabs>
                <w:tab w:val="center" w:pos="4680"/>
              </w:tabs>
              <w:suppressAutoHyphens/>
              <w:rPr>
                <w:spacing w:val="-2"/>
              </w:rPr>
            </w:pPr>
            <w:r>
              <w:rPr>
                <w:spacing w:val="-2"/>
              </w:rPr>
              <w:t>Mechanism</w:t>
            </w:r>
          </w:p>
          <w:p w:rsidR="006612A0" w:rsidP="006612A0" w14:paraId="367CA162" w14:textId="77777777">
            <w:pPr>
              <w:tabs>
                <w:tab w:val="center" w:pos="4680"/>
              </w:tabs>
              <w:suppressAutoHyphens/>
              <w:rPr>
                <w:spacing w:val="-2"/>
              </w:rPr>
            </w:pPr>
          </w:p>
          <w:p w:rsidR="006612A0" w:rsidP="006612A0" w14:paraId="6647F162" w14:textId="77777777">
            <w:pPr>
              <w:tabs>
                <w:tab w:val="center" w:pos="4680"/>
              </w:tabs>
              <w:suppressAutoHyphens/>
              <w:rPr>
                <w:spacing w:val="-2"/>
              </w:rPr>
            </w:pPr>
            <w:r>
              <w:rPr>
                <w:spacing w:val="-2"/>
              </w:rPr>
              <w:t>Schools and Libraries Universal Service Support</w:t>
            </w:r>
          </w:p>
          <w:p w:rsidR="006612A0" w:rsidRPr="007115F7" w:rsidP="006612A0" w14:paraId="7104330F" w14:textId="77777777">
            <w:pPr>
              <w:tabs>
                <w:tab w:val="center" w:pos="4680"/>
              </w:tabs>
              <w:suppressAutoHyphens/>
              <w:rPr>
                <w:spacing w:val="-2"/>
              </w:rPr>
            </w:pPr>
            <w:r>
              <w:rPr>
                <w:spacing w:val="-2"/>
              </w:rPr>
              <w:t>Mechanism</w:t>
            </w:r>
          </w:p>
        </w:tc>
        <w:tc>
          <w:tcPr>
            <w:tcW w:w="630" w:type="dxa"/>
          </w:tcPr>
          <w:p w:rsidR="006612A0" w:rsidP="006612A0" w14:paraId="4927CD52" w14:textId="77777777">
            <w:pPr>
              <w:tabs>
                <w:tab w:val="center" w:pos="4680"/>
              </w:tabs>
              <w:suppressAutoHyphens/>
              <w:rPr>
                <w:b/>
                <w:spacing w:val="-2"/>
              </w:rPr>
            </w:pPr>
            <w:r>
              <w:rPr>
                <w:b/>
                <w:spacing w:val="-2"/>
              </w:rPr>
              <w:t>)</w:t>
            </w:r>
          </w:p>
          <w:p w:rsidR="006612A0" w:rsidP="006612A0" w14:paraId="16FC9AD5" w14:textId="77777777">
            <w:pPr>
              <w:tabs>
                <w:tab w:val="center" w:pos="4680"/>
              </w:tabs>
              <w:suppressAutoHyphens/>
              <w:rPr>
                <w:b/>
                <w:spacing w:val="-2"/>
              </w:rPr>
            </w:pPr>
            <w:r>
              <w:rPr>
                <w:b/>
                <w:spacing w:val="-2"/>
              </w:rPr>
              <w:t>)</w:t>
            </w:r>
          </w:p>
          <w:p w:rsidR="006612A0" w:rsidP="006612A0" w14:paraId="73CCA143" w14:textId="77777777">
            <w:pPr>
              <w:tabs>
                <w:tab w:val="center" w:pos="4680"/>
              </w:tabs>
              <w:suppressAutoHyphens/>
              <w:rPr>
                <w:b/>
                <w:spacing w:val="-2"/>
              </w:rPr>
            </w:pPr>
            <w:r>
              <w:rPr>
                <w:b/>
                <w:spacing w:val="-2"/>
              </w:rPr>
              <w:t>)</w:t>
            </w:r>
          </w:p>
          <w:p w:rsidR="006612A0" w:rsidP="006612A0" w14:paraId="0C5376E9" w14:textId="77777777">
            <w:pPr>
              <w:tabs>
                <w:tab w:val="center" w:pos="4680"/>
              </w:tabs>
              <w:suppressAutoHyphens/>
              <w:rPr>
                <w:b/>
                <w:spacing w:val="-2"/>
              </w:rPr>
            </w:pPr>
            <w:r>
              <w:rPr>
                <w:b/>
                <w:spacing w:val="-2"/>
              </w:rPr>
              <w:t>)</w:t>
            </w:r>
          </w:p>
          <w:p w:rsidR="006612A0" w:rsidP="006612A0" w14:paraId="79058DF3" w14:textId="77777777">
            <w:pPr>
              <w:tabs>
                <w:tab w:val="center" w:pos="4680"/>
              </w:tabs>
              <w:suppressAutoHyphens/>
              <w:rPr>
                <w:b/>
                <w:spacing w:val="-2"/>
              </w:rPr>
            </w:pPr>
            <w:r>
              <w:rPr>
                <w:b/>
                <w:spacing w:val="-2"/>
              </w:rPr>
              <w:t>)</w:t>
            </w:r>
          </w:p>
          <w:p w:rsidR="006612A0" w:rsidP="006612A0" w14:paraId="6523A427" w14:textId="77777777">
            <w:pPr>
              <w:tabs>
                <w:tab w:val="center" w:pos="4680"/>
              </w:tabs>
              <w:suppressAutoHyphens/>
              <w:rPr>
                <w:b/>
                <w:spacing w:val="-2"/>
              </w:rPr>
            </w:pPr>
            <w:r>
              <w:rPr>
                <w:b/>
                <w:spacing w:val="-2"/>
              </w:rPr>
              <w:t>)</w:t>
            </w:r>
          </w:p>
          <w:p w:rsidR="006612A0" w:rsidRPr="001E2A8D" w:rsidP="006612A0" w14:paraId="4EC07077" w14:textId="0E38F259">
            <w:pPr>
              <w:tabs>
                <w:tab w:val="center" w:pos="4680"/>
              </w:tabs>
              <w:suppressAutoHyphens/>
              <w:rPr>
                <w:b/>
                <w:spacing w:val="-2"/>
              </w:rPr>
            </w:pPr>
            <w:r>
              <w:rPr>
                <w:b/>
                <w:spacing w:val="-2"/>
              </w:rPr>
              <w:t>)</w:t>
            </w:r>
          </w:p>
        </w:tc>
        <w:tc>
          <w:tcPr>
            <w:tcW w:w="4248" w:type="dxa"/>
          </w:tcPr>
          <w:p w:rsidR="006612A0" w:rsidP="006612A0" w14:paraId="47A756D4" w14:textId="77777777">
            <w:pPr>
              <w:tabs>
                <w:tab w:val="center" w:pos="4680"/>
              </w:tabs>
              <w:suppressAutoHyphens/>
              <w:rPr>
                <w:spacing w:val="-2"/>
              </w:rPr>
            </w:pPr>
          </w:p>
          <w:p w:rsidR="006612A0" w:rsidP="006612A0" w14:paraId="79BAD56F" w14:textId="77777777">
            <w:pPr>
              <w:pStyle w:val="TOAHeading"/>
              <w:tabs>
                <w:tab w:val="center" w:pos="4680"/>
                <w:tab w:val="clear" w:pos="9360"/>
              </w:tabs>
              <w:rPr>
                <w:spacing w:val="-2"/>
              </w:rPr>
            </w:pPr>
          </w:p>
          <w:p w:rsidR="006612A0" w:rsidP="006612A0" w14:paraId="0F9AFC09" w14:textId="77777777">
            <w:pPr>
              <w:tabs>
                <w:tab w:val="center" w:pos="4680"/>
              </w:tabs>
              <w:suppressAutoHyphens/>
              <w:rPr>
                <w:spacing w:val="-2"/>
              </w:rPr>
            </w:pPr>
            <w:r>
              <w:rPr>
                <w:spacing w:val="-2"/>
              </w:rPr>
              <w:t>WC Docket No. 02-60</w:t>
            </w:r>
          </w:p>
          <w:p w:rsidR="006612A0" w:rsidP="006612A0" w14:paraId="47C3B0B9" w14:textId="77777777">
            <w:pPr>
              <w:tabs>
                <w:tab w:val="center" w:pos="4680"/>
              </w:tabs>
              <w:suppressAutoHyphens/>
              <w:rPr>
                <w:spacing w:val="-2"/>
              </w:rPr>
            </w:pPr>
          </w:p>
          <w:p w:rsidR="006612A0" w:rsidP="006612A0" w14:paraId="395F7FAD" w14:textId="77777777">
            <w:pPr>
              <w:tabs>
                <w:tab w:val="center" w:pos="4680"/>
              </w:tabs>
              <w:suppressAutoHyphens/>
              <w:rPr>
                <w:spacing w:val="-2"/>
              </w:rPr>
            </w:pPr>
          </w:p>
          <w:p w:rsidR="006612A0" w:rsidP="006612A0" w14:paraId="1FB1DADA" w14:textId="77777777">
            <w:pPr>
              <w:tabs>
                <w:tab w:val="center" w:pos="4680"/>
              </w:tabs>
              <w:suppressAutoHyphens/>
              <w:rPr>
                <w:spacing w:val="-2"/>
              </w:rPr>
            </w:pPr>
            <w:r>
              <w:rPr>
                <w:spacing w:val="-2"/>
              </w:rPr>
              <w:t>CC Docket No. 02-6</w:t>
            </w:r>
          </w:p>
        </w:tc>
      </w:tr>
    </w:tbl>
    <w:p w:rsidR="004C2EE3" w:rsidP="0070224F" w14:paraId="11E611B7" w14:textId="77777777"/>
    <w:p w:rsidR="00841AB1" w:rsidP="00F021FA" w14:paraId="424243E4" w14:textId="77777777">
      <w:pPr>
        <w:pStyle w:val="StyleBoldCentered"/>
      </w:pPr>
      <w:r>
        <w:t>order</w:t>
      </w:r>
    </w:p>
    <w:p w:rsidR="004C2EE3" w14:paraId="03335454" w14:textId="77777777">
      <w:pPr>
        <w:tabs>
          <w:tab w:val="left" w:pos="-720"/>
        </w:tabs>
        <w:suppressAutoHyphens/>
        <w:spacing w:line="227" w:lineRule="auto"/>
        <w:rPr>
          <w:spacing w:val="-2"/>
        </w:rPr>
      </w:pPr>
    </w:p>
    <w:p w:rsidR="004C2EE3" w:rsidP="00133F79" w14:paraId="6336CD77" w14:textId="1FA67CCC">
      <w:pPr>
        <w:tabs>
          <w:tab w:val="left" w:pos="720"/>
          <w:tab w:val="right" w:pos="9360"/>
        </w:tabs>
        <w:suppressAutoHyphens/>
        <w:spacing w:line="227" w:lineRule="auto"/>
        <w:rPr>
          <w:spacing w:val="-2"/>
        </w:rPr>
      </w:pPr>
      <w:r>
        <w:rPr>
          <w:b/>
          <w:spacing w:val="-2"/>
        </w:rPr>
        <w:t xml:space="preserve">Adopted:  </w:t>
      </w:r>
      <w:r w:rsidR="001E2A8D">
        <w:rPr>
          <w:b/>
          <w:spacing w:val="-2"/>
        </w:rPr>
        <w:t>December 14,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E2A8D">
        <w:rPr>
          <w:b/>
          <w:spacing w:val="-2"/>
        </w:rPr>
        <w:t>December 14, 2020</w:t>
      </w:r>
    </w:p>
    <w:p w:rsidR="00822CE0" w14:paraId="48753BDA" w14:textId="77777777"/>
    <w:p w:rsidR="004C2EE3" w14:paraId="54860112" w14:textId="77777777">
      <w:pPr>
        <w:rPr>
          <w:spacing w:val="-2"/>
        </w:rPr>
      </w:pPr>
      <w:r>
        <w:t xml:space="preserve">By </w:t>
      </w:r>
      <w:r w:rsidR="004E4A22">
        <w:t>the</w:t>
      </w:r>
      <w:r w:rsidR="002A2D2E">
        <w:t xml:space="preserve"> </w:t>
      </w:r>
      <w:r w:rsidR="006612A0">
        <w:rPr>
          <w:spacing w:val="-2"/>
        </w:rPr>
        <w:t>Chief, Wireline Competition Bureau</w:t>
      </w:r>
      <w:r>
        <w:rPr>
          <w:spacing w:val="-2"/>
        </w:rPr>
        <w:t>:</w:t>
      </w:r>
    </w:p>
    <w:p w:rsidR="00822CE0" w14:paraId="33E3F871" w14:textId="77777777">
      <w:pPr>
        <w:rPr>
          <w:spacing w:val="-2"/>
        </w:rPr>
      </w:pPr>
    </w:p>
    <w:p w:rsidR="00412FC5" w:rsidP="00C36B4C" w14:paraId="4BBEC5EA" w14:textId="77777777">
      <w:pPr>
        <w:pStyle w:val="Heading1"/>
      </w:pPr>
      <w:r>
        <w:t>introduction</w:t>
      </w:r>
    </w:p>
    <w:p w:rsidR="002C6891" w:rsidP="009F6B09" w14:paraId="6DDAD832" w14:textId="77777777">
      <w:pPr>
        <w:pStyle w:val="ParaNum"/>
      </w:pPr>
      <w:r>
        <w:t>On September 3, 2020, the Wireline Competition Bureau (Bureau) extended its temporary waiver</w:t>
      </w:r>
      <w:r w:rsidR="000727E7">
        <w:t>s</w:t>
      </w:r>
      <w:r>
        <w:t xml:space="preserve"> of the </w:t>
      </w:r>
      <w:r w:rsidR="006C6AD8">
        <w:t xml:space="preserve">Federal Communications </w:t>
      </w:r>
      <w:r>
        <w:t xml:space="preserve">Commission’s </w:t>
      </w:r>
      <w:r w:rsidR="006C6AD8">
        <w:t xml:space="preserve">(Commission) </w:t>
      </w:r>
      <w:r>
        <w:t xml:space="preserve">gift rules applicable to the </w:t>
      </w:r>
      <w:r w:rsidR="00F52F32">
        <w:t>Rural Health Care (RHC)</w:t>
      </w:r>
      <w:r>
        <w:t xml:space="preserve"> and E-Rate</w:t>
      </w:r>
      <w:r>
        <w:rPr>
          <w:rStyle w:val="FootnoteReference"/>
        </w:rPr>
        <w:footnoteReference w:id="3"/>
      </w:r>
      <w:r>
        <w:t xml:space="preserve"> programs to assist rural health care providers</w:t>
      </w:r>
      <w:r w:rsidR="002A3B6E">
        <w:t>,</w:t>
      </w:r>
      <w:r>
        <w:t xml:space="preserve"> schools</w:t>
      </w:r>
      <w:r w:rsidR="002A3B6E">
        <w:t>,</w:t>
      </w:r>
      <w:r>
        <w:t xml:space="preserve"> and libraries affected by the </w:t>
      </w:r>
      <w:r w:rsidR="00F52F32">
        <w:t xml:space="preserve">coronavirus (COVID-19) </w:t>
      </w:r>
      <w:r>
        <w:t>pandemic.</w:t>
      </w:r>
      <w:r>
        <w:rPr>
          <w:rStyle w:val="FootnoteReference"/>
        </w:rPr>
        <w:footnoteReference w:id="4"/>
      </w:r>
      <w:r>
        <w:t xml:space="preserve">  </w:t>
      </w:r>
      <w:r w:rsidR="003C6FEA">
        <w:t xml:space="preserve">These </w:t>
      </w:r>
      <w:r w:rsidR="009B40B2">
        <w:t>waiver</w:t>
      </w:r>
      <w:r w:rsidR="003C6FEA">
        <w:t>s</w:t>
      </w:r>
      <w:r>
        <w:t xml:space="preserve"> expire on Dece</w:t>
      </w:r>
      <w:r w:rsidR="005600BD">
        <w:t>mber</w:t>
      </w:r>
      <w:r>
        <w:t xml:space="preserve"> 3</w:t>
      </w:r>
      <w:r w:rsidR="005600BD">
        <w:t>1</w:t>
      </w:r>
      <w:r>
        <w:t xml:space="preserve">, 2020.  </w:t>
      </w:r>
    </w:p>
    <w:p w:rsidR="00F0497B" w:rsidP="009F6B09" w14:paraId="4095A33E" w14:textId="5D2EF787">
      <w:pPr>
        <w:pStyle w:val="ParaNum"/>
      </w:pPr>
      <w:r>
        <w:t>In light of</w:t>
      </w:r>
      <w:r w:rsidR="00241E29">
        <w:t xml:space="preserve"> the ongoing disruptions caused by COVID-19 to program participants and the continued need for robust connectivity, we find good cause to extend our waivers of the RHC and E-Rate program gift rules through </w:t>
      </w:r>
      <w:r w:rsidR="005600BD">
        <w:t>June</w:t>
      </w:r>
      <w:r w:rsidR="00241E29">
        <w:t xml:space="preserve"> 3</w:t>
      </w:r>
      <w:r w:rsidR="003A4AC6">
        <w:t>0</w:t>
      </w:r>
      <w:r w:rsidR="00241E29">
        <w:t>, 202</w:t>
      </w:r>
      <w:r w:rsidR="005600BD">
        <w:t>1</w:t>
      </w:r>
      <w:r w:rsidR="0BD62922">
        <w:t xml:space="preserve">, the end of </w:t>
      </w:r>
      <w:r w:rsidR="65B2B100">
        <w:t>f</w:t>
      </w:r>
      <w:r w:rsidR="0BD62922">
        <w:t xml:space="preserve">unding </w:t>
      </w:r>
      <w:r w:rsidR="56119C75">
        <w:t>y</w:t>
      </w:r>
      <w:r w:rsidR="0BD62922">
        <w:t>ear 2020</w:t>
      </w:r>
      <w:r w:rsidR="00241E29">
        <w:t>.</w:t>
      </w:r>
      <w:r>
        <w:rPr>
          <w:rStyle w:val="FootnoteReference"/>
        </w:rPr>
        <w:footnoteReference w:id="5"/>
      </w:r>
      <w:r w:rsidR="00241E29">
        <w:t xml:space="preserve">  With our action, we continue to ensure</w:t>
      </w:r>
      <w:r w:rsidR="02486F39">
        <w:t xml:space="preserve"> that</w:t>
      </w:r>
      <w:r w:rsidR="00241E29">
        <w:t xml:space="preserve"> health care providers, schools, and libraries can benefit from </w:t>
      </w:r>
      <w:r w:rsidR="00D4161C">
        <w:t xml:space="preserve">and solicit offers for improved broadband connections or equipment for telehealth or remote learning during the COVID-19 pandemic without running afoul of </w:t>
      </w:r>
      <w:r w:rsidR="005E3AAA">
        <w:t>Commission rules</w:t>
      </w:r>
      <w:r w:rsidR="00241E29">
        <w:t>.</w:t>
      </w:r>
    </w:p>
    <w:p w:rsidR="00F034A3" w:rsidP="00F034A3" w14:paraId="2FCC2B66" w14:textId="72E56F84">
      <w:pPr>
        <w:pStyle w:val="Heading1"/>
      </w:pPr>
      <w:r>
        <w:t>BACKGROUND</w:t>
      </w:r>
    </w:p>
    <w:p w:rsidR="002C6891" w:rsidP="009F6B09" w14:paraId="76418941" w14:textId="77777777">
      <w:pPr>
        <w:pStyle w:val="ParaNum"/>
      </w:pPr>
      <w:r>
        <w:rPr>
          <w:szCs w:val="22"/>
        </w:rPr>
        <w:t xml:space="preserve">The RHC program provides financial support to help rural health care providers obtain broadband and other communications services at discounted prices through </w:t>
      </w:r>
      <w:r>
        <w:t>two component mechanisms: (1) the Healthcare Connect Fund Program, which supports the delivery of broadband services by offering a discount on an array of advanced telecommunications and information services, and (2) the Telecommunications Program, which permits eligible health care providers to apply for discounts to defray the high cost of eligible telecommunications services in rural areas.</w:t>
      </w:r>
      <w:r>
        <w:rPr>
          <w:rStyle w:val="FootnoteReference"/>
          <w:szCs w:val="22"/>
        </w:rPr>
        <w:footnoteReference w:id="6"/>
      </w:r>
      <w:r>
        <w:t xml:space="preserve">  </w:t>
      </w:r>
      <w:r w:rsidR="00B44DD9">
        <w:t xml:space="preserve">The E-Rate program provides </w:t>
      </w:r>
      <w:r w:rsidR="00CE21CD">
        <w:t xml:space="preserve">universal service </w:t>
      </w:r>
      <w:r w:rsidR="00B44DD9">
        <w:t>discounts to</w:t>
      </w:r>
      <w:r w:rsidR="00AE5699">
        <w:t xml:space="preserve"> eligible</w:t>
      </w:r>
      <w:r w:rsidR="00B44DD9">
        <w:t xml:space="preserve"> schools</w:t>
      </w:r>
      <w:r w:rsidR="007B54E3">
        <w:t>,</w:t>
      </w:r>
      <w:r w:rsidR="00B44DD9">
        <w:t xml:space="preserve"> libraries</w:t>
      </w:r>
      <w:r w:rsidR="007B54E3">
        <w:t>, and consortia (comprised of eligible schools and libraries) for eligible services</w:t>
      </w:r>
      <w:r w:rsidR="006267B9">
        <w:t xml:space="preserve"> and equipment</w:t>
      </w:r>
      <w:r w:rsidR="007B54E3">
        <w:t>, including connections necessary to support broadband connectivity to eligible schools and libraries.</w:t>
      </w:r>
      <w:r>
        <w:rPr>
          <w:rStyle w:val="FootnoteReference"/>
        </w:rPr>
        <w:footnoteReference w:id="7"/>
      </w:r>
      <w:r w:rsidR="00B44DD9">
        <w:t xml:space="preserve"> </w:t>
      </w:r>
      <w:r>
        <w:t xml:space="preserve"> </w:t>
      </w:r>
    </w:p>
    <w:p w:rsidR="006C35BF" w:rsidP="009F6B09" w14:paraId="7567EE87" w14:textId="7FA4F46A">
      <w:pPr>
        <w:pStyle w:val="ParaNum"/>
      </w:pPr>
      <w:r>
        <w:t xml:space="preserve">RHC and E-Rate program </w:t>
      </w:r>
      <w:r w:rsidR="00EC202C">
        <w:t>participants must adhere to the Commission’s</w:t>
      </w:r>
      <w:r>
        <w:t xml:space="preserve"> gift rules</w:t>
      </w:r>
      <w:r w:rsidR="00EC202C">
        <w:t>, which</w:t>
      </w:r>
      <w:r>
        <w:t xml:space="preserve"> prohibit applicants from soliciting or accepting any gift or other thing of value from a service provider participating in or seeking to participate in either program.</w:t>
      </w:r>
      <w:r>
        <w:rPr>
          <w:rStyle w:val="FootnoteReference"/>
        </w:rPr>
        <w:footnoteReference w:id="8"/>
      </w:r>
      <w:r>
        <w:t xml:space="preserve">  Similarly, service providers are prohibited from offering or providing any gift or other thing of value to those personnel of eligible entities involved in either program.</w:t>
      </w:r>
      <w:r>
        <w:rPr>
          <w:rStyle w:val="FootnoteReference"/>
        </w:rPr>
        <w:footnoteReference w:id="9"/>
      </w:r>
      <w:r>
        <w:t xml:space="preserve">  </w:t>
      </w:r>
      <w:r w:rsidR="009E09BE">
        <w:t>When it adopted the</w:t>
      </w:r>
      <w:r>
        <w:t xml:space="preserve"> gift rules for the RHC and E-Rate programs, the Commission explained that “the </w:t>
      </w:r>
      <w:r w:rsidRPr="00C86E46">
        <w:t xml:space="preserve">restriction on gifts is always applicable and is not in effect or triggered only during </w:t>
      </w:r>
      <w:r>
        <w:t>the time period when competitive bidding is taking place.”</w:t>
      </w:r>
      <w:r>
        <w:rPr>
          <w:rStyle w:val="FootnoteReference"/>
        </w:rPr>
        <w:footnoteReference w:id="10"/>
      </w:r>
      <w:r>
        <w:t xml:space="preserve">  Accordingly, under RHC and E-Rate rules, applicants are not permitted to solicit or accept a gift or thing of value over $20 from a service provider, and service providers are not permitted to offer or provide applicants a gift or thing of value over $20.</w:t>
      </w:r>
      <w:r>
        <w:rPr>
          <w:rStyle w:val="FootnoteReference"/>
        </w:rPr>
        <w:footnoteReference w:id="11"/>
      </w:r>
    </w:p>
    <w:p w:rsidR="00F034A3" w:rsidP="00F034A3" w14:paraId="13D8AF5D" w14:textId="431B2328">
      <w:pPr>
        <w:pStyle w:val="ParaNum"/>
      </w:pPr>
      <w:r>
        <w:t xml:space="preserve">The Bureau </w:t>
      </w:r>
      <w:r w:rsidR="00844579">
        <w:t xml:space="preserve">initially </w:t>
      </w:r>
      <w:r w:rsidR="00123A38">
        <w:t>waived the RHC and E-</w:t>
      </w:r>
      <w:r w:rsidR="00B17F32">
        <w:t xml:space="preserve">Rate </w:t>
      </w:r>
      <w:r w:rsidR="00123A38">
        <w:t xml:space="preserve">program gift rules in March </w:t>
      </w:r>
      <w:r w:rsidR="00212AB0">
        <w:t xml:space="preserve">as </w:t>
      </w:r>
      <w:r w:rsidR="00123A38">
        <w:t xml:space="preserve">COVID-19 </w:t>
      </w:r>
      <w:r w:rsidR="00CC2799">
        <w:t>rapid</w:t>
      </w:r>
      <w:r w:rsidR="00212AB0">
        <w:t>ly</w:t>
      </w:r>
      <w:r w:rsidR="00CC2799">
        <w:t xml:space="preserve"> spread</w:t>
      </w:r>
      <w:r w:rsidR="001064F6">
        <w:t xml:space="preserve"> </w:t>
      </w:r>
      <w:r w:rsidR="0044518B">
        <w:t xml:space="preserve">throughout the United States </w:t>
      </w:r>
      <w:r w:rsidR="001064F6">
        <w:t>and its adverse effects</w:t>
      </w:r>
      <w:r w:rsidR="00123A38">
        <w:t xml:space="preserve"> </w:t>
      </w:r>
      <w:r w:rsidR="001531B5">
        <w:t xml:space="preserve">on health care providers, schools, and libraries </w:t>
      </w:r>
      <w:r w:rsidR="0042769A">
        <w:t>were first</w:t>
      </w:r>
      <w:r w:rsidR="008D447F">
        <w:t xml:space="preserve"> </w:t>
      </w:r>
      <w:r w:rsidR="00042850">
        <w:t>being felt</w:t>
      </w:r>
      <w:r w:rsidR="00972663">
        <w:t>.</w:t>
      </w:r>
      <w:r>
        <w:rPr>
          <w:rStyle w:val="FootnoteReference"/>
        </w:rPr>
        <w:footnoteReference w:id="12"/>
      </w:r>
      <w:r w:rsidR="00972663">
        <w:t xml:space="preserve">  </w:t>
      </w:r>
      <w:r w:rsidR="002A4CBB">
        <w:t>We subsequently extended those waiver</w:t>
      </w:r>
      <w:r w:rsidR="00104B70">
        <w:t>s</w:t>
      </w:r>
      <w:r w:rsidR="002A4CBB">
        <w:t xml:space="preserve"> in September after </w:t>
      </w:r>
      <w:r w:rsidR="005956BD">
        <w:t xml:space="preserve">determining </w:t>
      </w:r>
      <w:r w:rsidR="002A4CBB">
        <w:t xml:space="preserve">that the need for relief </w:t>
      </w:r>
      <w:r w:rsidR="008E6904">
        <w:t>remained</w:t>
      </w:r>
      <w:r w:rsidR="00557392">
        <w:t xml:space="preserve"> unchanged</w:t>
      </w:r>
      <w:r w:rsidR="008E6904">
        <w:t>.</w:t>
      </w:r>
      <w:r>
        <w:rPr>
          <w:rStyle w:val="FootnoteReference"/>
        </w:rPr>
        <w:footnoteReference w:id="13"/>
      </w:r>
      <w:r w:rsidR="008E6904">
        <w:t xml:space="preserve">  </w:t>
      </w:r>
      <w:r w:rsidR="003C4699">
        <w:t>Now, a</w:t>
      </w:r>
      <w:r w:rsidR="00A477D2">
        <w:t>s</w:t>
      </w:r>
      <w:r w:rsidR="00BC51A5">
        <w:t xml:space="preserve"> </w:t>
      </w:r>
      <w:r w:rsidR="00A477D2">
        <w:t>the</w:t>
      </w:r>
      <w:r w:rsidR="00441D22">
        <w:t xml:space="preserve"> December 31, 2020</w:t>
      </w:r>
      <w:r w:rsidR="00A477D2">
        <w:t xml:space="preserve"> expiration date</w:t>
      </w:r>
      <w:r w:rsidR="00BC51A5">
        <w:t xml:space="preserve"> of</w:t>
      </w:r>
      <w:r w:rsidR="00A477D2">
        <w:t xml:space="preserve"> </w:t>
      </w:r>
      <w:r w:rsidR="00D9434B">
        <w:t>these</w:t>
      </w:r>
      <w:r w:rsidR="00EF0995">
        <w:t xml:space="preserve"> waiver</w:t>
      </w:r>
      <w:r w:rsidR="00080F50">
        <w:t>s</w:t>
      </w:r>
      <w:r w:rsidR="00875A7D">
        <w:t xml:space="preserve"> approaches</w:t>
      </w:r>
      <w:r w:rsidR="00441D22">
        <w:t>,</w:t>
      </w:r>
      <w:r>
        <w:rPr>
          <w:rStyle w:val="FootnoteReference"/>
        </w:rPr>
        <w:footnoteReference w:id="14"/>
      </w:r>
      <w:r w:rsidR="00BC51A5">
        <w:t xml:space="preserve"> it is clear that</w:t>
      </w:r>
      <w:r w:rsidR="004D5B74">
        <w:t xml:space="preserve"> </w:t>
      </w:r>
      <w:r w:rsidR="00A477D2">
        <w:t xml:space="preserve">the </w:t>
      </w:r>
      <w:r w:rsidR="004566F4">
        <w:t>challenges</w:t>
      </w:r>
      <w:r w:rsidR="00A477D2">
        <w:t xml:space="preserve"> </w:t>
      </w:r>
      <w:r w:rsidR="004566F4">
        <w:t>pose</w:t>
      </w:r>
      <w:r w:rsidR="00A477D2">
        <w:t>d by COVID-19 on</w:t>
      </w:r>
      <w:r w:rsidR="004566F4">
        <w:t xml:space="preserve"> </w:t>
      </w:r>
      <w:r w:rsidR="001063C0">
        <w:t>h</w:t>
      </w:r>
      <w:r w:rsidR="007D0697">
        <w:t xml:space="preserve">ealth care </w:t>
      </w:r>
      <w:r w:rsidR="007D0697">
        <w:t>providers, schools, and libraries</w:t>
      </w:r>
      <w:r w:rsidR="00110570">
        <w:t xml:space="preserve"> </w:t>
      </w:r>
      <w:r w:rsidR="00A477D2">
        <w:t>persist</w:t>
      </w:r>
      <w:r w:rsidR="00B21D91">
        <w:t>,</w:t>
      </w:r>
      <w:r w:rsidR="00BC51A5">
        <w:t xml:space="preserve"> and </w:t>
      </w:r>
      <w:r w:rsidR="00667BF3">
        <w:t>broadband</w:t>
      </w:r>
      <w:r w:rsidR="00BC51A5">
        <w:t xml:space="preserve"> connectivity</w:t>
      </w:r>
      <w:r w:rsidR="00785D79">
        <w:t xml:space="preserve"> </w:t>
      </w:r>
      <w:r w:rsidR="009A031D">
        <w:t>remains</w:t>
      </w:r>
      <w:r w:rsidR="00AB5950">
        <w:t xml:space="preserve"> </w:t>
      </w:r>
      <w:r w:rsidR="009E0972">
        <w:t>critical</w:t>
      </w:r>
      <w:r w:rsidR="00AB5950">
        <w:t xml:space="preserve"> </w:t>
      </w:r>
      <w:r w:rsidR="000C3534">
        <w:t>to</w:t>
      </w:r>
      <w:r w:rsidR="00AB5950">
        <w:t xml:space="preserve"> </w:t>
      </w:r>
      <w:r w:rsidR="005D3A3A">
        <w:t>the</w:t>
      </w:r>
      <w:r w:rsidR="005F504C">
        <w:t>ir</w:t>
      </w:r>
      <w:r w:rsidR="00AB5950">
        <w:t xml:space="preserve"> </w:t>
      </w:r>
      <w:r w:rsidR="005D3A3A">
        <w:t xml:space="preserve">ability to </w:t>
      </w:r>
      <w:r w:rsidR="00156474">
        <w:t xml:space="preserve">respond to </w:t>
      </w:r>
      <w:r w:rsidR="00A729FF">
        <w:t>the pandemic</w:t>
      </w:r>
      <w:r w:rsidR="00716034">
        <w:t xml:space="preserve">.  </w:t>
      </w:r>
    </w:p>
    <w:p w:rsidR="00983514" w:rsidP="00983514" w14:paraId="6D794522" w14:textId="7501ABB7">
      <w:pPr>
        <w:pStyle w:val="Heading1"/>
      </w:pPr>
      <w:r>
        <w:t>DISCUSSION</w:t>
      </w:r>
    </w:p>
    <w:p w:rsidR="00D26280" w:rsidRPr="00D26280" w:rsidP="004D4A0A" w14:paraId="46F7BB67" w14:textId="7ABC5C68">
      <w:pPr>
        <w:pStyle w:val="ParaNum"/>
      </w:pPr>
      <w:r>
        <w:t>Generally, the Commission’s rules may be waived for good cause shown.</w:t>
      </w:r>
      <w:r>
        <w:rPr>
          <w:rStyle w:val="FootnoteReference"/>
        </w:rPr>
        <w:footnoteReference w:id="15"/>
      </w:r>
      <w:r>
        <w:t xml:space="preserve">  The Commission may exercise its discretion to waive a rule where the particular facts make strict compliance inconsistent with the public interest.</w:t>
      </w:r>
      <w:r>
        <w:rPr>
          <w:rStyle w:val="FootnoteReference"/>
        </w:rPr>
        <w:footnoteReference w:id="16"/>
      </w:r>
      <w:r>
        <w:t xml:space="preserve">  In addition, the Commission may take into account considerations of hardship, equity, or more effective implementation of overall policy on an individual basis.</w:t>
      </w:r>
      <w:r>
        <w:rPr>
          <w:rStyle w:val="FootnoteReference"/>
        </w:rPr>
        <w:footnoteReference w:id="17"/>
      </w:r>
      <w:r>
        <w:t xml:space="preserve">  </w:t>
      </w:r>
    </w:p>
    <w:p w:rsidR="00D26280" w:rsidRPr="00D26280" w:rsidP="004D4A0A" w14:paraId="313FF1AD" w14:textId="4520FDCF">
      <w:pPr>
        <w:pStyle w:val="ParaNum"/>
      </w:pPr>
      <w:r>
        <w:t xml:space="preserve">We find that the extensive disruption to health care providers, schools, and libraries throughout the country and the heightened need for telemedicine and remote learning caused by COVID-19 continue to present compelling and unique circumstances that merit further extension </w:t>
      </w:r>
      <w:r w:rsidR="00DB55FD">
        <w:t xml:space="preserve">of </w:t>
      </w:r>
      <w:r>
        <w:t>the RHC and E-Rate program gift rule waivers through June 30, 2021</w:t>
      </w:r>
      <w:r w:rsidR="11843211">
        <w:t xml:space="preserve">, the end of </w:t>
      </w:r>
      <w:r w:rsidR="2A05B855">
        <w:t>f</w:t>
      </w:r>
      <w:r w:rsidR="11843211">
        <w:t xml:space="preserve">unding </w:t>
      </w:r>
      <w:r w:rsidR="68916E31">
        <w:t>y</w:t>
      </w:r>
      <w:r w:rsidR="11843211">
        <w:t>ear 2020 for both programs</w:t>
      </w:r>
      <w:r w:rsidRPr="0096728A">
        <w:t xml:space="preserve">.  </w:t>
      </w:r>
      <w:r w:rsidR="00222D30">
        <w:t xml:space="preserve">Indeed, the </w:t>
      </w:r>
      <w:r w:rsidR="00080120">
        <w:t xml:space="preserve">need for </w:t>
      </w:r>
      <w:r w:rsidR="00EC1B50">
        <w:t xml:space="preserve">relief is </w:t>
      </w:r>
      <w:r w:rsidR="0024679B">
        <w:t xml:space="preserve">as </w:t>
      </w:r>
      <w:r w:rsidR="004C2BDB">
        <w:t xml:space="preserve">compelling </w:t>
      </w:r>
      <w:r w:rsidR="0024679B">
        <w:t xml:space="preserve">as </w:t>
      </w:r>
      <w:r w:rsidR="0063609B">
        <w:t xml:space="preserve">ever in the face of </w:t>
      </w:r>
      <w:r w:rsidR="00A34450">
        <w:t xml:space="preserve">the recent </w:t>
      </w:r>
      <w:r w:rsidR="006B2D8E">
        <w:t>surge of COVID</w:t>
      </w:r>
      <w:r w:rsidR="002C6891">
        <w:t>-19</w:t>
      </w:r>
      <w:r w:rsidR="006B2D8E">
        <w:t xml:space="preserve"> cases </w:t>
      </w:r>
      <w:r w:rsidR="00A34450">
        <w:t>across the country.</w:t>
      </w:r>
      <w:r>
        <w:rPr>
          <w:rStyle w:val="FootnoteReference"/>
        </w:rPr>
        <w:footnoteReference w:id="18"/>
      </w:r>
      <w:r w:rsidR="004C2BDB">
        <w:t xml:space="preserve">  </w:t>
      </w:r>
      <w:r w:rsidR="00B55941">
        <w:t>W</w:t>
      </w:r>
      <w:r>
        <w:t>e therefore find that this extension is warranted to permit service providers to continue to offer or provide, and eligible RHC and E-Rate entities to continue to solicit or accept, improved capacity, Wi-Fi hotspots, networking gear, or other things of value to assist health care providers, schools and libraries, as well as doctors and patients, teachers, students, school administrators, and librarians and patrons during this unprecedented national pandemic.</w:t>
      </w:r>
      <w:r w:rsidR="00222D30">
        <w:t xml:space="preserve">  </w:t>
      </w:r>
    </w:p>
    <w:p w:rsidR="00F034A3" w:rsidRPr="007E0B31" w:rsidP="00F034A3" w14:paraId="7ACC2F70" w14:textId="7C923F6D">
      <w:pPr>
        <w:pStyle w:val="Heading2"/>
      </w:pPr>
      <w:r>
        <w:t>RHC Program</w:t>
      </w:r>
    </w:p>
    <w:p w:rsidR="00ED1C20" w:rsidP="00107AFF" w14:paraId="036E6BD2" w14:textId="2870A518">
      <w:pPr>
        <w:pStyle w:val="ParaNum"/>
      </w:pPr>
      <w:r>
        <w:t xml:space="preserve">We extend through </w:t>
      </w:r>
      <w:r w:rsidR="003A4AC6">
        <w:t>June</w:t>
      </w:r>
      <w:r>
        <w:t xml:space="preserve"> 3</w:t>
      </w:r>
      <w:r w:rsidR="003A4AC6">
        <w:t>0</w:t>
      </w:r>
      <w:r>
        <w:t>, 202</w:t>
      </w:r>
      <w:r w:rsidR="006A4CCE">
        <w:t>1</w:t>
      </w:r>
      <w:r w:rsidR="00B23D79">
        <w:t>,</w:t>
      </w:r>
      <w:r>
        <w:t xml:space="preserve"> </w:t>
      </w:r>
      <w:r w:rsidR="00462990">
        <w:t xml:space="preserve">the temporary </w:t>
      </w:r>
      <w:r>
        <w:t xml:space="preserve">waiver </w:t>
      </w:r>
      <w:r w:rsidR="00462990">
        <w:t xml:space="preserve">of </w:t>
      </w:r>
      <w:r>
        <w:t>the RHC program gift rule to enable health care providers to receive free upgraded services from service providers.</w:t>
      </w:r>
      <w:r w:rsidR="004416EA">
        <w:t xml:space="preserve">  </w:t>
      </w:r>
      <w:r w:rsidR="00D143FE">
        <w:t xml:space="preserve">The need for </w:t>
      </w:r>
      <w:r w:rsidR="00EA02DE">
        <w:t xml:space="preserve">enhanced telehealth services </w:t>
      </w:r>
      <w:r w:rsidR="003C49C7">
        <w:t xml:space="preserve">in the wake of COVID-19 </w:t>
      </w:r>
      <w:r w:rsidR="00B6119E">
        <w:t xml:space="preserve">remains acute.  </w:t>
      </w:r>
      <w:r w:rsidR="000B38C0">
        <w:t xml:space="preserve">As caseloads of infected patients </w:t>
      </w:r>
      <w:r w:rsidR="00E17CE5">
        <w:t>increase</w:t>
      </w:r>
      <w:r w:rsidR="000B38C0">
        <w:t xml:space="preserve">, </w:t>
      </w:r>
      <w:r w:rsidR="00E61FA2">
        <w:t xml:space="preserve">health care providers </w:t>
      </w:r>
      <w:r w:rsidR="005808A2">
        <w:t xml:space="preserve">have come </w:t>
      </w:r>
      <w:r w:rsidR="00E61FA2">
        <w:t xml:space="preserve">to rely on </w:t>
      </w:r>
      <w:r w:rsidR="003944FC">
        <w:t xml:space="preserve">telehealth </w:t>
      </w:r>
      <w:r w:rsidR="00823BA0">
        <w:t>to deliver critical medical care</w:t>
      </w:r>
      <w:r w:rsidR="005504DA">
        <w:t xml:space="preserve">, </w:t>
      </w:r>
      <w:r w:rsidR="00BC1138">
        <w:t xml:space="preserve">particularly </w:t>
      </w:r>
      <w:r w:rsidR="005504DA">
        <w:t xml:space="preserve">in </w:t>
      </w:r>
      <w:r w:rsidR="00D33259">
        <w:t xml:space="preserve">the nation’s </w:t>
      </w:r>
      <w:r w:rsidR="005504DA">
        <w:t xml:space="preserve">rural </w:t>
      </w:r>
      <w:r w:rsidR="00D33259">
        <w:t xml:space="preserve">areas </w:t>
      </w:r>
      <w:r w:rsidR="005504DA">
        <w:t xml:space="preserve">where access to health care </w:t>
      </w:r>
      <w:r w:rsidR="00D82843">
        <w:t>is often limited</w:t>
      </w:r>
      <w:r w:rsidR="00823BA0">
        <w:t>.</w:t>
      </w:r>
      <w:r>
        <w:rPr>
          <w:rStyle w:val="FootnoteReference"/>
        </w:rPr>
        <w:footnoteReference w:id="19"/>
      </w:r>
      <w:r w:rsidR="00823BA0">
        <w:t xml:space="preserve"> </w:t>
      </w:r>
      <w:r w:rsidR="006B19DC">
        <w:t xml:space="preserve"> </w:t>
      </w:r>
      <w:r w:rsidR="008D2996">
        <w:t>E</w:t>
      </w:r>
      <w:r w:rsidR="00257C57">
        <w:t>xtending the gi</w:t>
      </w:r>
      <w:r>
        <w:t>ft rule waiver</w:t>
      </w:r>
      <w:r w:rsidR="008D2996">
        <w:t xml:space="preserve"> will </w:t>
      </w:r>
      <w:r w:rsidR="00E24C57">
        <w:t xml:space="preserve">enable </w:t>
      </w:r>
      <w:r w:rsidR="00401425">
        <w:t xml:space="preserve">these </w:t>
      </w:r>
      <w:r w:rsidR="00E24C57">
        <w:t>health care providers to continue to receive</w:t>
      </w:r>
      <w:r w:rsidR="096899F6">
        <w:t>,</w:t>
      </w:r>
      <w:r w:rsidR="0013336E">
        <w:t xml:space="preserve"> on a temporary basis</w:t>
      </w:r>
      <w:r w:rsidR="7F288090">
        <w:t>,</w:t>
      </w:r>
      <w:r w:rsidR="0013336E">
        <w:t xml:space="preserve"> </w:t>
      </w:r>
      <w:r w:rsidR="004A2FAD">
        <w:t xml:space="preserve">free </w:t>
      </w:r>
      <w:r w:rsidR="00097C99">
        <w:t xml:space="preserve">telecommunication </w:t>
      </w:r>
      <w:r w:rsidR="00E24C57">
        <w:t>services</w:t>
      </w:r>
      <w:r w:rsidR="0658C98A">
        <w:t xml:space="preserve"> and equipment</w:t>
      </w:r>
      <w:r w:rsidR="00E24C57">
        <w:t xml:space="preserve"> </w:t>
      </w:r>
      <w:r w:rsidR="00D20997">
        <w:t>that would otherwise be</w:t>
      </w:r>
      <w:r w:rsidR="004A2FAD">
        <w:t xml:space="preserve"> prohibited</w:t>
      </w:r>
      <w:r w:rsidR="00E24C57">
        <w:t xml:space="preserve">, thereby </w:t>
      </w:r>
      <w:r w:rsidR="00E36081">
        <w:t xml:space="preserve">enhancing the delivery </w:t>
      </w:r>
      <w:r w:rsidR="004029FB">
        <w:t>of quality medical care</w:t>
      </w:r>
      <w:r w:rsidR="00332EAC">
        <w:t xml:space="preserve"> </w:t>
      </w:r>
      <w:r w:rsidR="00D33259">
        <w:t xml:space="preserve">across the country.  </w:t>
      </w:r>
    </w:p>
    <w:p w:rsidR="00F034A3" w:rsidRPr="00843041" w:rsidP="00107AFF" w14:paraId="77AA0053" w14:textId="57BBEF19">
      <w:pPr>
        <w:pStyle w:val="ParaNum"/>
      </w:pPr>
      <w:r>
        <w:t xml:space="preserve">As before, </w:t>
      </w:r>
      <w:r w:rsidR="000C3F3E">
        <w:t xml:space="preserve">the gift rule waiver that we extend today is limited to health care providers involved in the screening and treatment of patients for COVID-19 and </w:t>
      </w:r>
      <w:r w:rsidR="002C6891">
        <w:t xml:space="preserve">in </w:t>
      </w:r>
      <w:r w:rsidR="000C3F3E">
        <w:t xml:space="preserve">providing service to other patients in an effort to both help mitigate the spread of COVID-19 and devote limited on-site medical resources towards treatment of COVID-19. </w:t>
      </w:r>
      <w:r w:rsidR="00431D26">
        <w:t xml:space="preserve"> W</w:t>
      </w:r>
      <w:r w:rsidR="0027336D">
        <w:t xml:space="preserve">e </w:t>
      </w:r>
      <w:r w:rsidR="00431D26">
        <w:t>also extend, as</w:t>
      </w:r>
      <w:r w:rsidR="00ED1C20">
        <w:t xml:space="preserve"> </w:t>
      </w:r>
      <w:r w:rsidR="00300385">
        <w:t xml:space="preserve">we did </w:t>
      </w:r>
      <w:r w:rsidR="00ED1C20">
        <w:t>previously</w:t>
      </w:r>
      <w:r w:rsidR="00431D26">
        <w:t>,</w:t>
      </w:r>
      <w:r>
        <w:rPr>
          <w:rStyle w:val="FootnoteReference"/>
        </w:rPr>
        <w:footnoteReference w:id="20"/>
      </w:r>
      <w:r w:rsidR="00431D26">
        <w:t xml:space="preserve"> our waivers</w:t>
      </w:r>
      <w:r w:rsidR="00766548">
        <w:t>, to the extent necessary,</w:t>
      </w:r>
      <w:r w:rsidR="00431D26">
        <w:t xml:space="preserve"> of </w:t>
      </w:r>
      <w:r w:rsidR="0027336D">
        <w:t xml:space="preserve">section </w:t>
      </w:r>
      <w:r w:rsidR="00431D26">
        <w:t>54.611(b),</w:t>
      </w:r>
      <w:r>
        <w:rPr>
          <w:rStyle w:val="FootnoteReference"/>
        </w:rPr>
        <w:footnoteReference w:id="21"/>
      </w:r>
      <w:r w:rsidR="00431D26">
        <w:t xml:space="preserve"> which requires health care providers to pay the unsupported portion of service costs in the Healthcare Connect Fund Program, and </w:t>
      </w:r>
      <w:r w:rsidR="002D0ACA">
        <w:t xml:space="preserve">of </w:t>
      </w:r>
      <w:r w:rsidR="00431D26">
        <w:t>section 54.603(b),</w:t>
      </w:r>
      <w:r>
        <w:rPr>
          <w:rStyle w:val="FootnoteReference"/>
        </w:rPr>
        <w:footnoteReference w:id="22"/>
      </w:r>
      <w:r w:rsidR="00431D26">
        <w:t xml:space="preserve"> which </w:t>
      </w:r>
      <w:r w:rsidR="00431D26">
        <w:t>requires health care providers in the Telecom Program to pay the urban rate</w:t>
      </w:r>
      <w:r w:rsidR="003D021B">
        <w:t>, as well as any other requirement, to extent necessary</w:t>
      </w:r>
      <w:r w:rsidR="009B22CA">
        <w:t>,</w:t>
      </w:r>
      <w:r w:rsidR="00210A15">
        <w:t xml:space="preserve"> to effectuate RHC program relief</w:t>
      </w:r>
      <w:r w:rsidR="00204C9A">
        <w:t xml:space="preserve"> during the pandemic</w:t>
      </w:r>
      <w:r w:rsidR="00210A15">
        <w:t>.</w:t>
      </w:r>
      <w:r>
        <w:rPr>
          <w:rStyle w:val="FootnoteReference"/>
        </w:rPr>
        <w:footnoteReference w:id="23"/>
      </w:r>
      <w:r w:rsidR="00210A15">
        <w:t xml:space="preserve">  </w:t>
      </w:r>
      <w:r w:rsidR="00431D26">
        <w:t xml:space="preserve"> </w:t>
      </w:r>
    </w:p>
    <w:p w:rsidR="00F034A3" w:rsidRPr="004F1EA6" w:rsidP="00F034A3" w14:paraId="2FBFECD3" w14:textId="77777777">
      <w:pPr>
        <w:pStyle w:val="Heading2"/>
      </w:pPr>
      <w:r>
        <w:t>E-Rate Program</w:t>
      </w:r>
    </w:p>
    <w:p w:rsidR="00F034A3" w:rsidP="00F034A3" w14:paraId="70ED2DF8" w14:textId="4B461271">
      <w:pPr>
        <w:pStyle w:val="ParaNum"/>
      </w:pPr>
      <w:r>
        <w:t xml:space="preserve">We similarly extend </w:t>
      </w:r>
      <w:r>
        <w:t xml:space="preserve">through </w:t>
      </w:r>
      <w:r>
        <w:t>June 30, 2021</w:t>
      </w:r>
      <w:r w:rsidR="00884B30">
        <w:t>,</w:t>
      </w:r>
      <w:r w:rsidR="00A45097">
        <w:t xml:space="preserve"> the </w:t>
      </w:r>
      <w:r>
        <w:t>temporar</w:t>
      </w:r>
      <w:r w:rsidR="00A45097">
        <w:t>y</w:t>
      </w:r>
      <w:r>
        <w:t xml:space="preserve"> waive</w:t>
      </w:r>
      <w:r w:rsidR="00A45097">
        <w:t>r of</w:t>
      </w:r>
      <w:r>
        <w:t xml:space="preserve"> the E-Rate program gift rule to provide relief to schools and libraries affected by COVID-19 and </w:t>
      </w:r>
      <w:r w:rsidR="00655FD6">
        <w:t xml:space="preserve">to </w:t>
      </w:r>
      <w:r w:rsidR="00523175">
        <w:t>enable</w:t>
      </w:r>
      <w:r>
        <w:t xml:space="preserve"> service providers to </w:t>
      </w:r>
      <w:r w:rsidR="006A6F36">
        <w:t>continue</w:t>
      </w:r>
      <w:r w:rsidR="00E80262">
        <w:t xml:space="preserve"> </w:t>
      </w:r>
      <w:r>
        <w:t>support</w:t>
      </w:r>
      <w:r w:rsidR="00E80262">
        <w:t>ing</w:t>
      </w:r>
      <w:r>
        <w:t xml:space="preserve"> remote learning efforts</w:t>
      </w:r>
      <w:r w:rsidR="00132BB4">
        <w:t xml:space="preserve"> without concerns about an impact on E-Rate program support</w:t>
      </w:r>
      <w:r>
        <w:t>.</w:t>
      </w:r>
      <w:r>
        <w:rPr>
          <w:rStyle w:val="FootnoteReference"/>
        </w:rPr>
        <w:footnoteReference w:id="24"/>
      </w:r>
      <w:r>
        <w:t xml:space="preserve">  </w:t>
      </w:r>
      <w:r w:rsidR="00E06FC9">
        <w:t>As the pandemic continues to impact the nation, m</w:t>
      </w:r>
      <w:r w:rsidR="003B3F03">
        <w:t xml:space="preserve">any </w:t>
      </w:r>
      <w:r w:rsidRPr="003664DC">
        <w:t>s</w:t>
      </w:r>
      <w:r>
        <w:t xml:space="preserve">chools and libraries </w:t>
      </w:r>
      <w:r w:rsidR="00C86EFF">
        <w:t>remain</w:t>
      </w:r>
      <w:r>
        <w:t xml:space="preserve"> either fully or partially </w:t>
      </w:r>
      <w:r w:rsidR="00C86EFF">
        <w:t>closed</w:t>
      </w:r>
      <w:r>
        <w:t xml:space="preserve"> </w:t>
      </w:r>
      <w:r w:rsidRPr="0AB2CE5F" w:rsidR="00417407">
        <w:t xml:space="preserve">and </w:t>
      </w:r>
      <w:r w:rsidRPr="0AB2CE5F" w:rsidR="00D73EB7">
        <w:t>dependent upon remote learning</w:t>
      </w:r>
      <w:r w:rsidR="00257EC4">
        <w:rPr>
          <w:iCs/>
        </w:rPr>
        <w:t>.</w:t>
      </w:r>
      <w:r>
        <w:rPr>
          <w:rStyle w:val="FootnoteReference"/>
        </w:rPr>
        <w:footnoteReference w:id="25"/>
      </w:r>
      <w:r w:rsidR="00992DFE">
        <w:rPr>
          <w:iCs/>
        </w:rPr>
        <w:t xml:space="preserve"> </w:t>
      </w:r>
      <w:r w:rsidRPr="00D21269">
        <w:rPr>
          <w:iCs/>
        </w:rPr>
        <w:t xml:space="preserve"> </w:t>
      </w:r>
      <w:r w:rsidRPr="2B30D3E3" w:rsidR="008E580C">
        <w:t>Therefore</w:t>
      </w:r>
      <w:r w:rsidRPr="00D21269">
        <w:rPr>
          <w:iCs/>
        </w:rPr>
        <w:t xml:space="preserve">, </w:t>
      </w:r>
      <w:r w:rsidRPr="0AB2CE5F">
        <w:t xml:space="preserve">we find it is </w:t>
      </w:r>
      <w:r w:rsidR="00B06432">
        <w:t>in the public interest</w:t>
      </w:r>
      <w:r w:rsidRPr="2B30D3E3" w:rsidR="00D53878">
        <w:t xml:space="preserve"> to </w:t>
      </w:r>
      <w:r w:rsidRPr="0AB2CE5F">
        <w:t xml:space="preserve">continue </w:t>
      </w:r>
      <w:r w:rsidRPr="2B30D3E3" w:rsidR="009D4B83">
        <w:t>allowing</w:t>
      </w:r>
      <w:r w:rsidRPr="0AB2CE5F">
        <w:t xml:space="preserve"> service providers to offer</w:t>
      </w:r>
      <w:r w:rsidRPr="2B30D3E3" w:rsidR="001644D5">
        <w:t xml:space="preserve"> or provide</w:t>
      </w:r>
      <w:r w:rsidRPr="0AB2CE5F">
        <w:t>, and E-Rate program participants to solicit or accept</w:t>
      </w:r>
      <w:r w:rsidR="002D0ACA">
        <w:t>,</w:t>
      </w:r>
      <w:r w:rsidRPr="00705EDC">
        <w:rPr>
          <w:iCs/>
        </w:rPr>
        <w:t xml:space="preserve"> </w:t>
      </w:r>
      <w:r w:rsidRPr="0AB2CE5F">
        <w:t>things of value</w:t>
      </w:r>
      <w:r>
        <w:rPr>
          <w:iCs/>
        </w:rPr>
        <w:t xml:space="preserve"> </w:t>
      </w:r>
      <w:r>
        <w:t xml:space="preserve">that could help students, teachers, and patrons affected by these closures.  </w:t>
      </w:r>
      <w:r w:rsidR="00D17CF2">
        <w:t>Moreover, we find that</w:t>
      </w:r>
      <w:r w:rsidR="00195CB1">
        <w:t xml:space="preserve"> extending the gift rule waiver until the end of funding year 2020</w:t>
      </w:r>
      <w:r w:rsidR="00D17CF2">
        <w:t xml:space="preserve"> will</w:t>
      </w:r>
      <w:r w:rsidR="00302192">
        <w:t xml:space="preserve"> provide certainty to program </w:t>
      </w:r>
      <w:r w:rsidR="00F711EC">
        <w:t>participants</w:t>
      </w:r>
      <w:r>
        <w:t xml:space="preserve"> </w:t>
      </w:r>
      <w:r w:rsidR="00EE1EF2">
        <w:t>as they</w:t>
      </w:r>
      <w:r w:rsidR="00870A34">
        <w:t xml:space="preserve"> </w:t>
      </w:r>
      <w:r w:rsidR="00115C9D">
        <w:t>plan</w:t>
      </w:r>
      <w:r w:rsidR="00870A34">
        <w:t xml:space="preserve"> for the </w:t>
      </w:r>
      <w:r w:rsidR="00B06432">
        <w:t>rest of the funding year</w:t>
      </w:r>
      <w:r w:rsidR="00D17CF2">
        <w:t xml:space="preserve">.  </w:t>
      </w:r>
    </w:p>
    <w:p w:rsidR="00F034A3" w:rsidP="00F034A3" w14:paraId="560982B2" w14:textId="6143DF75">
      <w:pPr>
        <w:pStyle w:val="ParaNum"/>
      </w:pPr>
      <w:r>
        <w:t>As we noted in our last extension, t</w:t>
      </w:r>
      <w:r w:rsidRPr="00C513C1">
        <w:t xml:space="preserve">his waiver is limited to offerings </w:t>
      </w:r>
      <w:r>
        <w:t>provided</w:t>
      </w:r>
      <w:r w:rsidRPr="00C513C1">
        <w:t xml:space="preserve"> by service providers and solicited or accepted by E-Rate eligible entities on behalf of students, teachers, or patrons while schools and libraries prepare for extended remote learning and remain fully or partially closed as a direct result of COVID-19.</w:t>
      </w:r>
      <w:r w:rsidRPr="00FD19B9">
        <w:rPr>
          <w:rStyle w:val="FootnoteReference"/>
        </w:rPr>
        <w:t xml:space="preserve"> </w:t>
      </w:r>
      <w:r>
        <w:rPr>
          <w:rStyle w:val="FootnoteReference"/>
        </w:rPr>
        <w:footnoteReference w:id="26"/>
      </w:r>
      <w:r w:rsidRPr="00C513C1">
        <w:t xml:space="preserve">  </w:t>
      </w:r>
      <w:r w:rsidR="0062395C">
        <w:t>Additionally</w:t>
      </w:r>
      <w:r w:rsidR="008E0ADB">
        <w:t xml:space="preserve">, </w:t>
      </w:r>
      <w:r w:rsidR="00E015DB">
        <w:t xml:space="preserve">as </w:t>
      </w:r>
      <w:r w:rsidR="00754ACB">
        <w:t xml:space="preserve">before, </w:t>
      </w:r>
      <w:r w:rsidR="008E0ADB">
        <w:t>w</w:t>
      </w:r>
      <w:r w:rsidRPr="00A15DCD">
        <w:t>e waive any other requirement, to the extent that is necessary, in these special circumstances to effectuate the relief granted</w:t>
      </w:r>
      <w:r>
        <w:t>.</w:t>
      </w:r>
      <w:r w:rsidRPr="006524C6">
        <w:t xml:space="preserve"> </w:t>
      </w:r>
      <w:r>
        <w:t xml:space="preserve"> </w:t>
      </w:r>
      <w:r w:rsidR="00F23242">
        <w:t>W</w:t>
      </w:r>
      <w:r>
        <w:t>e</w:t>
      </w:r>
      <w:r w:rsidR="00E32630">
        <w:t xml:space="preserve"> also</w:t>
      </w:r>
      <w:r>
        <w:t xml:space="preserve"> remind E-Rate applicants of their obligation to comply with state and local procurement laws,</w:t>
      </w:r>
      <w:r>
        <w:rPr>
          <w:rStyle w:val="FootnoteReference"/>
        </w:rPr>
        <w:footnoteReference w:id="27"/>
      </w:r>
      <w:r>
        <w:t xml:space="preserve"> and we note that applicants are still subject to the program rules requiring a fair and open competitive bidding process for funding year 2021.</w:t>
      </w:r>
      <w:r>
        <w:rPr>
          <w:rStyle w:val="FootnoteReference"/>
        </w:rPr>
        <w:footnoteReference w:id="28"/>
      </w:r>
      <w:r>
        <w:t xml:space="preserve"> </w:t>
      </w:r>
    </w:p>
    <w:p w:rsidR="00F034A3" w:rsidP="00F034A3" w14:paraId="68BF504A" w14:textId="3B95A123">
      <w:pPr>
        <w:pStyle w:val="Heading2"/>
      </w:pPr>
      <w:r>
        <w:t>Preventing Waste, Fraud, and Abuse</w:t>
      </w:r>
      <w:bookmarkStart w:id="1" w:name="_GoBack"/>
      <w:bookmarkEnd w:id="1"/>
      <w:r>
        <w:t xml:space="preserve">   </w:t>
      </w:r>
    </w:p>
    <w:p w:rsidR="00F034A3" w:rsidP="00F034A3" w14:paraId="0E78145B" w14:textId="6B6F71D1">
      <w:pPr>
        <w:pStyle w:val="ParaNum"/>
      </w:pPr>
      <w:r>
        <w:t xml:space="preserve">We are committed to </w:t>
      </w:r>
      <w:r w:rsidR="00DD632D">
        <w:t xml:space="preserve">protecting </w:t>
      </w:r>
      <w:r>
        <w:t>against waste, fraud, and abuse in the U</w:t>
      </w:r>
      <w:r w:rsidR="007A09A1">
        <w:t xml:space="preserve">niversal </w:t>
      </w:r>
      <w:r>
        <w:t>S</w:t>
      </w:r>
      <w:r w:rsidR="00EB2105">
        <w:t xml:space="preserve">ervice </w:t>
      </w:r>
      <w:r>
        <w:t>F</w:t>
      </w:r>
      <w:r w:rsidR="00EB2105">
        <w:t>und (USF)</w:t>
      </w:r>
      <w:r>
        <w:t xml:space="preserve"> programs.  Accordingly, we require all </w:t>
      </w:r>
      <w:r w:rsidRPr="003450F4">
        <w:t xml:space="preserve">eligible RHC and E-Rate </w:t>
      </w:r>
      <w:r>
        <w:t>program participants</w:t>
      </w:r>
      <w:r w:rsidRPr="003450F4">
        <w:t xml:space="preserve"> to retain records </w:t>
      </w:r>
      <w:r>
        <w:t>documenting</w:t>
      </w:r>
      <w:r w:rsidRPr="003450F4">
        <w:t xml:space="preserve"> the services, equipment, or other things of value that they receive pursuant to the waivers</w:t>
      </w:r>
      <w:r>
        <w:t xml:space="preserve"> described above</w:t>
      </w:r>
      <w:r w:rsidR="24DA498B">
        <w:t>,</w:t>
      </w:r>
      <w:r>
        <w:t xml:space="preserve"> consistent with the document retention periods applicable to each program.</w:t>
      </w:r>
      <w:r>
        <w:rPr>
          <w:rStyle w:val="FootnoteReference"/>
        </w:rPr>
        <w:footnoteReference w:id="29"/>
      </w:r>
      <w:r>
        <w:t xml:space="preserve">  Although we grant the limited waivers described herein, program participants and service providers remain otherwise subject to audits and investigations to determine compliance with USF program rules </w:t>
      </w:r>
      <w:r>
        <w:t>and requirements.  We will require USAC 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RHC and E-Rate programs and will continue to aggressively pursue instances of waste, fraud, or abuse under our own procedures and in cooperation with law enforcement agencies.</w:t>
      </w:r>
    </w:p>
    <w:p w:rsidR="00F034A3" w:rsidP="00F034A3" w14:paraId="2FB1A8FF" w14:textId="77777777">
      <w:pPr>
        <w:pStyle w:val="Heading1"/>
      </w:pPr>
      <w:r>
        <w:t>ordering clauses</w:t>
      </w:r>
    </w:p>
    <w:p w:rsidR="00F034A3" w:rsidP="00F034A3" w14:paraId="4DAD127B" w14:textId="77777777">
      <w:pPr>
        <w:pStyle w:val="ParaNum"/>
      </w:pPr>
      <w:r>
        <w:t>ACCORDINGLY, IT IS ORDERED, pursuant to the authority contained in sections 1-4 and 254 of the Communications Act of 1934, as amended, 47 USC §§ 151-154 and 254, and sections 0.91, 0.291, and 1.3 of the Commission’s rules, 47 CFR §§ 0.91. 0.291, and 1.3, that sections 47 CFR 54.503(d)(1), 54.603(b), 54.611(b), 54.622(h)(1), 54.623(a)(1)(vi), 54.627(c)(3)(ii)(H), and 54.627(d)(1)(ii)(F) of the Commission’s rules ARE WAIVED to the extent provided herein.</w:t>
      </w:r>
    </w:p>
    <w:p w:rsidR="00F034A3" w:rsidP="00F034A3" w14:paraId="03AADC58" w14:textId="77777777">
      <w:pPr>
        <w:pStyle w:val="ParaNum"/>
      </w:pPr>
      <w:r>
        <w:t>IT IS FURTHER ORDERED, that pursuant to section 1.102(b)(1) of the Commission’s rules, 47 CFR § 1.1.02(b)(1), this Order SHALL BE EFFECTIVE upon release.</w:t>
      </w:r>
    </w:p>
    <w:p w:rsidR="00F034A3" w:rsidP="00F034A3" w14:paraId="4CD3BF69" w14:textId="77777777">
      <w:pPr>
        <w:pStyle w:val="ParaNum"/>
        <w:numPr>
          <w:ilvl w:val="0"/>
          <w:numId w:val="0"/>
        </w:numPr>
        <w:ind w:left="720"/>
      </w:pPr>
    </w:p>
    <w:p w:rsidR="001E2A8D" w:rsidP="0017296B" w14:paraId="01DCA14D" w14:textId="77777777">
      <w:r>
        <w:tab/>
      </w:r>
      <w:r>
        <w:tab/>
      </w:r>
      <w:r>
        <w:tab/>
      </w:r>
      <w:r>
        <w:tab/>
      </w:r>
      <w:r>
        <w:tab/>
      </w:r>
      <w:r>
        <w:tab/>
        <w:t>FEDERAL COMMUNICATIONS COMMISSION</w:t>
      </w:r>
    </w:p>
    <w:p w:rsidR="001E2A8D" w:rsidP="0017296B" w14:paraId="0824B3B5" w14:textId="77777777"/>
    <w:p w:rsidR="001E2A8D" w:rsidP="0017296B" w14:paraId="030EEB18" w14:textId="77777777"/>
    <w:p w:rsidR="001E2A8D" w:rsidP="0017296B" w14:paraId="6E5DB500" w14:textId="77777777"/>
    <w:p w:rsidR="001E2A8D" w:rsidP="0017296B" w14:paraId="1BF5A1EA" w14:textId="77777777"/>
    <w:p w:rsidR="001E2A8D" w:rsidP="001E2A8D" w14:paraId="088B8465" w14:textId="77777777">
      <w:pPr>
        <w:pStyle w:val="ParaNum"/>
        <w:numPr>
          <w:ilvl w:val="0"/>
          <w:numId w:val="0"/>
        </w:numPr>
        <w:spacing w:after="0"/>
      </w:pPr>
      <w:r>
        <w:tab/>
      </w:r>
      <w:r>
        <w:tab/>
      </w:r>
      <w:r>
        <w:tab/>
      </w:r>
      <w:r>
        <w:tab/>
      </w:r>
      <w:r>
        <w:tab/>
      </w:r>
      <w:r>
        <w:tab/>
        <w:t>Kris Anne Monteith</w:t>
      </w:r>
    </w:p>
    <w:p w:rsidR="001E2A8D" w:rsidP="001E2A8D" w14:paraId="6B62D21B" w14:textId="77777777">
      <w:pPr>
        <w:pStyle w:val="ParaNum"/>
        <w:numPr>
          <w:ilvl w:val="0"/>
          <w:numId w:val="0"/>
        </w:numPr>
        <w:spacing w:after="0"/>
      </w:pPr>
      <w:r>
        <w:tab/>
      </w:r>
      <w:r>
        <w:tab/>
      </w:r>
      <w:r>
        <w:tab/>
      </w:r>
      <w:r>
        <w:tab/>
      </w:r>
      <w:r>
        <w:tab/>
      </w:r>
      <w:r>
        <w:tab/>
        <w:t>Chief</w:t>
      </w:r>
    </w:p>
    <w:p w:rsidR="001E2A8D" w:rsidRPr="00DC1BAC" w:rsidP="001E2A8D" w14:paraId="49235796" w14:textId="77777777">
      <w:pPr>
        <w:pStyle w:val="ParaNum"/>
        <w:numPr>
          <w:ilvl w:val="0"/>
          <w:numId w:val="0"/>
        </w:numPr>
        <w:spacing w:after="0"/>
      </w:pPr>
      <w:r>
        <w:tab/>
      </w:r>
      <w:r>
        <w:tab/>
      </w:r>
      <w:r>
        <w:tab/>
      </w:r>
      <w:r>
        <w:tab/>
      </w:r>
      <w:r>
        <w:tab/>
      </w:r>
      <w:r>
        <w:tab/>
        <w:t>Wireline Competition Bureau</w:t>
      </w:r>
    </w:p>
    <w:p w:rsidR="00F034A3" w:rsidRPr="00F034A3" w:rsidP="001E2A8D" w14:paraId="7A10093B"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F898AE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A294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E2A8D" w14:paraId="32D10E45" w14:textId="3BBADC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E64F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0B58" w14:paraId="72C1ED9E" w14:textId="77777777">
      <w:r>
        <w:separator/>
      </w:r>
    </w:p>
  </w:footnote>
  <w:footnote w:type="continuationSeparator" w:id="1">
    <w:p w:rsidR="00480B58" w:rsidP="00C721AC" w14:paraId="7FBA7236" w14:textId="77777777">
      <w:pPr>
        <w:spacing w:before="120"/>
        <w:rPr>
          <w:sz w:val="20"/>
        </w:rPr>
      </w:pPr>
      <w:r>
        <w:rPr>
          <w:sz w:val="20"/>
        </w:rPr>
        <w:t xml:space="preserve">(Continued from previous page)  </w:t>
      </w:r>
      <w:r>
        <w:rPr>
          <w:sz w:val="20"/>
        </w:rPr>
        <w:separator/>
      </w:r>
    </w:p>
  </w:footnote>
  <w:footnote w:type="continuationNotice" w:id="2">
    <w:p w:rsidR="00480B58" w:rsidP="00C721AC" w14:paraId="0E0CE6CD" w14:textId="77777777">
      <w:pPr>
        <w:jc w:val="right"/>
        <w:rPr>
          <w:sz w:val="20"/>
        </w:rPr>
      </w:pPr>
      <w:r>
        <w:rPr>
          <w:sz w:val="20"/>
        </w:rPr>
        <w:t>(continued….)</w:t>
      </w:r>
    </w:p>
  </w:footnote>
  <w:footnote w:id="3">
    <w:p w:rsidR="00F52F32" w14:paraId="413AB6D0" w14:textId="226D13BB">
      <w:pPr>
        <w:pStyle w:val="FootnoteText"/>
      </w:pPr>
      <w:r>
        <w:rPr>
          <w:rStyle w:val="FootnoteReference"/>
        </w:rPr>
        <w:footnoteRef/>
      </w:r>
      <w:r>
        <w:t xml:space="preserve"> </w:t>
      </w:r>
      <w:r w:rsidRPr="00F20F56">
        <w:t>E-Rate is more formally known as the schools and libraries universal service support mechanism.</w:t>
      </w:r>
    </w:p>
  </w:footnote>
  <w:footnote w:id="4">
    <w:p w:rsidR="00241E29" w:rsidRPr="005600BD" w:rsidP="00241E29" w14:paraId="1FAA48BC" w14:textId="3E4E095E">
      <w:pPr>
        <w:pStyle w:val="FootnoteText"/>
        <w:rPr>
          <w:i/>
          <w:iCs/>
        </w:rPr>
      </w:pPr>
      <w:r w:rsidRPr="00F20F56">
        <w:rPr>
          <w:rStyle w:val="FootnoteReference"/>
        </w:rPr>
        <w:footnoteRef/>
      </w:r>
      <w:r w:rsidRPr="00F20F56">
        <w:t xml:space="preserve"> </w:t>
      </w:r>
      <w:r w:rsidRPr="00922F8A">
        <w:rPr>
          <w:i/>
          <w:iCs/>
        </w:rPr>
        <w:t>See</w:t>
      </w:r>
      <w:r w:rsidR="005600BD">
        <w:t xml:space="preserve"> </w:t>
      </w:r>
      <w:r w:rsidRPr="00922F8A" w:rsidR="00AB73CD">
        <w:rPr>
          <w:i/>
          <w:iCs/>
        </w:rPr>
        <w:t>Rural Health Care Universal Service Support Mechanism</w:t>
      </w:r>
      <w:r w:rsidRPr="00922F8A" w:rsidR="00AB73CD">
        <w:t xml:space="preserve">; </w:t>
      </w:r>
      <w:r w:rsidRPr="005B34EF" w:rsidR="00AB73CD">
        <w:rPr>
          <w:i/>
        </w:rPr>
        <w:t>Schools and Libraries Universal Service Support Mechanism</w:t>
      </w:r>
      <w:r w:rsidRPr="005B34EF" w:rsidR="00AB73CD">
        <w:t>, WC Docket No. 02-60, CC Docket No. 02-6, Order, 35 FCC Rcd 2741 (WCB 2020)</w:t>
      </w:r>
      <w:r w:rsidR="00282BFB">
        <w:t xml:space="preserve"> </w:t>
      </w:r>
      <w:r w:rsidRPr="005B34EF" w:rsidR="00282BFB">
        <w:t>(</w:t>
      </w:r>
      <w:r w:rsidRPr="005B34EF" w:rsidR="00282BFB">
        <w:rPr>
          <w:i/>
        </w:rPr>
        <w:t xml:space="preserve">RHC and E-Rate </w:t>
      </w:r>
      <w:r w:rsidR="00282BFB">
        <w:rPr>
          <w:i/>
        </w:rPr>
        <w:t xml:space="preserve">COVID-19 </w:t>
      </w:r>
      <w:r w:rsidRPr="005B34EF" w:rsidR="00282BFB">
        <w:rPr>
          <w:i/>
        </w:rPr>
        <w:t>Gift Rules Waiver Order</w:t>
      </w:r>
      <w:r w:rsidRPr="005B34EF" w:rsidR="00282BFB">
        <w:t>)</w:t>
      </w:r>
      <w:r w:rsidRPr="005B34EF" w:rsidR="00AB73CD">
        <w:t xml:space="preserve"> </w:t>
      </w:r>
      <w:r w:rsidR="00AB73CD">
        <w:t>(initially waiving sections 54.622(h) and 54.503(d) of the Commission’s rules through September 30, 2020)</w:t>
      </w:r>
      <w:r w:rsidR="00282BFB">
        <w:t xml:space="preserve">;  </w:t>
      </w:r>
      <w:r w:rsidRPr="005600BD" w:rsidR="005600BD">
        <w:rPr>
          <w:i/>
          <w:iCs/>
        </w:rPr>
        <w:t>Rural Health Care Universal Service Support Mechanism</w:t>
      </w:r>
      <w:r w:rsidRPr="00AE5F7C" w:rsidR="005600BD">
        <w:t>;</w:t>
      </w:r>
      <w:r w:rsidRPr="005600BD" w:rsidR="005600BD">
        <w:rPr>
          <w:i/>
          <w:iCs/>
        </w:rPr>
        <w:t xml:space="preserve"> Schools and Libraries Universal Service Support Mechanism</w:t>
      </w:r>
      <w:r w:rsidR="005600BD">
        <w:t xml:space="preserve">, WC Docket No. 02-60, CC Docket No. 02-6, Order, </w:t>
      </w:r>
      <w:r w:rsidR="00601D11">
        <w:t>35 FCC Rcd 9416</w:t>
      </w:r>
      <w:r w:rsidR="005600BD">
        <w:t xml:space="preserve"> (WCB 2020)</w:t>
      </w:r>
      <w:r w:rsidR="00282BFB">
        <w:t xml:space="preserve"> (</w:t>
      </w:r>
      <w:r w:rsidRPr="00601D11" w:rsidR="00282BFB">
        <w:rPr>
          <w:i/>
          <w:iCs/>
        </w:rPr>
        <w:t>RHC and E-Rate Gift Rules Waiver Extension Order</w:t>
      </w:r>
      <w:r w:rsidR="00282BFB">
        <w:t>)</w:t>
      </w:r>
      <w:r w:rsidR="005600BD">
        <w:t xml:space="preserve"> (extending the waiver of each program’s gift rule until December 31, 2020)</w:t>
      </w:r>
      <w:r w:rsidR="00AB73CD">
        <w:t>.</w:t>
      </w:r>
    </w:p>
  </w:footnote>
  <w:footnote w:id="5">
    <w:p w:rsidR="00241E29" w:rsidRPr="00922F8A" w:rsidP="00241E29" w14:paraId="15B53F3A" w14:textId="13404B16">
      <w:pPr>
        <w:pStyle w:val="FootnoteText"/>
      </w:pPr>
      <w:r w:rsidRPr="00F20F56">
        <w:rPr>
          <w:rStyle w:val="FootnoteReference"/>
        </w:rPr>
        <w:footnoteRef/>
      </w:r>
      <w:r w:rsidRPr="00F20F56">
        <w:t xml:space="preserve"> 47 CFR §§ 54.62</w:t>
      </w:r>
      <w:r w:rsidRPr="00922F8A">
        <w:t>2(h)</w:t>
      </w:r>
      <w:r w:rsidR="004F31D7">
        <w:t xml:space="preserve"> (RHC </w:t>
      </w:r>
      <w:r w:rsidR="00B45FE8">
        <w:t>program gift rule)</w:t>
      </w:r>
      <w:r w:rsidRPr="00922F8A">
        <w:t>, 54.503(d</w:t>
      </w:r>
      <w:r w:rsidRPr="00D270A5">
        <w:t>)</w:t>
      </w:r>
      <w:r w:rsidR="00B45FE8">
        <w:t xml:space="preserve"> (E-</w:t>
      </w:r>
      <w:r w:rsidR="00AE38DD">
        <w:t>Rate program gift rule)</w:t>
      </w:r>
      <w:r w:rsidRPr="005B34EF">
        <w:t>.</w:t>
      </w:r>
    </w:p>
  </w:footnote>
  <w:footnote w:id="6">
    <w:p w:rsidR="004F1F97" w:rsidP="004F1F97" w14:paraId="345C79CF" w14:textId="2BA79F1F">
      <w:pPr>
        <w:pStyle w:val="FootnoteText"/>
      </w:pPr>
      <w:r>
        <w:rPr>
          <w:rStyle w:val="FootnoteReference"/>
        </w:rPr>
        <w:footnoteRef/>
      </w:r>
      <w:r w:rsidR="00E369AF">
        <w:t xml:space="preserve"> </w:t>
      </w:r>
      <w:r w:rsidRPr="00F20F56">
        <w:rPr>
          <w:i/>
          <w:iCs/>
        </w:rPr>
        <w:t>Promotin</w:t>
      </w:r>
      <w:r w:rsidRPr="00922F8A">
        <w:rPr>
          <w:i/>
          <w:iCs/>
        </w:rPr>
        <w:t xml:space="preserve">g Telehealth in Rural America, </w:t>
      </w:r>
      <w:r w:rsidRPr="00922F8A">
        <w:t xml:space="preserve">WC Docket No. </w:t>
      </w:r>
      <w:r>
        <w:t>17-310</w:t>
      </w:r>
      <w:r w:rsidRPr="00922F8A">
        <w:t>, Order, 34 FCC Rcd 7335, 7337, para. 4 (2019) (</w:t>
      </w:r>
      <w:r w:rsidRPr="00F20F56">
        <w:rPr>
          <w:i/>
        </w:rPr>
        <w:t>Promoting Telehealth Report and Order</w:t>
      </w:r>
      <w:r w:rsidRPr="00F20F56">
        <w:t>).</w:t>
      </w:r>
      <w:r>
        <w:t xml:space="preserve">  </w:t>
      </w:r>
    </w:p>
  </w:footnote>
  <w:footnote w:id="7">
    <w:p w:rsidR="007B54E3" w14:paraId="7DC329FC" w14:textId="6F659090">
      <w:pPr>
        <w:pStyle w:val="FootnoteText"/>
      </w:pPr>
      <w:r>
        <w:rPr>
          <w:rStyle w:val="FootnoteReference"/>
        </w:rPr>
        <w:footnoteRef/>
      </w:r>
      <w:r>
        <w:t xml:space="preserve"> </w:t>
      </w:r>
      <w:r w:rsidR="001C1444">
        <w:t>47 CFR §§ 54.501, 54.502.</w:t>
      </w:r>
    </w:p>
  </w:footnote>
  <w:footnote w:id="8">
    <w:p w:rsidR="006C35BF" w:rsidRPr="00427B4A" w:rsidP="006C35BF" w14:paraId="21C20F98" w14:textId="77777777">
      <w:pPr>
        <w:pStyle w:val="FootnoteText"/>
      </w:pPr>
      <w:r w:rsidRPr="00427B4A">
        <w:rPr>
          <w:rStyle w:val="FootnoteReference"/>
        </w:rPr>
        <w:footnoteRef/>
      </w:r>
      <w:r w:rsidRPr="00427B4A">
        <w:t xml:space="preserve"> 47 CFR </w:t>
      </w:r>
      <w:r w:rsidRPr="00E70E3B">
        <w:t>§</w:t>
      </w:r>
      <w:r w:rsidRPr="00E57930">
        <w:t xml:space="preserve"> 54.622(h)</w:t>
      </w:r>
      <w:r>
        <w:t xml:space="preserve"> (“[A]n eligible health care provider or consortium that includes eligible health care providers, may not directly or indirectly solicit or accept any gift, gratuity, favor, entertainment, loan, or any other thing of value from a service provider participating in or seeking to participate in the Rural Health Care Program.  No such service provider shall offer or provide any such gift, gratuity, favor, entertainment, loan, or other thing of value except as otherwise provided herein.”); </w:t>
      </w:r>
      <w:r w:rsidRPr="00427B4A">
        <w:t xml:space="preserve">47 CFR </w:t>
      </w:r>
      <w:r w:rsidRPr="00E70E3B">
        <w:t>§</w:t>
      </w:r>
      <w:r>
        <w:t xml:space="preserve"> </w:t>
      </w:r>
      <w:r w:rsidRPr="00E57930">
        <w:t>54.503(d)</w:t>
      </w:r>
      <w:r>
        <w:t xml:space="preserve"> </w:t>
      </w:r>
      <w:r w:rsidRPr="00351F2D">
        <w:t>(“</w:t>
      </w:r>
      <w:r>
        <w:t>[A]</w:t>
      </w:r>
      <w:r w:rsidRPr="00351F2D">
        <w:t xml:space="preserve">n eligible school, library, or consortium that includes an eligible school or library may not directly or indirectly solicit or accept any gift, gratuity, favor, entertainment, loan, or any other thing of value from a service provider participating in or seeking to participate in the schools and libraries universal service program. </w:t>
      </w:r>
      <w:r>
        <w:t xml:space="preserve"> </w:t>
      </w:r>
      <w:r w:rsidRPr="00351F2D">
        <w:t>No such service provider shall offer or provide any such gift, gratuity, favor, entertainment, loan, or other thing of value except as otherwise provided herein</w:t>
      </w:r>
      <w:r>
        <w:t>.”</w:t>
      </w:r>
      <w:r w:rsidRPr="00351F2D">
        <w:t>);</w:t>
      </w:r>
      <w:r w:rsidRPr="00E57930">
        <w:t xml:space="preserve"> </w:t>
      </w:r>
      <w:r w:rsidRPr="00B80909">
        <w:rPr>
          <w:i/>
        </w:rPr>
        <w:t>Promoting Telehealth Report and Order</w:t>
      </w:r>
      <w:r>
        <w:rPr>
          <w:iCs/>
        </w:rPr>
        <w:t>,</w:t>
      </w:r>
      <w:r w:rsidRPr="0009463F">
        <w:rPr>
          <w:i/>
        </w:rPr>
        <w:t xml:space="preserve"> </w:t>
      </w:r>
      <w:r w:rsidRPr="00B80909">
        <w:t xml:space="preserve">34 FCC Rcd </w:t>
      </w:r>
      <w:r>
        <w:t xml:space="preserve">at </w:t>
      </w:r>
      <w:r w:rsidRPr="00B80909">
        <w:t>7412-14, paras. 166-69</w:t>
      </w:r>
      <w:r>
        <w:t>;</w:t>
      </w:r>
      <w:r w:rsidRPr="005E6F85">
        <w:t xml:space="preserve"> </w:t>
      </w:r>
      <w:r w:rsidRPr="00E57930">
        <w:rPr>
          <w:i/>
        </w:rPr>
        <w:t>Schools and Libraries Universal Service Support Mechanism, A National Broadband Plan for our Future</w:t>
      </w:r>
      <w:r w:rsidRPr="00B968CC">
        <w:t>, CC Docket No. 02-6, GN Docket No. 09-51, Order, 25 FCC Rcd 18762, 18</w:t>
      </w:r>
      <w:r w:rsidRPr="00672750">
        <w:t xml:space="preserve">801, para. </w:t>
      </w:r>
      <w:r w:rsidRPr="00336A0B">
        <w:t>88 (2010) (</w:t>
      </w:r>
      <w:r w:rsidRPr="00336A0B">
        <w:rPr>
          <w:i/>
          <w:iCs/>
        </w:rPr>
        <w:t>Schools and Libraries Sixth Report and Order</w:t>
      </w:r>
      <w:r w:rsidRPr="0009463F">
        <w:t>)</w:t>
      </w:r>
      <w:r>
        <w:t xml:space="preserve">.  </w:t>
      </w:r>
      <w:r w:rsidRPr="00F85E27">
        <w:t xml:space="preserve">Consistent with </w:t>
      </w:r>
      <w:r w:rsidRPr="007C10E3">
        <w:t>the</w:t>
      </w:r>
      <w:r w:rsidRPr="00DD5EC4">
        <w:t xml:space="preserve"> gift rules applicable to federal agencies, </w:t>
      </w:r>
      <w:r w:rsidRPr="00427B4A">
        <w:t xml:space="preserve">certain </w:t>
      </w:r>
      <w:r w:rsidRPr="00427B4A">
        <w:rPr>
          <w:i/>
          <w:iCs/>
        </w:rPr>
        <w:t>de minimis</w:t>
      </w:r>
      <w:r w:rsidRPr="00427B4A">
        <w:t xml:space="preserve"> gifts, including modest refreshments and items that are worth $20 or less, are allowable under the rules.  </w:t>
      </w:r>
      <w:r w:rsidRPr="00427B4A">
        <w:rPr>
          <w:i/>
          <w:iCs/>
        </w:rPr>
        <w:t>Promoting Telehealth Report and Order</w:t>
      </w:r>
      <w:r w:rsidRPr="00427B4A">
        <w:t>, 34 FCC Rcd at 7413, para. 167</w:t>
      </w:r>
      <w:r>
        <w:t xml:space="preserve">; </w:t>
      </w:r>
      <w:r w:rsidRPr="00427B4A">
        <w:rPr>
          <w:i/>
          <w:iCs/>
        </w:rPr>
        <w:t>Schools and Libraries Sixth Report and Order</w:t>
      </w:r>
      <w:r w:rsidRPr="00427B4A">
        <w:t>, 25 FCC Rcd at 18801, para. 88</w:t>
      </w:r>
      <w:r>
        <w:t xml:space="preserve">. </w:t>
      </w:r>
      <w:r w:rsidRPr="00427B4A">
        <w:t xml:space="preserve"> When it adopted gift rules for the RHC program, the Commission specifically adopted the already-existing gift rules in the E-Rate program.  </w:t>
      </w:r>
      <w:bookmarkStart w:id="0" w:name="_Hlk35163606"/>
      <w:r w:rsidRPr="00427B4A">
        <w:rPr>
          <w:i/>
          <w:iCs/>
        </w:rPr>
        <w:t>Promoting Telehealth Report and Order</w:t>
      </w:r>
      <w:r w:rsidRPr="00427B4A">
        <w:t>, 34 FCC Rcd at 7412-13, para. 166-67.</w:t>
      </w:r>
      <w:bookmarkEnd w:id="0"/>
    </w:p>
  </w:footnote>
  <w:footnote w:id="9">
    <w:p w:rsidR="006C35BF" w:rsidRPr="00672750" w:rsidP="006C35BF" w14:paraId="2CDD005A" w14:textId="77777777">
      <w:pPr>
        <w:pStyle w:val="FootnoteText"/>
      </w:pPr>
      <w:r w:rsidRPr="00427B4A">
        <w:rPr>
          <w:rStyle w:val="FootnoteReference"/>
        </w:rPr>
        <w:footnoteRef/>
      </w:r>
      <w:r w:rsidRPr="00427B4A">
        <w:t xml:space="preserve"> 47 CFR </w:t>
      </w:r>
      <w:r w:rsidRPr="00E70E3B">
        <w:t>§</w:t>
      </w:r>
      <w:r w:rsidRPr="00E57930">
        <w:t>§ 54.622(h)</w:t>
      </w:r>
      <w:r>
        <w:t xml:space="preserve">, </w:t>
      </w:r>
      <w:r w:rsidRPr="00E57930">
        <w:t xml:space="preserve">54.503(d); </w:t>
      </w:r>
      <w:r w:rsidRPr="00B968CC">
        <w:rPr>
          <w:i/>
          <w:iCs/>
        </w:rPr>
        <w:t>Promoting Telehealth Report and Order</w:t>
      </w:r>
      <w:r w:rsidRPr="00672750">
        <w:t>, 34 FCC Rcd at 7413, para. 168</w:t>
      </w:r>
      <w:r>
        <w:t>;</w:t>
      </w:r>
      <w:r w:rsidRPr="00672750">
        <w:t xml:space="preserve"> </w:t>
      </w:r>
      <w:r w:rsidRPr="00E57930">
        <w:rPr>
          <w:i/>
        </w:rPr>
        <w:t>Schools and Libraries Sixth Report and Order</w:t>
      </w:r>
      <w:r w:rsidRPr="00E57930">
        <w:t xml:space="preserve">, 25 FCC Rcd at 18801, para. </w:t>
      </w:r>
      <w:r w:rsidRPr="00B968CC">
        <w:t>88</w:t>
      </w:r>
      <w:r>
        <w:t>.</w:t>
      </w:r>
      <w:r w:rsidRPr="00B968CC">
        <w:t xml:space="preserve"> </w:t>
      </w:r>
    </w:p>
  </w:footnote>
  <w:footnote w:id="10">
    <w:p w:rsidR="006C35BF" w:rsidRPr="0009463F" w:rsidP="006C35BF" w14:paraId="35635722" w14:textId="77777777">
      <w:pPr>
        <w:pStyle w:val="FootnoteText"/>
      </w:pPr>
      <w:r w:rsidRPr="00427B4A">
        <w:rPr>
          <w:rStyle w:val="FootnoteReference"/>
        </w:rPr>
        <w:footnoteRef/>
      </w:r>
      <w:r w:rsidRPr="00427B4A">
        <w:t xml:space="preserve"> </w:t>
      </w:r>
      <w:r w:rsidRPr="00B968CC">
        <w:rPr>
          <w:i/>
          <w:iCs/>
        </w:rPr>
        <w:t>Promoting Telehealth Report and Order</w:t>
      </w:r>
      <w:r w:rsidRPr="00672750">
        <w:t>, 34 FCC Rcd at 7413, para. 168</w:t>
      </w:r>
      <w:r>
        <w:t xml:space="preserve">; </w:t>
      </w:r>
      <w:r w:rsidRPr="001D0AAE">
        <w:rPr>
          <w:i/>
          <w:iCs/>
        </w:rPr>
        <w:t>see also</w:t>
      </w:r>
      <w:r>
        <w:t xml:space="preserve"> </w:t>
      </w:r>
      <w:r w:rsidRPr="00E70E3B">
        <w:rPr>
          <w:i/>
          <w:iCs/>
        </w:rPr>
        <w:t>Schools and Libraries Sixth Report and Order</w:t>
      </w:r>
      <w:r w:rsidRPr="00E57930">
        <w:t>, 25 FCC Rcd at 18801, para. 88 (noting that “</w:t>
      </w:r>
      <w:r>
        <w:t xml:space="preserve">the restriction on gifts is always applicable, and is not in effect or triggered only during the time period when the competitive bidding process is taking place,” because </w:t>
      </w:r>
      <w:r w:rsidRPr="00E57930">
        <w:t>“gift activities that undermine the competitive bidding process may occur outside the bidding period</w:t>
      </w:r>
      <w:r>
        <w:t>.</w:t>
      </w:r>
      <w:r w:rsidRPr="00E57930">
        <w:t>”)</w:t>
      </w:r>
      <w:r>
        <w:t>.</w:t>
      </w:r>
      <w:r w:rsidRPr="00B968CC">
        <w:t xml:space="preserve"> </w:t>
      </w:r>
    </w:p>
  </w:footnote>
  <w:footnote w:id="11">
    <w:p w:rsidR="006C35BF" w:rsidRPr="00427B4A" w:rsidP="006C35BF" w14:paraId="3F129668" w14:textId="77777777">
      <w:pPr>
        <w:pStyle w:val="FootnoteText"/>
      </w:pPr>
      <w:r w:rsidRPr="00427B4A">
        <w:rPr>
          <w:rStyle w:val="FootnoteReference"/>
        </w:rPr>
        <w:footnoteRef/>
      </w:r>
      <w:r w:rsidRPr="00427B4A">
        <w:t xml:space="preserve"> </w:t>
      </w:r>
      <w:r w:rsidRPr="00B968CC">
        <w:rPr>
          <w:i/>
          <w:iCs/>
        </w:rPr>
        <w:t>Promoting Telehealth Report and Order</w:t>
      </w:r>
      <w:r w:rsidRPr="00672750">
        <w:t>, 34 FCC Rcd at 7413, para. 168</w:t>
      </w:r>
      <w:r>
        <w:t xml:space="preserve">; </w:t>
      </w:r>
      <w:r w:rsidRPr="00E70E3B">
        <w:rPr>
          <w:i/>
          <w:iCs/>
        </w:rPr>
        <w:t>Schools and Libraries Sixth Report and Order</w:t>
      </w:r>
      <w:r w:rsidRPr="00E57930">
        <w:t>, 25 FCC Rcd at 18801, para. 88</w:t>
      </w:r>
      <w:r>
        <w:t>.</w:t>
      </w:r>
      <w:r w:rsidRPr="00E57930">
        <w:t xml:space="preserve">  </w:t>
      </w:r>
      <w:r w:rsidRPr="00672750">
        <w:t>In addition</w:t>
      </w:r>
      <w:r>
        <w:t xml:space="preserve"> to </w:t>
      </w:r>
      <w:r>
        <w:rPr>
          <w:i/>
          <w:iCs/>
        </w:rPr>
        <w:t xml:space="preserve">de minimis </w:t>
      </w:r>
      <w:r>
        <w:t>gifts</w:t>
      </w:r>
      <w:r w:rsidRPr="00672750">
        <w:t>, the Commission’s rules also allow for charitable donations</w:t>
      </w:r>
      <w:r w:rsidRPr="00336A0B">
        <w:t>, including literacy programs, scholarsh</w:t>
      </w:r>
      <w:r w:rsidRPr="0009463F">
        <w:t xml:space="preserve">ips, and capital improvements, </w:t>
      </w:r>
      <w:r w:rsidRPr="007001BB">
        <w:t xml:space="preserve">as long as such contributions </w:t>
      </w:r>
      <w:r w:rsidRPr="00B80909">
        <w:t xml:space="preserve">are not directly or indirectly related to procurement activities or decisions.  </w:t>
      </w:r>
      <w:r w:rsidRPr="0024587B">
        <w:rPr>
          <w:i/>
          <w:iCs/>
        </w:rPr>
        <w:t>See</w:t>
      </w:r>
      <w:r>
        <w:t xml:space="preserve"> </w:t>
      </w:r>
      <w:r w:rsidRPr="00F85E27">
        <w:rPr>
          <w:i/>
        </w:rPr>
        <w:t xml:space="preserve">Promoting </w:t>
      </w:r>
      <w:r w:rsidRPr="007C10E3">
        <w:rPr>
          <w:i/>
        </w:rPr>
        <w:t>Telehealth Report and Order</w:t>
      </w:r>
      <w:r w:rsidRPr="00DD5EC4">
        <w:t>, 34 FCC Rcd at 7413, para. 16</w:t>
      </w:r>
      <w:r w:rsidRPr="00427B4A">
        <w:t>7</w:t>
      </w:r>
      <w:r>
        <w:t xml:space="preserve">; </w:t>
      </w:r>
      <w:r w:rsidRPr="00B80909">
        <w:rPr>
          <w:i/>
          <w:iCs/>
        </w:rPr>
        <w:t>Schools and Libraries Sixth Report and Order</w:t>
      </w:r>
      <w:r w:rsidRPr="00D01E2F">
        <w:t xml:space="preserve">, 25 FCC Rcd at 18802, para. </w:t>
      </w:r>
      <w:r w:rsidRPr="00EB29AF">
        <w:t>90</w:t>
      </w:r>
      <w:r w:rsidRPr="00427B4A">
        <w:t xml:space="preserve">.  </w:t>
      </w:r>
    </w:p>
  </w:footnote>
  <w:footnote w:id="12">
    <w:p w:rsidR="00104B70" w14:paraId="1ECE1831" w14:textId="430202DD">
      <w:pPr>
        <w:pStyle w:val="FootnoteText"/>
      </w:pPr>
      <w:r>
        <w:rPr>
          <w:rStyle w:val="FootnoteReference"/>
        </w:rPr>
        <w:footnoteRef/>
      </w:r>
      <w:r>
        <w:t xml:space="preserve"> </w:t>
      </w:r>
      <w:r w:rsidRPr="005B34EF" w:rsidR="00843B13">
        <w:rPr>
          <w:i/>
        </w:rPr>
        <w:t xml:space="preserve">RHC and E-Rate </w:t>
      </w:r>
      <w:r w:rsidR="00843B13">
        <w:rPr>
          <w:i/>
        </w:rPr>
        <w:t xml:space="preserve">COVID-19 </w:t>
      </w:r>
      <w:r w:rsidRPr="005B34EF" w:rsidR="00843B13">
        <w:rPr>
          <w:i/>
        </w:rPr>
        <w:t>Gift Rules Waiver Order</w:t>
      </w:r>
      <w:r w:rsidR="00843B13">
        <w:rPr>
          <w:iCs/>
        </w:rPr>
        <w:t xml:space="preserve">, 35 FCC Rcd at </w:t>
      </w:r>
      <w:r w:rsidR="00A27E77">
        <w:rPr>
          <w:iCs/>
        </w:rPr>
        <w:t>2741.</w:t>
      </w:r>
    </w:p>
  </w:footnote>
  <w:footnote w:id="13">
    <w:p w:rsidR="00104B70" w14:paraId="748A5692" w14:textId="31D5AD08">
      <w:pPr>
        <w:pStyle w:val="FootnoteText"/>
      </w:pPr>
      <w:r>
        <w:rPr>
          <w:rStyle w:val="FootnoteReference"/>
        </w:rPr>
        <w:footnoteRef/>
      </w:r>
      <w:r>
        <w:t xml:space="preserve"> </w:t>
      </w:r>
      <w:r w:rsidRPr="00601D11" w:rsidR="00A27E77">
        <w:rPr>
          <w:i/>
          <w:iCs/>
        </w:rPr>
        <w:t>RHC and E-Rate Gift Rules Waiver Extension Order</w:t>
      </w:r>
      <w:r w:rsidR="00A27E77">
        <w:t>, 35 FCC Rcd at 9416.</w:t>
      </w:r>
    </w:p>
  </w:footnote>
  <w:footnote w:id="14">
    <w:p w:rsidR="004D5B74" w:rsidRPr="00A926A6" w14:paraId="24A55984" w14:textId="1C382FA6">
      <w:pPr>
        <w:pStyle w:val="FootnoteText"/>
      </w:pPr>
      <w:r>
        <w:rPr>
          <w:rStyle w:val="FootnoteReference"/>
        </w:rPr>
        <w:footnoteRef/>
      </w:r>
      <w:r>
        <w:t xml:space="preserve"> </w:t>
      </w:r>
      <w:r w:rsidR="00A926A6">
        <w:rPr>
          <w:i/>
          <w:iCs/>
        </w:rPr>
        <w:t>Id.</w:t>
      </w:r>
    </w:p>
  </w:footnote>
  <w:footnote w:id="15">
    <w:p w:rsidR="00EF1DB7" w:rsidRPr="00D270A5" w:rsidP="00EF1DB7" w14:paraId="11A2DE0A" w14:textId="77777777">
      <w:pPr>
        <w:pStyle w:val="FootnoteText"/>
      </w:pPr>
      <w:r w:rsidRPr="00F20F56">
        <w:rPr>
          <w:rStyle w:val="FootnoteReference"/>
        </w:rPr>
        <w:footnoteRef/>
      </w:r>
      <w:r w:rsidRPr="00F20F56">
        <w:t xml:space="preserve"> 47 CFR § 1.3.</w:t>
      </w:r>
    </w:p>
  </w:footnote>
  <w:footnote w:id="16">
    <w:p w:rsidR="00EF1DB7" w:rsidRPr="00F20F56" w:rsidP="00EF1DB7" w14:paraId="302CEB05" w14:textId="5A0BD046">
      <w:pPr>
        <w:pStyle w:val="FootnoteText"/>
      </w:pPr>
      <w:r w:rsidRPr="00F20F56">
        <w:rPr>
          <w:rStyle w:val="FootnoteReference"/>
        </w:rPr>
        <w:footnoteRef/>
      </w:r>
      <w:r w:rsidRPr="00F20F56">
        <w:t xml:space="preserve"> </w:t>
      </w:r>
      <w:r w:rsidRPr="00D270A5">
        <w:rPr>
          <w:i/>
        </w:rPr>
        <w:t>Northeast Cellular Telephone Co. v. FCC</w:t>
      </w:r>
      <w:r w:rsidRPr="005B34EF">
        <w:t xml:space="preserve">, 897 F.2d </w:t>
      </w:r>
      <w:r w:rsidRPr="00F20F56">
        <w:t>1164, 1166 (D.C. Cir. 1990)</w:t>
      </w:r>
      <w:r w:rsidR="007C521F">
        <w:t xml:space="preserve"> (</w:t>
      </w:r>
      <w:r w:rsidRPr="007D3ACE" w:rsidR="007C521F">
        <w:rPr>
          <w:i/>
          <w:iCs/>
        </w:rPr>
        <w:t>Northeast Cellular</w:t>
      </w:r>
      <w:r w:rsidR="007C521F">
        <w:t>)</w:t>
      </w:r>
      <w:r w:rsidRPr="00F20F56">
        <w:t>.</w:t>
      </w:r>
    </w:p>
  </w:footnote>
  <w:footnote w:id="17">
    <w:p w:rsidR="00EF1DB7" w:rsidRPr="00F20F56" w:rsidP="00EF1DB7" w14:paraId="4640D9EF" w14:textId="77777777">
      <w:pPr>
        <w:pStyle w:val="FootnoteText"/>
      </w:pPr>
      <w:r w:rsidRPr="00F20F56">
        <w:rPr>
          <w:rStyle w:val="FootnoteReference"/>
        </w:rPr>
        <w:footnoteRef/>
      </w:r>
      <w:r w:rsidRPr="00F20F56">
        <w:t xml:space="preserve"> </w:t>
      </w:r>
      <w:r>
        <w:rPr>
          <w:i/>
          <w:iCs/>
        </w:rPr>
        <w:t>WAIT Radio v. FCC</w:t>
      </w:r>
      <w:r>
        <w:t xml:space="preserve">, 418 F.2d 1153, 1159 (D.C. Cir. 1969); </w:t>
      </w:r>
      <w:r>
        <w:rPr>
          <w:i/>
          <w:iCs/>
        </w:rPr>
        <w:t>Northeast Cellular</w:t>
      </w:r>
      <w:r>
        <w:t>, 897 F.2d at 1166.</w:t>
      </w:r>
    </w:p>
  </w:footnote>
  <w:footnote w:id="18">
    <w:p w:rsidR="00B55941" w14:paraId="63783027" w14:textId="4F8537A6">
      <w:pPr>
        <w:pStyle w:val="FootnoteText"/>
      </w:pPr>
      <w:r>
        <w:rPr>
          <w:rStyle w:val="FootnoteReference"/>
        </w:rPr>
        <w:footnoteRef/>
      </w:r>
      <w:r>
        <w:t xml:space="preserve"> </w:t>
      </w:r>
      <w:r w:rsidR="00565A71">
        <w:rPr>
          <w:i/>
          <w:iCs/>
        </w:rPr>
        <w:t>See, e</w:t>
      </w:r>
      <w:r w:rsidR="008F14DF">
        <w:rPr>
          <w:i/>
          <w:iCs/>
        </w:rPr>
        <w:t>.g.</w:t>
      </w:r>
      <w:r w:rsidR="00807F7A">
        <w:t>,</w:t>
      </w:r>
      <w:r w:rsidR="008F14DF">
        <w:t xml:space="preserve"> </w:t>
      </w:r>
      <w:r w:rsidR="00DE33FC">
        <w:t>Adam Martin</w:t>
      </w:r>
      <w:r w:rsidR="008F14DF">
        <w:t xml:space="preserve">, </w:t>
      </w:r>
      <w:r w:rsidR="00DE33FC">
        <w:rPr>
          <w:i/>
          <w:iCs/>
        </w:rPr>
        <w:t>Key U.S.</w:t>
      </w:r>
      <w:r w:rsidR="002A5158">
        <w:rPr>
          <w:i/>
          <w:iCs/>
        </w:rPr>
        <w:t xml:space="preserve"> Covid-19 Metrics All Set New Records</w:t>
      </w:r>
      <w:r w:rsidR="00A245D8">
        <w:t xml:space="preserve">, Wall Street Journal (Dec. </w:t>
      </w:r>
      <w:r w:rsidR="002A5158">
        <w:t>4</w:t>
      </w:r>
      <w:r w:rsidR="00A245D8">
        <w:t>, 2020)</w:t>
      </w:r>
      <w:r w:rsidR="00381E11">
        <w:t xml:space="preserve">, </w:t>
      </w:r>
      <w:hyperlink r:id="rId1" w:history="1">
        <w:r w:rsidRPr="00834455" w:rsidR="00381E11">
          <w:rPr>
            <w:rStyle w:val="Hyperlink"/>
          </w:rPr>
          <w:t>https://www.wsj.com/articles/as-covid-19-patients-stretch-hospitals-some-doctors-ration-intensive-care-11607022592</w:t>
        </w:r>
      </w:hyperlink>
      <w:r w:rsidR="00381E11">
        <w:t xml:space="preserve"> </w:t>
      </w:r>
      <w:r w:rsidR="00B332AD">
        <w:t>(</w:t>
      </w:r>
      <w:r w:rsidR="002A5158">
        <w:t xml:space="preserve">stating that the U.S. </w:t>
      </w:r>
      <w:r w:rsidR="00A13FF5">
        <w:t>is seeing</w:t>
      </w:r>
      <w:r w:rsidR="002A5158">
        <w:t xml:space="preserve"> record hi</w:t>
      </w:r>
      <w:r w:rsidR="0069599C">
        <w:t>ghs in newly reported COVID-19 cases, hospitalizations, and deaths</w:t>
      </w:r>
      <w:r w:rsidR="00A13FF5">
        <w:t>)</w:t>
      </w:r>
      <w:r w:rsidR="00DC79AF">
        <w:t>.</w:t>
      </w:r>
    </w:p>
  </w:footnote>
  <w:footnote w:id="19">
    <w:p w:rsidR="00D82843" w:rsidRPr="00346594" w14:paraId="27C44074" w14:textId="76983AA4">
      <w:pPr>
        <w:pStyle w:val="FootnoteText"/>
      </w:pPr>
      <w:r>
        <w:rPr>
          <w:rStyle w:val="FootnoteReference"/>
        </w:rPr>
        <w:footnoteRef/>
      </w:r>
      <w:r>
        <w:t xml:space="preserve"> </w:t>
      </w:r>
      <w:r>
        <w:rPr>
          <w:i/>
          <w:iCs/>
        </w:rPr>
        <w:t>See, e.g.</w:t>
      </w:r>
      <w:r w:rsidR="00807F7A">
        <w:t>, A</w:t>
      </w:r>
      <w:r w:rsidR="00346594">
        <w:t xml:space="preserve">bby Wargo, </w:t>
      </w:r>
      <w:r w:rsidR="00346594">
        <w:rPr>
          <w:i/>
          <w:iCs/>
        </w:rPr>
        <w:t xml:space="preserve">Telehealth </w:t>
      </w:r>
      <w:r w:rsidRPr="009976E3" w:rsidR="00346594">
        <w:rPr>
          <w:i/>
          <w:iCs/>
        </w:rPr>
        <w:t>supplements medical care for rural areas</w:t>
      </w:r>
      <w:r w:rsidR="006653F5">
        <w:rPr>
          <w:i/>
          <w:iCs/>
        </w:rPr>
        <w:t>,</w:t>
      </w:r>
      <w:r w:rsidRPr="009976E3" w:rsidR="006E4488">
        <w:t xml:space="preserve"> Capital Journal</w:t>
      </w:r>
      <w:r w:rsidRPr="009976E3" w:rsidR="00377632">
        <w:t xml:space="preserve"> (Oct. 9, 2020)</w:t>
      </w:r>
      <w:r w:rsidRPr="009976E3" w:rsidR="00E16BD2">
        <w:t xml:space="preserve">, </w:t>
      </w:r>
      <w:hyperlink r:id="rId2" w:history="1">
        <w:r w:rsidRPr="009976E3" w:rsidR="009976E3">
          <w:rPr>
            <w:snapToGrid w:val="0"/>
            <w:color w:val="0000FF"/>
            <w:kern w:val="28"/>
            <w:u w:val="single"/>
          </w:rPr>
          <w:t>https://www.capjournal.com/news/telehealth-supplements-medical-care-for-rural-areas/article_10ce0b2e-0a4b-11eb-a97e-9fbcca1420e7.html</w:t>
        </w:r>
      </w:hyperlink>
      <w:r w:rsidR="00377632">
        <w:t xml:space="preserve"> </w:t>
      </w:r>
      <w:r w:rsidR="00955E50">
        <w:t xml:space="preserve">(reporting that </w:t>
      </w:r>
      <w:r w:rsidR="007D0328">
        <w:t xml:space="preserve">telehealth </w:t>
      </w:r>
      <w:r w:rsidR="00C609AC">
        <w:t xml:space="preserve">services “have increased dramatically” as health care providers strive to serve the specialized medical needs of South Dakotans living in rural </w:t>
      </w:r>
      <w:r w:rsidR="006653F5">
        <w:t>areas)</w:t>
      </w:r>
      <w:r w:rsidR="00B23CB5">
        <w:t>.</w:t>
      </w:r>
      <w:r w:rsidR="00AA530B">
        <w:t xml:space="preserve"> </w:t>
      </w:r>
    </w:p>
  </w:footnote>
  <w:footnote w:id="20">
    <w:p w:rsidR="00300385" w:rsidRPr="00261C12" w14:paraId="43A9E865" w14:textId="5AA66E1C">
      <w:pPr>
        <w:pStyle w:val="FootnoteText"/>
      </w:pPr>
      <w:r>
        <w:rPr>
          <w:rStyle w:val="FootnoteReference"/>
        </w:rPr>
        <w:footnoteRef/>
      </w:r>
      <w:r>
        <w:t xml:space="preserve"> </w:t>
      </w:r>
      <w:r w:rsidRPr="00601D11">
        <w:rPr>
          <w:i/>
          <w:iCs/>
        </w:rPr>
        <w:t>RHC and E-Rate Gift Rules Waiver Extension Order</w:t>
      </w:r>
      <w:r w:rsidR="00261C12">
        <w:t>, 35 FCC Rcd at</w:t>
      </w:r>
      <w:r w:rsidR="001B4C4A">
        <w:t xml:space="preserve"> 9421</w:t>
      </w:r>
      <w:r w:rsidR="00261C12">
        <w:t xml:space="preserve">. </w:t>
      </w:r>
    </w:p>
  </w:footnote>
  <w:footnote w:id="21">
    <w:p w:rsidR="00431D26" w:rsidP="00431D26" w14:paraId="32EADD72" w14:textId="77777777">
      <w:pPr>
        <w:pStyle w:val="FootnoteText"/>
      </w:pPr>
      <w:r>
        <w:rPr>
          <w:rStyle w:val="FootnoteReference"/>
        </w:rPr>
        <w:footnoteRef/>
      </w:r>
      <w:r>
        <w:t xml:space="preserve"> 47 CFR § 54.611(b).</w:t>
      </w:r>
    </w:p>
  </w:footnote>
  <w:footnote w:id="22">
    <w:p w:rsidR="00431D26" w:rsidP="00431D26" w14:paraId="773E2B70" w14:textId="77777777">
      <w:pPr>
        <w:pStyle w:val="FootnoteText"/>
      </w:pPr>
      <w:r>
        <w:rPr>
          <w:rStyle w:val="FootnoteReference"/>
        </w:rPr>
        <w:footnoteRef/>
      </w:r>
      <w:r>
        <w:t xml:space="preserve"> 47 CFR § 54.603(b).</w:t>
      </w:r>
    </w:p>
  </w:footnote>
  <w:footnote w:id="23">
    <w:p w:rsidR="00950D2E" w14:paraId="7624C849" w14:textId="122F5AA8">
      <w:pPr>
        <w:pStyle w:val="FootnoteText"/>
      </w:pPr>
      <w:r>
        <w:rPr>
          <w:rStyle w:val="FootnoteReference"/>
        </w:rPr>
        <w:footnoteRef/>
      </w:r>
      <w:r>
        <w:t xml:space="preserve"> This </w:t>
      </w:r>
      <w:r w:rsidR="00DF5E2F">
        <w:t xml:space="preserve">relief </w:t>
      </w:r>
      <w:r>
        <w:t>includes</w:t>
      </w:r>
      <w:r w:rsidR="003E7AAF">
        <w:t xml:space="preserve"> </w:t>
      </w:r>
      <w:r w:rsidR="00436017">
        <w:t xml:space="preserve">certain </w:t>
      </w:r>
      <w:r w:rsidR="00BF321A">
        <w:t xml:space="preserve">applicant and service provider </w:t>
      </w:r>
      <w:r w:rsidR="003E7AAF">
        <w:t xml:space="preserve">certification requirements </w:t>
      </w:r>
      <w:r w:rsidR="00BF321A">
        <w:t xml:space="preserve">contained in </w:t>
      </w:r>
      <w:r w:rsidR="0046484B">
        <w:t xml:space="preserve">our rules.  </w:t>
      </w:r>
      <w:r w:rsidRPr="005B34EF" w:rsidR="004B0361">
        <w:rPr>
          <w:i/>
        </w:rPr>
        <w:t xml:space="preserve">See </w:t>
      </w:r>
      <w:r w:rsidRPr="00F20F56" w:rsidR="004B0361">
        <w:t xml:space="preserve">47 CFR § 54.623(a)(1)(vi) (requiring the applicant to certify that the health care provider or consortium and/or its consultant has not solicited or accepted any gift or any other thing of value from a service provider participating in the Rural Health Care program); </w:t>
      </w:r>
      <w:r w:rsidR="004B0361">
        <w:t xml:space="preserve">47 CFR </w:t>
      </w:r>
      <w:r w:rsidRPr="00F20F56" w:rsidR="004B0361">
        <w:t>§ 54.627(</w:t>
      </w:r>
      <w:r w:rsidR="004B0361">
        <w:t>c</w:t>
      </w:r>
      <w:r w:rsidRPr="00F20F56" w:rsidR="004B0361">
        <w:t>)(3)(ii)(H)</w:t>
      </w:r>
      <w:r w:rsidR="004B0361">
        <w:t>,</w:t>
      </w:r>
      <w:r w:rsidRPr="00F20F56" w:rsidR="004B0361">
        <w:t xml:space="preserve"> (d)(1)(ii)(F) (requiring the service provider to certify that “it was not offered or provided a gift or any other thing of value to the applicant (or the applicant’s personnel, including its consultant) for which it will provide services”).</w:t>
      </w:r>
    </w:p>
  </w:footnote>
  <w:footnote w:id="24">
    <w:p w:rsidR="00F034A3" w:rsidRPr="00F20F56" w:rsidP="00F034A3" w14:paraId="0F3DB6E3" w14:textId="77777777">
      <w:pPr>
        <w:pStyle w:val="FootnoteText"/>
      </w:pPr>
      <w:r w:rsidRPr="005B34EF">
        <w:rPr>
          <w:rStyle w:val="FootnoteReference"/>
        </w:rPr>
        <w:footnoteRef/>
      </w:r>
      <w:r w:rsidRPr="005B34EF">
        <w:t xml:space="preserve"> </w:t>
      </w:r>
      <w:r w:rsidRPr="005B34EF">
        <w:rPr>
          <w:i/>
        </w:rPr>
        <w:t xml:space="preserve">See RHC and E-Rate </w:t>
      </w:r>
      <w:r>
        <w:rPr>
          <w:i/>
        </w:rPr>
        <w:t xml:space="preserve">COVID-19 </w:t>
      </w:r>
      <w:r w:rsidRPr="005B34EF">
        <w:rPr>
          <w:i/>
        </w:rPr>
        <w:t>Gift Rules Waiver Order</w:t>
      </w:r>
      <w:r w:rsidRPr="00F20F56">
        <w:t>, 35 FCC Rcd at 2741-42, para. 1.</w:t>
      </w:r>
    </w:p>
  </w:footnote>
  <w:footnote w:id="25">
    <w:p w:rsidR="00FE5106" w:rsidRPr="007519CF" w:rsidP="00FE5106" w14:paraId="793ABF40" w14:textId="7FEFD323">
      <w:pPr>
        <w:widowControl/>
        <w:autoSpaceDE w:val="0"/>
        <w:autoSpaceDN w:val="0"/>
        <w:adjustRightInd w:val="0"/>
        <w:rPr>
          <w:snapToGrid/>
          <w:color w:val="000000"/>
          <w:kern w:val="0"/>
          <w:sz w:val="20"/>
        </w:rPr>
      </w:pPr>
      <w:r>
        <w:rPr>
          <w:rStyle w:val="FootnoteReference"/>
        </w:rPr>
        <w:footnoteRef/>
      </w:r>
      <w:r>
        <w:t xml:space="preserve"> </w:t>
      </w:r>
      <w:r w:rsidRPr="007519CF">
        <w:rPr>
          <w:i/>
          <w:iCs/>
          <w:snapToGrid/>
          <w:color w:val="000000"/>
          <w:kern w:val="0"/>
          <w:sz w:val="20"/>
        </w:rPr>
        <w:t>See, e.g.</w:t>
      </w:r>
      <w:r w:rsidRPr="007519CF">
        <w:rPr>
          <w:snapToGrid/>
          <w:color w:val="000000"/>
          <w:kern w:val="0"/>
          <w:sz w:val="20"/>
        </w:rPr>
        <w:t xml:space="preserve">, </w:t>
      </w:r>
      <w:r w:rsidRPr="007519CF">
        <w:rPr>
          <w:i/>
          <w:iCs/>
          <w:snapToGrid/>
          <w:color w:val="000000"/>
          <w:kern w:val="0"/>
          <w:sz w:val="20"/>
        </w:rPr>
        <w:t xml:space="preserve">Map: Where Are Schools </w:t>
      </w:r>
      <w:r>
        <w:rPr>
          <w:i/>
          <w:iCs/>
          <w:snapToGrid/>
          <w:color w:val="000000"/>
          <w:kern w:val="0"/>
          <w:sz w:val="20"/>
        </w:rPr>
        <w:t>Closed</w:t>
      </w:r>
      <w:r w:rsidRPr="007519CF">
        <w:rPr>
          <w:i/>
          <w:iCs/>
          <w:snapToGrid/>
          <w:color w:val="000000"/>
          <w:kern w:val="0"/>
          <w:sz w:val="20"/>
        </w:rPr>
        <w:t>?</w:t>
      </w:r>
      <w:r w:rsidRPr="007519CF">
        <w:rPr>
          <w:snapToGrid/>
          <w:color w:val="000000"/>
          <w:kern w:val="0"/>
          <w:sz w:val="20"/>
        </w:rPr>
        <w:t xml:space="preserve">, Education Week (last updated </w:t>
      </w:r>
      <w:r w:rsidR="00BC6B49">
        <w:rPr>
          <w:snapToGrid/>
          <w:color w:val="000000"/>
          <w:kern w:val="0"/>
          <w:sz w:val="20"/>
        </w:rPr>
        <w:t>Dec</w:t>
      </w:r>
      <w:r w:rsidRPr="007519CF">
        <w:rPr>
          <w:snapToGrid/>
          <w:color w:val="000000"/>
          <w:kern w:val="0"/>
          <w:sz w:val="20"/>
        </w:rPr>
        <w:t xml:space="preserve">. </w:t>
      </w:r>
      <w:r w:rsidR="00BC6B49">
        <w:rPr>
          <w:snapToGrid/>
          <w:color w:val="000000"/>
          <w:kern w:val="0"/>
          <w:sz w:val="20"/>
        </w:rPr>
        <w:t>7</w:t>
      </w:r>
      <w:r w:rsidRPr="007519CF">
        <w:rPr>
          <w:snapToGrid/>
          <w:color w:val="000000"/>
          <w:kern w:val="0"/>
          <w:sz w:val="20"/>
        </w:rPr>
        <w:t>, 2020),</w:t>
      </w:r>
    </w:p>
    <w:p w:rsidR="00FE5106" w:rsidRPr="001F5BF2" w:rsidP="00FE5106" w14:paraId="5DC7FC66" w14:textId="2E83E505">
      <w:pPr>
        <w:pStyle w:val="FootnoteText"/>
      </w:pPr>
      <w:hyperlink r:id="rId3" w:history="1">
        <w:r w:rsidRPr="00834455" w:rsidR="008F4777">
          <w:rPr>
            <w:rStyle w:val="Hyperlink"/>
          </w:rPr>
          <w:t>https://www.edweek.org/ew/section/multimedia/map-covid-19-schools-open-closed.html</w:t>
        </w:r>
      </w:hyperlink>
      <w:r w:rsidR="001B4F93">
        <w:rPr>
          <w:color w:val="0000FF"/>
        </w:rPr>
        <w:t xml:space="preserve"> (</w:t>
      </w:r>
      <w:r w:rsidR="004C7D37">
        <w:t>reporting</w:t>
      </w:r>
      <w:r w:rsidR="001B4F93">
        <w:t xml:space="preserve"> that 11 states, the District of Columbia, and Puerto Rico </w:t>
      </w:r>
      <w:r w:rsidR="004C7D37">
        <w:t>have</w:t>
      </w:r>
      <w:r w:rsidR="001B4F93">
        <w:t xml:space="preserve"> state-ordered full or partial school closures in effect</w:t>
      </w:r>
      <w:r w:rsidR="004C7D37">
        <w:t>)</w:t>
      </w:r>
      <w:r w:rsidR="00891B84">
        <w:rPr>
          <w:color w:val="000000"/>
        </w:rPr>
        <w:t xml:space="preserve">; </w:t>
      </w:r>
      <w:r w:rsidR="00891B84">
        <w:rPr>
          <w:i/>
          <w:iCs/>
          <w:color w:val="000000"/>
        </w:rPr>
        <w:t>The List: Pittsburgh-area school districts shift back to remote learning as COVID-19 cases surge</w:t>
      </w:r>
      <w:r w:rsidR="00891B84">
        <w:rPr>
          <w:color w:val="000000"/>
        </w:rPr>
        <w:t xml:space="preserve">, Pittsburgh Post-Gazette (Nov. 29, 2020), </w:t>
      </w:r>
      <w:hyperlink r:id="rId4" w:history="1">
        <w:r w:rsidRPr="00834455" w:rsidR="00891B84">
          <w:rPr>
            <w:rStyle w:val="Hyperlink"/>
          </w:rPr>
          <w:t>https://www.post-gazette.com/news/education/2020/11/29/Pittsburgh-western-pennsylvania-schools-close-remote-virtual-learning-COVID-19-cases-online-2/stories/202011290191</w:t>
        </w:r>
      </w:hyperlink>
      <w:r w:rsidR="006F64A8">
        <w:rPr>
          <w:color w:val="000000"/>
        </w:rPr>
        <w:t xml:space="preserve"> (</w:t>
      </w:r>
      <w:r w:rsidR="00F033CE">
        <w:rPr>
          <w:color w:val="000000"/>
        </w:rPr>
        <w:t xml:space="preserve">listing </w:t>
      </w:r>
      <w:r w:rsidR="00EF5417">
        <w:rPr>
          <w:color w:val="000000"/>
        </w:rPr>
        <w:t>Pennsylvania school</w:t>
      </w:r>
      <w:r w:rsidR="00F35BA3">
        <w:rPr>
          <w:color w:val="000000"/>
        </w:rPr>
        <w:t xml:space="preserve"> district</w:t>
      </w:r>
      <w:r w:rsidR="00EF5417">
        <w:rPr>
          <w:color w:val="000000"/>
        </w:rPr>
        <w:t>s</w:t>
      </w:r>
      <w:r w:rsidR="00DF73AB">
        <w:rPr>
          <w:color w:val="000000"/>
        </w:rPr>
        <w:t xml:space="preserve"> that are</w:t>
      </w:r>
      <w:r w:rsidR="00EF5417">
        <w:rPr>
          <w:color w:val="000000"/>
        </w:rPr>
        <w:t xml:space="preserve"> transitioning to remote learning due to </w:t>
      </w:r>
      <w:r w:rsidR="007A3606">
        <w:rPr>
          <w:color w:val="000000"/>
        </w:rPr>
        <w:t xml:space="preserve">a </w:t>
      </w:r>
      <w:r w:rsidR="00EF5417">
        <w:rPr>
          <w:color w:val="000000"/>
        </w:rPr>
        <w:t>surge</w:t>
      </w:r>
      <w:r w:rsidR="003B765B">
        <w:rPr>
          <w:color w:val="000000"/>
        </w:rPr>
        <w:t xml:space="preserve"> in COVID-19 cases)</w:t>
      </w:r>
      <w:r w:rsidR="00C9062D">
        <w:rPr>
          <w:color w:val="000000"/>
        </w:rPr>
        <w:t xml:space="preserve">; </w:t>
      </w:r>
      <w:r w:rsidR="00C9062D">
        <w:rPr>
          <w:i/>
          <w:iCs/>
        </w:rPr>
        <w:t>See, e.g.,</w:t>
      </w:r>
      <w:r w:rsidR="00C9062D">
        <w:t xml:space="preserve"> Fla. Emergency Order No. 2020-EO-07 (Dec. 2, 2020), </w:t>
      </w:r>
      <w:hyperlink r:id="rId5" w:history="1">
        <w:r w:rsidRPr="00834455" w:rsidR="00C9062D">
          <w:rPr>
            <w:rStyle w:val="Hyperlink"/>
          </w:rPr>
          <w:t>http://www.fldoe.org/core/fileparse.php/5673/urlt/DOEOrder2020-EO-07.pdf</w:t>
        </w:r>
      </w:hyperlink>
      <w:r w:rsidR="00C9062D">
        <w:t xml:space="preserve"> (extending remote learning options through the spring semester for Florida schools </w:t>
      </w:r>
      <w:r w:rsidR="00212BD0">
        <w:t>due</w:t>
      </w:r>
      <w:r w:rsidR="00C9062D">
        <w:t xml:space="preserve"> to</w:t>
      </w:r>
      <w:r w:rsidR="00075D96">
        <w:t xml:space="preserve"> the ongoing </w:t>
      </w:r>
      <w:r w:rsidR="002F5B0A">
        <w:t>impact</w:t>
      </w:r>
      <w:r w:rsidR="00B9123C">
        <w:t xml:space="preserve"> of</w:t>
      </w:r>
      <w:r w:rsidR="00C9062D">
        <w:t xml:space="preserve"> the pandemic).</w:t>
      </w:r>
      <w:r w:rsidR="00891B84">
        <w:rPr>
          <w:color w:val="000000"/>
        </w:rPr>
        <w:t xml:space="preserve"> </w:t>
      </w:r>
      <w:r w:rsidR="008F4777">
        <w:rPr>
          <w:color w:val="000000"/>
        </w:rPr>
        <w:t xml:space="preserve"> </w:t>
      </w:r>
    </w:p>
  </w:footnote>
  <w:footnote w:id="26">
    <w:p w:rsidR="00795681" w:rsidRPr="006A5960" w:rsidP="00795681" w14:paraId="310EAE51" w14:textId="77777777">
      <w:pPr>
        <w:pStyle w:val="FootnoteText"/>
      </w:pPr>
      <w:r>
        <w:rPr>
          <w:rStyle w:val="FootnoteReference"/>
        </w:rPr>
        <w:footnoteRef/>
      </w:r>
      <w:r>
        <w:t xml:space="preserve"> </w:t>
      </w:r>
      <w:r w:rsidRPr="00601D11">
        <w:rPr>
          <w:i/>
          <w:iCs/>
        </w:rPr>
        <w:t>RHC and E-Rate Gift Rules Waiver Extension Order</w:t>
      </w:r>
      <w:r>
        <w:t xml:space="preserve">, 35 FCC Rcd at 9422, para. 13.  </w:t>
      </w:r>
    </w:p>
  </w:footnote>
  <w:footnote w:id="27">
    <w:p w:rsidR="00F034A3" w:rsidRPr="00F20F56" w:rsidP="00F034A3" w14:paraId="53909BD4" w14:textId="77777777">
      <w:pPr>
        <w:pStyle w:val="FootnoteText"/>
      </w:pPr>
      <w:r w:rsidRPr="005B34EF">
        <w:rPr>
          <w:rStyle w:val="FootnoteReference"/>
        </w:rPr>
        <w:footnoteRef/>
      </w:r>
      <w:r w:rsidRPr="005B34EF">
        <w:t xml:space="preserve"> </w:t>
      </w:r>
      <w:r w:rsidRPr="005B34EF">
        <w:rPr>
          <w:i/>
        </w:rPr>
        <w:t>See</w:t>
      </w:r>
      <w:r w:rsidRPr="00F20F56">
        <w:t xml:space="preserve"> 54 CFR § 54.503(b).</w:t>
      </w:r>
    </w:p>
  </w:footnote>
  <w:footnote w:id="28">
    <w:p w:rsidR="00F034A3" w:rsidRPr="00F20F56" w:rsidP="00F034A3" w14:paraId="6DB6F5B8" w14:textId="77777777">
      <w:pPr>
        <w:pStyle w:val="FootnoteText"/>
      </w:pPr>
      <w:r w:rsidRPr="005B34EF">
        <w:rPr>
          <w:rStyle w:val="FootnoteReference"/>
        </w:rPr>
        <w:footnoteRef/>
      </w:r>
      <w:r w:rsidRPr="005B34EF">
        <w:t xml:space="preserve"> </w:t>
      </w:r>
      <w:r w:rsidRPr="005B34EF">
        <w:rPr>
          <w:i/>
        </w:rPr>
        <w:t xml:space="preserve">See </w:t>
      </w:r>
      <w:r w:rsidRPr="00F20F56">
        <w:t>47 CFR § 54.503.</w:t>
      </w:r>
    </w:p>
  </w:footnote>
  <w:footnote w:id="29">
    <w:p w:rsidR="00F034A3" w:rsidRPr="00F20F56" w:rsidP="00F034A3" w14:paraId="237E5B21" w14:textId="5FEF95F5">
      <w:pPr>
        <w:pStyle w:val="FootnoteText"/>
      </w:pPr>
      <w:r w:rsidRPr="005B34EF">
        <w:rPr>
          <w:rStyle w:val="FootnoteReference"/>
        </w:rPr>
        <w:footnoteRef/>
      </w:r>
      <w:r w:rsidRPr="005B34EF">
        <w:t xml:space="preserve"> </w:t>
      </w:r>
      <w:r w:rsidRPr="005B34EF">
        <w:rPr>
          <w:i/>
        </w:rPr>
        <w:t xml:space="preserve">See </w:t>
      </w:r>
      <w:r w:rsidRPr="00F20F56">
        <w:t>47 CFR §§ 54.631(b)-(c), 54.516(a)(1)</w:t>
      </w:r>
      <w:r w:rsidR="003F6E16">
        <w:t>-(2)</w:t>
      </w:r>
      <w:r w:rsidRPr="00F20F5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13BA59" w14:textId="124CC3E2">
    <w:pPr>
      <w:pStyle w:val="Header"/>
      <w:rPr>
        <w:b w:val="0"/>
      </w:rPr>
    </w:pPr>
    <w:r>
      <w:tab/>
      <w:t>Federal Communications Commission</w:t>
    </w:r>
    <w:r>
      <w:tab/>
    </w:r>
    <w:r w:rsidR="00C00031">
      <w:t>DA 20-</w:t>
    </w:r>
    <w:r w:rsidR="001E2A8D">
      <w:t>1479</w:t>
    </w:r>
  </w:p>
  <w:p w:rsidR="00D25FB5" w14:paraId="43E0BDE6" w14:textId="264B5D5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FE20B0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670D45" w14:textId="24499D9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612A0">
      <w:rPr>
        <w:spacing w:val="-2"/>
      </w:rPr>
      <w:t>DA 20-</w:t>
    </w:r>
    <w:r w:rsidR="001E2A8D">
      <w:rPr>
        <w:spacing w:val="-2"/>
      </w:rPr>
      <w:t>1479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A0"/>
    <w:rsid w:val="000053B8"/>
    <w:rsid w:val="000070ED"/>
    <w:rsid w:val="00011878"/>
    <w:rsid w:val="00011A2C"/>
    <w:rsid w:val="000132ED"/>
    <w:rsid w:val="00015FEE"/>
    <w:rsid w:val="00016D57"/>
    <w:rsid w:val="000211D7"/>
    <w:rsid w:val="00022957"/>
    <w:rsid w:val="00023481"/>
    <w:rsid w:val="00024DB2"/>
    <w:rsid w:val="00035FAB"/>
    <w:rsid w:val="00036039"/>
    <w:rsid w:val="00037BD2"/>
    <w:rsid w:val="00037F90"/>
    <w:rsid w:val="00040F96"/>
    <w:rsid w:val="00041B8B"/>
    <w:rsid w:val="00042850"/>
    <w:rsid w:val="00044AB2"/>
    <w:rsid w:val="000477D6"/>
    <w:rsid w:val="00065167"/>
    <w:rsid w:val="000727E7"/>
    <w:rsid w:val="00075D96"/>
    <w:rsid w:val="0007674B"/>
    <w:rsid w:val="00077CC5"/>
    <w:rsid w:val="00080120"/>
    <w:rsid w:val="00080F50"/>
    <w:rsid w:val="0008142F"/>
    <w:rsid w:val="000875BF"/>
    <w:rsid w:val="0009463F"/>
    <w:rsid w:val="00094A5A"/>
    <w:rsid w:val="000953E7"/>
    <w:rsid w:val="00096130"/>
    <w:rsid w:val="00096D8C"/>
    <w:rsid w:val="00097251"/>
    <w:rsid w:val="00097BB6"/>
    <w:rsid w:val="00097C99"/>
    <w:rsid w:val="000B05AD"/>
    <w:rsid w:val="000B1510"/>
    <w:rsid w:val="000B38C0"/>
    <w:rsid w:val="000B5E5C"/>
    <w:rsid w:val="000B6D64"/>
    <w:rsid w:val="000B77CB"/>
    <w:rsid w:val="000C0B50"/>
    <w:rsid w:val="000C0B65"/>
    <w:rsid w:val="000C3534"/>
    <w:rsid w:val="000C3D2F"/>
    <w:rsid w:val="000C3F3E"/>
    <w:rsid w:val="000C4D34"/>
    <w:rsid w:val="000D09FE"/>
    <w:rsid w:val="000D1C71"/>
    <w:rsid w:val="000D5E15"/>
    <w:rsid w:val="000D7871"/>
    <w:rsid w:val="000D79CD"/>
    <w:rsid w:val="000E05FE"/>
    <w:rsid w:val="000E10CB"/>
    <w:rsid w:val="000E3D42"/>
    <w:rsid w:val="000E490D"/>
    <w:rsid w:val="000E573F"/>
    <w:rsid w:val="000E5911"/>
    <w:rsid w:val="000E6BD9"/>
    <w:rsid w:val="000E7016"/>
    <w:rsid w:val="000F4ABF"/>
    <w:rsid w:val="000F626F"/>
    <w:rsid w:val="000F6287"/>
    <w:rsid w:val="000F6BB7"/>
    <w:rsid w:val="000F6BDC"/>
    <w:rsid w:val="00102463"/>
    <w:rsid w:val="00104B70"/>
    <w:rsid w:val="00105A43"/>
    <w:rsid w:val="001063C0"/>
    <w:rsid w:val="001064F6"/>
    <w:rsid w:val="00107AFF"/>
    <w:rsid w:val="00110570"/>
    <w:rsid w:val="00111D8A"/>
    <w:rsid w:val="00115C9D"/>
    <w:rsid w:val="00115DCF"/>
    <w:rsid w:val="00116CC2"/>
    <w:rsid w:val="0012012A"/>
    <w:rsid w:val="001207F2"/>
    <w:rsid w:val="00122BD5"/>
    <w:rsid w:val="00123A38"/>
    <w:rsid w:val="00123BD2"/>
    <w:rsid w:val="00124D32"/>
    <w:rsid w:val="0012619C"/>
    <w:rsid w:val="00126827"/>
    <w:rsid w:val="00131BFB"/>
    <w:rsid w:val="00132BB4"/>
    <w:rsid w:val="00132D6D"/>
    <w:rsid w:val="0013336E"/>
    <w:rsid w:val="00133F79"/>
    <w:rsid w:val="00136CC9"/>
    <w:rsid w:val="001429F3"/>
    <w:rsid w:val="001507D2"/>
    <w:rsid w:val="00150BF1"/>
    <w:rsid w:val="001531B5"/>
    <w:rsid w:val="00156474"/>
    <w:rsid w:val="001644D5"/>
    <w:rsid w:val="00166447"/>
    <w:rsid w:val="0017296B"/>
    <w:rsid w:val="001732C8"/>
    <w:rsid w:val="00180196"/>
    <w:rsid w:val="0018343A"/>
    <w:rsid w:val="00183E93"/>
    <w:rsid w:val="00187433"/>
    <w:rsid w:val="00190E62"/>
    <w:rsid w:val="00194A66"/>
    <w:rsid w:val="00195CB1"/>
    <w:rsid w:val="00196F1C"/>
    <w:rsid w:val="00197684"/>
    <w:rsid w:val="001A0304"/>
    <w:rsid w:val="001A277F"/>
    <w:rsid w:val="001A479C"/>
    <w:rsid w:val="001A5562"/>
    <w:rsid w:val="001A6C47"/>
    <w:rsid w:val="001B1F5E"/>
    <w:rsid w:val="001B4C4A"/>
    <w:rsid w:val="001B4F93"/>
    <w:rsid w:val="001C1444"/>
    <w:rsid w:val="001C312D"/>
    <w:rsid w:val="001C45D6"/>
    <w:rsid w:val="001C5C00"/>
    <w:rsid w:val="001C73E1"/>
    <w:rsid w:val="001D0AAE"/>
    <w:rsid w:val="001D14D5"/>
    <w:rsid w:val="001D17BB"/>
    <w:rsid w:val="001D38C1"/>
    <w:rsid w:val="001D47E8"/>
    <w:rsid w:val="001D6BCF"/>
    <w:rsid w:val="001E01CA"/>
    <w:rsid w:val="001E1205"/>
    <w:rsid w:val="001E2A8D"/>
    <w:rsid w:val="001F1212"/>
    <w:rsid w:val="001F2685"/>
    <w:rsid w:val="001F5BF2"/>
    <w:rsid w:val="001F7FA0"/>
    <w:rsid w:val="00200629"/>
    <w:rsid w:val="00204C9A"/>
    <w:rsid w:val="0020583B"/>
    <w:rsid w:val="0020584A"/>
    <w:rsid w:val="00206945"/>
    <w:rsid w:val="00207C9A"/>
    <w:rsid w:val="00210A15"/>
    <w:rsid w:val="00212129"/>
    <w:rsid w:val="00212699"/>
    <w:rsid w:val="00212AB0"/>
    <w:rsid w:val="00212BD0"/>
    <w:rsid w:val="00216FB8"/>
    <w:rsid w:val="00217791"/>
    <w:rsid w:val="00217DB9"/>
    <w:rsid w:val="00222240"/>
    <w:rsid w:val="00222D30"/>
    <w:rsid w:val="00224765"/>
    <w:rsid w:val="00227262"/>
    <w:rsid w:val="00231553"/>
    <w:rsid w:val="00234F2C"/>
    <w:rsid w:val="002407D8"/>
    <w:rsid w:val="00241E29"/>
    <w:rsid w:val="0024587B"/>
    <w:rsid w:val="0024679B"/>
    <w:rsid w:val="002469E2"/>
    <w:rsid w:val="00251546"/>
    <w:rsid w:val="00257411"/>
    <w:rsid w:val="002575CB"/>
    <w:rsid w:val="00257B6E"/>
    <w:rsid w:val="00257C57"/>
    <w:rsid w:val="00257EC4"/>
    <w:rsid w:val="00260855"/>
    <w:rsid w:val="00261C12"/>
    <w:rsid w:val="00270628"/>
    <w:rsid w:val="00270741"/>
    <w:rsid w:val="00270F0C"/>
    <w:rsid w:val="0027336D"/>
    <w:rsid w:val="00273978"/>
    <w:rsid w:val="00275CF5"/>
    <w:rsid w:val="00276201"/>
    <w:rsid w:val="00280116"/>
    <w:rsid w:val="002805B5"/>
    <w:rsid w:val="00282BFB"/>
    <w:rsid w:val="0028301F"/>
    <w:rsid w:val="00285017"/>
    <w:rsid w:val="00291AEE"/>
    <w:rsid w:val="00291DE0"/>
    <w:rsid w:val="002936BB"/>
    <w:rsid w:val="0029551E"/>
    <w:rsid w:val="002A0081"/>
    <w:rsid w:val="002A0FC0"/>
    <w:rsid w:val="002A2D2E"/>
    <w:rsid w:val="002A3B6E"/>
    <w:rsid w:val="002A4CBB"/>
    <w:rsid w:val="002A5158"/>
    <w:rsid w:val="002A5C5A"/>
    <w:rsid w:val="002A77DE"/>
    <w:rsid w:val="002B5A32"/>
    <w:rsid w:val="002C00E8"/>
    <w:rsid w:val="002C2566"/>
    <w:rsid w:val="002C59EF"/>
    <w:rsid w:val="002C67E4"/>
    <w:rsid w:val="002C6891"/>
    <w:rsid w:val="002C6D6B"/>
    <w:rsid w:val="002D0ACA"/>
    <w:rsid w:val="002D7968"/>
    <w:rsid w:val="002E3A64"/>
    <w:rsid w:val="002E469D"/>
    <w:rsid w:val="002E4BC7"/>
    <w:rsid w:val="002E6500"/>
    <w:rsid w:val="002F1823"/>
    <w:rsid w:val="002F3245"/>
    <w:rsid w:val="002F5B0A"/>
    <w:rsid w:val="00300385"/>
    <w:rsid w:val="00302192"/>
    <w:rsid w:val="00304EE5"/>
    <w:rsid w:val="00310BD9"/>
    <w:rsid w:val="00312606"/>
    <w:rsid w:val="00316090"/>
    <w:rsid w:val="003217AA"/>
    <w:rsid w:val="00321A5F"/>
    <w:rsid w:val="00322DA8"/>
    <w:rsid w:val="00323DFC"/>
    <w:rsid w:val="003278DF"/>
    <w:rsid w:val="00332EAC"/>
    <w:rsid w:val="0033666D"/>
    <w:rsid w:val="00336A0B"/>
    <w:rsid w:val="00343749"/>
    <w:rsid w:val="003450F4"/>
    <w:rsid w:val="00346594"/>
    <w:rsid w:val="00351F2D"/>
    <w:rsid w:val="003525C5"/>
    <w:rsid w:val="003614EE"/>
    <w:rsid w:val="003660ED"/>
    <w:rsid w:val="003664DC"/>
    <w:rsid w:val="00367CDA"/>
    <w:rsid w:val="00377632"/>
    <w:rsid w:val="00381E11"/>
    <w:rsid w:val="0038324A"/>
    <w:rsid w:val="00384516"/>
    <w:rsid w:val="00392969"/>
    <w:rsid w:val="003944FC"/>
    <w:rsid w:val="00394FEE"/>
    <w:rsid w:val="00397727"/>
    <w:rsid w:val="003A1877"/>
    <w:rsid w:val="003A1C7B"/>
    <w:rsid w:val="003A442C"/>
    <w:rsid w:val="003A4AC6"/>
    <w:rsid w:val="003A556B"/>
    <w:rsid w:val="003B0550"/>
    <w:rsid w:val="003B170E"/>
    <w:rsid w:val="003B3F03"/>
    <w:rsid w:val="003B5B3E"/>
    <w:rsid w:val="003B60D4"/>
    <w:rsid w:val="003B694F"/>
    <w:rsid w:val="003B765B"/>
    <w:rsid w:val="003C21AB"/>
    <w:rsid w:val="003C4699"/>
    <w:rsid w:val="003C49C7"/>
    <w:rsid w:val="003C659A"/>
    <w:rsid w:val="003C6FEA"/>
    <w:rsid w:val="003C7887"/>
    <w:rsid w:val="003D021B"/>
    <w:rsid w:val="003D06E8"/>
    <w:rsid w:val="003D5ED7"/>
    <w:rsid w:val="003E65BA"/>
    <w:rsid w:val="003E75C1"/>
    <w:rsid w:val="003E7AAF"/>
    <w:rsid w:val="003F171C"/>
    <w:rsid w:val="003F2142"/>
    <w:rsid w:val="003F6E16"/>
    <w:rsid w:val="003F7CC7"/>
    <w:rsid w:val="00401425"/>
    <w:rsid w:val="004029FB"/>
    <w:rsid w:val="00404C4C"/>
    <w:rsid w:val="004105A0"/>
    <w:rsid w:val="00412FC5"/>
    <w:rsid w:val="00413B6B"/>
    <w:rsid w:val="004159C4"/>
    <w:rsid w:val="00417407"/>
    <w:rsid w:val="00417CE1"/>
    <w:rsid w:val="00420105"/>
    <w:rsid w:val="00421E08"/>
    <w:rsid w:val="00422276"/>
    <w:rsid w:val="00423E8D"/>
    <w:rsid w:val="004242F1"/>
    <w:rsid w:val="0042769A"/>
    <w:rsid w:val="00427B07"/>
    <w:rsid w:val="00427B4A"/>
    <w:rsid w:val="00431D26"/>
    <w:rsid w:val="004330F6"/>
    <w:rsid w:val="00436017"/>
    <w:rsid w:val="004416EA"/>
    <w:rsid w:val="00441D22"/>
    <w:rsid w:val="0044518B"/>
    <w:rsid w:val="00445A00"/>
    <w:rsid w:val="00447F48"/>
    <w:rsid w:val="00451B0F"/>
    <w:rsid w:val="00452D92"/>
    <w:rsid w:val="00454B11"/>
    <w:rsid w:val="00455912"/>
    <w:rsid w:val="004565B8"/>
    <w:rsid w:val="004566F4"/>
    <w:rsid w:val="004578C7"/>
    <w:rsid w:val="00462990"/>
    <w:rsid w:val="0046484B"/>
    <w:rsid w:val="00464B48"/>
    <w:rsid w:val="00465732"/>
    <w:rsid w:val="00470E2F"/>
    <w:rsid w:val="00476C61"/>
    <w:rsid w:val="0047706D"/>
    <w:rsid w:val="00480B58"/>
    <w:rsid w:val="00480CFA"/>
    <w:rsid w:val="00481E88"/>
    <w:rsid w:val="004877E3"/>
    <w:rsid w:val="00492CF1"/>
    <w:rsid w:val="00495C98"/>
    <w:rsid w:val="00496667"/>
    <w:rsid w:val="004974C2"/>
    <w:rsid w:val="004A2703"/>
    <w:rsid w:val="004A2FAD"/>
    <w:rsid w:val="004A4E1F"/>
    <w:rsid w:val="004A5A26"/>
    <w:rsid w:val="004A7643"/>
    <w:rsid w:val="004A78B5"/>
    <w:rsid w:val="004B0361"/>
    <w:rsid w:val="004B77B2"/>
    <w:rsid w:val="004C1518"/>
    <w:rsid w:val="004C19A1"/>
    <w:rsid w:val="004C2BDB"/>
    <w:rsid w:val="004C2EE3"/>
    <w:rsid w:val="004C40A0"/>
    <w:rsid w:val="004C673D"/>
    <w:rsid w:val="004C7D37"/>
    <w:rsid w:val="004D1EAD"/>
    <w:rsid w:val="004D4A0A"/>
    <w:rsid w:val="004D5B74"/>
    <w:rsid w:val="004E4A22"/>
    <w:rsid w:val="004E54CB"/>
    <w:rsid w:val="004E69D7"/>
    <w:rsid w:val="004F1EA6"/>
    <w:rsid w:val="004F1F97"/>
    <w:rsid w:val="004F31D7"/>
    <w:rsid w:val="004F6C89"/>
    <w:rsid w:val="004F7C11"/>
    <w:rsid w:val="00500416"/>
    <w:rsid w:val="00501BA5"/>
    <w:rsid w:val="00503498"/>
    <w:rsid w:val="00511247"/>
    <w:rsid w:val="00511968"/>
    <w:rsid w:val="00514078"/>
    <w:rsid w:val="00517636"/>
    <w:rsid w:val="00520AE7"/>
    <w:rsid w:val="005228B8"/>
    <w:rsid w:val="00523175"/>
    <w:rsid w:val="005231CF"/>
    <w:rsid w:val="00523256"/>
    <w:rsid w:val="005233C6"/>
    <w:rsid w:val="00524BC4"/>
    <w:rsid w:val="00525538"/>
    <w:rsid w:val="005277C6"/>
    <w:rsid w:val="005303E1"/>
    <w:rsid w:val="00534077"/>
    <w:rsid w:val="005352F7"/>
    <w:rsid w:val="00535547"/>
    <w:rsid w:val="0053743A"/>
    <w:rsid w:val="00543A78"/>
    <w:rsid w:val="00547E31"/>
    <w:rsid w:val="005504DA"/>
    <w:rsid w:val="00552348"/>
    <w:rsid w:val="00553D6E"/>
    <w:rsid w:val="00554D60"/>
    <w:rsid w:val="0055614C"/>
    <w:rsid w:val="00556C57"/>
    <w:rsid w:val="00557392"/>
    <w:rsid w:val="005600BD"/>
    <w:rsid w:val="00565A71"/>
    <w:rsid w:val="00566D06"/>
    <w:rsid w:val="0056765E"/>
    <w:rsid w:val="00573E5F"/>
    <w:rsid w:val="00575434"/>
    <w:rsid w:val="005808A2"/>
    <w:rsid w:val="00582504"/>
    <w:rsid w:val="005827B3"/>
    <w:rsid w:val="005832D0"/>
    <w:rsid w:val="005852C2"/>
    <w:rsid w:val="005871E9"/>
    <w:rsid w:val="00590C5F"/>
    <w:rsid w:val="005956BD"/>
    <w:rsid w:val="005958B9"/>
    <w:rsid w:val="005A0EE7"/>
    <w:rsid w:val="005A4B0C"/>
    <w:rsid w:val="005A5E1D"/>
    <w:rsid w:val="005A6B6B"/>
    <w:rsid w:val="005B0408"/>
    <w:rsid w:val="005B34EF"/>
    <w:rsid w:val="005C3052"/>
    <w:rsid w:val="005C5949"/>
    <w:rsid w:val="005C751D"/>
    <w:rsid w:val="005D3A3A"/>
    <w:rsid w:val="005D5F9D"/>
    <w:rsid w:val="005E14C2"/>
    <w:rsid w:val="005E18A7"/>
    <w:rsid w:val="005E3AAA"/>
    <w:rsid w:val="005E6F85"/>
    <w:rsid w:val="005F0841"/>
    <w:rsid w:val="005F3143"/>
    <w:rsid w:val="005F504C"/>
    <w:rsid w:val="005F5697"/>
    <w:rsid w:val="005F5FAE"/>
    <w:rsid w:val="005F6CD1"/>
    <w:rsid w:val="00601AB5"/>
    <w:rsid w:val="00601B1B"/>
    <w:rsid w:val="00601D11"/>
    <w:rsid w:val="006027D2"/>
    <w:rsid w:val="0060328E"/>
    <w:rsid w:val="00604500"/>
    <w:rsid w:val="00605D35"/>
    <w:rsid w:val="006067C0"/>
    <w:rsid w:val="006073A8"/>
    <w:rsid w:val="00607BA5"/>
    <w:rsid w:val="0061180A"/>
    <w:rsid w:val="00615F14"/>
    <w:rsid w:val="006173CB"/>
    <w:rsid w:val="00617D85"/>
    <w:rsid w:val="00620D09"/>
    <w:rsid w:val="00620E9C"/>
    <w:rsid w:val="0062395C"/>
    <w:rsid w:val="0062675E"/>
    <w:rsid w:val="006267B9"/>
    <w:rsid w:val="00626EB6"/>
    <w:rsid w:val="00631077"/>
    <w:rsid w:val="006349C1"/>
    <w:rsid w:val="00634CEC"/>
    <w:rsid w:val="0063609B"/>
    <w:rsid w:val="0063769F"/>
    <w:rsid w:val="00642392"/>
    <w:rsid w:val="00644055"/>
    <w:rsid w:val="0064682D"/>
    <w:rsid w:val="006523FA"/>
    <w:rsid w:val="006524C6"/>
    <w:rsid w:val="00653D48"/>
    <w:rsid w:val="0065417B"/>
    <w:rsid w:val="00655D03"/>
    <w:rsid w:val="00655FD6"/>
    <w:rsid w:val="006612A0"/>
    <w:rsid w:val="006653F5"/>
    <w:rsid w:val="00666A03"/>
    <w:rsid w:val="00667BF3"/>
    <w:rsid w:val="006722B9"/>
    <w:rsid w:val="00672750"/>
    <w:rsid w:val="00674216"/>
    <w:rsid w:val="006746D0"/>
    <w:rsid w:val="0067569B"/>
    <w:rsid w:val="00683388"/>
    <w:rsid w:val="00683C02"/>
    <w:rsid w:val="00683F84"/>
    <w:rsid w:val="0069599C"/>
    <w:rsid w:val="00697C37"/>
    <w:rsid w:val="006A0CAF"/>
    <w:rsid w:val="006A4CCE"/>
    <w:rsid w:val="006A5960"/>
    <w:rsid w:val="006A6704"/>
    <w:rsid w:val="006A6A81"/>
    <w:rsid w:val="006A6F36"/>
    <w:rsid w:val="006B19DC"/>
    <w:rsid w:val="006B2D8E"/>
    <w:rsid w:val="006B3F8E"/>
    <w:rsid w:val="006B514E"/>
    <w:rsid w:val="006C2358"/>
    <w:rsid w:val="006C35BF"/>
    <w:rsid w:val="006C5467"/>
    <w:rsid w:val="006C54FC"/>
    <w:rsid w:val="006C6AD8"/>
    <w:rsid w:val="006C7A4F"/>
    <w:rsid w:val="006D097D"/>
    <w:rsid w:val="006D16CF"/>
    <w:rsid w:val="006D2120"/>
    <w:rsid w:val="006D35CD"/>
    <w:rsid w:val="006D3A34"/>
    <w:rsid w:val="006D5E93"/>
    <w:rsid w:val="006E0860"/>
    <w:rsid w:val="006E25A4"/>
    <w:rsid w:val="006E26B0"/>
    <w:rsid w:val="006E33AC"/>
    <w:rsid w:val="006E4488"/>
    <w:rsid w:val="006E6EFE"/>
    <w:rsid w:val="006F1752"/>
    <w:rsid w:val="006F5302"/>
    <w:rsid w:val="006F64A8"/>
    <w:rsid w:val="006F7393"/>
    <w:rsid w:val="006F7BD0"/>
    <w:rsid w:val="007001BB"/>
    <w:rsid w:val="0070224F"/>
    <w:rsid w:val="00705EDC"/>
    <w:rsid w:val="007115F7"/>
    <w:rsid w:val="00712880"/>
    <w:rsid w:val="00716034"/>
    <w:rsid w:val="00717F6B"/>
    <w:rsid w:val="007200FF"/>
    <w:rsid w:val="00721EC2"/>
    <w:rsid w:val="00723D1F"/>
    <w:rsid w:val="007423C1"/>
    <w:rsid w:val="00747BCB"/>
    <w:rsid w:val="007519CF"/>
    <w:rsid w:val="007537DE"/>
    <w:rsid w:val="0075383D"/>
    <w:rsid w:val="00754ACB"/>
    <w:rsid w:val="00757CC1"/>
    <w:rsid w:val="00760E19"/>
    <w:rsid w:val="00766548"/>
    <w:rsid w:val="00766DEC"/>
    <w:rsid w:val="00781268"/>
    <w:rsid w:val="00785689"/>
    <w:rsid w:val="00785D79"/>
    <w:rsid w:val="00786CD0"/>
    <w:rsid w:val="00794322"/>
    <w:rsid w:val="00795681"/>
    <w:rsid w:val="0079754B"/>
    <w:rsid w:val="007A09A1"/>
    <w:rsid w:val="007A10EF"/>
    <w:rsid w:val="007A1B3A"/>
    <w:rsid w:val="007A1E6D"/>
    <w:rsid w:val="007A3606"/>
    <w:rsid w:val="007A47AC"/>
    <w:rsid w:val="007A52B1"/>
    <w:rsid w:val="007B0EB2"/>
    <w:rsid w:val="007B174E"/>
    <w:rsid w:val="007B1E1B"/>
    <w:rsid w:val="007B54E3"/>
    <w:rsid w:val="007B5E39"/>
    <w:rsid w:val="007C10E3"/>
    <w:rsid w:val="007C3720"/>
    <w:rsid w:val="007C44BC"/>
    <w:rsid w:val="007C486F"/>
    <w:rsid w:val="007C4A71"/>
    <w:rsid w:val="007C521F"/>
    <w:rsid w:val="007C7D64"/>
    <w:rsid w:val="007D0328"/>
    <w:rsid w:val="007D0697"/>
    <w:rsid w:val="007D0ADA"/>
    <w:rsid w:val="007D3ACE"/>
    <w:rsid w:val="007D67C4"/>
    <w:rsid w:val="007E0B31"/>
    <w:rsid w:val="007E23BC"/>
    <w:rsid w:val="007E2ADB"/>
    <w:rsid w:val="007E2EC1"/>
    <w:rsid w:val="007E5BE5"/>
    <w:rsid w:val="007E5F0C"/>
    <w:rsid w:val="007E750E"/>
    <w:rsid w:val="007F061D"/>
    <w:rsid w:val="008019FB"/>
    <w:rsid w:val="008032FD"/>
    <w:rsid w:val="00805459"/>
    <w:rsid w:val="00807F7A"/>
    <w:rsid w:val="008108CD"/>
    <w:rsid w:val="00810B6F"/>
    <w:rsid w:val="00811F7D"/>
    <w:rsid w:val="00815CA0"/>
    <w:rsid w:val="00820CF9"/>
    <w:rsid w:val="0082298E"/>
    <w:rsid w:val="00822AD6"/>
    <w:rsid w:val="00822CE0"/>
    <w:rsid w:val="00823BA0"/>
    <w:rsid w:val="00833870"/>
    <w:rsid w:val="00834455"/>
    <w:rsid w:val="008353E0"/>
    <w:rsid w:val="00836B19"/>
    <w:rsid w:val="00837F38"/>
    <w:rsid w:val="008404DD"/>
    <w:rsid w:val="00840AF6"/>
    <w:rsid w:val="00841AB1"/>
    <w:rsid w:val="00843041"/>
    <w:rsid w:val="00843B13"/>
    <w:rsid w:val="00844579"/>
    <w:rsid w:val="008479FF"/>
    <w:rsid w:val="008661F5"/>
    <w:rsid w:val="00870A34"/>
    <w:rsid w:val="00870B50"/>
    <w:rsid w:val="00871A89"/>
    <w:rsid w:val="0087261F"/>
    <w:rsid w:val="00873B24"/>
    <w:rsid w:val="00875A7D"/>
    <w:rsid w:val="00875D43"/>
    <w:rsid w:val="008769E5"/>
    <w:rsid w:val="0087794B"/>
    <w:rsid w:val="00880CED"/>
    <w:rsid w:val="008812FF"/>
    <w:rsid w:val="008819BF"/>
    <w:rsid w:val="0088486C"/>
    <w:rsid w:val="00884B30"/>
    <w:rsid w:val="00884D98"/>
    <w:rsid w:val="0088671E"/>
    <w:rsid w:val="008910D7"/>
    <w:rsid w:val="00891B84"/>
    <w:rsid w:val="00892441"/>
    <w:rsid w:val="008968CC"/>
    <w:rsid w:val="008A1395"/>
    <w:rsid w:val="008A7B84"/>
    <w:rsid w:val="008B084A"/>
    <w:rsid w:val="008B74C0"/>
    <w:rsid w:val="008C374D"/>
    <w:rsid w:val="008C68F1"/>
    <w:rsid w:val="008C7D6C"/>
    <w:rsid w:val="008D2996"/>
    <w:rsid w:val="008D3D02"/>
    <w:rsid w:val="008D447F"/>
    <w:rsid w:val="008E0ADB"/>
    <w:rsid w:val="008E53EE"/>
    <w:rsid w:val="008E580C"/>
    <w:rsid w:val="008E68BA"/>
    <w:rsid w:val="008E6904"/>
    <w:rsid w:val="008F0BB1"/>
    <w:rsid w:val="008F14DF"/>
    <w:rsid w:val="008F1DAB"/>
    <w:rsid w:val="008F2B27"/>
    <w:rsid w:val="008F4777"/>
    <w:rsid w:val="009017EF"/>
    <w:rsid w:val="00901FCF"/>
    <w:rsid w:val="0090518F"/>
    <w:rsid w:val="0090610C"/>
    <w:rsid w:val="009062F6"/>
    <w:rsid w:val="00907E05"/>
    <w:rsid w:val="00913001"/>
    <w:rsid w:val="00916BC8"/>
    <w:rsid w:val="00920D0C"/>
    <w:rsid w:val="00921803"/>
    <w:rsid w:val="0092209F"/>
    <w:rsid w:val="00922F8A"/>
    <w:rsid w:val="0092564A"/>
    <w:rsid w:val="00926503"/>
    <w:rsid w:val="0092690F"/>
    <w:rsid w:val="009273F5"/>
    <w:rsid w:val="00941E70"/>
    <w:rsid w:val="009429F3"/>
    <w:rsid w:val="0094379B"/>
    <w:rsid w:val="00946141"/>
    <w:rsid w:val="00950D2E"/>
    <w:rsid w:val="00955E50"/>
    <w:rsid w:val="00957E91"/>
    <w:rsid w:val="00961DAD"/>
    <w:rsid w:val="00962E6D"/>
    <w:rsid w:val="0096728A"/>
    <w:rsid w:val="00972663"/>
    <w:rsid w:val="009726D8"/>
    <w:rsid w:val="00981B5F"/>
    <w:rsid w:val="00983514"/>
    <w:rsid w:val="00990267"/>
    <w:rsid w:val="00992228"/>
    <w:rsid w:val="00992DFE"/>
    <w:rsid w:val="0099336E"/>
    <w:rsid w:val="00994336"/>
    <w:rsid w:val="0099685A"/>
    <w:rsid w:val="00996D25"/>
    <w:rsid w:val="00996E7E"/>
    <w:rsid w:val="009976E3"/>
    <w:rsid w:val="009A031D"/>
    <w:rsid w:val="009A161D"/>
    <w:rsid w:val="009A38EE"/>
    <w:rsid w:val="009B1E0A"/>
    <w:rsid w:val="009B200C"/>
    <w:rsid w:val="009B22CA"/>
    <w:rsid w:val="009B40B2"/>
    <w:rsid w:val="009B68D0"/>
    <w:rsid w:val="009C02AF"/>
    <w:rsid w:val="009C0A71"/>
    <w:rsid w:val="009C0B7C"/>
    <w:rsid w:val="009C1956"/>
    <w:rsid w:val="009C46C5"/>
    <w:rsid w:val="009C5CFD"/>
    <w:rsid w:val="009D3FE7"/>
    <w:rsid w:val="009D4B83"/>
    <w:rsid w:val="009D4C63"/>
    <w:rsid w:val="009D5C8C"/>
    <w:rsid w:val="009D7308"/>
    <w:rsid w:val="009D77AD"/>
    <w:rsid w:val="009E0972"/>
    <w:rsid w:val="009E09BE"/>
    <w:rsid w:val="009E1E0C"/>
    <w:rsid w:val="009E4B12"/>
    <w:rsid w:val="009F6B09"/>
    <w:rsid w:val="009F6F87"/>
    <w:rsid w:val="009F76DB"/>
    <w:rsid w:val="00A01A15"/>
    <w:rsid w:val="00A02C6A"/>
    <w:rsid w:val="00A07563"/>
    <w:rsid w:val="00A07A5D"/>
    <w:rsid w:val="00A1182C"/>
    <w:rsid w:val="00A13A26"/>
    <w:rsid w:val="00A13FF5"/>
    <w:rsid w:val="00A15DCD"/>
    <w:rsid w:val="00A1616A"/>
    <w:rsid w:val="00A245D8"/>
    <w:rsid w:val="00A27E77"/>
    <w:rsid w:val="00A3282E"/>
    <w:rsid w:val="00A32A5A"/>
    <w:rsid w:val="00A32C3B"/>
    <w:rsid w:val="00A3345B"/>
    <w:rsid w:val="00A33C77"/>
    <w:rsid w:val="00A34450"/>
    <w:rsid w:val="00A34491"/>
    <w:rsid w:val="00A34E5D"/>
    <w:rsid w:val="00A40105"/>
    <w:rsid w:val="00A427E7"/>
    <w:rsid w:val="00A438C3"/>
    <w:rsid w:val="00A45097"/>
    <w:rsid w:val="00A45F4F"/>
    <w:rsid w:val="00A4660C"/>
    <w:rsid w:val="00A477D2"/>
    <w:rsid w:val="00A524DE"/>
    <w:rsid w:val="00A600A9"/>
    <w:rsid w:val="00A67BD2"/>
    <w:rsid w:val="00A70603"/>
    <w:rsid w:val="00A729FF"/>
    <w:rsid w:val="00A733A6"/>
    <w:rsid w:val="00A74AC8"/>
    <w:rsid w:val="00A76CFC"/>
    <w:rsid w:val="00A81E7B"/>
    <w:rsid w:val="00A8401A"/>
    <w:rsid w:val="00A843D9"/>
    <w:rsid w:val="00A85E0C"/>
    <w:rsid w:val="00A85E4E"/>
    <w:rsid w:val="00A9171E"/>
    <w:rsid w:val="00A926A6"/>
    <w:rsid w:val="00A92B15"/>
    <w:rsid w:val="00A942A8"/>
    <w:rsid w:val="00A947CE"/>
    <w:rsid w:val="00A95E4F"/>
    <w:rsid w:val="00AA0698"/>
    <w:rsid w:val="00AA530B"/>
    <w:rsid w:val="00AA55B7"/>
    <w:rsid w:val="00AA5B9E"/>
    <w:rsid w:val="00AB11EF"/>
    <w:rsid w:val="00AB2407"/>
    <w:rsid w:val="00AB4E7B"/>
    <w:rsid w:val="00AB53DF"/>
    <w:rsid w:val="00AB5950"/>
    <w:rsid w:val="00AB73CD"/>
    <w:rsid w:val="00AC37B8"/>
    <w:rsid w:val="00AC3EE7"/>
    <w:rsid w:val="00AC74C9"/>
    <w:rsid w:val="00AC7C66"/>
    <w:rsid w:val="00AD1185"/>
    <w:rsid w:val="00AD1367"/>
    <w:rsid w:val="00AD678D"/>
    <w:rsid w:val="00AE0B82"/>
    <w:rsid w:val="00AE1019"/>
    <w:rsid w:val="00AE38DD"/>
    <w:rsid w:val="00AE3ADC"/>
    <w:rsid w:val="00AE4266"/>
    <w:rsid w:val="00AE5699"/>
    <w:rsid w:val="00AE5F7C"/>
    <w:rsid w:val="00AE674F"/>
    <w:rsid w:val="00AF1F3A"/>
    <w:rsid w:val="00AF4A8B"/>
    <w:rsid w:val="00AF5B35"/>
    <w:rsid w:val="00B0178B"/>
    <w:rsid w:val="00B06432"/>
    <w:rsid w:val="00B07E5C"/>
    <w:rsid w:val="00B16418"/>
    <w:rsid w:val="00B17F32"/>
    <w:rsid w:val="00B207CC"/>
    <w:rsid w:val="00B21D91"/>
    <w:rsid w:val="00B23CB5"/>
    <w:rsid w:val="00B23D79"/>
    <w:rsid w:val="00B268F0"/>
    <w:rsid w:val="00B269F1"/>
    <w:rsid w:val="00B332AD"/>
    <w:rsid w:val="00B335FF"/>
    <w:rsid w:val="00B40000"/>
    <w:rsid w:val="00B4210F"/>
    <w:rsid w:val="00B42F68"/>
    <w:rsid w:val="00B433C3"/>
    <w:rsid w:val="00B434A7"/>
    <w:rsid w:val="00B44DD9"/>
    <w:rsid w:val="00B45FE8"/>
    <w:rsid w:val="00B46F06"/>
    <w:rsid w:val="00B471F6"/>
    <w:rsid w:val="00B50211"/>
    <w:rsid w:val="00B524F7"/>
    <w:rsid w:val="00B529C5"/>
    <w:rsid w:val="00B53CE9"/>
    <w:rsid w:val="00B53E04"/>
    <w:rsid w:val="00B55941"/>
    <w:rsid w:val="00B6119E"/>
    <w:rsid w:val="00B6318F"/>
    <w:rsid w:val="00B67308"/>
    <w:rsid w:val="00B72CA9"/>
    <w:rsid w:val="00B743E3"/>
    <w:rsid w:val="00B770C8"/>
    <w:rsid w:val="00B77776"/>
    <w:rsid w:val="00B8070F"/>
    <w:rsid w:val="00B80909"/>
    <w:rsid w:val="00B811F7"/>
    <w:rsid w:val="00B85C4A"/>
    <w:rsid w:val="00B85C69"/>
    <w:rsid w:val="00B9123C"/>
    <w:rsid w:val="00B94605"/>
    <w:rsid w:val="00B94FFD"/>
    <w:rsid w:val="00B959C7"/>
    <w:rsid w:val="00B968CC"/>
    <w:rsid w:val="00BA2C38"/>
    <w:rsid w:val="00BA4084"/>
    <w:rsid w:val="00BA5DC6"/>
    <w:rsid w:val="00BA6196"/>
    <w:rsid w:val="00BA7167"/>
    <w:rsid w:val="00BB28F0"/>
    <w:rsid w:val="00BB44AF"/>
    <w:rsid w:val="00BC1138"/>
    <w:rsid w:val="00BC1CE5"/>
    <w:rsid w:val="00BC1FCF"/>
    <w:rsid w:val="00BC51A5"/>
    <w:rsid w:val="00BC6B49"/>
    <w:rsid w:val="00BC6D8C"/>
    <w:rsid w:val="00BD4972"/>
    <w:rsid w:val="00BD510B"/>
    <w:rsid w:val="00BD7581"/>
    <w:rsid w:val="00BE0EDD"/>
    <w:rsid w:val="00BE19C8"/>
    <w:rsid w:val="00BE3366"/>
    <w:rsid w:val="00BE6914"/>
    <w:rsid w:val="00BF0896"/>
    <w:rsid w:val="00BF321A"/>
    <w:rsid w:val="00BF4CA0"/>
    <w:rsid w:val="00BF6D28"/>
    <w:rsid w:val="00C00031"/>
    <w:rsid w:val="00C05CC0"/>
    <w:rsid w:val="00C133DF"/>
    <w:rsid w:val="00C15430"/>
    <w:rsid w:val="00C247D2"/>
    <w:rsid w:val="00C25452"/>
    <w:rsid w:val="00C26CAA"/>
    <w:rsid w:val="00C30DFB"/>
    <w:rsid w:val="00C314BF"/>
    <w:rsid w:val="00C34006"/>
    <w:rsid w:val="00C35655"/>
    <w:rsid w:val="00C36831"/>
    <w:rsid w:val="00C36927"/>
    <w:rsid w:val="00C36B4C"/>
    <w:rsid w:val="00C426B1"/>
    <w:rsid w:val="00C4718C"/>
    <w:rsid w:val="00C50932"/>
    <w:rsid w:val="00C50AF2"/>
    <w:rsid w:val="00C50DFC"/>
    <w:rsid w:val="00C513C1"/>
    <w:rsid w:val="00C516C3"/>
    <w:rsid w:val="00C523FE"/>
    <w:rsid w:val="00C609AC"/>
    <w:rsid w:val="00C6128E"/>
    <w:rsid w:val="00C6414D"/>
    <w:rsid w:val="00C66160"/>
    <w:rsid w:val="00C66294"/>
    <w:rsid w:val="00C721AC"/>
    <w:rsid w:val="00C7780C"/>
    <w:rsid w:val="00C80B2E"/>
    <w:rsid w:val="00C818FF"/>
    <w:rsid w:val="00C86E46"/>
    <w:rsid w:val="00C86EFF"/>
    <w:rsid w:val="00C9062D"/>
    <w:rsid w:val="00C90D6A"/>
    <w:rsid w:val="00C91EF6"/>
    <w:rsid w:val="00CA247E"/>
    <w:rsid w:val="00CA37C8"/>
    <w:rsid w:val="00CA4C6E"/>
    <w:rsid w:val="00CA6D21"/>
    <w:rsid w:val="00CC1D9F"/>
    <w:rsid w:val="00CC2799"/>
    <w:rsid w:val="00CC434F"/>
    <w:rsid w:val="00CC49E1"/>
    <w:rsid w:val="00CC72B6"/>
    <w:rsid w:val="00CD1031"/>
    <w:rsid w:val="00CD3697"/>
    <w:rsid w:val="00CE21CD"/>
    <w:rsid w:val="00CE2F34"/>
    <w:rsid w:val="00CE3F11"/>
    <w:rsid w:val="00CE5467"/>
    <w:rsid w:val="00CF5BDE"/>
    <w:rsid w:val="00CF603C"/>
    <w:rsid w:val="00D005C6"/>
    <w:rsid w:val="00D00D47"/>
    <w:rsid w:val="00D01262"/>
    <w:rsid w:val="00D01E2F"/>
    <w:rsid w:val="00D01F27"/>
    <w:rsid w:val="00D0218D"/>
    <w:rsid w:val="00D04EB5"/>
    <w:rsid w:val="00D10C2B"/>
    <w:rsid w:val="00D143FE"/>
    <w:rsid w:val="00D14F7C"/>
    <w:rsid w:val="00D159F7"/>
    <w:rsid w:val="00D17CF2"/>
    <w:rsid w:val="00D17DC1"/>
    <w:rsid w:val="00D20997"/>
    <w:rsid w:val="00D21269"/>
    <w:rsid w:val="00D224E4"/>
    <w:rsid w:val="00D24DBD"/>
    <w:rsid w:val="00D25FB5"/>
    <w:rsid w:val="00D260A3"/>
    <w:rsid w:val="00D26280"/>
    <w:rsid w:val="00D270A5"/>
    <w:rsid w:val="00D33259"/>
    <w:rsid w:val="00D33D5E"/>
    <w:rsid w:val="00D366F5"/>
    <w:rsid w:val="00D4161C"/>
    <w:rsid w:val="00D44223"/>
    <w:rsid w:val="00D446A8"/>
    <w:rsid w:val="00D44D41"/>
    <w:rsid w:val="00D479A7"/>
    <w:rsid w:val="00D500B1"/>
    <w:rsid w:val="00D50434"/>
    <w:rsid w:val="00D5115F"/>
    <w:rsid w:val="00D523B3"/>
    <w:rsid w:val="00D53878"/>
    <w:rsid w:val="00D54B83"/>
    <w:rsid w:val="00D552AC"/>
    <w:rsid w:val="00D56DFB"/>
    <w:rsid w:val="00D61BDB"/>
    <w:rsid w:val="00D621D9"/>
    <w:rsid w:val="00D652B8"/>
    <w:rsid w:val="00D6593F"/>
    <w:rsid w:val="00D66A02"/>
    <w:rsid w:val="00D71B05"/>
    <w:rsid w:val="00D73EB7"/>
    <w:rsid w:val="00D74BDC"/>
    <w:rsid w:val="00D807C1"/>
    <w:rsid w:val="00D82843"/>
    <w:rsid w:val="00D82D9D"/>
    <w:rsid w:val="00D873C2"/>
    <w:rsid w:val="00D87953"/>
    <w:rsid w:val="00D93426"/>
    <w:rsid w:val="00D9434B"/>
    <w:rsid w:val="00D96A42"/>
    <w:rsid w:val="00D97AC2"/>
    <w:rsid w:val="00DA0DCB"/>
    <w:rsid w:val="00DA2529"/>
    <w:rsid w:val="00DA4A78"/>
    <w:rsid w:val="00DA4A9D"/>
    <w:rsid w:val="00DA5BB2"/>
    <w:rsid w:val="00DA6794"/>
    <w:rsid w:val="00DB130A"/>
    <w:rsid w:val="00DB2EBB"/>
    <w:rsid w:val="00DB55FD"/>
    <w:rsid w:val="00DB5C10"/>
    <w:rsid w:val="00DB65FD"/>
    <w:rsid w:val="00DC10A1"/>
    <w:rsid w:val="00DC1BAC"/>
    <w:rsid w:val="00DC20BA"/>
    <w:rsid w:val="00DC2351"/>
    <w:rsid w:val="00DC655F"/>
    <w:rsid w:val="00DC752D"/>
    <w:rsid w:val="00DC79AF"/>
    <w:rsid w:val="00DD0B59"/>
    <w:rsid w:val="00DD15B8"/>
    <w:rsid w:val="00DD3E6C"/>
    <w:rsid w:val="00DD5EC4"/>
    <w:rsid w:val="00DD632D"/>
    <w:rsid w:val="00DD6B97"/>
    <w:rsid w:val="00DD71DC"/>
    <w:rsid w:val="00DD7EBD"/>
    <w:rsid w:val="00DE33FC"/>
    <w:rsid w:val="00DE58C7"/>
    <w:rsid w:val="00DE78CC"/>
    <w:rsid w:val="00DF5E2F"/>
    <w:rsid w:val="00DF5E6D"/>
    <w:rsid w:val="00DF62B6"/>
    <w:rsid w:val="00DF73AB"/>
    <w:rsid w:val="00E000B3"/>
    <w:rsid w:val="00E00328"/>
    <w:rsid w:val="00E010C3"/>
    <w:rsid w:val="00E015DB"/>
    <w:rsid w:val="00E02007"/>
    <w:rsid w:val="00E05026"/>
    <w:rsid w:val="00E06FC9"/>
    <w:rsid w:val="00E07225"/>
    <w:rsid w:val="00E105B2"/>
    <w:rsid w:val="00E13F61"/>
    <w:rsid w:val="00E16BD2"/>
    <w:rsid w:val="00E17CE5"/>
    <w:rsid w:val="00E21B83"/>
    <w:rsid w:val="00E23744"/>
    <w:rsid w:val="00E24C57"/>
    <w:rsid w:val="00E26847"/>
    <w:rsid w:val="00E26FA2"/>
    <w:rsid w:val="00E319F3"/>
    <w:rsid w:val="00E32630"/>
    <w:rsid w:val="00E33A25"/>
    <w:rsid w:val="00E36081"/>
    <w:rsid w:val="00E369AF"/>
    <w:rsid w:val="00E445FA"/>
    <w:rsid w:val="00E44D60"/>
    <w:rsid w:val="00E46171"/>
    <w:rsid w:val="00E50E10"/>
    <w:rsid w:val="00E51A38"/>
    <w:rsid w:val="00E53931"/>
    <w:rsid w:val="00E53CB2"/>
    <w:rsid w:val="00E5409F"/>
    <w:rsid w:val="00E57930"/>
    <w:rsid w:val="00E61FA2"/>
    <w:rsid w:val="00E62C92"/>
    <w:rsid w:val="00E70E3B"/>
    <w:rsid w:val="00E72222"/>
    <w:rsid w:val="00E735EE"/>
    <w:rsid w:val="00E75C9C"/>
    <w:rsid w:val="00E80262"/>
    <w:rsid w:val="00E811D4"/>
    <w:rsid w:val="00E83DE3"/>
    <w:rsid w:val="00E84088"/>
    <w:rsid w:val="00E950C2"/>
    <w:rsid w:val="00EA02DE"/>
    <w:rsid w:val="00EA0EF0"/>
    <w:rsid w:val="00EA6143"/>
    <w:rsid w:val="00EB2105"/>
    <w:rsid w:val="00EB21BD"/>
    <w:rsid w:val="00EB29AF"/>
    <w:rsid w:val="00EB40A5"/>
    <w:rsid w:val="00EB5DA7"/>
    <w:rsid w:val="00EC1738"/>
    <w:rsid w:val="00EC1B50"/>
    <w:rsid w:val="00EC202C"/>
    <w:rsid w:val="00EC6804"/>
    <w:rsid w:val="00ED1C20"/>
    <w:rsid w:val="00ED3E37"/>
    <w:rsid w:val="00ED500D"/>
    <w:rsid w:val="00EE1EF2"/>
    <w:rsid w:val="00EE2B2C"/>
    <w:rsid w:val="00EE3266"/>
    <w:rsid w:val="00EE4BCE"/>
    <w:rsid w:val="00EE5AD4"/>
    <w:rsid w:val="00EE6107"/>
    <w:rsid w:val="00EE6488"/>
    <w:rsid w:val="00EF0995"/>
    <w:rsid w:val="00EF1DB7"/>
    <w:rsid w:val="00EF2F93"/>
    <w:rsid w:val="00EF454F"/>
    <w:rsid w:val="00EF48A4"/>
    <w:rsid w:val="00EF5417"/>
    <w:rsid w:val="00EF7DDD"/>
    <w:rsid w:val="00F00277"/>
    <w:rsid w:val="00F021FA"/>
    <w:rsid w:val="00F033CE"/>
    <w:rsid w:val="00F034A3"/>
    <w:rsid w:val="00F0497B"/>
    <w:rsid w:val="00F06EE0"/>
    <w:rsid w:val="00F10967"/>
    <w:rsid w:val="00F12BBE"/>
    <w:rsid w:val="00F13F94"/>
    <w:rsid w:val="00F20F56"/>
    <w:rsid w:val="00F23242"/>
    <w:rsid w:val="00F23A63"/>
    <w:rsid w:val="00F24B80"/>
    <w:rsid w:val="00F26828"/>
    <w:rsid w:val="00F303C7"/>
    <w:rsid w:val="00F33C3A"/>
    <w:rsid w:val="00F35BA3"/>
    <w:rsid w:val="00F51070"/>
    <w:rsid w:val="00F52F32"/>
    <w:rsid w:val="00F60A49"/>
    <w:rsid w:val="00F62E97"/>
    <w:rsid w:val="00F6345D"/>
    <w:rsid w:val="00F64209"/>
    <w:rsid w:val="00F64352"/>
    <w:rsid w:val="00F71146"/>
    <w:rsid w:val="00F711EC"/>
    <w:rsid w:val="00F7143E"/>
    <w:rsid w:val="00F737B0"/>
    <w:rsid w:val="00F7681D"/>
    <w:rsid w:val="00F80878"/>
    <w:rsid w:val="00F81204"/>
    <w:rsid w:val="00F83FA2"/>
    <w:rsid w:val="00F85E27"/>
    <w:rsid w:val="00F91C7C"/>
    <w:rsid w:val="00F91E27"/>
    <w:rsid w:val="00F91F37"/>
    <w:rsid w:val="00F93BF5"/>
    <w:rsid w:val="00FA05A0"/>
    <w:rsid w:val="00FA2BFD"/>
    <w:rsid w:val="00FB12B9"/>
    <w:rsid w:val="00FB2C1C"/>
    <w:rsid w:val="00FB4AAC"/>
    <w:rsid w:val="00FC061C"/>
    <w:rsid w:val="00FC0790"/>
    <w:rsid w:val="00FC1BE7"/>
    <w:rsid w:val="00FC476D"/>
    <w:rsid w:val="00FC47AC"/>
    <w:rsid w:val="00FD13DB"/>
    <w:rsid w:val="00FD19B9"/>
    <w:rsid w:val="00FD4D19"/>
    <w:rsid w:val="00FD75D6"/>
    <w:rsid w:val="00FE036A"/>
    <w:rsid w:val="00FE0A0F"/>
    <w:rsid w:val="00FE4C6A"/>
    <w:rsid w:val="00FE5106"/>
    <w:rsid w:val="00FE6AA2"/>
    <w:rsid w:val="00FE7E87"/>
    <w:rsid w:val="00FF3809"/>
    <w:rsid w:val="00FF5506"/>
    <w:rsid w:val="02486F39"/>
    <w:rsid w:val="0658C98A"/>
    <w:rsid w:val="096899F6"/>
    <w:rsid w:val="0AB2CE5F"/>
    <w:rsid w:val="0BD62922"/>
    <w:rsid w:val="0BEF780D"/>
    <w:rsid w:val="11843211"/>
    <w:rsid w:val="12AB11D6"/>
    <w:rsid w:val="17669653"/>
    <w:rsid w:val="24DA498B"/>
    <w:rsid w:val="27084C37"/>
    <w:rsid w:val="2A05B855"/>
    <w:rsid w:val="2B30D3E3"/>
    <w:rsid w:val="36A5681C"/>
    <w:rsid w:val="3CFB1C9C"/>
    <w:rsid w:val="47CA4C4E"/>
    <w:rsid w:val="4D5DBF39"/>
    <w:rsid w:val="56119C75"/>
    <w:rsid w:val="65B2B100"/>
    <w:rsid w:val="68916E31"/>
    <w:rsid w:val="708E8D87"/>
    <w:rsid w:val="79F370AA"/>
    <w:rsid w:val="7F288090"/>
    <w:rsid w:val="7FB8AF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7171BF7-B922-4913-962B-EAF27F3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6B"/>
    <w:pPr>
      <w:widowControl w:val="0"/>
    </w:pPr>
    <w:rPr>
      <w:snapToGrid w:val="0"/>
      <w:kern w:val="28"/>
      <w:sz w:val="22"/>
    </w:rPr>
  </w:style>
  <w:style w:type="paragraph" w:styleId="Heading1">
    <w:name w:val="heading 1"/>
    <w:basedOn w:val="Normal"/>
    <w:next w:val="ParaNum"/>
    <w:qFormat/>
    <w:rsid w:val="00413B6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13B6B"/>
    <w:pPr>
      <w:keepNext/>
      <w:numPr>
        <w:ilvl w:val="1"/>
        <w:numId w:val="3"/>
      </w:numPr>
      <w:spacing w:after="120"/>
      <w:outlineLvl w:val="1"/>
    </w:pPr>
    <w:rPr>
      <w:b/>
    </w:rPr>
  </w:style>
  <w:style w:type="paragraph" w:styleId="Heading3">
    <w:name w:val="heading 3"/>
    <w:basedOn w:val="Normal"/>
    <w:next w:val="ParaNum"/>
    <w:qFormat/>
    <w:rsid w:val="00413B6B"/>
    <w:pPr>
      <w:keepNext/>
      <w:numPr>
        <w:ilvl w:val="2"/>
        <w:numId w:val="3"/>
      </w:numPr>
      <w:tabs>
        <w:tab w:val="left" w:pos="2160"/>
      </w:tabs>
      <w:spacing w:after="120"/>
      <w:outlineLvl w:val="2"/>
    </w:pPr>
    <w:rPr>
      <w:b/>
    </w:rPr>
  </w:style>
  <w:style w:type="paragraph" w:styleId="Heading4">
    <w:name w:val="heading 4"/>
    <w:basedOn w:val="Normal"/>
    <w:next w:val="ParaNum"/>
    <w:qFormat/>
    <w:rsid w:val="00413B6B"/>
    <w:pPr>
      <w:keepNext/>
      <w:numPr>
        <w:ilvl w:val="3"/>
        <w:numId w:val="3"/>
      </w:numPr>
      <w:tabs>
        <w:tab w:val="left" w:pos="2880"/>
      </w:tabs>
      <w:spacing w:after="120"/>
      <w:outlineLvl w:val="3"/>
    </w:pPr>
    <w:rPr>
      <w:b/>
    </w:rPr>
  </w:style>
  <w:style w:type="paragraph" w:styleId="Heading5">
    <w:name w:val="heading 5"/>
    <w:basedOn w:val="Normal"/>
    <w:next w:val="ParaNum"/>
    <w:qFormat/>
    <w:rsid w:val="00413B6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13B6B"/>
    <w:pPr>
      <w:numPr>
        <w:ilvl w:val="5"/>
        <w:numId w:val="3"/>
      </w:numPr>
      <w:tabs>
        <w:tab w:val="left" w:pos="4320"/>
      </w:tabs>
      <w:spacing w:after="120"/>
      <w:outlineLvl w:val="5"/>
    </w:pPr>
    <w:rPr>
      <w:b/>
    </w:rPr>
  </w:style>
  <w:style w:type="paragraph" w:styleId="Heading7">
    <w:name w:val="heading 7"/>
    <w:basedOn w:val="Normal"/>
    <w:next w:val="ParaNum"/>
    <w:qFormat/>
    <w:rsid w:val="00413B6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13B6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13B6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13B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3B6B"/>
  </w:style>
  <w:style w:type="paragraph" w:customStyle="1" w:styleId="ParaNum">
    <w:name w:val="ParaNum"/>
    <w:basedOn w:val="Normal"/>
    <w:rsid w:val="00413B6B"/>
    <w:pPr>
      <w:numPr>
        <w:numId w:val="2"/>
      </w:numPr>
      <w:tabs>
        <w:tab w:val="clear" w:pos="1080"/>
        <w:tab w:val="num" w:pos="1440"/>
      </w:tabs>
      <w:spacing w:after="120"/>
    </w:pPr>
  </w:style>
  <w:style w:type="paragraph" w:styleId="EndnoteText">
    <w:name w:val="endnote text"/>
    <w:basedOn w:val="Normal"/>
    <w:semiHidden/>
    <w:rsid w:val="00413B6B"/>
    <w:rPr>
      <w:sz w:val="20"/>
    </w:rPr>
  </w:style>
  <w:style w:type="character" w:styleId="EndnoteReference">
    <w:name w:val="endnote reference"/>
    <w:semiHidden/>
    <w:rsid w:val="00413B6B"/>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413B6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13B6B"/>
    <w:rPr>
      <w:rFonts w:ascii="Times New Roman" w:hAnsi="Times New Roman"/>
      <w:dstrike w:val="0"/>
      <w:color w:val="auto"/>
      <w:sz w:val="20"/>
      <w:vertAlign w:val="superscript"/>
    </w:rPr>
  </w:style>
  <w:style w:type="paragraph" w:styleId="TOC1">
    <w:name w:val="toc 1"/>
    <w:basedOn w:val="Normal"/>
    <w:next w:val="Normal"/>
    <w:semiHidden/>
    <w:rsid w:val="00413B6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13B6B"/>
    <w:pPr>
      <w:tabs>
        <w:tab w:val="left" w:pos="720"/>
        <w:tab w:val="right" w:leader="dot" w:pos="9360"/>
      </w:tabs>
      <w:suppressAutoHyphens/>
      <w:ind w:left="720" w:right="720" w:hanging="360"/>
    </w:pPr>
    <w:rPr>
      <w:noProof/>
    </w:rPr>
  </w:style>
  <w:style w:type="paragraph" w:styleId="TOC3">
    <w:name w:val="toc 3"/>
    <w:basedOn w:val="Normal"/>
    <w:next w:val="Normal"/>
    <w:semiHidden/>
    <w:rsid w:val="00413B6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13B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13B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13B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13B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13B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13B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13B6B"/>
    <w:pPr>
      <w:tabs>
        <w:tab w:val="right" w:pos="9360"/>
      </w:tabs>
      <w:suppressAutoHyphens/>
    </w:pPr>
  </w:style>
  <w:style w:type="character" w:customStyle="1" w:styleId="EquationCaption">
    <w:name w:val="_Equation Caption"/>
    <w:rsid w:val="00413B6B"/>
  </w:style>
  <w:style w:type="paragraph" w:styleId="Header">
    <w:name w:val="header"/>
    <w:basedOn w:val="Normal"/>
    <w:autoRedefine/>
    <w:rsid w:val="00413B6B"/>
    <w:pPr>
      <w:tabs>
        <w:tab w:val="center" w:pos="4680"/>
        <w:tab w:val="right" w:pos="9360"/>
      </w:tabs>
    </w:pPr>
    <w:rPr>
      <w:b/>
    </w:rPr>
  </w:style>
  <w:style w:type="paragraph" w:styleId="Footer">
    <w:name w:val="footer"/>
    <w:basedOn w:val="Normal"/>
    <w:link w:val="FooterChar"/>
    <w:uiPriority w:val="99"/>
    <w:rsid w:val="00413B6B"/>
    <w:pPr>
      <w:tabs>
        <w:tab w:val="center" w:pos="4320"/>
        <w:tab w:val="right" w:pos="8640"/>
      </w:tabs>
    </w:pPr>
  </w:style>
  <w:style w:type="character" w:styleId="PageNumber">
    <w:name w:val="page number"/>
    <w:basedOn w:val="DefaultParagraphFont"/>
    <w:rsid w:val="00413B6B"/>
  </w:style>
  <w:style w:type="paragraph" w:styleId="BlockText">
    <w:name w:val="Block Text"/>
    <w:basedOn w:val="Normal"/>
    <w:rsid w:val="00413B6B"/>
    <w:pPr>
      <w:spacing w:after="240"/>
      <w:ind w:left="1440" w:right="1440"/>
    </w:pPr>
  </w:style>
  <w:style w:type="paragraph" w:customStyle="1" w:styleId="Paratitle">
    <w:name w:val="Para title"/>
    <w:basedOn w:val="Normal"/>
    <w:rsid w:val="00413B6B"/>
    <w:pPr>
      <w:tabs>
        <w:tab w:val="center" w:pos="9270"/>
      </w:tabs>
      <w:spacing w:after="240"/>
    </w:pPr>
    <w:rPr>
      <w:spacing w:val="-2"/>
    </w:rPr>
  </w:style>
  <w:style w:type="paragraph" w:customStyle="1" w:styleId="Bullet">
    <w:name w:val="Bullet"/>
    <w:basedOn w:val="Normal"/>
    <w:rsid w:val="00413B6B"/>
    <w:pPr>
      <w:tabs>
        <w:tab w:val="left" w:pos="2160"/>
      </w:tabs>
      <w:spacing w:after="220"/>
      <w:ind w:left="2160" w:hanging="720"/>
    </w:pPr>
  </w:style>
  <w:style w:type="paragraph" w:customStyle="1" w:styleId="TableFormat">
    <w:name w:val="TableFormat"/>
    <w:basedOn w:val="Bullet"/>
    <w:rsid w:val="00413B6B"/>
    <w:pPr>
      <w:tabs>
        <w:tab w:val="clear" w:pos="2160"/>
        <w:tab w:val="left" w:pos="5040"/>
      </w:tabs>
      <w:ind w:left="5040" w:hanging="3600"/>
    </w:pPr>
  </w:style>
  <w:style w:type="paragraph" w:customStyle="1" w:styleId="TOCTitle">
    <w:name w:val="TOC Title"/>
    <w:basedOn w:val="Normal"/>
    <w:rsid w:val="00413B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13B6B"/>
    <w:pPr>
      <w:jc w:val="center"/>
    </w:pPr>
    <w:rPr>
      <w:rFonts w:ascii="Times New Roman Bold" w:hAnsi="Times New Roman Bold"/>
      <w:b/>
      <w:bCs/>
      <w:caps/>
      <w:szCs w:val="22"/>
    </w:rPr>
  </w:style>
  <w:style w:type="character" w:styleId="Hyperlink">
    <w:name w:val="Hyperlink"/>
    <w:rsid w:val="00413B6B"/>
    <w:rPr>
      <w:color w:val="0000FF"/>
      <w:u w:val="single"/>
    </w:rPr>
  </w:style>
  <w:style w:type="character" w:customStyle="1" w:styleId="FooterChar">
    <w:name w:val="Footer Char"/>
    <w:link w:val="Footer"/>
    <w:uiPriority w:val="99"/>
    <w:rsid w:val="00413B6B"/>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rsid w:val="00241E29"/>
  </w:style>
  <w:style w:type="character" w:styleId="CommentReference">
    <w:name w:val="annotation reference"/>
    <w:basedOn w:val="DefaultParagraphFont"/>
    <w:rsid w:val="005600BD"/>
    <w:rPr>
      <w:sz w:val="16"/>
      <w:szCs w:val="16"/>
    </w:rPr>
  </w:style>
  <w:style w:type="paragraph" w:styleId="CommentText">
    <w:name w:val="annotation text"/>
    <w:basedOn w:val="Normal"/>
    <w:link w:val="CommentTextChar"/>
    <w:rsid w:val="005600BD"/>
    <w:rPr>
      <w:sz w:val="20"/>
    </w:rPr>
  </w:style>
  <w:style w:type="character" w:customStyle="1" w:styleId="CommentTextChar">
    <w:name w:val="Comment Text Char"/>
    <w:basedOn w:val="DefaultParagraphFont"/>
    <w:link w:val="CommentText"/>
    <w:rsid w:val="005600BD"/>
    <w:rPr>
      <w:snapToGrid w:val="0"/>
      <w:kern w:val="28"/>
    </w:rPr>
  </w:style>
  <w:style w:type="paragraph" w:styleId="CommentSubject">
    <w:name w:val="annotation subject"/>
    <w:basedOn w:val="CommentText"/>
    <w:next w:val="CommentText"/>
    <w:link w:val="CommentSubjectChar"/>
    <w:rsid w:val="005600BD"/>
    <w:rPr>
      <w:b/>
      <w:bCs/>
    </w:rPr>
  </w:style>
  <w:style w:type="character" w:customStyle="1" w:styleId="CommentSubjectChar">
    <w:name w:val="Comment Subject Char"/>
    <w:basedOn w:val="CommentTextChar"/>
    <w:link w:val="CommentSubject"/>
    <w:rsid w:val="005600BD"/>
    <w:rPr>
      <w:b/>
      <w:bCs/>
      <w:snapToGrid w:val="0"/>
      <w:kern w:val="28"/>
    </w:rPr>
  </w:style>
  <w:style w:type="paragraph" w:styleId="BalloonText">
    <w:name w:val="Balloon Text"/>
    <w:basedOn w:val="Normal"/>
    <w:link w:val="BalloonTextChar"/>
    <w:rsid w:val="005600BD"/>
    <w:rPr>
      <w:rFonts w:ascii="Segoe UI" w:hAnsi="Segoe UI" w:cs="Segoe UI"/>
      <w:sz w:val="18"/>
      <w:szCs w:val="18"/>
    </w:rPr>
  </w:style>
  <w:style w:type="character" w:customStyle="1" w:styleId="BalloonTextChar">
    <w:name w:val="Balloon Text Char"/>
    <w:basedOn w:val="DefaultParagraphFont"/>
    <w:link w:val="BalloonText"/>
    <w:rsid w:val="005600BD"/>
    <w:rPr>
      <w:rFonts w:ascii="Segoe UI" w:hAnsi="Segoe UI" w:cs="Segoe UI"/>
      <w:snapToGrid w:val="0"/>
      <w:kern w:val="28"/>
      <w:sz w:val="18"/>
      <w:szCs w:val="18"/>
    </w:rPr>
  </w:style>
  <w:style w:type="paragraph" w:customStyle="1" w:styleId="Default">
    <w:name w:val="Default"/>
    <w:rsid w:val="00F034A3"/>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381E11"/>
    <w:rPr>
      <w:color w:val="605E5C"/>
      <w:shd w:val="clear" w:color="auto" w:fill="E1DFDD"/>
    </w:rPr>
  </w:style>
  <w:style w:type="character" w:styleId="FollowedHyperlink">
    <w:name w:val="FollowedHyperlink"/>
    <w:basedOn w:val="DefaultParagraphFont"/>
    <w:rsid w:val="00C516C3"/>
    <w:rPr>
      <w:color w:val="954F72" w:themeColor="followedHyperlink"/>
      <w:u w:val="single"/>
    </w:rPr>
  </w:style>
  <w:style w:type="paragraph" w:styleId="Revision">
    <w:name w:val="Revision"/>
    <w:hidden/>
    <w:uiPriority w:val="99"/>
    <w:semiHidden/>
    <w:rsid w:val="00D56DF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sj.com/articles/as-covid-19-patients-stretch-hospitals-some-doctors-ration-intensive-care-11607022592" TargetMode="External" /><Relationship Id="rId2" Type="http://schemas.openxmlformats.org/officeDocument/2006/relationships/hyperlink" Target="https://www.capjournal.com/news/telehealth-supplements-medical-care-for-rural-areas/article_10ce0b2e-0a4b-11eb-a97e-9fbcca1420e7.html" TargetMode="External" /><Relationship Id="rId3" Type="http://schemas.openxmlformats.org/officeDocument/2006/relationships/hyperlink" Target="https://www.edweek.org/ew/section/multimedia/map-covid-19-schools-open-closed.html" TargetMode="External" /><Relationship Id="rId4" Type="http://schemas.openxmlformats.org/officeDocument/2006/relationships/hyperlink" Target="https://www.post-gazette.com/news/education/2020/11/29/Pittsburgh-western-pennsylvania-schools-close-remote-virtual-learning-COVID-19-cases-online-2/stories/202011290191" TargetMode="External" /><Relationship Id="rId5" Type="http://schemas.openxmlformats.org/officeDocument/2006/relationships/hyperlink" Target="http://www.fldoe.org/core/fileparse.php/5673/urlt/DOEOrder2020-EO-07.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