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F49FAD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4296F2A" w14:textId="77777777">
      <w:pPr>
        <w:pStyle w:val="StyleBoldCentered"/>
      </w:pPr>
      <w:r>
        <w:t>F</w:t>
      </w:r>
      <w:r>
        <w:rPr>
          <w:caps w:val="0"/>
        </w:rPr>
        <w:t>ederal Communications Commission</w:t>
      </w:r>
    </w:p>
    <w:p w:rsidR="004C2EE3" w:rsidP="00096D8C" w14:paraId="349A5C4D" w14:textId="77777777">
      <w:pPr>
        <w:pStyle w:val="StyleBoldCentered"/>
      </w:pPr>
      <w:r>
        <w:rPr>
          <w:caps w:val="0"/>
        </w:rPr>
        <w:t>Washington, D.C. 20554</w:t>
      </w:r>
    </w:p>
    <w:p w:rsidR="004C2EE3" w:rsidP="0070224F" w14:paraId="20D3B8BC" w14:textId="77777777"/>
    <w:p w:rsidR="004C2EE3" w:rsidP="0070224F" w14:paraId="7562D810" w14:textId="77777777"/>
    <w:tbl>
      <w:tblPr>
        <w:tblW w:w="0" w:type="auto"/>
        <w:tblLayout w:type="fixed"/>
        <w:tblLook w:val="0000"/>
      </w:tblPr>
      <w:tblGrid>
        <w:gridCol w:w="4698"/>
        <w:gridCol w:w="630"/>
        <w:gridCol w:w="4248"/>
      </w:tblGrid>
      <w:tr w14:paraId="391B1B5F" w14:textId="77777777">
        <w:tblPrEx>
          <w:tblW w:w="0" w:type="auto"/>
          <w:tblLayout w:type="fixed"/>
          <w:tblLook w:val="0000"/>
        </w:tblPrEx>
        <w:tc>
          <w:tcPr>
            <w:tcW w:w="4698" w:type="dxa"/>
          </w:tcPr>
          <w:p w:rsidR="004C2EE3" w14:paraId="6C07E0DC" w14:textId="77777777">
            <w:pPr>
              <w:tabs>
                <w:tab w:val="center" w:pos="4680"/>
              </w:tabs>
              <w:suppressAutoHyphens/>
              <w:rPr>
                <w:spacing w:val="-2"/>
              </w:rPr>
            </w:pPr>
            <w:r>
              <w:rPr>
                <w:spacing w:val="-2"/>
              </w:rPr>
              <w:t>In the Matter of</w:t>
            </w:r>
          </w:p>
          <w:p w:rsidR="004C2EE3" w14:paraId="054A4C4A" w14:textId="77777777">
            <w:pPr>
              <w:tabs>
                <w:tab w:val="center" w:pos="4680"/>
              </w:tabs>
              <w:suppressAutoHyphens/>
              <w:rPr>
                <w:spacing w:val="-2"/>
              </w:rPr>
            </w:pPr>
          </w:p>
          <w:p w:rsidR="004C2EE3" w:rsidP="007115F7" w14:paraId="0E5D69CF" w14:textId="77777777">
            <w:pPr>
              <w:tabs>
                <w:tab w:val="center" w:pos="4680"/>
              </w:tabs>
              <w:suppressAutoHyphens/>
              <w:rPr>
                <w:spacing w:val="-2"/>
              </w:rPr>
            </w:pPr>
            <w:r>
              <w:rPr>
                <w:spacing w:val="-2"/>
              </w:rPr>
              <w:t>Lifeline and Link Up Reform and</w:t>
            </w:r>
          </w:p>
          <w:p w:rsidR="001D661F" w:rsidP="007115F7" w14:paraId="30B0E325" w14:textId="77777777">
            <w:pPr>
              <w:tabs>
                <w:tab w:val="center" w:pos="4680"/>
              </w:tabs>
              <w:suppressAutoHyphens/>
              <w:rPr>
                <w:spacing w:val="-2"/>
              </w:rPr>
            </w:pPr>
            <w:r>
              <w:rPr>
                <w:spacing w:val="-2"/>
              </w:rPr>
              <w:t>Modernization</w:t>
            </w:r>
          </w:p>
          <w:p w:rsidR="001D661F" w:rsidP="007115F7" w14:paraId="0D06DE15" w14:textId="77777777">
            <w:pPr>
              <w:tabs>
                <w:tab w:val="center" w:pos="4680"/>
              </w:tabs>
              <w:suppressAutoHyphens/>
              <w:rPr>
                <w:spacing w:val="-2"/>
              </w:rPr>
            </w:pPr>
          </w:p>
          <w:p w:rsidR="001D661F" w:rsidP="007115F7" w14:paraId="5B8284B9" w14:textId="77777777">
            <w:pPr>
              <w:tabs>
                <w:tab w:val="center" w:pos="4680"/>
              </w:tabs>
              <w:suppressAutoHyphens/>
              <w:rPr>
                <w:spacing w:val="-2"/>
              </w:rPr>
            </w:pPr>
            <w:r>
              <w:rPr>
                <w:spacing w:val="-2"/>
              </w:rPr>
              <w:t xml:space="preserve">Telecommunications Carriers Eligible for </w:t>
            </w:r>
          </w:p>
          <w:p w:rsidR="001D661F" w:rsidP="007115F7" w14:paraId="392A96C8" w14:textId="77777777">
            <w:pPr>
              <w:tabs>
                <w:tab w:val="center" w:pos="4680"/>
              </w:tabs>
              <w:suppressAutoHyphens/>
              <w:rPr>
                <w:spacing w:val="-2"/>
              </w:rPr>
            </w:pPr>
            <w:r>
              <w:rPr>
                <w:spacing w:val="-2"/>
              </w:rPr>
              <w:t>Universal Service Support</w:t>
            </w:r>
          </w:p>
          <w:p w:rsidR="001D661F" w:rsidP="007115F7" w14:paraId="31E74DE0" w14:textId="77777777">
            <w:pPr>
              <w:tabs>
                <w:tab w:val="center" w:pos="4680"/>
              </w:tabs>
              <w:suppressAutoHyphens/>
              <w:rPr>
                <w:spacing w:val="-2"/>
              </w:rPr>
            </w:pPr>
          </w:p>
          <w:p w:rsidR="001D661F" w:rsidRPr="007115F7" w:rsidP="007115F7" w14:paraId="11A34E57" w14:textId="77777777">
            <w:pPr>
              <w:tabs>
                <w:tab w:val="center" w:pos="4680"/>
              </w:tabs>
              <w:suppressAutoHyphens/>
              <w:rPr>
                <w:spacing w:val="-2"/>
              </w:rPr>
            </w:pPr>
            <w:r>
              <w:rPr>
                <w:spacing w:val="-2"/>
              </w:rPr>
              <w:t>Connect America Fu</w:t>
            </w:r>
            <w:r w:rsidR="00DF4C82">
              <w:rPr>
                <w:spacing w:val="-2"/>
              </w:rPr>
              <w:t>nd</w:t>
            </w:r>
          </w:p>
        </w:tc>
        <w:tc>
          <w:tcPr>
            <w:tcW w:w="630" w:type="dxa"/>
          </w:tcPr>
          <w:p w:rsidR="004C2EE3" w14:paraId="4101096A" w14:textId="77777777">
            <w:pPr>
              <w:tabs>
                <w:tab w:val="center" w:pos="4680"/>
              </w:tabs>
              <w:suppressAutoHyphens/>
              <w:rPr>
                <w:b/>
                <w:spacing w:val="-2"/>
              </w:rPr>
            </w:pPr>
            <w:r>
              <w:rPr>
                <w:b/>
                <w:spacing w:val="-2"/>
              </w:rPr>
              <w:t>)</w:t>
            </w:r>
          </w:p>
          <w:p w:rsidR="004C2EE3" w14:paraId="5FD30EFB" w14:textId="77777777">
            <w:pPr>
              <w:tabs>
                <w:tab w:val="center" w:pos="4680"/>
              </w:tabs>
              <w:suppressAutoHyphens/>
              <w:rPr>
                <w:b/>
                <w:spacing w:val="-2"/>
              </w:rPr>
            </w:pPr>
            <w:r>
              <w:rPr>
                <w:b/>
                <w:spacing w:val="-2"/>
              </w:rPr>
              <w:t>)</w:t>
            </w:r>
          </w:p>
          <w:p w:rsidR="004C2EE3" w14:paraId="3EF2AD78" w14:textId="77777777">
            <w:pPr>
              <w:tabs>
                <w:tab w:val="center" w:pos="4680"/>
              </w:tabs>
              <w:suppressAutoHyphens/>
              <w:rPr>
                <w:b/>
                <w:spacing w:val="-2"/>
              </w:rPr>
            </w:pPr>
            <w:r>
              <w:rPr>
                <w:b/>
                <w:spacing w:val="-2"/>
              </w:rPr>
              <w:t>)</w:t>
            </w:r>
          </w:p>
          <w:p w:rsidR="004C2EE3" w14:paraId="7EF598DA" w14:textId="77777777">
            <w:pPr>
              <w:tabs>
                <w:tab w:val="center" w:pos="4680"/>
              </w:tabs>
              <w:suppressAutoHyphens/>
              <w:rPr>
                <w:b/>
                <w:spacing w:val="-2"/>
              </w:rPr>
            </w:pPr>
            <w:r>
              <w:rPr>
                <w:b/>
                <w:spacing w:val="-2"/>
              </w:rPr>
              <w:t>)</w:t>
            </w:r>
          </w:p>
          <w:p w:rsidR="004C2EE3" w14:paraId="2EF5CF3E" w14:textId="77777777">
            <w:pPr>
              <w:tabs>
                <w:tab w:val="center" w:pos="4680"/>
              </w:tabs>
              <w:suppressAutoHyphens/>
              <w:rPr>
                <w:b/>
                <w:spacing w:val="-2"/>
              </w:rPr>
            </w:pPr>
            <w:r>
              <w:rPr>
                <w:b/>
                <w:spacing w:val="-2"/>
              </w:rPr>
              <w:t>)</w:t>
            </w:r>
          </w:p>
          <w:p w:rsidR="004C2EE3" w14:paraId="271C54AB" w14:textId="77777777">
            <w:pPr>
              <w:tabs>
                <w:tab w:val="center" w:pos="4680"/>
              </w:tabs>
              <w:suppressAutoHyphens/>
              <w:rPr>
                <w:b/>
                <w:spacing w:val="-2"/>
              </w:rPr>
            </w:pPr>
            <w:r>
              <w:rPr>
                <w:b/>
                <w:spacing w:val="-2"/>
              </w:rPr>
              <w:t>)</w:t>
            </w:r>
          </w:p>
          <w:p w:rsidR="004C2EE3" w14:paraId="04E8E11E" w14:textId="77777777">
            <w:pPr>
              <w:tabs>
                <w:tab w:val="center" w:pos="4680"/>
              </w:tabs>
              <w:suppressAutoHyphens/>
              <w:rPr>
                <w:b/>
                <w:spacing w:val="-2"/>
              </w:rPr>
            </w:pPr>
            <w:r>
              <w:rPr>
                <w:b/>
                <w:spacing w:val="-2"/>
              </w:rPr>
              <w:t>)</w:t>
            </w:r>
          </w:p>
          <w:p w:rsidR="004C2EE3" w14:paraId="7510E9D4" w14:textId="77777777">
            <w:pPr>
              <w:tabs>
                <w:tab w:val="center" w:pos="4680"/>
              </w:tabs>
              <w:suppressAutoHyphens/>
              <w:rPr>
                <w:b/>
                <w:spacing w:val="-2"/>
              </w:rPr>
            </w:pPr>
            <w:r>
              <w:rPr>
                <w:b/>
                <w:spacing w:val="-2"/>
              </w:rPr>
              <w:t>)</w:t>
            </w:r>
          </w:p>
          <w:p w:rsidR="004C2EE3" w14:paraId="24E7511E" w14:textId="77777777">
            <w:pPr>
              <w:tabs>
                <w:tab w:val="center" w:pos="4680"/>
              </w:tabs>
              <w:suppressAutoHyphens/>
              <w:rPr>
                <w:spacing w:val="-2"/>
              </w:rPr>
            </w:pPr>
            <w:r>
              <w:rPr>
                <w:b/>
                <w:spacing w:val="-2"/>
              </w:rPr>
              <w:t>)</w:t>
            </w:r>
          </w:p>
        </w:tc>
        <w:tc>
          <w:tcPr>
            <w:tcW w:w="4248" w:type="dxa"/>
          </w:tcPr>
          <w:p w:rsidR="004C2EE3" w14:paraId="591FC357" w14:textId="77777777">
            <w:pPr>
              <w:tabs>
                <w:tab w:val="center" w:pos="4680"/>
              </w:tabs>
              <w:suppressAutoHyphens/>
              <w:rPr>
                <w:spacing w:val="-2"/>
              </w:rPr>
            </w:pPr>
          </w:p>
          <w:p w:rsidR="004C2EE3" w14:paraId="3295B979" w14:textId="77777777">
            <w:pPr>
              <w:pStyle w:val="TOAHeading"/>
              <w:tabs>
                <w:tab w:val="center" w:pos="4680"/>
                <w:tab w:val="clear" w:pos="9360"/>
              </w:tabs>
              <w:rPr>
                <w:spacing w:val="-2"/>
              </w:rPr>
            </w:pPr>
          </w:p>
          <w:p w:rsidR="004C2EE3" w14:paraId="34F91AC5" w14:textId="77777777">
            <w:pPr>
              <w:tabs>
                <w:tab w:val="center" w:pos="4680"/>
              </w:tabs>
              <w:suppressAutoHyphens/>
              <w:rPr>
                <w:spacing w:val="-2"/>
              </w:rPr>
            </w:pPr>
            <w:r>
              <w:rPr>
                <w:spacing w:val="-2"/>
              </w:rPr>
              <w:t>WC Docket No. 11-42</w:t>
            </w:r>
          </w:p>
          <w:p w:rsidR="001D661F" w14:paraId="5384B9CD" w14:textId="77777777">
            <w:pPr>
              <w:tabs>
                <w:tab w:val="center" w:pos="4680"/>
              </w:tabs>
              <w:suppressAutoHyphens/>
              <w:rPr>
                <w:spacing w:val="-2"/>
              </w:rPr>
            </w:pPr>
          </w:p>
          <w:p w:rsidR="004A0539" w14:paraId="34D89B73" w14:textId="77777777">
            <w:pPr>
              <w:tabs>
                <w:tab w:val="center" w:pos="4680"/>
              </w:tabs>
              <w:suppressAutoHyphens/>
              <w:rPr>
                <w:spacing w:val="-2"/>
              </w:rPr>
            </w:pPr>
          </w:p>
          <w:p w:rsidR="001D661F" w14:paraId="25D8DD31" w14:textId="1D61326F">
            <w:pPr>
              <w:tabs>
                <w:tab w:val="center" w:pos="4680"/>
              </w:tabs>
              <w:suppressAutoHyphens/>
              <w:rPr>
                <w:spacing w:val="-2"/>
              </w:rPr>
            </w:pPr>
            <w:r>
              <w:rPr>
                <w:spacing w:val="-2"/>
              </w:rPr>
              <w:t>WC Docket No. 09-197</w:t>
            </w:r>
          </w:p>
          <w:p w:rsidR="001D661F" w14:paraId="0BAA73FA" w14:textId="77777777">
            <w:pPr>
              <w:tabs>
                <w:tab w:val="center" w:pos="4680"/>
              </w:tabs>
              <w:suppressAutoHyphens/>
              <w:rPr>
                <w:spacing w:val="-2"/>
              </w:rPr>
            </w:pPr>
          </w:p>
          <w:p w:rsidR="004A0539" w14:paraId="789CDF7C" w14:textId="77777777">
            <w:pPr>
              <w:tabs>
                <w:tab w:val="center" w:pos="4680"/>
              </w:tabs>
              <w:suppressAutoHyphens/>
              <w:rPr>
                <w:spacing w:val="-2"/>
              </w:rPr>
            </w:pPr>
          </w:p>
          <w:p w:rsidR="001D661F" w14:paraId="252FE2C3" w14:textId="74D05D6C">
            <w:pPr>
              <w:tabs>
                <w:tab w:val="center" w:pos="4680"/>
              </w:tabs>
              <w:suppressAutoHyphens/>
              <w:rPr>
                <w:spacing w:val="-2"/>
              </w:rPr>
            </w:pPr>
            <w:bookmarkStart w:id="0" w:name="_GoBack"/>
            <w:bookmarkEnd w:id="0"/>
            <w:r>
              <w:rPr>
                <w:spacing w:val="-2"/>
              </w:rPr>
              <w:t>WC</w:t>
            </w:r>
            <w:r w:rsidR="00323E33">
              <w:rPr>
                <w:spacing w:val="-2"/>
              </w:rPr>
              <w:t xml:space="preserve"> Docket No. 10-90</w:t>
            </w:r>
          </w:p>
        </w:tc>
      </w:tr>
    </w:tbl>
    <w:p w:rsidR="004C2EE3" w:rsidP="0070224F" w14:paraId="5FF5DEC1" w14:textId="77777777"/>
    <w:p w:rsidR="00841AB1" w:rsidP="00F021FA" w14:paraId="766F8ABF" w14:textId="77777777">
      <w:pPr>
        <w:pStyle w:val="StyleBoldCentered"/>
      </w:pPr>
      <w:r>
        <w:t>Order</w:t>
      </w:r>
      <w:r w:rsidR="004A0C70">
        <w:t xml:space="preserve"> denying stay petition</w:t>
      </w:r>
    </w:p>
    <w:p w:rsidR="004C2EE3" w14:paraId="302AAC29" w14:textId="77777777">
      <w:pPr>
        <w:tabs>
          <w:tab w:val="left" w:pos="-720"/>
        </w:tabs>
        <w:suppressAutoHyphens/>
        <w:spacing w:line="227" w:lineRule="auto"/>
        <w:rPr>
          <w:spacing w:val="-2"/>
        </w:rPr>
      </w:pPr>
    </w:p>
    <w:p w:rsidR="004C2EE3" w:rsidP="00133F79" w14:paraId="701B7496" w14:textId="5900212D">
      <w:pPr>
        <w:tabs>
          <w:tab w:val="left" w:pos="720"/>
          <w:tab w:val="right" w:pos="9360"/>
        </w:tabs>
        <w:suppressAutoHyphens/>
        <w:spacing w:line="227" w:lineRule="auto"/>
        <w:rPr>
          <w:spacing w:val="-2"/>
        </w:rPr>
      </w:pPr>
      <w:r>
        <w:rPr>
          <w:b/>
          <w:spacing w:val="-2"/>
        </w:rPr>
        <w:t xml:space="preserve">Adopted:  </w:t>
      </w:r>
      <w:r w:rsidR="00E90FCC">
        <w:rPr>
          <w:b/>
          <w:spacing w:val="-2"/>
        </w:rPr>
        <w:t>November 16,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0FCC">
        <w:rPr>
          <w:b/>
          <w:spacing w:val="-2"/>
        </w:rPr>
        <w:t>November 16, 2020</w:t>
      </w:r>
    </w:p>
    <w:p w:rsidR="00822CE0" w14:paraId="68549A92" w14:textId="77777777"/>
    <w:p w:rsidR="004C2EE3" w14:paraId="10BACB74" w14:textId="1998574C">
      <w:pPr>
        <w:rPr>
          <w:spacing w:val="-2"/>
        </w:rPr>
      </w:pPr>
      <w:r>
        <w:t xml:space="preserve">By </w:t>
      </w:r>
      <w:r w:rsidR="004E4A22">
        <w:t>the</w:t>
      </w:r>
      <w:r w:rsidR="002A2D2E">
        <w:t xml:space="preserve"> </w:t>
      </w:r>
      <w:r w:rsidR="00E90FCC">
        <w:t xml:space="preserve">Chief, </w:t>
      </w:r>
      <w:r w:rsidR="002A6CD1">
        <w:t>Wireline Competition Bureau:</w:t>
      </w:r>
    </w:p>
    <w:p w:rsidR="00822CE0" w14:paraId="691BD0A5" w14:textId="77777777">
      <w:pPr>
        <w:rPr>
          <w:spacing w:val="-2"/>
        </w:rPr>
      </w:pPr>
    </w:p>
    <w:p w:rsidR="00412FC5" w:rsidP="00C36B4C" w14:paraId="6B2029EC" w14:textId="77777777">
      <w:pPr>
        <w:pStyle w:val="Heading1"/>
      </w:pPr>
      <w:r>
        <w:t>introduction</w:t>
      </w:r>
    </w:p>
    <w:p w:rsidR="00BD2A3C" w:rsidP="00DB43B2" w14:paraId="4BF536B9" w14:textId="177BF1E0">
      <w:pPr>
        <w:pStyle w:val="ParaNum"/>
      </w:pPr>
      <w:r>
        <w:t>On November 9, 2020,</w:t>
      </w:r>
      <w:r w:rsidRPr="00B32D5D" w:rsidR="00B32D5D">
        <w:t xml:space="preserve"> the National Lifeline Association</w:t>
      </w:r>
      <w:r w:rsidR="008A0C8A">
        <w:t xml:space="preserve"> (“</w:t>
      </w:r>
      <w:r w:rsidR="008A0C8A">
        <w:t>NaLA</w:t>
      </w:r>
      <w:r w:rsidR="008A0C8A">
        <w:t>”)</w:t>
      </w:r>
      <w:r w:rsidRPr="00B32D5D" w:rsidR="00B32D5D">
        <w:t xml:space="preserve"> </w:t>
      </w:r>
      <w:r w:rsidR="00E720D1">
        <w:t xml:space="preserve">and Assist Wireless, LLC </w:t>
      </w:r>
      <w:r w:rsidRPr="00B32D5D" w:rsidR="00B32D5D">
        <w:t>(</w:t>
      </w:r>
      <w:r w:rsidR="003772ED">
        <w:t xml:space="preserve">collectively, </w:t>
      </w:r>
      <w:r w:rsidRPr="00B32D5D" w:rsidR="00B32D5D">
        <w:t>Petitioner</w:t>
      </w:r>
      <w:r w:rsidR="003772ED">
        <w:t>s</w:t>
      </w:r>
      <w:r w:rsidRPr="00B32D5D" w:rsidR="00B32D5D">
        <w:t xml:space="preserve">), </w:t>
      </w:r>
      <w:r w:rsidR="00683B66">
        <w:t>filed a petition for an administrative</w:t>
      </w:r>
      <w:r w:rsidRPr="00B32D5D" w:rsidR="00B32D5D">
        <w:t xml:space="preserve"> </w:t>
      </w:r>
      <w:r>
        <w:t>stay</w:t>
      </w:r>
      <w:r w:rsidRPr="00B32D5D" w:rsidR="00B32D5D">
        <w:t xml:space="preserve"> of the Commission’s rule updating the Lifeline program’s minimum service standard for mobile broadband usage, which otherwise would take effect on December 1, 20</w:t>
      </w:r>
      <w:r w:rsidR="007A3047">
        <w:t>2</w:t>
      </w:r>
      <w:r w:rsidR="00832CC8">
        <w:t>0.</w:t>
      </w:r>
      <w:r>
        <w:rPr>
          <w:rStyle w:val="FootnoteReference"/>
        </w:rPr>
        <w:footnoteReference w:id="3"/>
      </w:r>
      <w:r w:rsidR="00DB43B2">
        <w:t xml:space="preserve">  For the reasons discussed below, we deny the Petitioners’ request for stay.</w:t>
      </w:r>
    </w:p>
    <w:p w:rsidR="00096CEC" w:rsidP="00D55F60" w14:paraId="194137F1" w14:textId="77777777">
      <w:pPr>
        <w:pStyle w:val="Heading1"/>
      </w:pPr>
      <w:r>
        <w:t>background</w:t>
      </w:r>
    </w:p>
    <w:p w:rsidR="00471DFD" w:rsidRPr="00513BF2" w:rsidP="00471DFD" w14:paraId="64299E7D" w14:textId="486D38C9">
      <w:pPr>
        <w:pStyle w:val="ParaNum"/>
      </w:pPr>
      <w:r w:rsidRPr="00513BF2">
        <w:t xml:space="preserve">In 2016, the Commission made several </w:t>
      </w:r>
      <w:r>
        <w:t>improvements</w:t>
      </w:r>
      <w:r w:rsidRPr="00513BF2">
        <w:t xml:space="preserve"> to the Lifeline program</w:t>
      </w:r>
      <w:r>
        <w:t>, including</w:t>
      </w:r>
      <w:r w:rsidRPr="00513BF2">
        <w:t xml:space="preserve"> the implementation of minimum service standards for Lifeline-supported services</w:t>
      </w:r>
      <w:r>
        <w:rPr>
          <w:rStyle w:val="FootnoteReference"/>
        </w:rPr>
        <w:footnoteReference w:id="4"/>
      </w:r>
      <w:r w:rsidRPr="00513BF2">
        <w:t xml:space="preserve"> to ensure that subscribers receive the type of “robust service which is essential to participate in today’s society”</w:t>
      </w:r>
      <w:r>
        <w:rPr>
          <w:rStyle w:val="FootnoteReference"/>
        </w:rPr>
        <w:footnoteReference w:id="5"/>
      </w:r>
      <w:r w:rsidRPr="00513BF2">
        <w:t xml:space="preserve"> and </w:t>
      </w:r>
      <w:r>
        <w:t>can</w:t>
      </w:r>
      <w:r w:rsidRPr="00513BF2">
        <w:t xml:space="preserve"> subscribe to the services which have “been subscribed to by a substantial majority of residential customers.”</w:t>
      </w:r>
      <w:r>
        <w:rPr>
          <w:rStyle w:val="FootnoteReference"/>
        </w:rPr>
        <w:footnoteReference w:id="6"/>
      </w:r>
      <w:r w:rsidRPr="00513BF2">
        <w:t xml:space="preserve">  The minimum service standards were also created with the hope of striking “a balance between the demands of affordability and reasonable comparability</w:t>
      </w:r>
      <w:r>
        <w:t>,</w:t>
      </w:r>
      <w:r w:rsidRPr="00513BF2">
        <w:t>”</w:t>
      </w:r>
      <w:r>
        <w:rPr>
          <w:rStyle w:val="FootnoteReference"/>
          <w:rFonts w:cs="TimesNewRomanPSMT"/>
          <w:kern w:val="0"/>
          <w:szCs w:val="22"/>
        </w:rPr>
        <w:footnoteReference w:id="7"/>
      </w:r>
      <w:r>
        <w:t xml:space="preserve"> consistent with the Commission’s relevant governing statute.</w:t>
      </w:r>
      <w:r>
        <w:rPr>
          <w:rStyle w:val="FootnoteReference"/>
        </w:rPr>
        <w:footnoteReference w:id="8"/>
      </w:r>
    </w:p>
    <w:p w:rsidR="00E338CB" w:rsidRPr="00E338CB" w:rsidP="00E338CB" w14:paraId="6B087F42" w14:textId="11FADE38">
      <w:pPr>
        <w:pStyle w:val="ParaNum"/>
      </w:pPr>
      <w:r w:rsidRPr="00513BF2">
        <w:t xml:space="preserve">The </w:t>
      </w:r>
      <w:r w:rsidRPr="00513BF2">
        <w:rPr>
          <w:i/>
          <w:iCs/>
        </w:rPr>
        <w:t>2016 Order</w:t>
      </w:r>
      <w:r w:rsidRPr="00513BF2">
        <w:t xml:space="preserve"> set forth a formula to calculate the updated minimum service standard </w:t>
      </w:r>
      <w:r w:rsidRPr="00513BF2">
        <w:t>for mobile broadband usage based on certain data regarding consumer broadband usage.</w:t>
      </w:r>
      <w:r>
        <w:rPr>
          <w:rStyle w:val="FootnoteReference"/>
        </w:rPr>
        <w:footnoteReference w:id="9"/>
      </w:r>
      <w:r w:rsidRPr="00513BF2">
        <w:t xml:space="preserve">  </w:t>
      </w:r>
      <w:r>
        <w:t>Specifically, t</w:t>
      </w:r>
      <w:r w:rsidRPr="0020104A">
        <w:t xml:space="preserve">he minimum service standard for mobile broadband </w:t>
      </w:r>
      <w:r>
        <w:t xml:space="preserve">usage </w:t>
      </w:r>
      <w:r w:rsidRPr="0020104A">
        <w:t xml:space="preserve">is calculated by finding the product of: (1) </w:t>
      </w:r>
      <w:r w:rsidR="00CE5479">
        <w:t>t</w:t>
      </w:r>
      <w:r w:rsidRPr="0020104A">
        <w:t xml:space="preserve">he average number of mobile subscriptions per household; (2) the percentage of Americans who own a smartphone; and (3) the average data used per mobile smartphone subscriber. </w:t>
      </w:r>
      <w:r>
        <w:t xml:space="preserve"> </w:t>
      </w:r>
      <w:r w:rsidRPr="0020104A">
        <w:t>The product of (1)-(3) is then multiplied by 0.7, and the result is rounded up to the nearest 250 MB.</w:t>
      </w:r>
      <w:r>
        <w:t xml:space="preserve">  </w:t>
      </w:r>
      <w:r w:rsidRPr="00513BF2">
        <w:t>To give</w:t>
      </w:r>
      <w:r w:rsidRPr="00513BF2">
        <w:t xml:space="preserve"> </w:t>
      </w:r>
      <w:r w:rsidRPr="00513BF2">
        <w:t xml:space="preserve">providers time to adjust to the new minimum service standards, the Commission specified the minimum </w:t>
      </w:r>
      <w:r>
        <w:t>standard</w:t>
      </w:r>
      <w:r w:rsidRPr="00513BF2">
        <w:t xml:space="preserve"> for mobile broadband service for the first two </w:t>
      </w:r>
      <w:r>
        <w:t xml:space="preserve">annual </w:t>
      </w:r>
      <w:r w:rsidRPr="00513BF2">
        <w:t xml:space="preserve">updates of that standard, with the standard increasing in each successive year. </w:t>
      </w:r>
      <w:r>
        <w:t xml:space="preserve"> </w:t>
      </w:r>
      <w:r w:rsidRPr="00513BF2">
        <w:t>As a result, the minimum standard for mobile broadband usage</w:t>
      </w:r>
      <w:r>
        <w:t>, initially</w:t>
      </w:r>
      <w:r w:rsidRPr="00513BF2">
        <w:t xml:space="preserve"> set at 500 MB/month beginning on December 2, 2016, increased to 1 GB/month on December 1, 2017, and</w:t>
      </w:r>
      <w:r>
        <w:t xml:space="preserve"> increased again to</w:t>
      </w:r>
      <w:r w:rsidRPr="00513BF2">
        <w:t xml:space="preserve"> 2 GB/month on December 1, 2018.</w:t>
      </w:r>
      <w:r>
        <w:rPr>
          <w:rStyle w:val="FootnoteReference"/>
        </w:rPr>
        <w:footnoteReference w:id="10"/>
      </w:r>
      <w:r w:rsidRPr="00513BF2">
        <w:t xml:space="preserve"> </w:t>
      </w:r>
      <w:r>
        <w:t xml:space="preserve"> </w:t>
      </w:r>
      <w:r w:rsidRPr="00B06E4A">
        <w:t xml:space="preserve">The formula adopted by the Commission in 2016 would govern the mobile broadband standard starting on December 1, 2019.  </w:t>
      </w:r>
    </w:p>
    <w:p w:rsidR="00B45B65" w:rsidRPr="00513BF2" w:rsidP="00B45B65" w14:paraId="07061700" w14:textId="00206D96">
      <w:pPr>
        <w:pStyle w:val="ParaNum"/>
      </w:pPr>
      <w:r w:rsidRPr="00513BF2">
        <w:t xml:space="preserve">In 2019, </w:t>
      </w:r>
      <w:r w:rsidRPr="00513BF2">
        <w:t>CTIA</w:t>
      </w:r>
      <w:r w:rsidRPr="00513BF2">
        <w:t xml:space="preserve"> and others filed a petition</w:t>
      </w:r>
      <w:r w:rsidR="009D656A">
        <w:t xml:space="preserve"> that, in relevant part, asked </w:t>
      </w:r>
      <w:r w:rsidR="00EE0F5C">
        <w:t xml:space="preserve">the Commission to waive </w:t>
      </w:r>
      <w:r w:rsidRPr="00513BF2">
        <w:t>the Commission’s rules with respect to the scheduled increase in the mobile broadband minimum service standards.</w:t>
      </w:r>
      <w:r>
        <w:rPr>
          <w:rStyle w:val="FootnoteReference"/>
        </w:rPr>
        <w:footnoteReference w:id="11"/>
      </w:r>
      <w:r w:rsidRPr="00513BF2">
        <w:t xml:space="preserve">  With respect to the mobile broadband minimum service standards, the Commission granted the petition in part, noting that </w:t>
      </w:r>
      <w:r>
        <w:t xml:space="preserve">formula established in </w:t>
      </w:r>
      <w:r w:rsidRPr="00513BF2">
        <w:t xml:space="preserve">the </w:t>
      </w:r>
      <w:r w:rsidRPr="00826045">
        <w:rPr>
          <w:i/>
          <w:iCs/>
        </w:rPr>
        <w:t>2016 Order</w:t>
      </w:r>
      <w:r w:rsidRPr="00513BF2">
        <w:t xml:space="preserve"> </w:t>
      </w:r>
      <w:r>
        <w:t>would result</w:t>
      </w:r>
      <w:r w:rsidRPr="00513BF2">
        <w:t xml:space="preserve"> in an unexpected</w:t>
      </w:r>
      <w:r>
        <w:t>ly</w:t>
      </w:r>
      <w:r w:rsidRPr="00513BF2">
        <w:t xml:space="preserve"> large increase—a more than four-fold increase from 2 GB/month to 8.75 GB/month—and found that a </w:t>
      </w:r>
      <w:r>
        <w:t>more moderate</w:t>
      </w:r>
      <w:r w:rsidRPr="00513BF2">
        <w:t xml:space="preserve"> increase </w:t>
      </w:r>
      <w:r>
        <w:t xml:space="preserve">of 50% </w:t>
      </w:r>
      <w:r w:rsidRPr="00513BF2">
        <w:t xml:space="preserve">to 3 GB/month </w:t>
      </w:r>
      <w:r>
        <w:t xml:space="preserve">was appropriate because it </w:t>
      </w:r>
      <w:r w:rsidRPr="00513BF2">
        <w:t xml:space="preserve">balanced the core objectives of bringing the mobile broadband usage available to our nation’s most vulnerable consumers more in line with what other Americans expect and receive from their </w:t>
      </w:r>
      <w:r>
        <w:t xml:space="preserve">mobile broadband </w:t>
      </w:r>
      <w:r w:rsidRPr="00513BF2">
        <w:t>service, while maintaining a service that is affordable for low-income consumers.</w:t>
      </w:r>
      <w:r>
        <w:rPr>
          <w:rStyle w:val="FootnoteReference"/>
        </w:rPr>
        <w:footnoteReference w:id="12"/>
      </w:r>
    </w:p>
    <w:p w:rsidR="00451639" w:rsidRPr="00513BF2" w:rsidP="00990286" w14:paraId="3CCC5B30" w14:textId="2A516BC8">
      <w:pPr>
        <w:pStyle w:val="ParaNum"/>
      </w:pPr>
      <w:r w:rsidRPr="00513BF2">
        <w:t xml:space="preserve">On July 31, </w:t>
      </w:r>
      <w:r>
        <w:t xml:space="preserve">2020, </w:t>
      </w:r>
      <w:r w:rsidRPr="00513BF2">
        <w:t xml:space="preserve">the Bureau released a </w:t>
      </w:r>
      <w:r w:rsidR="00977015">
        <w:t>P</w:t>
      </w:r>
      <w:r w:rsidRPr="00513BF2">
        <w:t xml:space="preserve">ublic </w:t>
      </w:r>
      <w:r w:rsidR="00977015">
        <w:t>N</w:t>
      </w:r>
      <w:r w:rsidRPr="00513BF2">
        <w:t xml:space="preserve">otice </w:t>
      </w:r>
      <w:r w:rsidR="00990286">
        <w:t>announcing that</w:t>
      </w:r>
      <w:r w:rsidRPr="00513BF2">
        <w:t xml:space="preserve">, based on the </w:t>
      </w:r>
      <w:r>
        <w:t xml:space="preserve">formula set forth in the </w:t>
      </w:r>
      <w:r w:rsidRPr="00513BF2">
        <w:rPr>
          <w:i/>
          <w:iCs/>
        </w:rPr>
        <w:t>2016 Order</w:t>
      </w:r>
      <w:r w:rsidRPr="00513BF2">
        <w:t>, the mobile broadband minimum service standard would increase from 3 GB/month to 11.75 GB/month, on December 1, 2020.</w:t>
      </w:r>
      <w:r>
        <w:rPr>
          <w:rStyle w:val="FootnoteReference"/>
        </w:rPr>
        <w:footnoteReference w:id="13"/>
      </w:r>
      <w:r w:rsidRPr="00513BF2">
        <w:t xml:space="preserve">  On August 27, 2020, Petitioner sought a waiver of the Commission’s December 2020 update to the minimum service standard for mobile broadband usage.</w:t>
      </w:r>
      <w:r>
        <w:rPr>
          <w:rStyle w:val="FootnoteReference"/>
        </w:rPr>
        <w:footnoteReference w:id="14"/>
      </w:r>
      <w:r w:rsidRPr="00513BF2">
        <w:t xml:space="preserve">  On August 31, 2020, the Wireline Competition Bureau issued a Public Notice seeking comment on the Petition.</w:t>
      </w:r>
      <w:r>
        <w:rPr>
          <w:rStyle w:val="FootnoteReference"/>
        </w:rPr>
        <w:footnoteReference w:id="15"/>
      </w:r>
      <w:r w:rsidRPr="00513BF2">
        <w:t xml:space="preserve"> </w:t>
      </w:r>
    </w:p>
    <w:p w:rsidR="0086143C" w:rsidP="00B417A2" w14:paraId="6507F0D4" w14:textId="23E12E75">
      <w:pPr>
        <w:pStyle w:val="ParaNum"/>
      </w:pPr>
      <w:r>
        <w:t>On November 9, 2020, the Petitioners filed this Petition for Stay.</w:t>
      </w:r>
      <w:r>
        <w:rPr>
          <w:rStyle w:val="FootnoteReference"/>
        </w:rPr>
        <w:footnoteReference w:id="16"/>
      </w:r>
      <w:r>
        <w:t xml:space="preserve">  Petitioners request a ruling on their petition within seven calendars days, “so that Petitioners can seek appropriate relief from a court of competent jurisdiction if necessary.”</w:t>
      </w:r>
      <w:r>
        <w:rPr>
          <w:rStyle w:val="FootnoteReference"/>
        </w:rPr>
        <w:footnoteReference w:id="17"/>
      </w:r>
      <w:r w:rsidR="00B417A2">
        <w:t xml:space="preserve">  </w:t>
      </w:r>
      <w:r w:rsidR="005825EA">
        <w:t xml:space="preserve">On </w:t>
      </w:r>
      <w:r w:rsidRPr="000E094D" w:rsidR="00CB378F">
        <w:t>November 16, 2020,</w:t>
      </w:r>
      <w:r w:rsidR="005825EA">
        <w:t xml:space="preserve"> the </w:t>
      </w:r>
      <w:r w:rsidR="000402E0">
        <w:t>Bureau</w:t>
      </w:r>
      <w:r w:rsidR="00D740BA">
        <w:t xml:space="preserve"> granted the </w:t>
      </w:r>
      <w:r w:rsidR="00AA38E1">
        <w:t>NaLA</w:t>
      </w:r>
      <w:r w:rsidR="00AA38E1">
        <w:t xml:space="preserve"> </w:t>
      </w:r>
      <w:r w:rsidR="005C5B74">
        <w:t xml:space="preserve">petition </w:t>
      </w:r>
      <w:r w:rsidR="00AA38E1">
        <w:t xml:space="preserve">for waiver </w:t>
      </w:r>
      <w:r w:rsidR="005C5B74">
        <w:t>in part</w:t>
      </w:r>
      <w:r w:rsidR="00884EA7">
        <w:t>, finding</w:t>
      </w:r>
      <w:r w:rsidR="00E44D8E">
        <w:t xml:space="preserve"> that</w:t>
      </w:r>
      <w:r w:rsidRPr="00B075EB" w:rsidR="00B075EB">
        <w:t>, given the unexpectedly large increase to the minimum service standard that results from the formula the Commission adopted in 2016, and the unexpected increase in the reliance on mobile broadband as a result of the pandemic</w:t>
      </w:r>
      <w:r w:rsidR="00AC6FEB">
        <w:t>,</w:t>
      </w:r>
      <w:r w:rsidRPr="00B075EB" w:rsidR="00B075EB">
        <w:t xml:space="preserve"> good cause exist</w:t>
      </w:r>
      <w:r w:rsidR="00AC6FEB">
        <w:t>ed</w:t>
      </w:r>
      <w:r w:rsidRPr="00B075EB" w:rsidR="00B075EB">
        <w:t xml:space="preserve"> to partially grant the</w:t>
      </w:r>
      <w:r w:rsidR="00B075EB">
        <w:t xml:space="preserve"> </w:t>
      </w:r>
      <w:r w:rsidR="00B075EB">
        <w:t>petitio</w:t>
      </w:r>
      <w:r w:rsidR="002A11D9">
        <w:t>n.</w:t>
      </w:r>
      <w:r>
        <w:rPr>
          <w:rStyle w:val="FootnoteReference"/>
        </w:rPr>
        <w:footnoteReference w:id="18"/>
      </w:r>
      <w:r w:rsidR="002A11D9">
        <w:t xml:space="preserve">  In doing so, the </w:t>
      </w:r>
      <w:r w:rsidR="007F39D4">
        <w:t xml:space="preserve">Bureau </w:t>
      </w:r>
      <w:r w:rsidR="002A11D9">
        <w:t>determined that a</w:t>
      </w:r>
      <w:r w:rsidR="007D2B8A">
        <w:t xml:space="preserve"> moderate</w:t>
      </w:r>
      <w:r w:rsidR="002A11D9">
        <w:t xml:space="preserve"> increase in the mobile broadband minimum service standard to 4.5 GB/month</w:t>
      </w:r>
      <w:r w:rsidRPr="00B67696" w:rsidR="00B67696">
        <w:t xml:space="preserve"> balance</w:t>
      </w:r>
      <w:r w:rsidR="007D2B8A">
        <w:t>d</w:t>
      </w:r>
      <w:r w:rsidRPr="00B67696" w:rsidR="00B67696">
        <w:t xml:space="preserve"> the objectives of </w:t>
      </w:r>
      <w:r w:rsidR="007D2B8A">
        <w:t>accessibility</w:t>
      </w:r>
      <w:r w:rsidR="007F39D4">
        <w:t>, reasonable comparability,</w:t>
      </w:r>
      <w:r w:rsidR="007D2B8A">
        <w:t xml:space="preserve"> and affordability</w:t>
      </w:r>
      <w:r w:rsidRPr="00B67696" w:rsidR="00B67696">
        <w:t>.</w:t>
      </w:r>
      <w:r>
        <w:rPr>
          <w:rStyle w:val="FootnoteReference"/>
        </w:rPr>
        <w:footnoteReference w:id="19"/>
      </w:r>
    </w:p>
    <w:p w:rsidR="001F0E54" w:rsidP="001F0E54" w14:paraId="7CAEE3D5" w14:textId="77777777">
      <w:pPr>
        <w:pStyle w:val="Heading1"/>
      </w:pPr>
      <w:r>
        <w:t>discussion</w:t>
      </w:r>
    </w:p>
    <w:p w:rsidR="001F0E54" w:rsidP="001F0E54" w14:paraId="5C675505" w14:textId="55641F0B">
      <w:pPr>
        <w:pStyle w:val="ParaNum"/>
      </w:pPr>
      <w:r w:rsidRPr="00350210">
        <w:t>To qualify for the extraordinary remedy of a</w:t>
      </w:r>
      <w:r w:rsidR="00B33982">
        <w:t>n administrative</w:t>
      </w:r>
      <w:r w:rsidRPr="00350210">
        <w:t xml:space="preserve"> stay, a petitioner must show that: (1) it is likely to prevail on the merits; (2) it will suffer irreparable harm absent the grant of preliminary relief; (3) other interested parties will not be harmed if the stay is granted; and (4) the public interest would favor grant of the stay.</w:t>
      </w:r>
      <w:r>
        <w:rPr>
          <w:rStyle w:val="FootnoteReference"/>
        </w:rPr>
        <w:footnoteReference w:id="20"/>
      </w:r>
      <w:r w:rsidRPr="00350210">
        <w:t xml:space="preserve"> </w:t>
      </w:r>
      <w:r>
        <w:t xml:space="preserve"> </w:t>
      </w:r>
      <w:r w:rsidR="006E53D7">
        <w:t>The Commission’s consideration of each factor is weighed against the others, with no single factor dispositive.</w:t>
      </w:r>
      <w:r>
        <w:rPr>
          <w:rStyle w:val="FootnoteReference"/>
        </w:rPr>
        <w:footnoteReference w:id="21"/>
      </w:r>
      <w:r w:rsidR="006E53D7">
        <w:t xml:space="preserve">  </w:t>
      </w:r>
      <w:r w:rsidR="00F00A19">
        <w:t>W</w:t>
      </w:r>
      <w:r w:rsidRPr="00350210">
        <w:t>e conclude that Petitioners have</w:t>
      </w:r>
      <w:r w:rsidR="000459A9">
        <w:t xml:space="preserve"> failed to meet the test for this extraordinary equitable relief.</w:t>
      </w:r>
    </w:p>
    <w:p w:rsidR="000459A9" w:rsidP="000459A9" w14:paraId="0335775D" w14:textId="77777777">
      <w:pPr>
        <w:pStyle w:val="Heading2"/>
      </w:pPr>
      <w:r>
        <w:t>Petitioners Are Unlikely to Prevail on the Merits</w:t>
      </w:r>
    </w:p>
    <w:p w:rsidR="005C3296" w:rsidRPr="005C3296" w:rsidP="005C3296" w14:paraId="3530D665" w14:textId="10C00FE1">
      <w:pPr>
        <w:pStyle w:val="ParaNum"/>
      </w:pPr>
      <w:r>
        <w:t xml:space="preserve">Petitioners have not </w:t>
      </w:r>
      <w:r w:rsidR="0022315D">
        <w:t xml:space="preserve">met their burden of </w:t>
      </w:r>
      <w:r>
        <w:t>show</w:t>
      </w:r>
      <w:r w:rsidR="0022315D">
        <w:t>ing</w:t>
      </w:r>
      <w:r>
        <w:t xml:space="preserve"> that they are likely to succeed on the merits of their claim.  </w:t>
      </w:r>
      <w:r w:rsidR="00635ED5">
        <w:t>Petitioners have failed to demonstrate either that the Commission arbitrarily and capriciously adopted section 54.408(</w:t>
      </w:r>
      <w:r w:rsidR="000973F2">
        <w:t xml:space="preserve">b)(2)(ii)(D) in the </w:t>
      </w:r>
      <w:r w:rsidR="000973F2">
        <w:rPr>
          <w:i/>
          <w:iCs/>
        </w:rPr>
        <w:t xml:space="preserve">2016 </w:t>
      </w:r>
      <w:r w:rsidRPr="000973F2" w:rsidR="000973F2">
        <w:rPr>
          <w:i/>
          <w:iCs/>
        </w:rPr>
        <w:t>Order</w:t>
      </w:r>
      <w:r w:rsidR="000973F2">
        <w:t xml:space="preserve">, or that the Commission </w:t>
      </w:r>
      <w:r w:rsidR="00FE67A7">
        <w:t>has</w:t>
      </w:r>
      <w:r w:rsidR="00805A82">
        <w:t xml:space="preserve"> arbitrarily and capriciously fail</w:t>
      </w:r>
      <w:r w:rsidR="00FE67A7">
        <w:t>ed</w:t>
      </w:r>
      <w:r w:rsidR="00805A82">
        <w:t xml:space="preserve"> to </w:t>
      </w:r>
      <w:r w:rsidR="00FE67A7">
        <w:t>grant</w:t>
      </w:r>
      <w:r w:rsidR="00805A82">
        <w:t xml:space="preserve"> </w:t>
      </w:r>
      <w:r w:rsidR="00FE67A7">
        <w:t>NaLA’s</w:t>
      </w:r>
      <w:r w:rsidR="00FE67A7">
        <w:t xml:space="preserve"> August 2020 petition for waiver of the upcoming minimum service standard increase</w:t>
      </w:r>
      <w:r w:rsidR="000D753B">
        <w:t xml:space="preserve">.  </w:t>
      </w:r>
    </w:p>
    <w:p w:rsidR="001C23CA" w:rsidP="001C23CA" w14:paraId="15662EF7" w14:textId="249E4E0F">
      <w:pPr>
        <w:pStyle w:val="ParaNum"/>
      </w:pPr>
      <w:r>
        <w:t xml:space="preserve">Petitioners </w:t>
      </w:r>
      <w:r w:rsidR="00EB735D">
        <w:t xml:space="preserve">fail to </w:t>
      </w:r>
      <w:r w:rsidR="00223B3E">
        <w:t xml:space="preserve">demonstrate that </w:t>
      </w:r>
      <w:r w:rsidR="00A47DDC">
        <w:t xml:space="preserve">the </w:t>
      </w:r>
      <w:r w:rsidRPr="00373723" w:rsidR="001358DB">
        <w:rPr>
          <w:i/>
          <w:iCs/>
        </w:rPr>
        <w:t>2016 Order</w:t>
      </w:r>
      <w:r w:rsidR="001358DB">
        <w:t xml:space="preserve"> was arbitrary and capricious.</w:t>
      </w:r>
      <w:r w:rsidR="002069C2">
        <w:t xml:space="preserve">  </w:t>
      </w:r>
      <w:r w:rsidR="004F3DB7">
        <w:t>Petitioners make three arguments with r</w:t>
      </w:r>
      <w:r w:rsidR="00242B5D">
        <w:t xml:space="preserve">espect to </w:t>
      </w:r>
      <w:r w:rsidR="007F197D">
        <w:t xml:space="preserve">the </w:t>
      </w:r>
      <w:r w:rsidR="007F197D">
        <w:rPr>
          <w:i/>
          <w:iCs/>
        </w:rPr>
        <w:t>2016 Order</w:t>
      </w:r>
      <w:r w:rsidR="00242B5D">
        <w:t xml:space="preserve">: </w:t>
      </w:r>
      <w:r w:rsidR="00FA2DD3">
        <w:t xml:space="preserve">that </w:t>
      </w:r>
      <w:r w:rsidR="007F197D">
        <w:t>it</w:t>
      </w:r>
      <w:r w:rsidR="00FA2DD3">
        <w:rPr>
          <w:i/>
          <w:iCs/>
        </w:rPr>
        <w:t xml:space="preserve"> </w:t>
      </w:r>
      <w:r w:rsidR="00FA2DD3">
        <w:t xml:space="preserve">failed to consider the </w:t>
      </w:r>
      <w:r w:rsidR="007F197D">
        <w:t>primary goals of access and affordability; that it is divorced from the problems it is trying to solve and the market it is supposed to serve</w:t>
      </w:r>
      <w:r w:rsidR="00D004C0">
        <w:t>; and that</w:t>
      </w:r>
      <w:r>
        <w:t xml:space="preserve"> our use of the formula this year </w:t>
      </w:r>
      <w:r w:rsidR="00D004C0">
        <w:t>is inconsistent with our decision last year to waive the increase in part</w:t>
      </w:r>
      <w:r>
        <w:t>.  We take each argument in turn.</w:t>
      </w:r>
    </w:p>
    <w:p w:rsidR="00E97C52" w:rsidP="001C23CA" w14:paraId="0C247DEB" w14:textId="4585E0D9">
      <w:pPr>
        <w:pStyle w:val="ParaNum"/>
      </w:pPr>
      <w:r>
        <w:t xml:space="preserve">Petitioners </w:t>
      </w:r>
      <w:r w:rsidR="00603130">
        <w:t>first</w:t>
      </w:r>
      <w:r>
        <w:t xml:space="preserve"> argue that </w:t>
      </w:r>
      <w:r w:rsidR="00B10AB2">
        <w:t xml:space="preserve">the </w:t>
      </w:r>
      <w:r w:rsidR="00B10AB2">
        <w:rPr>
          <w:i/>
          <w:iCs/>
        </w:rPr>
        <w:t xml:space="preserve">2016 Order </w:t>
      </w:r>
      <w:r w:rsidR="00B10AB2">
        <w:t xml:space="preserve">failed </w:t>
      </w:r>
      <w:r w:rsidR="00AF22DA">
        <w:t>to address the affordability prong of the program’s goals</w:t>
      </w:r>
      <w:r w:rsidR="008342D9">
        <w:t xml:space="preserve"> by adopting a formula that </w:t>
      </w:r>
      <w:r w:rsidR="00F3670E">
        <w:t>would now require low-income Americans to pay up to $40 each month for 11.75 GB</w:t>
      </w:r>
      <w:r w:rsidR="00BE0DEB">
        <w:t xml:space="preserve"> of broadband data</w:t>
      </w:r>
      <w:r w:rsidR="00AF22DA">
        <w:t>.</w:t>
      </w:r>
      <w:r>
        <w:rPr>
          <w:rStyle w:val="FootnoteReference"/>
        </w:rPr>
        <w:footnoteReference w:id="22"/>
      </w:r>
      <w:r w:rsidR="009271E1">
        <w:t xml:space="preserve">  </w:t>
      </w:r>
      <w:r w:rsidR="00620553">
        <w:t xml:space="preserve">Petitioners fail to acknowledge the </w:t>
      </w:r>
      <w:r w:rsidRPr="00373723" w:rsidR="00620553">
        <w:rPr>
          <w:i/>
          <w:iCs/>
        </w:rPr>
        <w:t>2016 Order</w:t>
      </w:r>
      <w:r w:rsidR="00620553">
        <w:t>’s discussion of affordability, the need for low-income consumers to receive an evolving level of service, and the relevant data sources showing trends in the services consumers subscribed to and how much they used them.</w:t>
      </w:r>
      <w:r>
        <w:rPr>
          <w:rStyle w:val="FootnoteReference"/>
        </w:rPr>
        <w:footnoteReference w:id="23"/>
      </w:r>
      <w:r w:rsidR="00620553">
        <w:t xml:space="preserve">  What is more, t</w:t>
      </w:r>
      <w:r w:rsidR="009271E1">
        <w:t xml:space="preserve">he </w:t>
      </w:r>
      <w:r w:rsidR="009271E1">
        <w:rPr>
          <w:i/>
          <w:iCs/>
        </w:rPr>
        <w:t>2016 Order</w:t>
      </w:r>
      <w:r w:rsidR="009271E1">
        <w:t xml:space="preserve"> took careful consideration of </w:t>
      </w:r>
      <w:r w:rsidR="00805297">
        <w:t>the affordability prong by</w:t>
      </w:r>
      <w:r w:rsidR="006D34E0">
        <w:t xml:space="preserve"> implementing a gradual </w:t>
      </w:r>
      <w:r w:rsidR="00D10AE3">
        <w:t xml:space="preserve">phased-in schedule to </w:t>
      </w:r>
      <w:r w:rsidR="00CF3718">
        <w:t xml:space="preserve">permit </w:t>
      </w:r>
      <w:r w:rsidR="00634D95">
        <w:t>provide</w:t>
      </w:r>
      <w:r w:rsidR="00CA6E2C">
        <w:t>r</w:t>
      </w:r>
      <w:r w:rsidR="00634D95">
        <w:t>s an adjustment period</w:t>
      </w:r>
      <w:r w:rsidR="00DD799A">
        <w:t>.</w:t>
      </w:r>
      <w:r>
        <w:rPr>
          <w:rStyle w:val="FootnoteReference"/>
        </w:rPr>
        <w:footnoteReference w:id="24"/>
      </w:r>
      <w:r w:rsidR="00721F7B">
        <w:t xml:space="preserve">  Petitioners point to this gradual phase-in as evidence that the formula was flawed from the outset; however, the </w:t>
      </w:r>
      <w:r w:rsidR="00F1638E">
        <w:t xml:space="preserve">phase-in </w:t>
      </w:r>
      <w:r w:rsidR="003D1517">
        <w:t xml:space="preserve">period </w:t>
      </w:r>
      <w:r w:rsidR="00F1638E">
        <w:t xml:space="preserve">and </w:t>
      </w:r>
      <w:r w:rsidR="003D1517">
        <w:t>the</w:t>
      </w:r>
      <w:r w:rsidR="007046D9">
        <w:t xml:space="preserve"> requirement </w:t>
      </w:r>
      <w:r w:rsidR="00E34BBB">
        <w:t xml:space="preserve">that the Bureau </w:t>
      </w:r>
      <w:r w:rsidR="00E87849">
        <w:t xml:space="preserve">issue a public notice well in advance of the </w:t>
      </w:r>
      <w:r w:rsidR="0069535F">
        <w:t xml:space="preserve">scheduled changes </w:t>
      </w:r>
      <w:r w:rsidR="007B75F0">
        <w:t>served</w:t>
      </w:r>
      <w:r w:rsidR="00405760">
        <w:t xml:space="preserve"> to </w:t>
      </w:r>
      <w:r w:rsidR="001F721B">
        <w:t xml:space="preserve">ensure that </w:t>
      </w:r>
      <w:r w:rsidR="007B75F0">
        <w:t xml:space="preserve">Lifeline subscribers had access to an </w:t>
      </w:r>
      <w:r w:rsidR="00ED52FD">
        <w:t xml:space="preserve">evolving level of service in </w:t>
      </w:r>
      <w:r w:rsidR="008D7AA8">
        <w:t xml:space="preserve">an </w:t>
      </w:r>
      <w:r w:rsidR="00ED52FD">
        <w:t>incremental, predictable</w:t>
      </w:r>
      <w:r w:rsidR="008D7AA8">
        <w:t xml:space="preserve"> way</w:t>
      </w:r>
      <w:r w:rsidR="005850D1">
        <w:t xml:space="preserve">.  </w:t>
      </w:r>
      <w:r w:rsidR="0000752B">
        <w:t>T</w:t>
      </w:r>
      <w:r w:rsidR="005850D1">
        <w:t xml:space="preserve">he </w:t>
      </w:r>
      <w:r w:rsidR="006A7C3E">
        <w:t xml:space="preserve">Commission did not intend for </w:t>
      </w:r>
      <w:r w:rsidR="00756CA8">
        <w:t xml:space="preserve">the </w:t>
      </w:r>
      <w:r w:rsidR="006A7C3E">
        <w:t>mobile broadband minimum service standard to be static</w:t>
      </w:r>
      <w:r w:rsidR="00D4169F">
        <w:t xml:space="preserve">.  </w:t>
      </w:r>
      <w:r w:rsidR="00587DA2">
        <w:t>And while Petitioners</w:t>
      </w:r>
      <w:r w:rsidR="00286077">
        <w:t xml:space="preserve"> </w:t>
      </w:r>
      <w:r w:rsidR="00857B6A">
        <w:t>argue that the scheduled increase</w:t>
      </w:r>
      <w:r w:rsidR="007D6E6B">
        <w:t xml:space="preserve"> </w:t>
      </w:r>
      <w:r>
        <w:t>to 11.75 GB/month</w:t>
      </w:r>
      <w:r w:rsidR="00857B6A">
        <w:t xml:space="preserve"> </w:t>
      </w:r>
      <w:r w:rsidR="007D6E6B">
        <w:t xml:space="preserve">would </w:t>
      </w:r>
      <w:r w:rsidR="00B85815">
        <w:t xml:space="preserve">ignore the </w:t>
      </w:r>
      <w:r w:rsidR="00703BEA">
        <w:t xml:space="preserve">statutory goal of </w:t>
      </w:r>
      <w:r w:rsidR="00433406">
        <w:t>affordability</w:t>
      </w:r>
      <w:r w:rsidR="00703BEA">
        <w:t xml:space="preserve">, </w:t>
      </w:r>
      <w:r w:rsidR="001011F9">
        <w:t xml:space="preserve">the </w:t>
      </w:r>
      <w:r w:rsidR="001011F9">
        <w:rPr>
          <w:i/>
          <w:iCs/>
        </w:rPr>
        <w:t>2020 Waiver Order</w:t>
      </w:r>
      <w:r w:rsidR="001011F9">
        <w:t xml:space="preserve"> </w:t>
      </w:r>
      <w:r>
        <w:t>appropriately addressed this concern</w:t>
      </w:r>
      <w:r w:rsidR="00A813C3">
        <w:t xml:space="preserve"> by providing a more moderate increase to 4.5 GB/month</w:t>
      </w:r>
      <w:r w:rsidR="007F39D4">
        <w:t xml:space="preserve">—a 50% increase in line with the 50% increase the </w:t>
      </w:r>
      <w:r w:rsidR="007F39D4">
        <w:t>Commission had authorized the year before</w:t>
      </w:r>
      <w:r w:rsidR="001011F9">
        <w:t>.</w:t>
      </w:r>
      <w:r>
        <w:rPr>
          <w:rStyle w:val="FootnoteReference"/>
        </w:rPr>
        <w:footnoteReference w:id="25"/>
      </w:r>
    </w:p>
    <w:p w:rsidR="00737BCA" w:rsidP="009D4C44" w14:paraId="6EFF5F15" w14:textId="332DE841">
      <w:pPr>
        <w:pStyle w:val="ParaNum"/>
        <w:widowControl/>
      </w:pPr>
      <w:r>
        <w:t xml:space="preserve">Next, Petitioners argue </w:t>
      </w:r>
      <w:r w:rsidR="0009364E">
        <w:t>that</w:t>
      </w:r>
      <w:r w:rsidR="00AB3243">
        <w:t xml:space="preserve"> the</w:t>
      </w:r>
      <w:r w:rsidR="00F9159E">
        <w:t xml:space="preserve"> </w:t>
      </w:r>
      <w:r w:rsidR="00D16F14">
        <w:rPr>
          <w:i/>
          <w:iCs/>
        </w:rPr>
        <w:t xml:space="preserve">2016 Order </w:t>
      </w:r>
      <w:r w:rsidR="00D16F14">
        <w:t xml:space="preserve">formula </w:t>
      </w:r>
      <w:r w:rsidR="001C023A">
        <w:t xml:space="preserve">fails to </w:t>
      </w:r>
      <w:r w:rsidR="000A182D">
        <w:t>adequately facilitate the transition to broadband and low-income consumers’ access to broadband</w:t>
      </w:r>
      <w:r w:rsidR="00AB63F1">
        <w:t xml:space="preserve"> because it acc</w:t>
      </w:r>
      <w:r w:rsidR="00F076DF">
        <w:t xml:space="preserve">elerates a shift to </w:t>
      </w:r>
      <w:r w:rsidR="005B37C3">
        <w:t xml:space="preserve">Lifeline-supported </w:t>
      </w:r>
      <w:r w:rsidR="00F076DF">
        <w:t>voice</w:t>
      </w:r>
      <w:r w:rsidR="006C7455">
        <w:t xml:space="preserve"> </w:t>
      </w:r>
      <w:r w:rsidR="005B37C3">
        <w:t>service instead of Lifeline-supported broadband service</w:t>
      </w:r>
      <w:r w:rsidR="000A182D">
        <w:t>.</w:t>
      </w:r>
      <w:r>
        <w:rPr>
          <w:rStyle w:val="FootnoteReference"/>
        </w:rPr>
        <w:footnoteReference w:id="26"/>
      </w:r>
      <w:r w:rsidR="00373501">
        <w:t xml:space="preserve">  </w:t>
      </w:r>
      <w:r w:rsidR="00244893">
        <w:t xml:space="preserve">While </w:t>
      </w:r>
      <w:r w:rsidR="00611F77">
        <w:t xml:space="preserve">it is true that a </w:t>
      </w:r>
      <w:r w:rsidR="00E9524C">
        <w:t>dramatic and immediate</w:t>
      </w:r>
      <w:r w:rsidR="00626192">
        <w:t xml:space="preserve"> jump in the minimum service standard to 11.75 GB/month </w:t>
      </w:r>
      <w:r w:rsidR="007F39D4">
        <w:t xml:space="preserve">could </w:t>
      </w:r>
      <w:r w:rsidR="00626192">
        <w:t xml:space="preserve">have </w:t>
      </w:r>
      <w:r w:rsidR="00277967">
        <w:t>risked making</w:t>
      </w:r>
      <w:r w:rsidR="00C43ECC">
        <w:t xml:space="preserve"> </w:t>
      </w:r>
      <w:r w:rsidR="00277967">
        <w:t>Lifeline-supported broadband service offerings unaffordable for low-income consumers</w:t>
      </w:r>
      <w:r w:rsidR="00F666C9">
        <w:t xml:space="preserve"> and made Lifeline-supported voice service more attractive in comparison</w:t>
      </w:r>
      <w:r w:rsidR="00030F75">
        <w:t xml:space="preserve">, </w:t>
      </w:r>
      <w:r w:rsidR="00CC235B">
        <w:t>such a concern</w:t>
      </w:r>
      <w:r w:rsidR="00822EE7">
        <w:t xml:space="preserve"> is</w:t>
      </w:r>
      <w:r w:rsidR="00352973">
        <w:t xml:space="preserve"> </w:t>
      </w:r>
      <w:r w:rsidR="00F666C9">
        <w:t>avoided</w:t>
      </w:r>
      <w:r w:rsidR="00CC235B">
        <w:t xml:space="preserve"> </w:t>
      </w:r>
      <w:r w:rsidR="004D7639">
        <w:t xml:space="preserve">with </w:t>
      </w:r>
      <w:r w:rsidRPr="00020D63" w:rsidR="00F666C9">
        <w:t>the</w:t>
      </w:r>
      <w:r w:rsidR="00F666C9">
        <w:t xml:space="preserve"> </w:t>
      </w:r>
      <w:r w:rsidR="00F666C9">
        <w:rPr>
          <w:i/>
          <w:iCs/>
        </w:rPr>
        <w:t xml:space="preserve">2020 Waiver </w:t>
      </w:r>
      <w:r w:rsidRPr="00020D63" w:rsidR="00F666C9">
        <w:rPr>
          <w:i/>
          <w:iCs/>
        </w:rPr>
        <w:t>Order</w:t>
      </w:r>
      <w:r w:rsidR="00F666C9">
        <w:t>’s</w:t>
      </w:r>
      <w:r w:rsidR="004D7639">
        <w:t xml:space="preserve"> more moderate increase to 4.5 GB/month.</w:t>
      </w:r>
      <w:r>
        <w:rPr>
          <w:rStyle w:val="FootnoteReference"/>
        </w:rPr>
        <w:footnoteReference w:id="27"/>
      </w:r>
      <w:r w:rsidR="007F39D4">
        <w:t xml:space="preserve">  </w:t>
      </w:r>
      <w:r w:rsidR="00395417">
        <w:t xml:space="preserve">What is more, the </w:t>
      </w:r>
      <w:r w:rsidR="00395417">
        <w:rPr>
          <w:i/>
          <w:iCs/>
        </w:rPr>
        <w:t>2016 Order</w:t>
      </w:r>
      <w:r w:rsidR="00395417">
        <w:t xml:space="preserve"> found that the </w:t>
      </w:r>
      <w:r w:rsidR="002A0AA5">
        <w:t>“</w:t>
      </w:r>
      <w:r w:rsidR="00395417">
        <w:t xml:space="preserve">best </w:t>
      </w:r>
      <w:r w:rsidR="002A0AA5">
        <w:t>way</w:t>
      </w:r>
      <w:r w:rsidR="00395417">
        <w:t xml:space="preserve"> to conduct </w:t>
      </w:r>
      <w:r w:rsidR="003219DE">
        <w:t>this</w:t>
      </w:r>
      <w:r w:rsidR="00395417">
        <w:t xml:space="preserve"> transition</w:t>
      </w:r>
      <w:r w:rsidR="003219DE">
        <w:t xml:space="preserve"> [to broadband services]</w:t>
      </w:r>
      <w:r w:rsidR="00395417">
        <w:t xml:space="preserve"> </w:t>
      </w:r>
      <w:r w:rsidR="003219DE">
        <w:t>is by</w:t>
      </w:r>
      <w:r w:rsidR="00395417">
        <w:t xml:space="preserve"> gradual</w:t>
      </w:r>
      <w:r w:rsidR="003219DE">
        <w:t xml:space="preserve">ly </w:t>
      </w:r>
      <w:r w:rsidR="00395417">
        <w:t>reduc</w:t>
      </w:r>
      <w:r w:rsidR="003219DE">
        <w:t>ing the</w:t>
      </w:r>
      <w:r w:rsidR="00395417">
        <w:t xml:space="preserve"> monthly support level for voice-only service</w:t>
      </w:r>
      <w:r w:rsidR="00602AAA">
        <w:t>,</w:t>
      </w:r>
      <w:r w:rsidR="003219DE">
        <w:t>”</w:t>
      </w:r>
      <w:r w:rsidR="00602AAA">
        <w:t xml:space="preserve"> coupled with the phase-in of higher mobile broadband minimum service standards</w:t>
      </w:r>
      <w:r w:rsidR="00A80149">
        <w:t>.</w:t>
      </w:r>
      <w:r>
        <w:rPr>
          <w:rStyle w:val="FootnoteReference"/>
        </w:rPr>
        <w:footnoteReference w:id="28"/>
      </w:r>
      <w:r w:rsidR="00A80149">
        <w:t xml:space="preserve">  We find the approach in the </w:t>
      </w:r>
      <w:r w:rsidRPr="00FB00D1" w:rsidR="00A80149">
        <w:rPr>
          <w:i/>
          <w:iCs/>
        </w:rPr>
        <w:t>2020 Waiver Order</w:t>
      </w:r>
      <w:r w:rsidR="00A80149">
        <w:t xml:space="preserve"> to be consistent with this intent.</w:t>
      </w:r>
      <w:r w:rsidR="00A80149">
        <w:t xml:space="preserve"> </w:t>
      </w:r>
    </w:p>
    <w:p w:rsidR="002177D0" w:rsidP="00A54C46" w14:paraId="55EFAA1B" w14:textId="0333E454">
      <w:pPr>
        <w:pStyle w:val="ParaNum"/>
      </w:pPr>
      <w:r>
        <w:t>Last</w:t>
      </w:r>
      <w:r w:rsidR="00DE03F3">
        <w:t xml:space="preserve">, </w:t>
      </w:r>
      <w:r w:rsidR="00866DC9">
        <w:t xml:space="preserve">Petitioners also argue that they are likely to succeed on the merits of their claim because the Commission has been arbitrary and capricious in its </w:t>
      </w:r>
      <w:r w:rsidR="006A1E9F">
        <w:t xml:space="preserve">failure to grant </w:t>
      </w:r>
      <w:r w:rsidR="006A1E9F">
        <w:t>NaLA’s</w:t>
      </w:r>
      <w:r w:rsidR="006A1E9F">
        <w:t xml:space="preserve"> August 2020 petition for waiver of the December 2020 update to the mobile broadband usage minimum service standard.</w:t>
      </w:r>
      <w:r>
        <w:rPr>
          <w:rStyle w:val="FootnoteReference"/>
        </w:rPr>
        <w:footnoteReference w:id="29"/>
      </w:r>
      <w:r w:rsidR="004D52A3">
        <w:t xml:space="preserve">  Petitioners are unlikely to prevail here because the </w:t>
      </w:r>
      <w:r w:rsidR="009F0273">
        <w:t>Bureau</w:t>
      </w:r>
      <w:r w:rsidR="004D52A3">
        <w:t xml:space="preserve"> has </w:t>
      </w:r>
      <w:r w:rsidR="00131FA9">
        <w:t xml:space="preserve">granted </w:t>
      </w:r>
      <w:r w:rsidR="00131FA9">
        <w:t>NaLA’s</w:t>
      </w:r>
      <w:r w:rsidR="00131FA9">
        <w:t xml:space="preserve"> petition in a way that prevents </w:t>
      </w:r>
      <w:r w:rsidR="00343DC3">
        <w:t xml:space="preserve">undue </w:t>
      </w:r>
      <w:r w:rsidR="00131FA9">
        <w:t xml:space="preserve">disruption to the program while </w:t>
      </w:r>
      <w:r w:rsidR="00420BF9">
        <w:t>fulfilling the</w:t>
      </w:r>
      <w:r w:rsidR="00160144">
        <w:t xml:space="preserve"> </w:t>
      </w:r>
      <w:r w:rsidR="00C35F51">
        <w:t>statute’s</w:t>
      </w:r>
      <w:r w:rsidR="00AA1836">
        <w:t xml:space="preserve"> polic</w:t>
      </w:r>
      <w:r w:rsidR="003A788A">
        <w:t>y</w:t>
      </w:r>
      <w:r w:rsidR="00AA1836">
        <w:t xml:space="preserve"> that low-income consumers should also have access to </w:t>
      </w:r>
      <w:r w:rsidR="008C4C07">
        <w:t xml:space="preserve">an </w:t>
      </w:r>
      <w:r w:rsidR="00AA1836">
        <w:t xml:space="preserve">evolving </w:t>
      </w:r>
      <w:r w:rsidR="008C4C07">
        <w:t>level of</w:t>
      </w:r>
      <w:r w:rsidR="00AA1836">
        <w:t xml:space="preserve"> service.</w:t>
      </w:r>
      <w:r>
        <w:rPr>
          <w:rStyle w:val="FootnoteReference"/>
        </w:rPr>
        <w:footnoteReference w:id="30"/>
      </w:r>
      <w:r w:rsidR="006A1E9F">
        <w:t xml:space="preserve">  </w:t>
      </w:r>
    </w:p>
    <w:p w:rsidR="00590ECB" w:rsidP="00714A3F" w14:paraId="665DA2DA" w14:textId="69E02F7B">
      <w:pPr>
        <w:pStyle w:val="ParaNum"/>
      </w:pPr>
      <w:r>
        <w:t>I</w:t>
      </w:r>
      <w:r w:rsidR="00F57C13">
        <w:t xml:space="preserve">n </w:t>
      </w:r>
      <w:r w:rsidR="004D7A90">
        <w:t xml:space="preserve">the </w:t>
      </w:r>
      <w:r w:rsidRPr="009017BE" w:rsidR="004D7A90">
        <w:rPr>
          <w:i/>
          <w:iCs/>
        </w:rPr>
        <w:t>2020 Waiver Order</w:t>
      </w:r>
      <w:r w:rsidR="00506E9C">
        <w:t xml:space="preserve">, </w:t>
      </w:r>
      <w:r w:rsidR="00A13BF4">
        <w:t>we</w:t>
      </w:r>
      <w:r w:rsidR="008B0C9D">
        <w:t xml:space="preserve"> agreed that </w:t>
      </w:r>
      <w:r w:rsidR="005F44E4">
        <w:t>the unexpectedly large</w:t>
      </w:r>
      <w:r w:rsidR="008B0C9D">
        <w:t xml:space="preserve"> increase in the mobile broadband </w:t>
      </w:r>
      <w:r w:rsidR="0084470D">
        <w:t xml:space="preserve">minimum service standard </w:t>
      </w:r>
      <w:r w:rsidR="005F44E4">
        <w:t xml:space="preserve">to 11.75 GB </w:t>
      </w:r>
      <w:r w:rsidR="00DE4341">
        <w:t>c</w:t>
      </w:r>
      <w:r w:rsidR="00A54C46">
        <w:t xml:space="preserve">ould </w:t>
      </w:r>
      <w:r w:rsidR="00453D90">
        <w:t>undermine</w:t>
      </w:r>
      <w:r w:rsidR="00A54C46">
        <w:t xml:space="preserve"> the goals of the </w:t>
      </w:r>
      <w:r w:rsidR="0093278F">
        <w:t xml:space="preserve">Lifeline </w:t>
      </w:r>
      <w:r w:rsidR="00A54C46">
        <w:t>program.</w:t>
      </w:r>
      <w:r>
        <w:rPr>
          <w:rStyle w:val="FootnoteReference"/>
        </w:rPr>
        <w:footnoteReference w:id="31"/>
      </w:r>
      <w:r w:rsidR="00847A57">
        <w:t xml:space="preserve">  Instead, </w:t>
      </w:r>
      <w:r w:rsidR="00D57A82">
        <w:t>based on the record</w:t>
      </w:r>
      <w:r w:rsidR="003A788A">
        <w:t>,</w:t>
      </w:r>
      <w:r w:rsidR="00D57A82">
        <w:t xml:space="preserve"> </w:t>
      </w:r>
      <w:r w:rsidR="00533343">
        <w:t>including</w:t>
      </w:r>
      <w:r w:rsidR="00D57A82">
        <w:t xml:space="preserve"> data</w:t>
      </w:r>
      <w:r w:rsidR="009D3E6A">
        <w:t xml:space="preserve"> from the </w:t>
      </w:r>
      <w:r w:rsidR="009D3E6A">
        <w:rPr>
          <w:i/>
          <w:iCs/>
        </w:rPr>
        <w:t>2018 Communications Marketplace Report</w:t>
      </w:r>
      <w:r w:rsidR="009D3E6A">
        <w:t xml:space="preserve">, </w:t>
      </w:r>
      <w:r w:rsidR="00603EDA">
        <w:t>we</w:t>
      </w:r>
      <w:r w:rsidR="006D3CBF">
        <w:t xml:space="preserve"> determined that </w:t>
      </w:r>
      <w:r w:rsidR="006D7DB3">
        <w:t>a moderate increase in the mobile broadband standard to 4.5 GB/month</w:t>
      </w:r>
      <w:r w:rsidR="00C631CC">
        <w:t xml:space="preserve"> was appropriate and </w:t>
      </w:r>
      <w:r w:rsidR="006D7DB3">
        <w:t xml:space="preserve">consistent with the </w:t>
      </w:r>
      <w:r w:rsidR="00F01BB2">
        <w:t>stair-step approach</w:t>
      </w:r>
      <w:r w:rsidR="006D7DB3">
        <w:t xml:space="preserve"> </w:t>
      </w:r>
      <w:r w:rsidR="00970DC5">
        <w:t>implemented by the Commission in</w:t>
      </w:r>
      <w:r w:rsidR="00F01BB2">
        <w:t xml:space="preserve"> the </w:t>
      </w:r>
      <w:r w:rsidRPr="00D90119" w:rsidR="00F01BB2">
        <w:rPr>
          <w:i/>
          <w:iCs/>
        </w:rPr>
        <w:t>2016 Order</w:t>
      </w:r>
      <w:r w:rsidR="00506E9C">
        <w:t xml:space="preserve"> and</w:t>
      </w:r>
      <w:r w:rsidR="00086EC2">
        <w:t xml:space="preserve"> confirmed in the </w:t>
      </w:r>
      <w:r w:rsidRPr="00D90119" w:rsidR="00086EC2">
        <w:rPr>
          <w:i/>
          <w:iCs/>
        </w:rPr>
        <w:t>2019 Waiver Order</w:t>
      </w:r>
      <w:r w:rsidR="00691CC9">
        <w:t>.</w:t>
      </w:r>
      <w:r>
        <w:rPr>
          <w:rStyle w:val="FootnoteReference"/>
        </w:rPr>
        <w:footnoteReference w:id="32"/>
      </w:r>
      <w:r w:rsidR="00691CC9">
        <w:t xml:space="preserve">  We concluded th</w:t>
      </w:r>
      <w:r w:rsidR="004C03DC">
        <w:t>is moderate increase in the standard</w:t>
      </w:r>
      <w:r w:rsidR="00691CC9">
        <w:t xml:space="preserve"> </w:t>
      </w:r>
      <w:r w:rsidR="00F01BB2">
        <w:t xml:space="preserve">appropriately </w:t>
      </w:r>
      <w:r w:rsidRPr="0099091A" w:rsidR="0099091A">
        <w:t>balance</w:t>
      </w:r>
      <w:r w:rsidR="00343DC3">
        <w:t>s</w:t>
      </w:r>
      <w:r w:rsidRPr="0099091A" w:rsidR="0099091A">
        <w:t xml:space="preserve"> the core objectives of </w:t>
      </w:r>
      <w:r w:rsidR="00343DC3">
        <w:t>reasonable comparability and affordability</w:t>
      </w:r>
      <w:r w:rsidR="0099091A">
        <w:t>.</w:t>
      </w:r>
      <w:r>
        <w:rPr>
          <w:rStyle w:val="FootnoteReference"/>
        </w:rPr>
        <w:footnoteReference w:id="33"/>
      </w:r>
      <w:r w:rsidR="00572E23">
        <w:t xml:space="preserve">  We further found that </w:t>
      </w:r>
      <w:r w:rsidRPr="00572E23" w:rsidR="00572E23">
        <w:t xml:space="preserve">failing to provide low-income consumers </w:t>
      </w:r>
      <w:r w:rsidRPr="00B058ED" w:rsidR="00D52007">
        <w:rPr>
          <w:i/>
          <w:iCs/>
        </w:rPr>
        <w:t>any</w:t>
      </w:r>
      <w:r w:rsidRPr="00572E23" w:rsidR="00572E23">
        <w:t xml:space="preserve"> increase in </w:t>
      </w:r>
      <w:r w:rsidR="00375B14">
        <w:t xml:space="preserve">the </w:t>
      </w:r>
      <w:r w:rsidRPr="00572E23" w:rsidR="00572E23">
        <w:t xml:space="preserve">mobile broadband </w:t>
      </w:r>
      <w:r w:rsidR="00375B14">
        <w:t>standard</w:t>
      </w:r>
      <w:r w:rsidRPr="00572E23" w:rsidR="00375B14">
        <w:t xml:space="preserve"> </w:t>
      </w:r>
      <w:r w:rsidRPr="00572E23" w:rsidR="00572E23">
        <w:t>would provide a barrier from their participation in today’s unique environment and risk leaving them further behi</w:t>
      </w:r>
      <w:r w:rsidR="00572E23">
        <w:t xml:space="preserve">nd </w:t>
      </w:r>
      <w:r w:rsidR="007F39D4">
        <w:t xml:space="preserve">with second-class service </w:t>
      </w:r>
      <w:r w:rsidR="00572E23">
        <w:t>during a pandemic that has disproportionately affected them.</w:t>
      </w:r>
      <w:r>
        <w:rPr>
          <w:rStyle w:val="FootnoteReference"/>
        </w:rPr>
        <w:footnoteReference w:id="34"/>
      </w:r>
      <w:r w:rsidR="00476D30">
        <w:t xml:space="preserve">  </w:t>
      </w:r>
    </w:p>
    <w:p w:rsidR="000459A9" w:rsidP="00A54C46" w14:paraId="313D6541" w14:textId="0E9D3ED7">
      <w:pPr>
        <w:pStyle w:val="ParaNum"/>
      </w:pPr>
      <w:r>
        <w:t xml:space="preserve">In light of </w:t>
      </w:r>
      <w:r w:rsidR="00DD1367">
        <w:t xml:space="preserve">our disposition of the </w:t>
      </w:r>
      <w:r w:rsidR="00DD1367">
        <w:t>NaLA</w:t>
      </w:r>
      <w:r w:rsidR="00DD1367">
        <w:t xml:space="preserve"> petition for waiver</w:t>
      </w:r>
      <w:r w:rsidR="00801AAD">
        <w:t>,</w:t>
      </w:r>
      <w:r w:rsidR="006B3E9A">
        <w:t xml:space="preserve"> </w:t>
      </w:r>
      <w:r w:rsidR="009A41A7">
        <w:t xml:space="preserve">we </w:t>
      </w:r>
      <w:r w:rsidR="00063ED6">
        <w:t xml:space="preserve">need not address </w:t>
      </w:r>
      <w:r w:rsidR="009A41A7">
        <w:t>the Petitioners’ argument</w:t>
      </w:r>
      <w:r w:rsidR="00BF76A5">
        <w:t xml:space="preserve">s with respect to this element </w:t>
      </w:r>
      <w:r w:rsidR="000061CD">
        <w:t>because their concerns about</w:t>
      </w:r>
      <w:r w:rsidR="004D20A5">
        <w:t xml:space="preserve"> </w:t>
      </w:r>
      <w:r w:rsidR="00FA07E1">
        <w:t>the</w:t>
      </w:r>
      <w:r w:rsidR="004D20A5">
        <w:t xml:space="preserve"> effects </w:t>
      </w:r>
      <w:r w:rsidR="000061CD">
        <w:t xml:space="preserve">of </w:t>
      </w:r>
      <w:r w:rsidR="004D20A5">
        <w:t xml:space="preserve">an increase </w:t>
      </w:r>
      <w:r w:rsidR="000061CD">
        <w:t xml:space="preserve">in the mobile broadband usage minimum service standard </w:t>
      </w:r>
      <w:r w:rsidR="004D20A5">
        <w:t xml:space="preserve">to 11.75 GB/month </w:t>
      </w:r>
      <w:r w:rsidR="000061CD">
        <w:t>do not apply to a more moderate increase to 4.5 GB/month</w:t>
      </w:r>
      <w:r w:rsidR="00801AAD">
        <w:t xml:space="preserve">.  </w:t>
      </w:r>
      <w:r w:rsidR="00063ED6">
        <w:t>In any event, b</w:t>
      </w:r>
      <w:r w:rsidR="00476D30">
        <w:t xml:space="preserve">ecause </w:t>
      </w:r>
      <w:r w:rsidR="004D0595">
        <w:t xml:space="preserve">the formula contemplated by the </w:t>
      </w:r>
      <w:r w:rsidRPr="00FB1B9D" w:rsidR="004D0595">
        <w:rPr>
          <w:i/>
          <w:iCs/>
        </w:rPr>
        <w:t>2016 Order</w:t>
      </w:r>
      <w:r w:rsidR="00025909">
        <w:t xml:space="preserve"> </w:t>
      </w:r>
      <w:r w:rsidR="00DF50A1">
        <w:t>was</w:t>
      </w:r>
      <w:r w:rsidR="00025909">
        <w:t xml:space="preserve"> </w:t>
      </w:r>
      <w:r w:rsidR="00FC0A82">
        <w:t>appropriately partially waived</w:t>
      </w:r>
      <w:r w:rsidR="004D0595">
        <w:t xml:space="preserve"> and because the mobile broadband minimum service standard</w:t>
      </w:r>
      <w:r w:rsidR="000B09D3">
        <w:t xml:space="preserve"> will not increase to 11.75 GB/month on December 1, 2020, we find that the Petitioners are unlikely to succeed on </w:t>
      </w:r>
      <w:r w:rsidR="000B09D3">
        <w:t xml:space="preserve">the merits of their argument that </w:t>
      </w:r>
      <w:r w:rsidR="006305E0">
        <w:t>any increase in the current minimum service standard is arbitrary and capricious.</w:t>
      </w:r>
    </w:p>
    <w:p w:rsidR="00D72A47" w:rsidP="00F21F99" w14:paraId="1B624336" w14:textId="77777777">
      <w:pPr>
        <w:pStyle w:val="Heading2"/>
      </w:pPr>
      <w:r>
        <w:t>Petitioners Have Not Shown That They Will Suffer Irreparable Harm</w:t>
      </w:r>
    </w:p>
    <w:p w:rsidR="00B13F9C" w:rsidP="0084635E" w14:paraId="23B924DE" w14:textId="77777777">
      <w:pPr>
        <w:pStyle w:val="ParaNum"/>
      </w:pPr>
      <w:r>
        <w:t>Petitioners</w:t>
      </w:r>
      <w:r w:rsidR="0057509F">
        <w:t>’</w:t>
      </w:r>
      <w:r>
        <w:t xml:space="preserve"> argument that they will suffer irreparable harm </w:t>
      </w:r>
      <w:r w:rsidR="00A75BA1">
        <w:t xml:space="preserve">is also </w:t>
      </w:r>
      <w:r w:rsidR="00AF7E6D">
        <w:t>unpersuasive</w:t>
      </w:r>
      <w:r w:rsidR="00A75BA1">
        <w:t xml:space="preserve"> </w:t>
      </w:r>
      <w:r w:rsidR="00A75BA1">
        <w:t>in light of</w:t>
      </w:r>
      <w:r w:rsidR="00A75BA1">
        <w:t xml:space="preserve"> </w:t>
      </w:r>
      <w:r w:rsidR="009017BE">
        <w:t xml:space="preserve">the </w:t>
      </w:r>
      <w:r w:rsidRPr="009017BE" w:rsidR="009017BE">
        <w:rPr>
          <w:i/>
          <w:iCs/>
        </w:rPr>
        <w:t>2020 Waiver Order</w:t>
      </w:r>
      <w:r w:rsidR="00A75BA1">
        <w:t xml:space="preserve">.  </w:t>
      </w:r>
      <w:r w:rsidR="00876E49">
        <w:t xml:space="preserve">In </w:t>
      </w:r>
      <w:r w:rsidR="0084635E">
        <w:t>the irreparable injury inquiry, “the injury must be both certain and great; it must be actual and not theoretical.”</w:t>
      </w:r>
      <w:r>
        <w:rPr>
          <w:rStyle w:val="FootnoteReference"/>
        </w:rPr>
        <w:footnoteReference w:id="35"/>
      </w:r>
      <w:r w:rsidR="0084635E">
        <w:t xml:space="preserve"> </w:t>
      </w:r>
      <w:r w:rsidR="003C6930">
        <w:t xml:space="preserve"> </w:t>
      </w:r>
      <w:r w:rsidR="0084635E">
        <w:t>A petitioner must also “substantiate the claim that the irreparable injury is ‘likely’ to occur</w:t>
      </w:r>
      <w:r w:rsidR="0084635E">
        <w:t>. . . .</w:t>
      </w:r>
      <w:r w:rsidR="0084635E">
        <w:t xml:space="preserve"> Bare allegations of what is likely to occur are of no value since the court must decide whether the harm will in fact occur.”</w:t>
      </w:r>
      <w:r>
        <w:rPr>
          <w:rStyle w:val="FootnoteReference"/>
        </w:rPr>
        <w:footnoteReference w:id="36"/>
      </w:r>
      <w:r w:rsidR="00D215FA">
        <w:t xml:space="preserve">  Petitioners’ claims fail to meet this standard.</w:t>
      </w:r>
    </w:p>
    <w:p w:rsidR="00C90ECA" w:rsidP="0084635E" w14:paraId="10C81F9C" w14:textId="418065E5">
      <w:pPr>
        <w:pStyle w:val="ParaNum"/>
      </w:pPr>
      <w:r>
        <w:t xml:space="preserve">Although </w:t>
      </w:r>
      <w:r w:rsidR="00175C95">
        <w:t xml:space="preserve">Petitioners argue that </w:t>
      </w:r>
      <w:r w:rsidR="00225965">
        <w:t xml:space="preserve">they </w:t>
      </w:r>
      <w:r w:rsidR="00343DC3">
        <w:t xml:space="preserve">would </w:t>
      </w:r>
      <w:r w:rsidR="00225965">
        <w:t xml:space="preserve">be irreparably harmed </w:t>
      </w:r>
      <w:r w:rsidR="00343DC3">
        <w:t xml:space="preserve">by an increase in </w:t>
      </w:r>
      <w:r w:rsidR="00AF3ABA">
        <w:t>the mobile broadband minimum service standard</w:t>
      </w:r>
      <w:r w:rsidR="004573B3">
        <w:t xml:space="preserve"> to 11.75 GB/month</w:t>
      </w:r>
      <w:r w:rsidR="00380542">
        <w:t xml:space="preserve">, </w:t>
      </w:r>
      <w:r w:rsidR="009017BE">
        <w:t xml:space="preserve">the </w:t>
      </w:r>
      <w:r w:rsidRPr="009017BE" w:rsidR="009017BE">
        <w:rPr>
          <w:i/>
          <w:iCs/>
        </w:rPr>
        <w:t>2020 Waiver Order</w:t>
      </w:r>
      <w:r w:rsidR="009017BE">
        <w:t xml:space="preserve"> </w:t>
      </w:r>
      <w:r w:rsidR="00225965">
        <w:t xml:space="preserve">prevents any </w:t>
      </w:r>
      <w:r w:rsidR="0033527B">
        <w:t>certain and great harm</w:t>
      </w:r>
      <w:r w:rsidR="0088460D">
        <w:t xml:space="preserve"> to Petitioners</w:t>
      </w:r>
      <w:r w:rsidR="00992F5F">
        <w:t xml:space="preserve"> by </w:t>
      </w:r>
      <w:r w:rsidR="00681261">
        <w:t xml:space="preserve">waiving most of the scheduled increase and establishing </w:t>
      </w:r>
      <w:r w:rsidR="00343DC3">
        <w:t xml:space="preserve">a </w:t>
      </w:r>
      <w:r w:rsidR="00681261">
        <w:t>moderate increase to 4.5 GB</w:t>
      </w:r>
      <w:r w:rsidR="0045386B">
        <w:t>/month</w:t>
      </w:r>
      <w:r w:rsidR="00F505D5">
        <w:t>.</w:t>
      </w:r>
      <w:r w:rsidR="00B13F9C">
        <w:t xml:space="preserve">  </w:t>
      </w:r>
      <w:r w:rsidR="00F505D5">
        <w:t xml:space="preserve">Petitioners argue that </w:t>
      </w:r>
      <w:r w:rsidR="00F95593">
        <w:t>a near</w:t>
      </w:r>
      <w:r w:rsidR="00E417F0">
        <w:t>ly</w:t>
      </w:r>
      <w:r w:rsidR="00F95593">
        <w:t xml:space="preserve"> four-fold increase in the mobile broadband minimum service standard would </w:t>
      </w:r>
      <w:r w:rsidR="00B400B7">
        <w:t xml:space="preserve">cause significant harm to </w:t>
      </w:r>
      <w:r w:rsidR="00351201">
        <w:t>providers</w:t>
      </w:r>
      <w:r w:rsidR="00B400B7">
        <w:t xml:space="preserve"> </w:t>
      </w:r>
      <w:r w:rsidR="00511217">
        <w:t xml:space="preserve">because </w:t>
      </w:r>
      <w:r w:rsidR="00851065">
        <w:t xml:space="preserve">Lifeline-eligible </w:t>
      </w:r>
      <w:r w:rsidR="00511217">
        <w:t xml:space="preserve">consumers cannot afford </w:t>
      </w:r>
      <w:r w:rsidR="00003AD8">
        <w:t xml:space="preserve">plans </w:t>
      </w:r>
      <w:r w:rsidR="00CC74EC">
        <w:t xml:space="preserve">that provide </w:t>
      </w:r>
      <w:r w:rsidR="00003AD8">
        <w:t xml:space="preserve">a minimum of </w:t>
      </w:r>
      <w:r w:rsidR="00EA7C84">
        <w:t>11.75 GB/month,</w:t>
      </w:r>
      <w:r w:rsidR="005C7C46">
        <w:t xml:space="preserve"> which would</w:t>
      </w:r>
      <w:r w:rsidR="00EA7C84">
        <w:t xml:space="preserve"> thereby erod</w:t>
      </w:r>
      <w:r w:rsidR="005C7C46">
        <w:t>e</w:t>
      </w:r>
      <w:r w:rsidR="00EA7C84">
        <w:t xml:space="preserve"> </w:t>
      </w:r>
      <w:r w:rsidR="0035728F">
        <w:t xml:space="preserve">Petitioners’ </w:t>
      </w:r>
      <w:r w:rsidR="00EA7C84">
        <w:t xml:space="preserve">subscriber base.  </w:t>
      </w:r>
      <w:r w:rsidR="002C469F">
        <w:t xml:space="preserve">We need not determine whether </w:t>
      </w:r>
      <w:r>
        <w:t xml:space="preserve">such </w:t>
      </w:r>
      <w:r w:rsidR="002C469F">
        <w:t xml:space="preserve">an increase in the mobile broadband usage minimum service standard would have caused irreparable harm to the Petitioners </w:t>
      </w:r>
      <w:r w:rsidR="00183989">
        <w:t xml:space="preserve">because the </w:t>
      </w:r>
      <w:r w:rsidRPr="00B13F9C" w:rsidR="00183989">
        <w:rPr>
          <w:i/>
          <w:iCs/>
        </w:rPr>
        <w:t>2020 Waiver Order</w:t>
      </w:r>
      <w:r w:rsidR="00183989">
        <w:t xml:space="preserve"> prevents such an increase. </w:t>
      </w:r>
      <w:r w:rsidR="002C469F">
        <w:t xml:space="preserve"> </w:t>
      </w:r>
    </w:p>
    <w:p w:rsidR="007F39D4" w:rsidP="006C2067" w14:paraId="0F964C86" w14:textId="78CB0E67">
      <w:pPr>
        <w:pStyle w:val="ParaNum"/>
      </w:pPr>
      <w:r>
        <w:t>Furthermore, a</w:t>
      </w:r>
      <w:r w:rsidR="005252D9">
        <w:t xml:space="preserve">s detailed in </w:t>
      </w:r>
      <w:r w:rsidR="00003AD8">
        <w:t xml:space="preserve">the </w:t>
      </w:r>
      <w:r w:rsidRPr="00003AD8" w:rsidR="00003AD8">
        <w:rPr>
          <w:i/>
          <w:iCs/>
        </w:rPr>
        <w:t>2020 Waiver Order</w:t>
      </w:r>
      <w:r w:rsidR="005252D9">
        <w:t>,</w:t>
      </w:r>
      <w:r w:rsidR="00755468">
        <w:t xml:space="preserve"> </w:t>
      </w:r>
      <w:r>
        <w:t>we do not find</w:t>
      </w:r>
      <w:r w:rsidR="005252D9">
        <w:t xml:space="preserve"> that a </w:t>
      </w:r>
      <w:r w:rsidR="00D060B8">
        <w:t xml:space="preserve">moderate increase to 4.5 GB/month would </w:t>
      </w:r>
      <w:r w:rsidR="00D30BF2">
        <w:t>cause harm, much less irreparable harm, to Petitioners</w:t>
      </w:r>
      <w:r w:rsidR="00D060B8">
        <w:t>.</w:t>
      </w:r>
      <w:r>
        <w:rPr>
          <w:rStyle w:val="FootnoteReference"/>
        </w:rPr>
        <w:footnoteReference w:id="37"/>
      </w:r>
      <w:r w:rsidR="00B903ED">
        <w:t xml:space="preserve">  </w:t>
      </w:r>
      <w:r w:rsidR="009C1D6C">
        <w:t xml:space="preserve">Indeed, </w:t>
      </w:r>
      <w:r w:rsidR="001473A8">
        <w:t>NaLA</w:t>
      </w:r>
      <w:r w:rsidR="00786DC6">
        <w:t>’s</w:t>
      </w:r>
      <w:r w:rsidR="00786DC6">
        <w:t xml:space="preserve"> affordability argument</w:t>
      </w:r>
      <w:r w:rsidR="004036CC">
        <w:t xml:space="preserve"> is based on</w:t>
      </w:r>
      <w:r w:rsidR="00B903ED">
        <w:t xml:space="preserve"> </w:t>
      </w:r>
      <w:r w:rsidR="00245422">
        <w:t xml:space="preserve">its </w:t>
      </w:r>
      <w:r w:rsidR="00994D03">
        <w:t xml:space="preserve">10-15 GB/month mobile </w:t>
      </w:r>
      <w:r w:rsidR="008C4FDC">
        <w:t>data plans today</w:t>
      </w:r>
      <w:r w:rsidR="00FC7F97">
        <w:t>, which</w:t>
      </w:r>
      <w:r w:rsidR="008C4FDC">
        <w:t xml:space="preserve"> retail for $35-50</w:t>
      </w:r>
      <w:r w:rsidR="00FC7F97">
        <w:t>.</w:t>
      </w:r>
      <w:r>
        <w:rPr>
          <w:rStyle w:val="FootnoteReference"/>
        </w:rPr>
        <w:footnoteReference w:id="38"/>
      </w:r>
      <w:r w:rsidR="004A6950">
        <w:t xml:space="preserve"> </w:t>
      </w:r>
      <w:r>
        <w:t xml:space="preserve"> </w:t>
      </w:r>
      <w:r w:rsidR="00FC7F97">
        <w:t>W</w:t>
      </w:r>
      <w:r w:rsidR="00660C7B">
        <w:t xml:space="preserve">e find this </w:t>
      </w:r>
      <w:r w:rsidR="00F65A8A">
        <w:t xml:space="preserve">reliance </w:t>
      </w:r>
      <w:r w:rsidR="00560C25">
        <w:t>on retail pricing data</w:t>
      </w:r>
      <w:r w:rsidR="00660C7B">
        <w:t xml:space="preserve"> unpersuasive</w:t>
      </w:r>
      <w:r w:rsidR="003634D9">
        <w:t>, even in the context of 4.5 GB/month,</w:t>
      </w:r>
      <w:r w:rsidR="00660C7B">
        <w:t xml:space="preserve"> because</w:t>
      </w:r>
      <w:r w:rsidR="00D54367">
        <w:t xml:space="preserve"> the Commission</w:t>
      </w:r>
      <w:r w:rsidRPr="00803EF9" w:rsidR="00803EF9">
        <w:t xml:space="preserve"> </w:t>
      </w:r>
      <w:r w:rsidR="005F1542">
        <w:t xml:space="preserve">had </w:t>
      </w:r>
      <w:r w:rsidRPr="00803EF9" w:rsidR="00803EF9">
        <w:t xml:space="preserve">previously rejected </w:t>
      </w:r>
      <w:r w:rsidR="00560C25">
        <w:t>it</w:t>
      </w:r>
      <w:r w:rsidR="00CD6704">
        <w:t xml:space="preserve"> </w:t>
      </w:r>
      <w:r w:rsidRPr="00803EF9" w:rsidR="00803EF9">
        <w:t xml:space="preserve">as a sufficient basis to </w:t>
      </w:r>
      <w:r w:rsidRPr="001B32C2" w:rsidR="001B32C2">
        <w:t>demonstrate the impact of usage allowance on the cost of providing Lifeline service</w:t>
      </w:r>
      <w:r w:rsidR="00E70BEC">
        <w:t>.</w:t>
      </w:r>
      <w:r>
        <w:rPr>
          <w:rStyle w:val="FootnoteReference"/>
        </w:rPr>
        <w:footnoteReference w:id="39"/>
      </w:r>
      <w:r w:rsidR="00E70BEC">
        <w:t xml:space="preserve">  </w:t>
      </w:r>
    </w:p>
    <w:p w:rsidR="00727E7B" w:rsidP="006C2067" w14:paraId="687157AC" w14:textId="573D2A0B">
      <w:pPr>
        <w:pStyle w:val="ParaNum"/>
      </w:pPr>
      <w:r>
        <w:t xml:space="preserve">What is more, Petitioners also provide no </w:t>
      </w:r>
      <w:r w:rsidR="0069384B">
        <w:t xml:space="preserve">direct </w:t>
      </w:r>
      <w:r>
        <w:t xml:space="preserve">cost data that refutes </w:t>
      </w:r>
      <w:r w:rsidRPr="006C2067">
        <w:t xml:space="preserve">the broader </w:t>
      </w:r>
      <w:r>
        <w:t>communications</w:t>
      </w:r>
      <w:r w:rsidRPr="006C2067">
        <w:t xml:space="preserve"> marketplace trend of decreasing consumer prices over time, which would indicate that </w:t>
      </w:r>
      <w:r>
        <w:t>providers</w:t>
      </w:r>
      <w:r w:rsidRPr="006C2067">
        <w:t xml:space="preserve"> could support a moderate increase in service for Lifeline consumers</w:t>
      </w:r>
      <w:r>
        <w:t>.</w:t>
      </w:r>
      <w:r>
        <w:rPr>
          <w:rStyle w:val="FootnoteReference"/>
        </w:rPr>
        <w:footnoteReference w:id="40"/>
      </w:r>
      <w:r>
        <w:t xml:space="preserve">  </w:t>
      </w:r>
      <w:r w:rsidR="00BF3F5D">
        <w:t>Of note, providers recited similar arguments last year to the Commission that an increase from 2 GB to 3 GB would be detrimental to the program, which were rejected and proven to be false.</w:t>
      </w:r>
      <w:r>
        <w:rPr>
          <w:rStyle w:val="FootnoteReference"/>
        </w:rPr>
        <w:footnoteReference w:id="41"/>
      </w:r>
      <w:r w:rsidR="00BF3F5D">
        <w:t xml:space="preserve">  </w:t>
      </w:r>
      <w:r w:rsidRPr="00572672" w:rsidR="00BF3F5D">
        <w:t xml:space="preserve">For example, </w:t>
      </w:r>
      <w:r w:rsidR="00BF3F5D">
        <w:t>NaLA</w:t>
      </w:r>
      <w:r w:rsidRPr="00572672" w:rsidR="00BF3F5D">
        <w:t xml:space="preserve"> and Q Link Wireless (a Lifeline provider) argued that the increase from 2 GB to 3 GB was “too costly to provide to consumers in states where substantial additional subsidies cannot be combined with the standard Lifeline </w:t>
      </w:r>
      <w:r w:rsidRPr="00572672" w:rsidR="00BF3F5D">
        <w:t>subsidy of $9.25 per month without raising prices and forcing a co-pay in these states</w:t>
      </w:r>
      <w:r w:rsidR="00BF3F5D">
        <w:t>.</w:t>
      </w:r>
      <w:r w:rsidR="000F06E1">
        <w:t>”</w:t>
      </w:r>
      <w:r>
        <w:rPr>
          <w:rStyle w:val="FootnoteReference"/>
        </w:rPr>
        <w:footnoteReference w:id="42"/>
      </w:r>
      <w:r w:rsidR="00BF3F5D">
        <w:t xml:space="preserve">  And, one-year later, Petitioner cannot point to a single situation in which a Lifeline provider ended its zero-cost offering and forced a co-pay on subscribers.  </w:t>
      </w:r>
      <w:r w:rsidR="00D060B8">
        <w:t xml:space="preserve">As </w:t>
      </w:r>
      <w:r w:rsidR="005D2F8D">
        <w:t xml:space="preserve">we determined </w:t>
      </w:r>
      <w:r w:rsidR="00095EAC">
        <w:t xml:space="preserve">in </w:t>
      </w:r>
      <w:r w:rsidR="00C71F64">
        <w:t xml:space="preserve">the </w:t>
      </w:r>
      <w:r w:rsidRPr="00003AD8" w:rsidR="00C71F64">
        <w:rPr>
          <w:i/>
          <w:iCs/>
        </w:rPr>
        <w:t>2020</w:t>
      </w:r>
      <w:r w:rsidRPr="00003AD8" w:rsidR="00095EAC">
        <w:rPr>
          <w:i/>
          <w:iCs/>
        </w:rPr>
        <w:t xml:space="preserve"> Waiver Order</w:t>
      </w:r>
      <w:r w:rsidR="00D060B8">
        <w:t xml:space="preserve">, </w:t>
      </w:r>
      <w:r w:rsidR="00D54367">
        <w:t xml:space="preserve">the </w:t>
      </w:r>
      <w:r w:rsidR="00686D7F">
        <w:t xml:space="preserve">record before the Commission </w:t>
      </w:r>
      <w:r w:rsidR="00E45961">
        <w:t>lack</w:t>
      </w:r>
      <w:r w:rsidR="00D54367">
        <w:t>s</w:t>
      </w:r>
      <w:r w:rsidR="00E45961">
        <w:t xml:space="preserve"> </w:t>
      </w:r>
      <w:r w:rsidR="003F5FD9">
        <w:t xml:space="preserve">compelling </w:t>
      </w:r>
      <w:r w:rsidR="00E45961">
        <w:t xml:space="preserve">evidence that an increase </w:t>
      </w:r>
      <w:r w:rsidR="00FB5C4D">
        <w:t xml:space="preserve">in the mobile broadband minimum service standard </w:t>
      </w:r>
      <w:r w:rsidR="00E45961">
        <w:t xml:space="preserve">to 4.5 GB/month would </w:t>
      </w:r>
      <w:r w:rsidR="007F39D4">
        <w:t>preclude Lifeline providers from offering affordable (let alone zero-cost) service</w:t>
      </w:r>
      <w:r w:rsidR="00E45961">
        <w:t xml:space="preserve"> to </w:t>
      </w:r>
      <w:r w:rsidR="004721DB">
        <w:t>low-income consumers</w:t>
      </w:r>
      <w:r w:rsidR="000E2E85">
        <w:t>.</w:t>
      </w:r>
      <w:r>
        <w:rPr>
          <w:rStyle w:val="FootnoteReference"/>
        </w:rPr>
        <w:footnoteReference w:id="43"/>
      </w:r>
      <w:r w:rsidR="004C3CFC">
        <w:t xml:space="preserve"> </w:t>
      </w:r>
      <w:r w:rsidR="00940719">
        <w:t xml:space="preserve"> </w:t>
      </w:r>
      <w:r w:rsidR="00BB51C2">
        <w:t>Without more</w:t>
      </w:r>
      <w:r w:rsidR="00AB1660">
        <w:t>, we fin</w:t>
      </w:r>
      <w:r w:rsidR="000D255E">
        <w:t>d</w:t>
      </w:r>
      <w:r w:rsidR="001650E9">
        <w:t xml:space="preserve"> that</w:t>
      </w:r>
      <w:r w:rsidR="000D255E">
        <w:t xml:space="preserve"> the Petitioners </w:t>
      </w:r>
      <w:r w:rsidR="007F0C06">
        <w:t>have not shown</w:t>
      </w:r>
      <w:r w:rsidR="000D255E">
        <w:t xml:space="preserve"> that they will suffer irreparable harm as a result of the scheduled increase in </w:t>
      </w:r>
      <w:r w:rsidR="00245422">
        <w:t xml:space="preserve">the </w:t>
      </w:r>
      <w:r w:rsidR="000D255E">
        <w:t xml:space="preserve">mobile broadband </w:t>
      </w:r>
      <w:r w:rsidR="00245422">
        <w:t xml:space="preserve">usage </w:t>
      </w:r>
      <w:r w:rsidR="000D255E">
        <w:t>minimum service standard</w:t>
      </w:r>
      <w:r w:rsidR="007F0C06">
        <w:t xml:space="preserve"> to 4.5 GB/month</w:t>
      </w:r>
      <w:r w:rsidR="000D255E">
        <w:t xml:space="preserve">.   </w:t>
      </w:r>
    </w:p>
    <w:p w:rsidR="00EE4CEA" w:rsidP="00EE4CEA" w14:paraId="5F3D3D92" w14:textId="77777777">
      <w:pPr>
        <w:pStyle w:val="Heading2"/>
      </w:pPr>
      <w:r>
        <w:t>Petitioners Have Not Shown That the Equities Favor a Stay</w:t>
      </w:r>
    </w:p>
    <w:p w:rsidR="007E747D" w:rsidP="00240115" w14:paraId="4B6FECF2" w14:textId="77777777">
      <w:pPr>
        <w:pStyle w:val="ParaNum"/>
      </w:pPr>
      <w:r>
        <w:t xml:space="preserve">Finally, </w:t>
      </w:r>
      <w:r w:rsidR="000D6985">
        <w:t xml:space="preserve">Petitioners have not met their burden </w:t>
      </w:r>
      <w:r w:rsidR="00356064">
        <w:t xml:space="preserve">of showing that </w:t>
      </w:r>
      <w:r w:rsidR="00736DFE">
        <w:t xml:space="preserve">other parties </w:t>
      </w:r>
      <w:r w:rsidR="004F2447">
        <w:t xml:space="preserve">would not be harmed </w:t>
      </w:r>
      <w:r w:rsidR="003C49F8">
        <w:t>by a sta</w:t>
      </w:r>
      <w:r w:rsidR="00A36F51">
        <w:t>y</w:t>
      </w:r>
      <w:r w:rsidR="003C49F8">
        <w:t xml:space="preserve"> and the </w:t>
      </w:r>
      <w:r w:rsidR="00D930A6">
        <w:t>public interest militates in favor of a stay.</w:t>
      </w:r>
      <w:r>
        <w:rPr>
          <w:rStyle w:val="FootnoteReference"/>
        </w:rPr>
        <w:footnoteReference w:id="44"/>
      </w:r>
    </w:p>
    <w:p w:rsidR="004B4350" w:rsidP="00240115" w14:paraId="1FE1D0C4" w14:textId="1682A1A5">
      <w:pPr>
        <w:pStyle w:val="ParaNum"/>
      </w:pPr>
      <w:r>
        <w:rPr>
          <w:i/>
          <w:iCs/>
        </w:rPr>
        <w:t>Injury to Other Parties.</w:t>
      </w:r>
      <w:r>
        <w:t xml:space="preserve">  </w:t>
      </w:r>
      <w:r w:rsidR="00160A34">
        <w:t xml:space="preserve">Petitioners </w:t>
      </w:r>
      <w:r w:rsidR="00DE31D1">
        <w:t xml:space="preserve">argue </w:t>
      </w:r>
      <w:r w:rsidR="00160A34">
        <w:t>that a stay would not harm other parties because it will maintain the status quo</w:t>
      </w:r>
      <w:r w:rsidR="00701A49">
        <w:t xml:space="preserve"> and prevent Lifeline subscribers from facing </w:t>
      </w:r>
      <w:r w:rsidR="00C9766F">
        <w:t xml:space="preserve">a </w:t>
      </w:r>
      <w:r w:rsidR="00701A49">
        <w:t>dramatic increase in the price of Lifeline service.</w:t>
      </w:r>
      <w:r>
        <w:rPr>
          <w:rStyle w:val="FootnoteReference"/>
        </w:rPr>
        <w:footnoteReference w:id="45"/>
      </w:r>
      <w:r w:rsidR="00637DE3">
        <w:t xml:space="preserve">  </w:t>
      </w:r>
      <w:r w:rsidR="001843AA">
        <w:t xml:space="preserve">However, </w:t>
      </w:r>
      <w:r w:rsidR="00EF0F24">
        <w:t xml:space="preserve">Petitioners fail to acknowledge </w:t>
      </w:r>
      <w:r w:rsidR="00026210">
        <w:t xml:space="preserve">that </w:t>
      </w:r>
      <w:r>
        <w:t xml:space="preserve">freezing the </w:t>
      </w:r>
      <w:r w:rsidR="00B60F86">
        <w:t xml:space="preserve">minimum service standard </w:t>
      </w:r>
      <w:r w:rsidR="00FB27F8">
        <w:t xml:space="preserve">for </w:t>
      </w:r>
      <w:r w:rsidR="00F70EFB">
        <w:t xml:space="preserve">another year would harm Lifeline consumers by </w:t>
      </w:r>
      <w:r w:rsidR="00D72A4A">
        <w:t>failing to</w:t>
      </w:r>
      <w:r w:rsidR="002579AA">
        <w:t xml:space="preserve"> support an evolving level of </w:t>
      </w:r>
      <w:r w:rsidR="00E46C0A">
        <w:t>modern communications services.</w:t>
      </w:r>
    </w:p>
    <w:p w:rsidR="007534F3" w:rsidP="00240115" w14:paraId="3512A24E" w14:textId="20F485DA">
      <w:pPr>
        <w:pStyle w:val="ParaNum"/>
      </w:pPr>
      <w:r>
        <w:t>T</w:t>
      </w:r>
      <w:r w:rsidR="001C5FC8">
        <w:t>he Commission</w:t>
      </w:r>
      <w:r w:rsidR="00F72664">
        <w:t>’</w:t>
      </w:r>
      <w:r w:rsidR="001C5FC8">
        <w:t xml:space="preserve">s </w:t>
      </w:r>
      <w:r w:rsidRPr="00F72664" w:rsidR="001C5FC8">
        <w:rPr>
          <w:i/>
          <w:iCs/>
        </w:rPr>
        <w:t>2016 Order</w:t>
      </w:r>
      <w:r w:rsidR="001C5FC8">
        <w:t xml:space="preserve"> makes clear that it did not inten</w:t>
      </w:r>
      <w:r w:rsidR="004C7858">
        <w:t>d</w:t>
      </w:r>
      <w:r w:rsidR="001C5FC8">
        <w:t xml:space="preserve"> to keep the </w:t>
      </w:r>
      <w:r w:rsidR="00F72664">
        <w:t>mobile broadband minimum service standard flat year-over-year but expected it to grow</w:t>
      </w:r>
      <w:r w:rsidR="00AD0640">
        <w:t xml:space="preserve"> to better meet the needs of </w:t>
      </w:r>
      <w:r w:rsidR="00A068FF">
        <w:t xml:space="preserve">Lifeline subscribers and to ensure that </w:t>
      </w:r>
      <w:r w:rsidR="0005784B">
        <w:t xml:space="preserve">low-income consumers are not left with stagnant </w:t>
      </w:r>
      <w:r w:rsidR="00171765">
        <w:t xml:space="preserve">affordable options while other consumers </w:t>
      </w:r>
      <w:r w:rsidR="005A08B8">
        <w:t xml:space="preserve">subscribe to </w:t>
      </w:r>
      <w:r w:rsidR="00AF689D">
        <w:t>increasingly robust services</w:t>
      </w:r>
      <w:r w:rsidR="00F72664">
        <w:t>.</w:t>
      </w:r>
      <w:r>
        <w:rPr>
          <w:rStyle w:val="FootnoteReference"/>
        </w:rPr>
        <w:footnoteReference w:id="46"/>
      </w:r>
      <w:r w:rsidR="00B90455">
        <w:t xml:space="preserve">  </w:t>
      </w:r>
      <w:r w:rsidR="008553BB">
        <w:t xml:space="preserve">The </w:t>
      </w:r>
      <w:r w:rsidR="008553BB">
        <w:rPr>
          <w:i/>
          <w:iCs/>
        </w:rPr>
        <w:t>2016 Order</w:t>
      </w:r>
      <w:r w:rsidR="008553BB">
        <w:t xml:space="preserve"> also noted that</w:t>
      </w:r>
      <w:r w:rsidR="00662EBF">
        <w:t xml:space="preserve"> the</w:t>
      </w:r>
      <w:r w:rsidR="00B90455">
        <w:t xml:space="preserve"> need to ensure that Lifeline subscriber</w:t>
      </w:r>
      <w:r w:rsidR="0000616F">
        <w:t>s</w:t>
      </w:r>
      <w:r w:rsidR="00B90455">
        <w:t xml:space="preserve"> do not languish in second</w:t>
      </w:r>
      <w:r w:rsidR="00245422">
        <w:t>-</w:t>
      </w:r>
      <w:r w:rsidR="00B90455">
        <w:t xml:space="preserve">class service offerings is particularly acute </w:t>
      </w:r>
      <w:r w:rsidR="008553BB">
        <w:t>for</w:t>
      </w:r>
      <w:r w:rsidR="00B90455">
        <w:t xml:space="preserve"> mobile broadband, in light of</w:t>
      </w:r>
      <w:r w:rsidR="008E5B3D">
        <w:t xml:space="preserve"> low-income households disproportionate reliance on mobile service.</w:t>
      </w:r>
      <w:r>
        <w:rPr>
          <w:rStyle w:val="FootnoteReference"/>
        </w:rPr>
        <w:footnoteReference w:id="47"/>
      </w:r>
      <w:r w:rsidR="00F72664">
        <w:t xml:space="preserve">  </w:t>
      </w:r>
      <w:r w:rsidR="00AD0640">
        <w:t>W</w:t>
      </w:r>
      <w:r w:rsidR="00222C6E">
        <w:t xml:space="preserve">e </w:t>
      </w:r>
      <w:r w:rsidR="004B1B76">
        <w:t>therefore</w:t>
      </w:r>
      <w:r w:rsidR="00AD0640">
        <w:t xml:space="preserve"> </w:t>
      </w:r>
      <w:r w:rsidR="00222C6E">
        <w:t xml:space="preserve">find that providing a </w:t>
      </w:r>
      <w:r w:rsidR="00507DF4">
        <w:t xml:space="preserve">complete </w:t>
      </w:r>
      <w:r w:rsidR="00222C6E">
        <w:t xml:space="preserve">freeze to the mobile broadband minimum service standard would </w:t>
      </w:r>
      <w:r w:rsidR="004B1B76">
        <w:t xml:space="preserve">harm Lifeline subscribers </w:t>
      </w:r>
      <w:r w:rsidR="004967C3">
        <w:t xml:space="preserve">by failing to promote access to </w:t>
      </w:r>
      <w:r w:rsidR="00B7159E">
        <w:t>an evolving level of service offerings</w:t>
      </w:r>
      <w:r w:rsidR="00C70F79">
        <w:t>.</w:t>
      </w:r>
    </w:p>
    <w:p w:rsidR="00B12C72" w:rsidP="009D4C44" w14:paraId="26E95F88" w14:textId="77777777">
      <w:pPr>
        <w:pStyle w:val="ParaNum"/>
        <w:widowControl/>
      </w:pPr>
      <w:r>
        <w:t xml:space="preserve">In the </w:t>
      </w:r>
      <w:r w:rsidRPr="00E75CCB">
        <w:rPr>
          <w:i/>
          <w:iCs/>
        </w:rPr>
        <w:t>2016 Order</w:t>
      </w:r>
      <w:r>
        <w:t>, the Commission emphasized the need to</w:t>
      </w:r>
      <w:r w:rsidR="00F76400">
        <w:t xml:space="preserve"> </w:t>
      </w:r>
      <w:r w:rsidRPr="004871D4" w:rsidR="00A718ED">
        <w:t>ensure that Lifeline subscribers receive the type of “robust service which is essential to participate in today’s society,”</w:t>
      </w:r>
      <w:r>
        <w:rPr>
          <w:rStyle w:val="FootnoteReference"/>
        </w:rPr>
        <w:footnoteReference w:id="48"/>
      </w:r>
      <w:r w:rsidRPr="004871D4" w:rsidR="00A718ED">
        <w:t xml:space="preserve"> and to allow them to subscribe to the services which have</w:t>
      </w:r>
      <w:r w:rsidR="00A718ED">
        <w:t xml:space="preserve"> </w:t>
      </w:r>
      <w:r w:rsidRPr="004871D4" w:rsidR="00A718ED">
        <w:t>“been subscribed to by a substantial majority of residential customers.”</w:t>
      </w:r>
      <w:r>
        <w:rPr>
          <w:rStyle w:val="FootnoteReference"/>
        </w:rPr>
        <w:footnoteReference w:id="49"/>
      </w:r>
      <w:r w:rsidRPr="004871D4" w:rsidR="00A718ED">
        <w:t xml:space="preserve">  </w:t>
      </w:r>
      <w:r w:rsidR="00421FDE">
        <w:t xml:space="preserve">The </w:t>
      </w:r>
      <w:r w:rsidRPr="00A77088" w:rsidR="00421FDE">
        <w:rPr>
          <w:i/>
          <w:iCs/>
        </w:rPr>
        <w:t>2016 Order</w:t>
      </w:r>
      <w:r w:rsidR="00421FDE">
        <w:t xml:space="preserve"> and </w:t>
      </w:r>
      <w:r w:rsidRPr="00A77088" w:rsidR="00421FDE">
        <w:rPr>
          <w:i/>
          <w:iCs/>
        </w:rPr>
        <w:t>2019 Waiver Order</w:t>
      </w:r>
      <w:r w:rsidR="00421FDE">
        <w:t xml:space="preserve"> accomplished this </w:t>
      </w:r>
      <w:r w:rsidR="006C3992">
        <w:t xml:space="preserve">important goal </w:t>
      </w:r>
      <w:r w:rsidR="00421FDE">
        <w:t xml:space="preserve">with a </w:t>
      </w:r>
      <w:r w:rsidR="00A77088">
        <w:t xml:space="preserve">gradual, </w:t>
      </w:r>
      <w:r w:rsidR="00421FDE">
        <w:t>stair-step</w:t>
      </w:r>
      <w:r w:rsidR="001F7CD9">
        <w:t>ped</w:t>
      </w:r>
      <w:r w:rsidR="00421FDE">
        <w:t xml:space="preserve"> </w:t>
      </w:r>
      <w:r w:rsidR="00862E52">
        <w:t>increase for the mobile broadband standard</w:t>
      </w:r>
      <w:r w:rsidR="00A77088">
        <w:t xml:space="preserve">.  </w:t>
      </w:r>
      <w:r w:rsidRPr="006C3992" w:rsidR="004F6FC7">
        <w:t>T</w:t>
      </w:r>
      <w:r w:rsidR="00813184">
        <w:t xml:space="preserve">he </w:t>
      </w:r>
      <w:r w:rsidRPr="006C3992" w:rsidR="00201593">
        <w:rPr>
          <w:i/>
          <w:iCs/>
        </w:rPr>
        <w:t>2020 Waiver Order</w:t>
      </w:r>
      <w:r w:rsidR="00813184">
        <w:t xml:space="preserve"> </w:t>
      </w:r>
      <w:r w:rsidR="00305D2B">
        <w:t>continued this approach</w:t>
      </w:r>
      <w:r w:rsidR="004F6FC7">
        <w:t>, finding</w:t>
      </w:r>
      <w:r w:rsidR="00813184">
        <w:t xml:space="preserve"> that </w:t>
      </w:r>
      <w:r w:rsidR="00091F6A">
        <w:t xml:space="preserve">failing to </w:t>
      </w:r>
      <w:r w:rsidR="00C54F9C">
        <w:t xml:space="preserve">increase the minimum service standards would </w:t>
      </w:r>
      <w:r w:rsidR="001D4DC7">
        <w:t xml:space="preserve">fail to </w:t>
      </w:r>
      <w:r w:rsidR="00CA5293">
        <w:t>meet the</w:t>
      </w:r>
      <w:r w:rsidR="00E73BCA">
        <w:t xml:space="preserve"> </w:t>
      </w:r>
      <w:r w:rsidR="000B1CE5">
        <w:t xml:space="preserve">needs of low-income Americans facing an </w:t>
      </w:r>
      <w:r w:rsidR="00E73BCA">
        <w:t>increased reliance on broadband created as a result of the pandemic.</w:t>
      </w:r>
      <w:r>
        <w:rPr>
          <w:rStyle w:val="FootnoteReference"/>
        </w:rPr>
        <w:footnoteReference w:id="50"/>
      </w:r>
      <w:r w:rsidR="009857CF">
        <w:t xml:space="preserve">  </w:t>
      </w:r>
      <w:r w:rsidR="004671CA">
        <w:t xml:space="preserve">The </w:t>
      </w:r>
      <w:r w:rsidR="004671CA">
        <w:rPr>
          <w:i/>
          <w:iCs/>
        </w:rPr>
        <w:t>2020 Waiver Order</w:t>
      </w:r>
      <w:r w:rsidR="004671CA">
        <w:t xml:space="preserve"> also</w:t>
      </w:r>
      <w:r w:rsidR="00512C7B">
        <w:t xml:space="preserve"> </w:t>
      </w:r>
      <w:r w:rsidR="002F2E40">
        <w:t>highlighted</w:t>
      </w:r>
      <w:r w:rsidR="009857CF">
        <w:t xml:space="preserve"> </w:t>
      </w:r>
      <w:r w:rsidR="004B4F5E">
        <w:t xml:space="preserve">the current </w:t>
      </w:r>
      <w:r w:rsidR="00EA11F6">
        <w:t>increased</w:t>
      </w:r>
      <w:r w:rsidR="009857CF">
        <w:t xml:space="preserve"> need for robust service </w:t>
      </w:r>
      <w:r w:rsidR="00B60268">
        <w:t>as</w:t>
      </w:r>
      <w:r w:rsidR="009857CF">
        <w:t xml:space="preserve"> the ongoing </w:t>
      </w:r>
      <w:r w:rsidR="00DC3CEF">
        <w:t xml:space="preserve">COVID-19 health and economic crisis </w:t>
      </w:r>
      <w:r w:rsidR="00223CBD">
        <w:t xml:space="preserve">that </w:t>
      </w:r>
      <w:r w:rsidR="009A5447">
        <w:t xml:space="preserve">requires </w:t>
      </w:r>
      <w:r w:rsidR="004B4F5E">
        <w:t>even more educational, occupational, and other ac</w:t>
      </w:r>
      <w:r w:rsidR="004C0EA5">
        <w:t>tiviti</w:t>
      </w:r>
      <w:r w:rsidR="004B4F5E">
        <w:t>es</w:t>
      </w:r>
      <w:r w:rsidR="009A5447">
        <w:t xml:space="preserve"> </w:t>
      </w:r>
      <w:r w:rsidR="002E320F">
        <w:t xml:space="preserve">be conducted </w:t>
      </w:r>
      <w:r w:rsidR="00C30E40">
        <w:t>online</w:t>
      </w:r>
      <w:r w:rsidR="00DC3CEF">
        <w:t>.</w:t>
      </w:r>
      <w:r>
        <w:rPr>
          <w:rStyle w:val="FootnoteReference"/>
        </w:rPr>
        <w:footnoteReference w:id="51"/>
      </w:r>
      <w:r w:rsidR="003650D8">
        <w:t xml:space="preserve"> </w:t>
      </w:r>
    </w:p>
    <w:p w:rsidR="00614B3B" w:rsidP="006C3992" w14:paraId="6E2D5D57" w14:textId="5FBFAD1F">
      <w:pPr>
        <w:pStyle w:val="ParaNum"/>
      </w:pPr>
      <w:r>
        <w:t xml:space="preserve">Additionally, </w:t>
      </w:r>
      <w:r w:rsidR="003E13EB">
        <w:t xml:space="preserve">Petitioners’ arguments that </w:t>
      </w:r>
      <w:r w:rsidR="00E45550">
        <w:t xml:space="preserve">Lifeline subscribers will be harmed by </w:t>
      </w:r>
      <w:r w:rsidR="000112E0">
        <w:t xml:space="preserve">an increase in the </w:t>
      </w:r>
      <w:r w:rsidR="004E412F">
        <w:t xml:space="preserve">mobile broadband minimum service standard </w:t>
      </w:r>
      <w:r w:rsidR="00944DBB">
        <w:t>to 11.75 GB</w:t>
      </w:r>
      <w:r w:rsidR="00AD19B0">
        <w:t>/month</w:t>
      </w:r>
      <w:r w:rsidR="00944DBB">
        <w:t xml:space="preserve"> because</w:t>
      </w:r>
      <w:r w:rsidR="003E3DFF">
        <w:t xml:space="preserve"> such an increase would render service unaffordable are mitigated by the Bureau’s partial grant </w:t>
      </w:r>
      <w:r w:rsidR="00AD19B0">
        <w:t xml:space="preserve">of </w:t>
      </w:r>
      <w:r w:rsidR="00AD19B0">
        <w:t>NaLA’s</w:t>
      </w:r>
      <w:r w:rsidR="00AD19B0">
        <w:t xml:space="preserve"> petition for waiver</w:t>
      </w:r>
      <w:r w:rsidR="00002390">
        <w:t xml:space="preserve">, which permitted a </w:t>
      </w:r>
      <w:r w:rsidR="00AD19B0">
        <w:t>modest increase in the standard to 4.5 GB/month.</w:t>
      </w:r>
      <w:r w:rsidR="00002390">
        <w:t xml:space="preserve">  </w:t>
      </w:r>
      <w:r w:rsidR="00616CAD">
        <w:t xml:space="preserve">In that waiver order, the Bureau in part concluded that </w:t>
      </w:r>
      <w:r w:rsidR="005C17D4">
        <w:t>submissions</w:t>
      </w:r>
      <w:r w:rsidR="003325EC">
        <w:t xml:space="preserve"> in the record</w:t>
      </w:r>
      <w:r w:rsidR="005C17D4">
        <w:t xml:space="preserve"> arguing that </w:t>
      </w:r>
      <w:r w:rsidR="00A15F1F">
        <w:t>any increase to the minimum service standard above 3 GB</w:t>
      </w:r>
      <w:r w:rsidR="007E7FDF">
        <w:t>/month</w:t>
      </w:r>
      <w:r w:rsidR="00A15F1F">
        <w:t xml:space="preserve"> would</w:t>
      </w:r>
      <w:r w:rsidR="007E7FDF">
        <w:t xml:space="preserve"> </w:t>
      </w:r>
      <w:r w:rsidR="00003A9B">
        <w:t xml:space="preserve">render service unaffordable or </w:t>
      </w:r>
      <w:r w:rsidR="008309BB">
        <w:t>decrease the availability of Lifeline service offerings were unpersuasive</w:t>
      </w:r>
      <w:r w:rsidR="00252D91">
        <w:t xml:space="preserve"> and </w:t>
      </w:r>
      <w:r w:rsidR="00923922">
        <w:t>that similar predictions by commenters in previous years had proven to be wrong.</w:t>
      </w:r>
      <w:r>
        <w:rPr>
          <w:rStyle w:val="FootnoteReference"/>
        </w:rPr>
        <w:footnoteReference w:id="52"/>
      </w:r>
      <w:r w:rsidR="00995F70">
        <w:t xml:space="preserve">  In addition, those claims were contradicted by another Lifeline provider, which stated that it was in fact willing to offer Lifeline broadband service at 4.5 GB/month without charging a recurring end-user fee.</w:t>
      </w:r>
      <w:r>
        <w:rPr>
          <w:rStyle w:val="FootnoteReference"/>
        </w:rPr>
        <w:footnoteReference w:id="53"/>
      </w:r>
      <w:r w:rsidR="00923922">
        <w:t xml:space="preserve"> </w:t>
      </w:r>
      <w:r w:rsidR="00112B7D">
        <w:t xml:space="preserve"> </w:t>
      </w:r>
      <w:r w:rsidR="00D03072">
        <w:t>In light of this record, t</w:t>
      </w:r>
      <w:r w:rsidR="00112B7D">
        <w:t>he Bureau</w:t>
      </w:r>
      <w:r w:rsidR="00396659">
        <w:t xml:space="preserve"> declined </w:t>
      </w:r>
      <w:r w:rsidR="006B126A">
        <w:t xml:space="preserve">to speculate that the </w:t>
      </w:r>
      <w:r w:rsidR="0062317D">
        <w:t>Lifeline marketplace</w:t>
      </w:r>
      <w:r w:rsidR="009E3E00">
        <w:t xml:space="preserve"> </w:t>
      </w:r>
      <w:r w:rsidR="00112B7D">
        <w:t xml:space="preserve">would not follow </w:t>
      </w:r>
      <w:r w:rsidR="008211A2">
        <w:t>the broader telecommunications marketplace tren</w:t>
      </w:r>
      <w:r w:rsidR="00B664CC">
        <w:t>d of decreasing consumer prices over time</w:t>
      </w:r>
      <w:r w:rsidR="004D1068">
        <w:t xml:space="preserve">, which would indicate that </w:t>
      </w:r>
      <w:r w:rsidR="004D25FC">
        <w:t xml:space="preserve">ETCs could support an incremental increase </w:t>
      </w:r>
      <w:r w:rsidR="00245422">
        <w:t xml:space="preserve">in </w:t>
      </w:r>
      <w:r w:rsidR="004D25FC">
        <w:t>the level of service provided to Lifeline customers.</w:t>
      </w:r>
      <w:r>
        <w:rPr>
          <w:rStyle w:val="FootnoteReference"/>
        </w:rPr>
        <w:footnoteReference w:id="54"/>
      </w:r>
    </w:p>
    <w:p w:rsidR="002C6303" w:rsidP="00240115" w14:paraId="6202AC09" w14:textId="032459F0">
      <w:pPr>
        <w:pStyle w:val="ParaNum"/>
      </w:pPr>
      <w:r>
        <w:rPr>
          <w:i/>
          <w:iCs/>
        </w:rPr>
        <w:t xml:space="preserve">Public Interest.  </w:t>
      </w:r>
      <w:r>
        <w:t>We also find that the stay requested by Petitioners would be contrary to the public interest, and Petition</w:t>
      </w:r>
      <w:r w:rsidR="00117990">
        <w:t>er</w:t>
      </w:r>
      <w:r>
        <w:t xml:space="preserve">s have failed to show otherwise.  </w:t>
      </w:r>
      <w:r w:rsidR="00E35D86">
        <w:t>F</w:t>
      </w:r>
      <w:r w:rsidR="003650D8">
        <w:t xml:space="preserve">ailing to provide an increase in the mobile broadband minimum service standard </w:t>
      </w:r>
      <w:r w:rsidR="007B119D">
        <w:t xml:space="preserve">would be counter to </w:t>
      </w:r>
      <w:r w:rsidR="00135DDD">
        <w:t>the Commission’s</w:t>
      </w:r>
      <w:r w:rsidR="007B119D">
        <w:t xml:space="preserve"> statutory obligation to provide an evolving level of service</w:t>
      </w:r>
      <w:r w:rsidR="00B75AF8">
        <w:t xml:space="preserve"> and to the universal service principles outlined by Congress as the </w:t>
      </w:r>
      <w:r w:rsidR="00DC4D77">
        <w:t>guiding principles for the Commission’s universal service programs</w:t>
      </w:r>
      <w:r w:rsidR="00124D45">
        <w:t>.</w:t>
      </w:r>
      <w:r>
        <w:rPr>
          <w:rStyle w:val="FootnoteReference"/>
        </w:rPr>
        <w:footnoteReference w:id="55"/>
      </w:r>
      <w:r w:rsidR="006C12B4">
        <w:t xml:space="preserve">  </w:t>
      </w:r>
      <w:r w:rsidR="00F81931">
        <w:t xml:space="preserve">As in the </w:t>
      </w:r>
      <w:r w:rsidR="00F81931">
        <w:rPr>
          <w:i/>
          <w:iCs/>
        </w:rPr>
        <w:t>2020 Waiver Order</w:t>
      </w:r>
      <w:r w:rsidR="006C12B4">
        <w:t xml:space="preserve">, </w:t>
      </w:r>
      <w:r w:rsidR="00F81931">
        <w:t xml:space="preserve">we </w:t>
      </w:r>
      <w:r w:rsidR="003B4D47">
        <w:t>carefully consider</w:t>
      </w:r>
      <w:r w:rsidR="006C12B4">
        <w:t xml:space="preserve"> </w:t>
      </w:r>
      <w:r w:rsidR="003B4D47">
        <w:t xml:space="preserve">the </w:t>
      </w:r>
      <w:r w:rsidR="006C12B4">
        <w:t>balanc</w:t>
      </w:r>
      <w:r w:rsidR="003B4D47">
        <w:t>e</w:t>
      </w:r>
      <w:r w:rsidR="006C12B4">
        <w:t xml:space="preserve"> </w:t>
      </w:r>
      <w:r w:rsidR="00817F01">
        <w:t xml:space="preserve">required in </w:t>
      </w:r>
      <w:r w:rsidRPr="00817F01" w:rsidR="00817F01">
        <w:t>bringing the mobile broadband usage available to our nation’s most vulnerable consumers more in line with what other Americans expect and receive from their service</w:t>
      </w:r>
      <w:r w:rsidR="0020797D">
        <w:t xml:space="preserve"> while maintain</w:t>
      </w:r>
      <w:r w:rsidR="00A12731">
        <w:t>ing</w:t>
      </w:r>
      <w:r w:rsidR="003C7628">
        <w:t xml:space="preserve"> a</w:t>
      </w:r>
      <w:r w:rsidR="0020797D">
        <w:t xml:space="preserve"> service that is affordable</w:t>
      </w:r>
      <w:r w:rsidR="00D106E0">
        <w:t>.</w:t>
      </w:r>
      <w:r w:rsidR="00BC791D">
        <w:t xml:space="preserve">  </w:t>
      </w:r>
      <w:r w:rsidR="00665102">
        <w:t xml:space="preserve">We support this </w:t>
      </w:r>
      <w:r w:rsidR="002E6841">
        <w:t>consideration</w:t>
      </w:r>
      <w:r w:rsidR="00665102">
        <w:t xml:space="preserve"> with reliance on</w:t>
      </w:r>
      <w:r w:rsidR="00D40FBB">
        <w:t xml:space="preserve"> the </w:t>
      </w:r>
      <w:r w:rsidRPr="007217D5" w:rsidR="007217D5">
        <w:t xml:space="preserve">Commission’s updates to data in the </w:t>
      </w:r>
      <w:r w:rsidRPr="00006FCB" w:rsidR="007217D5">
        <w:rPr>
          <w:i/>
          <w:iCs/>
        </w:rPr>
        <w:t>2018 Communications Marketplace Report</w:t>
      </w:r>
      <w:r w:rsidRPr="007217D5" w:rsidR="007217D5">
        <w:t xml:space="preserve">, </w:t>
      </w:r>
      <w:r w:rsidR="007217D5">
        <w:t xml:space="preserve">which shows that </w:t>
      </w:r>
      <w:r w:rsidRPr="007217D5" w:rsidR="007217D5">
        <w:t>the average smartphone subscriber used 6.6 GB/month in 2018, an increase of 385% from the average usage of 1.361 GB</w:t>
      </w:r>
      <w:r w:rsidR="00E66407">
        <w:t>/</w:t>
      </w:r>
      <w:r w:rsidRPr="007217D5" w:rsidR="007217D5">
        <w:t>month in 2014 that the Commission took notice of in the 2016 Lifeline Order,</w:t>
      </w:r>
      <w:r>
        <w:rPr>
          <w:rStyle w:val="FootnoteReference"/>
        </w:rPr>
        <w:footnoteReference w:id="56"/>
      </w:r>
      <w:r w:rsidRPr="007217D5" w:rsidR="007217D5">
        <w:t xml:space="preserve"> and an increase of 1.5 GB from the average usage of 5.1 GB</w:t>
      </w:r>
      <w:r w:rsidR="00E66407">
        <w:t>/</w:t>
      </w:r>
      <w:r w:rsidRPr="007217D5" w:rsidR="007217D5">
        <w:t>month in 2017</w:t>
      </w:r>
      <w:r w:rsidR="00D458A0">
        <w:t>.</w:t>
      </w:r>
      <w:r>
        <w:rPr>
          <w:rStyle w:val="FootnoteReference"/>
        </w:rPr>
        <w:footnoteReference w:id="57"/>
      </w:r>
      <w:r w:rsidR="00C067F9">
        <w:t xml:space="preserve">  </w:t>
      </w:r>
      <w:r w:rsidRPr="00555C23" w:rsidR="00555C23">
        <w:t xml:space="preserve">And, </w:t>
      </w:r>
      <w:r w:rsidR="005A083E">
        <w:t xml:space="preserve">in light of </w:t>
      </w:r>
      <w:r w:rsidR="00866AAF">
        <w:t xml:space="preserve">the </w:t>
      </w:r>
      <w:r w:rsidR="009316C5">
        <w:t>general</w:t>
      </w:r>
      <w:r w:rsidR="00866AAF">
        <w:t xml:space="preserve"> trend of </w:t>
      </w:r>
      <w:r w:rsidR="003135E4">
        <w:t xml:space="preserve">decreasing consumer prices over </w:t>
      </w:r>
      <w:r w:rsidR="0033310A">
        <w:t>time</w:t>
      </w:r>
      <w:r w:rsidR="00D74BFD">
        <w:t xml:space="preserve"> and</w:t>
      </w:r>
      <w:r w:rsidR="009316C5">
        <w:t xml:space="preserve"> </w:t>
      </w:r>
      <w:r w:rsidR="00B41769">
        <w:t>Petitioners’</w:t>
      </w:r>
      <w:r w:rsidRPr="00555C23" w:rsidR="00B41769">
        <w:t xml:space="preserve"> </w:t>
      </w:r>
      <w:r w:rsidR="00B41769">
        <w:t>failure to provide</w:t>
      </w:r>
      <w:r w:rsidRPr="00555C23" w:rsidR="00555C23">
        <w:t xml:space="preserve"> </w:t>
      </w:r>
      <w:r w:rsidR="00D20894">
        <w:t>substantial</w:t>
      </w:r>
      <w:r w:rsidRPr="00555C23" w:rsidR="00D20894">
        <w:t xml:space="preserve"> </w:t>
      </w:r>
      <w:r w:rsidRPr="00555C23" w:rsidR="00555C23">
        <w:t xml:space="preserve">data that </w:t>
      </w:r>
      <w:r w:rsidR="00160931">
        <w:t>the</w:t>
      </w:r>
      <w:r w:rsidRPr="00555C23" w:rsidR="00160931">
        <w:t xml:space="preserve"> </w:t>
      </w:r>
      <w:r w:rsidRPr="00555C23" w:rsidR="00555C23">
        <w:t xml:space="preserve">moderate increase </w:t>
      </w:r>
      <w:r w:rsidR="0002710D">
        <w:t xml:space="preserve">established by the </w:t>
      </w:r>
      <w:r w:rsidR="0002710D">
        <w:rPr>
          <w:i/>
          <w:iCs/>
        </w:rPr>
        <w:t>2020 Waiver Order</w:t>
      </w:r>
      <w:r w:rsidR="0002710D">
        <w:t xml:space="preserve"> </w:t>
      </w:r>
      <w:r w:rsidRPr="00555C23" w:rsidR="00555C23">
        <w:t xml:space="preserve">would prevent providers from providing </w:t>
      </w:r>
      <w:r w:rsidRPr="00555C23" w:rsidR="002C1F8A">
        <w:t>afforda</w:t>
      </w:r>
      <w:r w:rsidR="002C1F8A">
        <w:t>ble service</w:t>
      </w:r>
      <w:r w:rsidR="00746B96">
        <w:t xml:space="preserve">, we cannot </w:t>
      </w:r>
      <w:r w:rsidR="00EF0D95">
        <w:t xml:space="preserve">conclude that </w:t>
      </w:r>
      <w:r w:rsidR="00356030">
        <w:t xml:space="preserve">a </w:t>
      </w:r>
      <w:r w:rsidR="00EF0D95">
        <w:t xml:space="preserve">moderate increase </w:t>
      </w:r>
      <w:r w:rsidR="00202F7D">
        <w:t xml:space="preserve">will </w:t>
      </w:r>
      <w:r w:rsidR="005E1425">
        <w:t>prove unaffordable.</w:t>
      </w:r>
    </w:p>
    <w:p w:rsidR="00184CF4" w:rsidP="00184CF4" w14:paraId="1B8EC7FD" w14:textId="57616F8D">
      <w:pPr>
        <w:pStyle w:val="ParaNum"/>
      </w:pPr>
      <w:r>
        <w:t>W</w:t>
      </w:r>
      <w:r w:rsidR="00F0103F">
        <w:t>e find that</w:t>
      </w:r>
      <w:r w:rsidR="00124D45">
        <w:t xml:space="preserve"> the Petitioners have failed to meet their burden of showing that</w:t>
      </w:r>
      <w:r w:rsidR="00F0103F">
        <w:t xml:space="preserve"> </w:t>
      </w:r>
      <w:r w:rsidR="003C7628">
        <w:t>a freeze</w:t>
      </w:r>
      <w:r w:rsidR="00F0103F">
        <w:t xml:space="preserve"> in the mobile broadband minimum service standard </w:t>
      </w:r>
      <w:r w:rsidR="00AB07E4">
        <w:t>meets the standard required to justify a stay of the Commission’s rules</w:t>
      </w:r>
      <w:r w:rsidR="00C6614E">
        <w:t>.</w:t>
      </w:r>
      <w:r w:rsidR="007946E1">
        <w:t xml:space="preserve">  </w:t>
      </w:r>
      <w:r w:rsidR="00BC54D4">
        <w:t>Indeed,</w:t>
      </w:r>
      <w:r w:rsidR="007946E1">
        <w:t xml:space="preserve"> </w:t>
      </w:r>
      <w:r w:rsidR="00BC54D4">
        <w:t>g</w:t>
      </w:r>
      <w:r>
        <w:t>ranting the requested stay would risk leaving low-income Americans behind with second-class service at a time when broadband usage is growing more essential by the day.</w:t>
      </w:r>
      <w:r>
        <w:rPr>
          <w:rStyle w:val="FootnoteReference"/>
        </w:rPr>
        <w:footnoteReference w:id="58"/>
      </w:r>
      <w:r w:rsidR="00BC54D4">
        <w:t xml:space="preserve">  </w:t>
      </w:r>
      <w:r>
        <w:t xml:space="preserve">For the foregoing reasons we conclude that the requested stay is not warranted. </w:t>
      </w:r>
      <w:r w:rsidR="001528FD">
        <w:t xml:space="preserve"> </w:t>
      </w:r>
      <w:r>
        <w:t xml:space="preserve">Petitioners have failed to </w:t>
      </w:r>
      <w:r>
        <w:t>demonstrate that they are likely to succeed</w:t>
      </w:r>
      <w:r w:rsidR="00245422">
        <w:t xml:space="preserve"> on the merits</w:t>
      </w:r>
      <w:r>
        <w:t xml:space="preserve">, they have not demonstrated any </w:t>
      </w:r>
      <w:r w:rsidR="00181264">
        <w:t xml:space="preserve">irreparable </w:t>
      </w:r>
      <w:r>
        <w:t>harm, and the balance of harms, including the harm to the public interest, does not weigh in favor of staying</w:t>
      </w:r>
      <w:r w:rsidR="00617025">
        <w:t xml:space="preserve"> the update in the mobile broadband </w:t>
      </w:r>
      <w:r w:rsidR="00245422">
        <w:t xml:space="preserve">usage </w:t>
      </w:r>
      <w:r w:rsidR="00617025">
        <w:t>minimum service standard</w:t>
      </w:r>
      <w:r>
        <w:t xml:space="preserve">. </w:t>
      </w:r>
    </w:p>
    <w:p w:rsidR="00C6614E" w:rsidP="00247F92" w14:paraId="4F9AEBE8" w14:textId="77777777">
      <w:pPr>
        <w:pStyle w:val="Heading1"/>
      </w:pPr>
      <w:r>
        <w:t>ORDERING CLAUSES</w:t>
      </w:r>
    </w:p>
    <w:p w:rsidR="00260B2A" w:rsidP="00260B2A" w14:paraId="05590990" w14:textId="77777777">
      <w:pPr>
        <w:pStyle w:val="ParaNum"/>
      </w:pPr>
      <w:r>
        <w:t xml:space="preserve">Accordingly, </w:t>
      </w:r>
      <w:r>
        <w:t>IT IS ORDERED, pursuant to the authority contained in sections 1, 4(i), 4(j), 5, 201, 205, and 254 of the Communications Act of 1934, as amended, 47 U.S.C. §§ 151, 154(i)-(j), 155, 201, 205, and 254 and the authority delegated pursuant to sections 0.91 and 0.291 of the Commission’s rules, 47 C.F.R. §§ 0.91, 0.291, this Order Denying Stay Petition in WC Docket Nos. 11-42, 09-197</w:t>
      </w:r>
      <w:r w:rsidR="006D2AEE">
        <w:t>, and 10-90</w:t>
      </w:r>
      <w:r>
        <w:t xml:space="preserve"> IS ADOPTED.</w:t>
      </w:r>
    </w:p>
    <w:p w:rsidR="00247F92" w:rsidP="00260B2A" w14:paraId="43D08A77" w14:textId="77777777">
      <w:pPr>
        <w:pStyle w:val="ParaNum"/>
      </w:pPr>
      <w:r>
        <w:t xml:space="preserve">IT IS FURTHER ORDERED that the petition for partial stay of the </w:t>
      </w:r>
      <w:r w:rsidRPr="00B32D5D">
        <w:t xml:space="preserve">National Lifeline Association </w:t>
      </w:r>
      <w:r>
        <w:t>and Assist Wireless, LLC, IS DENIED.</w:t>
      </w:r>
    </w:p>
    <w:p w:rsidR="00E90F22" w:rsidP="00E90F22" w14:paraId="325CD711" w14:textId="77777777">
      <w:pPr>
        <w:pStyle w:val="ParaNum"/>
        <w:numPr>
          <w:ilvl w:val="0"/>
          <w:numId w:val="0"/>
        </w:numPr>
        <w:ind w:firstLine="720"/>
      </w:pPr>
    </w:p>
    <w:p w:rsidR="009E6190" w:rsidP="009E6190" w14:paraId="2EB366DE" w14:textId="7777777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FEDERAL COMMUNICATIONS COMMISSION </w:t>
      </w:r>
    </w:p>
    <w:p w:rsidR="009E6190" w:rsidP="009E6190" w14:paraId="337E1543" w14:textId="77777777">
      <w:pPr>
        <w:pStyle w:val="Default"/>
        <w:rPr>
          <w:sz w:val="22"/>
          <w:szCs w:val="22"/>
        </w:rPr>
      </w:pPr>
    </w:p>
    <w:p w:rsidR="009E6190" w:rsidP="009E6190" w14:paraId="0702712D" w14:textId="77777777">
      <w:pPr>
        <w:pStyle w:val="Default"/>
        <w:rPr>
          <w:sz w:val="22"/>
          <w:szCs w:val="22"/>
        </w:rPr>
      </w:pPr>
    </w:p>
    <w:p w:rsidR="009E6190" w:rsidP="009E6190" w14:paraId="03BC89EB" w14:textId="77777777">
      <w:pPr>
        <w:pStyle w:val="Default"/>
        <w:rPr>
          <w:sz w:val="22"/>
          <w:szCs w:val="22"/>
        </w:rPr>
      </w:pPr>
    </w:p>
    <w:p w:rsidR="009D4C44" w:rsidP="009E6190" w14:paraId="5ED9FE46" w14:textId="7777777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E6190" w:rsidP="009D4C44" w14:paraId="7303A32E" w14:textId="7C6F8F51">
      <w:pPr>
        <w:pStyle w:val="Default"/>
        <w:ind w:left="3600" w:firstLine="720"/>
        <w:rPr>
          <w:sz w:val="22"/>
          <w:szCs w:val="22"/>
        </w:rPr>
      </w:pPr>
      <w:r>
        <w:rPr>
          <w:sz w:val="22"/>
          <w:szCs w:val="22"/>
        </w:rPr>
        <w:t xml:space="preserve">Kris Anne Monteith </w:t>
      </w:r>
    </w:p>
    <w:p w:rsidR="009E6190" w:rsidP="009E6190" w14:paraId="6D981F5C" w14:textId="7777777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Chief </w:t>
      </w:r>
    </w:p>
    <w:p w:rsidR="00E90F22" w:rsidRPr="00247F92" w:rsidP="009E6190" w14:paraId="7FF7EBCD" w14:textId="77777777">
      <w:pPr>
        <w:pStyle w:val="ParaNum"/>
        <w:numPr>
          <w:ilvl w:val="0"/>
          <w:numId w:val="0"/>
        </w:numPr>
        <w:ind w:firstLine="720"/>
      </w:pPr>
      <w:r>
        <w:rPr>
          <w:szCs w:val="22"/>
        </w:rPr>
        <w:tab/>
      </w:r>
      <w:r>
        <w:rPr>
          <w:szCs w:val="22"/>
        </w:rPr>
        <w:tab/>
      </w:r>
      <w:r>
        <w:rPr>
          <w:szCs w:val="22"/>
        </w:rPr>
        <w:tab/>
      </w:r>
      <w:r>
        <w:rPr>
          <w:szCs w:val="22"/>
        </w:rPr>
        <w:tab/>
      </w:r>
      <w:r>
        <w:rPr>
          <w:szCs w:val="22"/>
        </w:rP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6DEE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574DE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D4C44" w14:paraId="571E73E7" w14:textId="08B6B292">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3AF76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79AE" w14:paraId="6B5341E6" w14:textId="77777777">
      <w:r>
        <w:separator/>
      </w:r>
    </w:p>
  </w:footnote>
  <w:footnote w:type="continuationSeparator" w:id="1">
    <w:p w:rsidR="005E79AE" w:rsidP="00C721AC" w14:paraId="3E98C8D0" w14:textId="77777777">
      <w:pPr>
        <w:spacing w:before="120"/>
        <w:rPr>
          <w:sz w:val="20"/>
        </w:rPr>
      </w:pPr>
      <w:r>
        <w:rPr>
          <w:sz w:val="20"/>
        </w:rPr>
        <w:t xml:space="preserve">(Continued from previous page)  </w:t>
      </w:r>
      <w:r>
        <w:rPr>
          <w:sz w:val="20"/>
        </w:rPr>
        <w:separator/>
      </w:r>
    </w:p>
  </w:footnote>
  <w:footnote w:type="continuationNotice" w:id="2">
    <w:p w:rsidR="005E79AE" w:rsidP="00C721AC" w14:paraId="2DD98A0E" w14:textId="77777777">
      <w:pPr>
        <w:jc w:val="right"/>
        <w:rPr>
          <w:sz w:val="20"/>
        </w:rPr>
      </w:pPr>
      <w:r>
        <w:rPr>
          <w:sz w:val="20"/>
        </w:rPr>
        <w:t>(continued….)</w:t>
      </w:r>
    </w:p>
  </w:footnote>
  <w:footnote w:id="3">
    <w:p w:rsidR="001C36F5" w:rsidP="00CD5046" w14:paraId="5C964940" w14:textId="4BB3C722">
      <w:pPr>
        <w:pStyle w:val="FootnoteText"/>
      </w:pPr>
      <w:r>
        <w:rPr>
          <w:rStyle w:val="FootnoteReference"/>
        </w:rPr>
        <w:footnoteRef/>
      </w:r>
      <w:r>
        <w:t xml:space="preserve"> </w:t>
      </w:r>
      <w:r w:rsidRPr="00781F77">
        <w:t>Emergency Petition for Stay of Implementation of Section 54.408(b)(2)(ii)(D) of the Federal Communications Commission’s Rules Governing the Lifeline Mobile Broadband Minimum Service Standard</w:t>
      </w:r>
      <w:r>
        <w:t>, WC Docket No. 11-42 et. al. (filed Nov</w:t>
      </w:r>
      <w:r w:rsidR="00C76049">
        <w:t>.</w:t>
      </w:r>
      <w:r>
        <w:t xml:space="preserve"> 9, 2020), </w:t>
      </w:r>
      <w:hyperlink r:id="rId1" w:history="1">
        <w:r w:rsidRPr="00D71199">
          <w:rPr>
            <w:rStyle w:val="Hyperlink"/>
          </w:rPr>
          <w:t>https://www.fcc.gov/ecfs/filing/1109746112599</w:t>
        </w:r>
      </w:hyperlink>
      <w:r>
        <w:t xml:space="preserve"> (</w:t>
      </w:r>
      <w:r w:rsidRPr="008C3C5E" w:rsidR="002161D0">
        <w:t>Petition for Stay</w:t>
      </w:r>
      <w:r w:rsidR="002161D0">
        <w:t>).</w:t>
      </w:r>
    </w:p>
  </w:footnote>
  <w:footnote w:id="4">
    <w:p w:rsidR="00471DFD" w:rsidP="00471DFD" w14:paraId="2BB21793" w14:textId="77777777">
      <w:pPr>
        <w:pStyle w:val="FootnoteText"/>
      </w:pPr>
      <w:r w:rsidRPr="0020104A">
        <w:rPr>
          <w:rStyle w:val="FootnoteReference"/>
        </w:rPr>
        <w:footnoteRef/>
      </w:r>
      <w:r w:rsidRPr="0020104A">
        <w:t xml:space="preserve"> </w:t>
      </w:r>
      <w:r w:rsidRPr="00401D3D">
        <w:rPr>
          <w:i/>
          <w:iCs/>
        </w:rPr>
        <w:t>Lifeline and Link Up Reform and Modernization et al.</w:t>
      </w:r>
      <w:r w:rsidRPr="0020104A">
        <w:t>, Third Report and Order, Further Report and Order, and Order on Reconsideration, 31 FCC Rcd 3962, 3989-97, paras. 73-98 (2016) (</w:t>
      </w:r>
      <w:r w:rsidRPr="00401D3D">
        <w:rPr>
          <w:i/>
          <w:iCs/>
        </w:rPr>
        <w:t>2016 Lifeline Order</w:t>
      </w:r>
      <w:r w:rsidRPr="0020104A">
        <w:t xml:space="preserve"> or </w:t>
      </w:r>
      <w:r w:rsidRPr="00401D3D">
        <w:rPr>
          <w:i/>
          <w:iCs/>
        </w:rPr>
        <w:t>2016 Order</w:t>
      </w:r>
      <w:r w:rsidRPr="0020104A">
        <w:t>); 47 CFR § 54.408.</w:t>
      </w:r>
    </w:p>
  </w:footnote>
  <w:footnote w:id="5">
    <w:p w:rsidR="00471DFD" w:rsidP="00471DFD" w14:paraId="6A3F2709" w14:textId="77777777">
      <w:pPr>
        <w:pStyle w:val="FootnoteText"/>
      </w:pPr>
      <w:r w:rsidRPr="0020104A">
        <w:rPr>
          <w:rStyle w:val="FootnoteReference"/>
        </w:rPr>
        <w:footnoteRef/>
      </w:r>
      <w:r w:rsidRPr="0020104A">
        <w:t xml:space="preserve"> </w:t>
      </w:r>
      <w:r w:rsidRPr="00C70E75">
        <w:rPr>
          <w:i/>
          <w:iCs/>
        </w:rPr>
        <w:t>Id.</w:t>
      </w:r>
      <w:r w:rsidRPr="0020104A">
        <w:t xml:space="preserve"> at 3988, para. 69.</w:t>
      </w:r>
    </w:p>
  </w:footnote>
  <w:footnote w:id="6">
    <w:p w:rsidR="00471DFD" w:rsidP="00471DFD" w14:paraId="13C96CCC" w14:textId="77777777">
      <w:pPr>
        <w:pStyle w:val="FootnoteText"/>
      </w:pPr>
      <w:r w:rsidRPr="0020104A">
        <w:rPr>
          <w:rStyle w:val="FootnoteReference"/>
        </w:rPr>
        <w:footnoteRef/>
      </w:r>
      <w:r w:rsidRPr="0020104A">
        <w:t xml:space="preserve"> </w:t>
      </w:r>
      <w:r w:rsidRPr="00C70E75">
        <w:rPr>
          <w:i/>
          <w:iCs/>
        </w:rPr>
        <w:t>Id.</w:t>
      </w:r>
      <w:r w:rsidRPr="0020104A">
        <w:t xml:space="preserve"> at 3988, para. 70 (quoting 47 U.S.C. § 254(c)(1)(B)).</w:t>
      </w:r>
    </w:p>
  </w:footnote>
  <w:footnote w:id="7">
    <w:p w:rsidR="00471DFD" w:rsidP="00471DFD" w14:paraId="315F907F" w14:textId="77777777">
      <w:pPr>
        <w:pStyle w:val="FootnoteText"/>
      </w:pPr>
      <w:r w:rsidRPr="0020104A">
        <w:rPr>
          <w:rStyle w:val="FootnoteReference"/>
        </w:rPr>
        <w:footnoteRef/>
      </w:r>
      <w:r w:rsidRPr="0020104A">
        <w:t xml:space="preserve"> </w:t>
      </w:r>
      <w:r w:rsidRPr="00401D3D">
        <w:rPr>
          <w:i/>
          <w:iCs/>
        </w:rPr>
        <w:t xml:space="preserve">Id. </w:t>
      </w:r>
      <w:r w:rsidRPr="00401D3D">
        <w:t>at 3989, para. 71.</w:t>
      </w:r>
    </w:p>
  </w:footnote>
  <w:footnote w:id="8">
    <w:p w:rsidR="00471DFD" w:rsidP="00471DFD" w14:paraId="3A372F6E" w14:textId="60CB6310">
      <w:pPr>
        <w:pStyle w:val="FootnoteText"/>
      </w:pPr>
      <w:r>
        <w:rPr>
          <w:rStyle w:val="FootnoteReference"/>
        </w:rPr>
        <w:footnoteRef/>
      </w:r>
      <w:r>
        <w:t xml:space="preserve"> </w:t>
      </w:r>
      <w:r>
        <w:rPr>
          <w:i/>
          <w:iCs/>
        </w:rPr>
        <w:t>See</w:t>
      </w:r>
      <w:r>
        <w:t xml:space="preserve"> 47 U.S.C. § 254(b)(1</w:t>
      </w:r>
      <w:r>
        <w:t>)</w:t>
      </w:r>
      <w:r w:rsidR="004B2F6D">
        <w:t>,</w:t>
      </w:r>
      <w:r>
        <w:t>(</w:t>
      </w:r>
      <w:r>
        <w:t>3) (directing the Commission to base policies on the principles of ensuring affordable rates and reasonably comparable services, respectively).</w:t>
      </w:r>
    </w:p>
  </w:footnote>
  <w:footnote w:id="9">
    <w:p w:rsidR="00223D36" w:rsidP="00223D36" w14:paraId="4006E47D" w14:textId="77777777">
      <w:pPr>
        <w:pStyle w:val="FootnoteText"/>
      </w:pPr>
      <w:r w:rsidRPr="0020104A">
        <w:rPr>
          <w:rStyle w:val="FootnoteReference"/>
        </w:rPr>
        <w:footnoteRef/>
      </w:r>
      <w:r w:rsidRPr="0020104A">
        <w:t xml:space="preserve"> </w:t>
      </w:r>
      <w:r w:rsidRPr="00C70E75">
        <w:rPr>
          <w:i/>
          <w:iCs/>
        </w:rPr>
        <w:t>Id.</w:t>
      </w:r>
      <w:r w:rsidRPr="0020104A">
        <w:t xml:space="preserve"> at 3995-96, para. 94; 47 CFR § 54.408(c)(2)(ii)(A)-(D).  </w:t>
      </w:r>
    </w:p>
  </w:footnote>
  <w:footnote w:id="10">
    <w:p w:rsidR="00223D36" w:rsidP="00223D36" w14:paraId="63785D42" w14:textId="77777777">
      <w:pPr>
        <w:pStyle w:val="FootnoteText"/>
      </w:pPr>
      <w:r w:rsidRPr="0020104A">
        <w:rPr>
          <w:rStyle w:val="FootnoteReference"/>
        </w:rPr>
        <w:footnoteRef/>
      </w:r>
      <w:r w:rsidRPr="0020104A">
        <w:t xml:space="preserve"> </w:t>
      </w:r>
      <w:r w:rsidRPr="00C70E75">
        <w:rPr>
          <w:i/>
          <w:iCs/>
        </w:rPr>
        <w:t>2016 Order</w:t>
      </w:r>
      <w:r w:rsidRPr="0020104A">
        <w:t>, 31 FCC Rcd at 3995, para. 93; 47 CFR § 54.408(b)(2)(ii)(A)-(C).</w:t>
      </w:r>
    </w:p>
  </w:footnote>
  <w:footnote w:id="11">
    <w:p w:rsidR="00B45B65" w:rsidP="00B45B65" w14:paraId="7D1CAF79" w14:textId="77777777">
      <w:pPr>
        <w:pStyle w:val="FootnoteText"/>
      </w:pPr>
      <w:r w:rsidRPr="0020104A">
        <w:rPr>
          <w:rStyle w:val="FootnoteReference"/>
        </w:rPr>
        <w:footnoteRef/>
      </w:r>
      <w:r w:rsidRPr="0020104A">
        <w:t xml:space="preserve"> </w:t>
      </w:r>
      <w:r w:rsidRPr="00C70E75">
        <w:rPr>
          <w:i/>
          <w:iCs/>
        </w:rPr>
        <w:t>See</w:t>
      </w:r>
      <w:r w:rsidRPr="0020104A">
        <w:t xml:space="preserve"> Joint Petition to Pause Implementation of December 2019 Lifeline Minimum Service Standards Pending Forthcoming Marketplace Study, WC Docket Nos. 11-42, 09-197, 10-90 (June 27, 2019).</w:t>
      </w:r>
    </w:p>
  </w:footnote>
  <w:footnote w:id="12">
    <w:p w:rsidR="00B45B65" w:rsidP="00B45B65" w14:paraId="5084A43A" w14:textId="77777777">
      <w:pPr>
        <w:pStyle w:val="FootnoteText"/>
      </w:pPr>
      <w:r w:rsidRPr="0020104A">
        <w:rPr>
          <w:rStyle w:val="FootnoteReference"/>
        </w:rPr>
        <w:footnoteRef/>
      </w:r>
      <w:r w:rsidRPr="0020104A">
        <w:t xml:space="preserve"> </w:t>
      </w:r>
      <w:r w:rsidRPr="00C70E75">
        <w:rPr>
          <w:i/>
          <w:iCs/>
        </w:rPr>
        <w:t>Lifeline and Link Up R</w:t>
      </w:r>
      <w:r w:rsidRPr="0020104A">
        <w:rPr>
          <w:i/>
          <w:iCs/>
        </w:rPr>
        <w:t>eform and Modernization et. al.</w:t>
      </w:r>
      <w:r w:rsidRPr="0020104A">
        <w:t>, Order, 34 FCC Rcd 11020, 11020, 11024, paras. 2, 13 (2019) (</w:t>
      </w:r>
      <w:r w:rsidRPr="0020104A">
        <w:rPr>
          <w:i/>
          <w:iCs/>
        </w:rPr>
        <w:t>2019 Waiver Order</w:t>
      </w:r>
      <w:r w:rsidRPr="0020104A">
        <w:t>).</w:t>
      </w:r>
    </w:p>
  </w:footnote>
  <w:footnote w:id="13">
    <w:p w:rsidR="00451639" w:rsidP="00451639" w14:paraId="691D2490" w14:textId="77777777">
      <w:pPr>
        <w:pStyle w:val="FootnoteText"/>
      </w:pPr>
      <w:r w:rsidRPr="0020104A">
        <w:rPr>
          <w:rStyle w:val="FootnoteReference"/>
        </w:rPr>
        <w:footnoteRef/>
      </w:r>
      <w:r w:rsidRPr="0020104A">
        <w:t xml:space="preserve"> </w:t>
      </w:r>
      <w:r w:rsidRPr="00C42838">
        <w:rPr>
          <w:i/>
          <w:iCs/>
        </w:rPr>
        <w:t>Wireline Competition Bureau Announces Updated Lifeline Minimum Service Standards and Indexed Budget Amount</w:t>
      </w:r>
      <w:r w:rsidRPr="00C42838">
        <w:t>, Public Notice, DA 20-820 (July 31, 2020).</w:t>
      </w:r>
    </w:p>
  </w:footnote>
  <w:footnote w:id="14">
    <w:p w:rsidR="00451639" w:rsidP="00451639" w14:paraId="1E108839" w14:textId="77777777">
      <w:pPr>
        <w:pStyle w:val="FootnoteText"/>
      </w:pPr>
      <w:r w:rsidRPr="0020104A">
        <w:rPr>
          <w:rStyle w:val="FootnoteReference"/>
        </w:rPr>
        <w:footnoteRef/>
      </w:r>
      <w:r w:rsidRPr="0020104A">
        <w:t xml:space="preserve"> Petition at </w:t>
      </w:r>
      <w:r w:rsidRPr="00C70E75">
        <w:t>1.</w:t>
      </w:r>
    </w:p>
  </w:footnote>
  <w:footnote w:id="15">
    <w:p w:rsidR="00451639" w:rsidP="00451639" w14:paraId="7B46B95C" w14:textId="0EC40B2A">
      <w:pPr>
        <w:pStyle w:val="FootnoteText"/>
      </w:pPr>
      <w:r w:rsidRPr="0020104A">
        <w:rPr>
          <w:rStyle w:val="FootnoteReference"/>
        </w:rPr>
        <w:footnoteRef/>
      </w:r>
      <w:r w:rsidRPr="0020104A">
        <w:t xml:space="preserve"> </w:t>
      </w:r>
      <w:r w:rsidRPr="00C42838">
        <w:rPr>
          <w:i/>
          <w:iCs/>
        </w:rPr>
        <w:t>Wireline Competition Bureau Seeks Comment on National Lifeline Association Petition for Waiver of Mobile Broadband Minimum Service Standard and Voice Support Phase-Down</w:t>
      </w:r>
      <w:r w:rsidRPr="00C42838">
        <w:t xml:space="preserve">, Public Notice, WC Docket No. 11-42 et. al. (Aug. 31, 2020), </w:t>
      </w:r>
      <w:hyperlink r:id="rId2" w:history="1">
        <w:r w:rsidRPr="00D71199">
          <w:rPr>
            <w:rStyle w:val="Hyperlink"/>
          </w:rPr>
          <w:t>https://www.fcc.gov/document/comment-sought-nala-minimum-service-voice-phase-down-waiver</w:t>
        </w:r>
      </w:hyperlink>
      <w:r w:rsidRPr="00C42838">
        <w:t>.</w:t>
      </w:r>
      <w:r>
        <w:t xml:space="preserve"> </w:t>
      </w:r>
    </w:p>
  </w:footnote>
  <w:footnote w:id="16">
    <w:p w:rsidR="001C36F5" w:rsidP="001C4161" w14:paraId="7ACE0F4B" w14:textId="77777777">
      <w:pPr>
        <w:pStyle w:val="FootnoteText"/>
      </w:pPr>
      <w:r>
        <w:rPr>
          <w:rStyle w:val="FootnoteReference"/>
        </w:rPr>
        <w:footnoteRef/>
      </w:r>
      <w:r>
        <w:t xml:space="preserve"> </w:t>
      </w:r>
      <w:r w:rsidRPr="00756536">
        <w:t>Petition for Stay</w:t>
      </w:r>
      <w:r>
        <w:t xml:space="preserve"> at 1.</w:t>
      </w:r>
    </w:p>
  </w:footnote>
  <w:footnote w:id="17">
    <w:p w:rsidR="001C36F5" w:rsidP="001C4161" w14:paraId="4E2DB159" w14:textId="77777777">
      <w:pPr>
        <w:pStyle w:val="FootnoteText"/>
      </w:pPr>
      <w:r>
        <w:rPr>
          <w:rStyle w:val="FootnoteReference"/>
        </w:rPr>
        <w:footnoteRef/>
      </w:r>
      <w:r>
        <w:t xml:space="preserve"> Petition for Stay at 54.</w:t>
      </w:r>
    </w:p>
  </w:footnote>
  <w:footnote w:id="18">
    <w:p w:rsidR="001C36F5" w:rsidP="001C4161" w14:paraId="49F97BF9" w14:textId="6082DE28">
      <w:pPr>
        <w:pStyle w:val="FootnoteText"/>
      </w:pPr>
      <w:r>
        <w:rPr>
          <w:rStyle w:val="FootnoteReference"/>
        </w:rPr>
        <w:footnoteRef/>
      </w:r>
      <w:r w:rsidR="007D2B8A">
        <w:t xml:space="preserve"> </w:t>
      </w:r>
      <w:r w:rsidR="004A7723">
        <w:rPr>
          <w:i/>
          <w:iCs/>
        </w:rPr>
        <w:t>See</w:t>
      </w:r>
      <w:r w:rsidR="007D2B8A">
        <w:rPr>
          <w:i/>
        </w:rPr>
        <w:t xml:space="preserve"> </w:t>
      </w:r>
      <w:r w:rsidR="003642BE">
        <w:rPr>
          <w:i/>
        </w:rPr>
        <w:t>Lifeline and Link Up Reform and Modernization, et. al.</w:t>
      </w:r>
      <w:r w:rsidR="003642BE">
        <w:rPr>
          <w:iCs/>
        </w:rPr>
        <w:t>, Order, WC Docket No. 11-42 et. al,</w:t>
      </w:r>
      <w:r w:rsidR="00EC478D">
        <w:rPr>
          <w:iCs/>
        </w:rPr>
        <w:t xml:space="preserve"> </w:t>
      </w:r>
      <w:r w:rsidRPr="00EC478D" w:rsidR="00EC478D">
        <w:rPr>
          <w:iCs/>
        </w:rPr>
        <w:t>DA 20-1358</w:t>
      </w:r>
      <w:r w:rsidR="00EC478D">
        <w:rPr>
          <w:iCs/>
        </w:rPr>
        <w:t>,</w:t>
      </w:r>
      <w:r w:rsidR="003642BE">
        <w:rPr>
          <w:iCs/>
        </w:rPr>
        <w:t xml:space="preserve"> para. 2 (Nov. 16, 2020)</w:t>
      </w:r>
      <w:r w:rsidR="003642BE">
        <w:rPr>
          <w:i/>
        </w:rPr>
        <w:t xml:space="preserve"> </w:t>
      </w:r>
      <w:r w:rsidR="003642BE">
        <w:rPr>
          <w:iCs/>
        </w:rPr>
        <w:t>(</w:t>
      </w:r>
      <w:r w:rsidRPr="00FB00D1" w:rsidR="007D2B8A">
        <w:rPr>
          <w:i/>
          <w:iCs/>
        </w:rPr>
        <w:t>2020 Waiver Order</w:t>
      </w:r>
      <w:r w:rsidR="003642BE">
        <w:t>)</w:t>
      </w:r>
      <w:r w:rsidR="004A7723">
        <w:t>.</w:t>
      </w:r>
    </w:p>
  </w:footnote>
  <w:footnote w:id="19">
    <w:p w:rsidR="001C36F5" w:rsidP="001C4161" w14:paraId="0315D4BB" w14:textId="3C27046C">
      <w:pPr>
        <w:pStyle w:val="FootnoteText"/>
      </w:pPr>
      <w:r>
        <w:rPr>
          <w:rStyle w:val="FootnoteReference"/>
        </w:rPr>
        <w:footnoteRef/>
      </w:r>
      <w:r>
        <w:t xml:space="preserve"> </w:t>
      </w:r>
      <w:r w:rsidRPr="00FB00D1">
        <w:rPr>
          <w:i/>
          <w:iCs/>
        </w:rPr>
        <w:t>2020 Waiver Order</w:t>
      </w:r>
      <w:r w:rsidR="00B81B8B">
        <w:t xml:space="preserve"> at</w:t>
      </w:r>
      <w:r w:rsidR="00851901">
        <w:t xml:space="preserve"> para. 1</w:t>
      </w:r>
      <w:r w:rsidR="003642BE">
        <w:t>5</w:t>
      </w:r>
      <w:r w:rsidR="00851901">
        <w:t>.</w:t>
      </w:r>
    </w:p>
  </w:footnote>
  <w:footnote w:id="20">
    <w:p w:rsidR="001C36F5" w:rsidP="001C4161" w14:paraId="778EB22B" w14:textId="77777777">
      <w:pPr>
        <w:pStyle w:val="FootnoteText"/>
      </w:pPr>
      <w:r>
        <w:rPr>
          <w:rStyle w:val="FootnoteReference"/>
        </w:rPr>
        <w:footnoteRef/>
      </w:r>
      <w:r>
        <w:t xml:space="preserve"> </w:t>
      </w:r>
      <w:r w:rsidRPr="00350210">
        <w:rPr>
          <w:i/>
          <w:iCs/>
        </w:rPr>
        <w:t>See Washington Metro. Area Transit Comm’n v. Holiday Tours, Inc.</w:t>
      </w:r>
      <w:r w:rsidRPr="00350210">
        <w:t xml:space="preserve">, 559 </w:t>
      </w:r>
      <w:r w:rsidRPr="00350210">
        <w:t>F.2d</w:t>
      </w:r>
      <w:r w:rsidRPr="00350210">
        <w:t xml:space="preserve"> 841, 843 (D.C. Cir. 1977) (</w:t>
      </w:r>
      <w:r w:rsidRPr="00756536">
        <w:rPr>
          <w:i/>
        </w:rPr>
        <w:t>Holiday Tours</w:t>
      </w:r>
      <w:r w:rsidRPr="00350210">
        <w:t xml:space="preserve">); </w:t>
      </w:r>
      <w:r w:rsidRPr="00350210">
        <w:rPr>
          <w:i/>
          <w:iCs/>
        </w:rPr>
        <w:t xml:space="preserve">Virginia Petroleum Jobbers </w:t>
      </w:r>
      <w:r w:rsidRPr="00350210">
        <w:rPr>
          <w:i/>
          <w:iCs/>
        </w:rPr>
        <w:t>Ass’n</w:t>
      </w:r>
      <w:r w:rsidRPr="00350210">
        <w:rPr>
          <w:i/>
          <w:iCs/>
        </w:rPr>
        <w:t xml:space="preserve"> v. Federal Power Comm’n</w:t>
      </w:r>
      <w:r w:rsidRPr="00350210">
        <w:t xml:space="preserve">, 259 </w:t>
      </w:r>
      <w:r w:rsidRPr="00350210">
        <w:t>F.2d</w:t>
      </w:r>
      <w:r w:rsidRPr="00350210">
        <w:t xml:space="preserve"> 921, 925 (D.C. Cir. 1958) (</w:t>
      </w:r>
      <w:r w:rsidRPr="00756536">
        <w:rPr>
          <w:i/>
        </w:rPr>
        <w:t>VA Petroleum Jobbers</w:t>
      </w:r>
      <w:r w:rsidRPr="00350210">
        <w:t>).</w:t>
      </w:r>
    </w:p>
  </w:footnote>
  <w:footnote w:id="21">
    <w:p w:rsidR="001C36F5" w14:paraId="38560A38" w14:textId="05105A66">
      <w:pPr>
        <w:pStyle w:val="FootnoteText"/>
      </w:pPr>
      <w:r>
        <w:rPr>
          <w:rStyle w:val="FootnoteReference"/>
        </w:rPr>
        <w:footnoteRef/>
      </w:r>
      <w:r>
        <w:t xml:space="preserve"> </w:t>
      </w:r>
      <w:r w:rsidRPr="006E53D7">
        <w:rPr>
          <w:i/>
          <w:iCs/>
        </w:rPr>
        <w:t>Protecting the Privacy of Customers of Broadband and Other Telecomm. Servs.</w:t>
      </w:r>
      <w:r>
        <w:t>, Order Granting Stay Petition in Part, 32 FCC Rcd 1793, 1796 (2017).</w:t>
      </w:r>
    </w:p>
  </w:footnote>
  <w:footnote w:id="22">
    <w:p w:rsidR="001C36F5" w:rsidP="001C4161" w14:paraId="5A724ABC" w14:textId="77777777">
      <w:pPr>
        <w:pStyle w:val="FootnoteText"/>
      </w:pPr>
      <w:r>
        <w:rPr>
          <w:rStyle w:val="FootnoteReference"/>
        </w:rPr>
        <w:footnoteRef/>
      </w:r>
      <w:r>
        <w:t xml:space="preserve"> Petition for Stay at 25-26.</w:t>
      </w:r>
    </w:p>
  </w:footnote>
  <w:footnote w:id="23">
    <w:p w:rsidR="001C36F5" w:rsidP="00620553" w14:paraId="6DAA055B" w14:textId="77777777">
      <w:pPr>
        <w:pStyle w:val="FootnoteText"/>
      </w:pPr>
      <w:r>
        <w:rPr>
          <w:rStyle w:val="FootnoteReference"/>
        </w:rPr>
        <w:footnoteRef/>
      </w:r>
      <w:r>
        <w:t xml:space="preserve"> </w:t>
      </w:r>
      <w:r>
        <w:rPr>
          <w:i/>
          <w:iCs/>
        </w:rPr>
        <w:t>See 2016 Order</w:t>
      </w:r>
      <w:r>
        <w:t>, 31 FCC Rcd at 3988-91, 3994-97, paras. 69-77, 91-98.</w:t>
      </w:r>
    </w:p>
  </w:footnote>
  <w:footnote w:id="24">
    <w:p w:rsidR="001C36F5" w:rsidP="001C4161" w14:paraId="2E9C65F3" w14:textId="3FE16ACB">
      <w:pPr>
        <w:pStyle w:val="FootnoteText"/>
      </w:pPr>
      <w:r>
        <w:rPr>
          <w:rStyle w:val="FootnoteReference"/>
        </w:rPr>
        <w:footnoteRef/>
      </w:r>
      <w:r>
        <w:t xml:space="preserve"> </w:t>
      </w:r>
      <w:r w:rsidR="00D92785">
        <w:rPr>
          <w:i/>
          <w:iCs/>
        </w:rPr>
        <w:t>2016 Order</w:t>
      </w:r>
      <w:r w:rsidR="00D92785">
        <w:t>,</w:t>
      </w:r>
      <w:r w:rsidR="0011494E">
        <w:t xml:space="preserve"> 31 FCC Rcd. at </w:t>
      </w:r>
      <w:r w:rsidR="00A169ED">
        <w:t>3994-95</w:t>
      </w:r>
      <w:r w:rsidR="0011494E">
        <w:t xml:space="preserve">, </w:t>
      </w:r>
      <w:r w:rsidR="006E0B86">
        <w:t>para</w:t>
      </w:r>
      <w:r w:rsidR="00250BF7">
        <w:t xml:space="preserve">s. </w:t>
      </w:r>
      <w:r w:rsidR="003C6ADF">
        <w:t>92-93</w:t>
      </w:r>
      <w:r w:rsidR="00250BF7">
        <w:t>.</w:t>
      </w:r>
    </w:p>
  </w:footnote>
  <w:footnote w:id="25">
    <w:p w:rsidR="007F39D4" w14:paraId="3C0FD1DA" w14:textId="45CAB321">
      <w:pPr>
        <w:pStyle w:val="FootnoteText"/>
      </w:pPr>
      <w:r>
        <w:rPr>
          <w:rStyle w:val="FootnoteReference"/>
        </w:rPr>
        <w:footnoteRef/>
      </w:r>
      <w:r>
        <w:t xml:space="preserve"> </w:t>
      </w:r>
      <w:r w:rsidR="00607440">
        <w:rPr>
          <w:i/>
          <w:iCs/>
        </w:rPr>
        <w:t xml:space="preserve"> See </w:t>
      </w:r>
      <w:r w:rsidRPr="00FB00D1" w:rsidR="00607440">
        <w:rPr>
          <w:i/>
          <w:iCs/>
        </w:rPr>
        <w:t>2019 Waiver Order</w:t>
      </w:r>
      <w:r w:rsidR="00607440">
        <w:rPr>
          <w:i/>
          <w:iCs/>
        </w:rPr>
        <w:t xml:space="preserve"> </w:t>
      </w:r>
      <w:r w:rsidR="00607440">
        <w:t>at</w:t>
      </w:r>
      <w:r w:rsidRPr="0020104A" w:rsidR="00607440">
        <w:t xml:space="preserve"> paras. 2, 13</w:t>
      </w:r>
      <w:r>
        <w:t>.</w:t>
      </w:r>
    </w:p>
  </w:footnote>
  <w:footnote w:id="26">
    <w:p w:rsidR="001C36F5" w14:paraId="40FFF8B7" w14:textId="77777777">
      <w:pPr>
        <w:pStyle w:val="FootnoteText"/>
      </w:pPr>
      <w:r>
        <w:rPr>
          <w:rStyle w:val="FootnoteReference"/>
        </w:rPr>
        <w:footnoteRef/>
      </w:r>
      <w:r>
        <w:t xml:space="preserve"> Petition for Stay at </w:t>
      </w:r>
      <w:r w:rsidR="005A547F">
        <w:t>32</w:t>
      </w:r>
      <w:r w:rsidR="00373501">
        <w:t>-33</w:t>
      </w:r>
      <w:r w:rsidR="005A547F">
        <w:t>.</w:t>
      </w:r>
    </w:p>
  </w:footnote>
  <w:footnote w:id="27">
    <w:p w:rsidR="00A30850" w:rsidRPr="00A30850" w:rsidP="00A30850" w14:paraId="5F6A0DB0" w14:textId="6F9E451A">
      <w:pPr>
        <w:pStyle w:val="FootnoteText"/>
      </w:pPr>
      <w:r>
        <w:rPr>
          <w:rStyle w:val="FootnoteReference"/>
        </w:rPr>
        <w:footnoteRef/>
      </w:r>
      <w:r>
        <w:t xml:space="preserve"> </w:t>
      </w:r>
      <w:r>
        <w:rPr>
          <w:i/>
          <w:iCs/>
        </w:rPr>
        <w:t>See 2020 Waiver Order</w:t>
      </w:r>
      <w:r>
        <w:t xml:space="preserve"> at para. 16 (citing Letter from Michele K. Thomas, Vice President, Regulatory, T-Mobile, to Marlene H. Dortch, Secretary, FCC, WC Docket No. 11-42 (filed Nov. 16, 2020) (“T-Mobile expressed its willingness to offer an Assurance Wireless Lifeline service plan at 4.5 GB per month with no end user recurring charge. Absent a change in circumstances, this offer would remain available through November 30, 2021”)</w:t>
      </w:r>
      <w:r w:rsidR="00F41A5C">
        <w:t>)</w:t>
      </w:r>
      <w:r>
        <w:t>.</w:t>
      </w:r>
    </w:p>
  </w:footnote>
  <w:footnote w:id="28">
    <w:p w:rsidR="00A80149" w:rsidRPr="00395417" w:rsidP="00A80149" w14:paraId="5E0597AD" w14:textId="77777777">
      <w:pPr>
        <w:pStyle w:val="FootnoteText"/>
      </w:pPr>
      <w:r>
        <w:rPr>
          <w:rStyle w:val="FootnoteReference"/>
        </w:rPr>
        <w:footnoteRef/>
      </w:r>
      <w:r>
        <w:t xml:space="preserve"> </w:t>
      </w:r>
      <w:r>
        <w:rPr>
          <w:i/>
          <w:iCs/>
        </w:rPr>
        <w:t>2016 Order</w:t>
      </w:r>
      <w:r>
        <w:t>, 31 FCC Rcd. at 3962, para 62.</w:t>
      </w:r>
    </w:p>
  </w:footnote>
  <w:footnote w:id="29">
    <w:p w:rsidR="001C36F5" w:rsidP="009F378F" w14:paraId="36F54B5D" w14:textId="77777777">
      <w:pPr>
        <w:pStyle w:val="FootnoteText"/>
      </w:pPr>
      <w:r>
        <w:rPr>
          <w:rStyle w:val="FootnoteReference"/>
        </w:rPr>
        <w:footnoteRef/>
      </w:r>
      <w:r>
        <w:t xml:space="preserve"> </w:t>
      </w:r>
      <w:r w:rsidRPr="00AA517B" w:rsidR="00BD1DA5">
        <w:rPr>
          <w:i/>
          <w:iCs/>
        </w:rPr>
        <w:t>See</w:t>
      </w:r>
      <w:r w:rsidR="00BD1DA5">
        <w:t xml:space="preserve"> </w:t>
      </w:r>
      <w:r w:rsidR="007D058D">
        <w:t xml:space="preserve">Petition for Stay at </w:t>
      </w:r>
      <w:r w:rsidR="002E1E16">
        <w:t>34-36.</w:t>
      </w:r>
    </w:p>
  </w:footnote>
  <w:footnote w:id="30">
    <w:p w:rsidR="001C36F5" w:rsidP="009F378F" w14:paraId="7B59022D" w14:textId="15381380">
      <w:pPr>
        <w:pStyle w:val="FootnoteText"/>
      </w:pPr>
      <w:r>
        <w:rPr>
          <w:rStyle w:val="FootnoteReference"/>
        </w:rPr>
        <w:footnoteRef/>
      </w:r>
      <w:r>
        <w:t xml:space="preserve"> </w:t>
      </w:r>
      <w:r w:rsidR="00293E48">
        <w:rPr>
          <w:i/>
          <w:iCs/>
        </w:rPr>
        <w:t xml:space="preserve">See </w:t>
      </w:r>
      <w:r w:rsidR="00293E48">
        <w:t>47 U.S.C. § 254(b)</w:t>
      </w:r>
      <w:r w:rsidR="003A6D50">
        <w:t xml:space="preserve">(3), </w:t>
      </w:r>
      <w:r w:rsidR="00D2166D">
        <w:t>(c).</w:t>
      </w:r>
    </w:p>
  </w:footnote>
  <w:footnote w:id="31">
    <w:p w:rsidR="001C36F5" w:rsidRPr="003D1685" w:rsidP="0075395D" w14:paraId="20B57EEC" w14:textId="0E098A33">
      <w:pPr>
        <w:pStyle w:val="FootnoteText"/>
      </w:pPr>
      <w:r>
        <w:rPr>
          <w:rStyle w:val="FootnoteReference"/>
        </w:rPr>
        <w:footnoteRef/>
      </w:r>
      <w:r>
        <w:t xml:space="preserve"> </w:t>
      </w:r>
      <w:r w:rsidRPr="00FB00D1">
        <w:rPr>
          <w:i/>
          <w:iCs/>
        </w:rPr>
        <w:t>2020 Waiver Order</w:t>
      </w:r>
      <w:r w:rsidR="003D1685">
        <w:rPr>
          <w:i/>
          <w:iCs/>
        </w:rPr>
        <w:t xml:space="preserve"> </w:t>
      </w:r>
      <w:r w:rsidR="003D1685">
        <w:t>at para. 10.</w:t>
      </w:r>
    </w:p>
  </w:footnote>
  <w:footnote w:id="32">
    <w:p w:rsidR="003D1685" w14:paraId="588A7E4A" w14:textId="6CA55A5A">
      <w:pPr>
        <w:pStyle w:val="FootnoteText"/>
      </w:pPr>
      <w:r>
        <w:rPr>
          <w:rStyle w:val="FootnoteReference"/>
        </w:rPr>
        <w:footnoteRef/>
      </w:r>
      <w:r>
        <w:t xml:space="preserve"> </w:t>
      </w:r>
      <w:r>
        <w:rPr>
          <w:i/>
          <w:iCs/>
        </w:rPr>
        <w:t xml:space="preserve">Id. </w:t>
      </w:r>
      <w:r>
        <w:t>at para. 9, 13-15.</w:t>
      </w:r>
    </w:p>
  </w:footnote>
  <w:footnote w:id="33">
    <w:p w:rsidR="001C36F5" w:rsidRPr="003D1685" w:rsidP="0058228F" w14:paraId="6DD2DFE6" w14:textId="6D68EE6C">
      <w:pPr>
        <w:pStyle w:val="FootnoteText"/>
      </w:pPr>
      <w:r>
        <w:rPr>
          <w:rStyle w:val="FootnoteReference"/>
        </w:rPr>
        <w:footnoteRef/>
      </w:r>
      <w:r>
        <w:t xml:space="preserve"> </w:t>
      </w:r>
      <w:r w:rsidR="003D1685">
        <w:rPr>
          <w:i/>
          <w:iCs/>
        </w:rPr>
        <w:t xml:space="preserve"> Id. </w:t>
      </w:r>
      <w:r w:rsidR="003D1685">
        <w:t>at 15, 20.</w:t>
      </w:r>
    </w:p>
  </w:footnote>
  <w:footnote w:id="34">
    <w:p w:rsidR="001C36F5" w:rsidRPr="003D1685" w:rsidP="00B058ED" w14:paraId="4DE47549" w14:textId="6D8F8969">
      <w:pPr>
        <w:pStyle w:val="FootnoteText"/>
      </w:pPr>
      <w:r>
        <w:rPr>
          <w:rStyle w:val="FootnoteReference"/>
        </w:rPr>
        <w:footnoteRef/>
      </w:r>
      <w:r>
        <w:t xml:space="preserve"> </w:t>
      </w:r>
      <w:r w:rsidR="003D1685">
        <w:rPr>
          <w:i/>
          <w:iCs/>
        </w:rPr>
        <w:t xml:space="preserve"> Id.</w:t>
      </w:r>
    </w:p>
  </w:footnote>
  <w:footnote w:id="35">
    <w:p w:rsidR="001C36F5" w:rsidP="00B058ED" w14:paraId="50745FBD" w14:textId="77777777">
      <w:pPr>
        <w:pStyle w:val="FootnoteText"/>
      </w:pPr>
      <w:r>
        <w:rPr>
          <w:rStyle w:val="FootnoteReference"/>
        </w:rPr>
        <w:footnoteRef/>
      </w:r>
      <w:r>
        <w:t xml:space="preserve"> </w:t>
      </w:r>
      <w:r w:rsidRPr="00AA517B" w:rsidR="00E851EC">
        <w:rPr>
          <w:i/>
          <w:iCs/>
        </w:rPr>
        <w:t>Wisconsin Gas Co. v. FERC</w:t>
      </w:r>
      <w:r w:rsidRPr="00E851EC" w:rsidR="00E851EC">
        <w:t xml:space="preserve">, 758 </w:t>
      </w:r>
      <w:r w:rsidRPr="00E851EC" w:rsidR="00E851EC">
        <w:t>F.2d</w:t>
      </w:r>
      <w:r w:rsidRPr="00E851EC" w:rsidR="00E851EC">
        <w:t xml:space="preserve"> 669, 674 (D.C. Cir. 1985) (</w:t>
      </w:r>
      <w:r w:rsidRPr="00AA517B" w:rsidR="00E851EC">
        <w:rPr>
          <w:i/>
          <w:iCs/>
        </w:rPr>
        <w:t>Wisconsin Gas Co.</w:t>
      </w:r>
      <w:r w:rsidRPr="00E851EC" w:rsidR="00E851EC">
        <w:t>).</w:t>
      </w:r>
    </w:p>
  </w:footnote>
  <w:footnote w:id="36">
    <w:p w:rsidR="001C36F5" w:rsidP="00B058ED" w14:paraId="1B89B6EB" w14:textId="77777777">
      <w:pPr>
        <w:pStyle w:val="FootnoteText"/>
      </w:pPr>
      <w:r>
        <w:rPr>
          <w:rStyle w:val="FootnoteReference"/>
        </w:rPr>
        <w:footnoteRef/>
      </w:r>
      <w:r>
        <w:t xml:space="preserve"> </w:t>
      </w:r>
      <w:r>
        <w:rPr>
          <w:i/>
          <w:iCs/>
        </w:rPr>
        <w:t>Id.</w:t>
      </w:r>
    </w:p>
  </w:footnote>
  <w:footnote w:id="37">
    <w:p w:rsidR="001C36F5" w:rsidP="00B058ED" w14:paraId="0D3B265F" w14:textId="2F7F965E">
      <w:pPr>
        <w:pStyle w:val="FootnoteText"/>
      </w:pPr>
      <w:r>
        <w:rPr>
          <w:rStyle w:val="FootnoteReference"/>
        </w:rPr>
        <w:footnoteRef/>
      </w:r>
      <w:r>
        <w:t xml:space="preserve"> </w:t>
      </w:r>
      <w:r w:rsidRPr="00FB00D1">
        <w:rPr>
          <w:i/>
          <w:iCs/>
        </w:rPr>
        <w:t>2020 Waiver Order</w:t>
      </w:r>
      <w:r w:rsidR="0030768C">
        <w:t xml:space="preserve"> at paras. 16-19.</w:t>
      </w:r>
    </w:p>
  </w:footnote>
  <w:footnote w:id="38">
    <w:p w:rsidR="001473A8" w14:paraId="3F2737EA" w14:textId="2D9970B4">
      <w:pPr>
        <w:pStyle w:val="FootnoteText"/>
      </w:pPr>
      <w:r>
        <w:rPr>
          <w:rStyle w:val="FootnoteReference"/>
        </w:rPr>
        <w:footnoteRef/>
      </w:r>
      <w:r>
        <w:t xml:space="preserve"> Petition at 29.</w:t>
      </w:r>
    </w:p>
  </w:footnote>
  <w:footnote w:id="39">
    <w:p w:rsidR="001C36F5" w:rsidP="00B058ED" w14:paraId="313BCB8D" w14:textId="77777777">
      <w:pPr>
        <w:pStyle w:val="FootnoteText"/>
      </w:pPr>
      <w:r>
        <w:rPr>
          <w:rStyle w:val="FootnoteReference"/>
        </w:rPr>
        <w:footnoteRef/>
      </w:r>
      <w:r>
        <w:t xml:space="preserve"> </w:t>
      </w:r>
      <w:r w:rsidRPr="00B93726" w:rsidR="00B93726">
        <w:rPr>
          <w:i/>
          <w:iCs/>
        </w:rPr>
        <w:t>See 2019 Waiver Order</w:t>
      </w:r>
      <w:r w:rsidRPr="00B93726" w:rsidR="00B93726">
        <w:t xml:space="preserve"> at para. 10, </w:t>
      </w:r>
      <w:r w:rsidRPr="00B93726" w:rsidR="00B93726">
        <w:t>n.24</w:t>
      </w:r>
      <w:r w:rsidRPr="00B93726" w:rsidR="00B93726">
        <w:t>.</w:t>
      </w:r>
    </w:p>
  </w:footnote>
  <w:footnote w:id="40">
    <w:p w:rsidR="003634D9" w:rsidP="003634D9" w14:paraId="1EC2E179" w14:textId="77777777">
      <w:pPr>
        <w:pStyle w:val="FootnoteText"/>
      </w:pPr>
      <w:r>
        <w:rPr>
          <w:rStyle w:val="FootnoteReference"/>
        </w:rPr>
        <w:footnoteRef/>
      </w:r>
      <w:r>
        <w:t xml:space="preserve"> </w:t>
      </w:r>
      <w:r>
        <w:rPr>
          <w:i/>
          <w:iCs/>
        </w:rPr>
        <w:t xml:space="preserve">See </w:t>
      </w:r>
      <w:r w:rsidRPr="00C64600">
        <w:rPr>
          <w:i/>
          <w:iCs/>
        </w:rPr>
        <w:t>2018 Communications Marketplace Report</w:t>
      </w:r>
      <w:r>
        <w:t>,</w:t>
      </w:r>
      <w:r w:rsidRPr="00C64600">
        <w:t xml:space="preserve"> </w:t>
      </w:r>
      <w:r w:rsidRPr="00741635">
        <w:t>33 FCC Rcd at 12570-77, paras. 14-22.</w:t>
      </w:r>
    </w:p>
  </w:footnote>
  <w:footnote w:id="41">
    <w:p w:rsidR="00BF3F5D" w:rsidRPr="00F63C8A" w:rsidP="00784F58" w14:paraId="37FC2301" w14:textId="399FCE6A">
      <w:pPr>
        <w:pStyle w:val="FootnoteText"/>
      </w:pPr>
      <w:r>
        <w:rPr>
          <w:rStyle w:val="FootnoteReference"/>
        </w:rPr>
        <w:footnoteRef/>
      </w:r>
      <w:r>
        <w:t xml:space="preserve"> </w:t>
      </w:r>
      <w:r w:rsidRPr="00594EAF">
        <w:rPr>
          <w:i/>
          <w:iCs/>
        </w:rPr>
        <w:t>See</w:t>
      </w:r>
      <w:r>
        <w:rPr>
          <w:i/>
          <w:iCs/>
        </w:rPr>
        <w:t xml:space="preserve"> generally</w:t>
      </w:r>
      <w:r w:rsidRPr="00AD3D24">
        <w:t xml:space="preserve"> Joint Petition to Pause Implementation of December 2019 Lifeline Minimum Service Standards Pending Forthcoming Marketplace Study, WC Docket Nos. 11-42, 09-197, 10-90 (June 27, 2019)</w:t>
      </w:r>
      <w:r>
        <w:t xml:space="preserve">; </w:t>
      </w:r>
      <w:r>
        <w:rPr>
          <w:i/>
          <w:iCs/>
        </w:rPr>
        <w:t>2019 Waiver Order</w:t>
      </w:r>
      <w:r w:rsidRPr="00AD3D24">
        <w:t>.</w:t>
      </w:r>
      <w:r w:rsidR="0069384B">
        <w:t xml:space="preserve">  Th</w:t>
      </w:r>
      <w:r w:rsidR="001833A5">
        <w:t xml:space="preserve">is claim was </w:t>
      </w:r>
      <w:r w:rsidR="008D104B">
        <w:t>one example in a succession of filings over the course of several year</w:t>
      </w:r>
      <w:r w:rsidR="005B2D75">
        <w:t>s</w:t>
      </w:r>
      <w:r w:rsidR="008D104B">
        <w:t xml:space="preserve"> of </w:t>
      </w:r>
      <w:r w:rsidR="0039719A">
        <w:t>certain</w:t>
      </w:r>
      <w:r w:rsidR="00FF4422">
        <w:t xml:space="preserve"> wireless ETCs </w:t>
      </w:r>
      <w:r w:rsidR="005B2D75">
        <w:t>predicting</w:t>
      </w:r>
      <w:r w:rsidR="0039719A">
        <w:t xml:space="preserve"> that they would need to begin charging Lifeline customers a co-pay </w:t>
      </w:r>
      <w:r w:rsidR="0039719A">
        <w:t>in the near future</w:t>
      </w:r>
      <w:r w:rsidR="0039719A">
        <w:t xml:space="preserve"> </w:t>
      </w:r>
      <w:r w:rsidR="00F63C8A">
        <w:t xml:space="preserve">and then being proven wrong with the passage of time.  </w:t>
      </w:r>
      <w:r w:rsidR="00F63C8A">
        <w:rPr>
          <w:i/>
          <w:iCs/>
        </w:rPr>
        <w:t>See</w:t>
      </w:r>
      <w:r w:rsidR="00BA05AD">
        <w:rPr>
          <w:i/>
          <w:iCs/>
        </w:rPr>
        <w:t xml:space="preserve"> also</w:t>
      </w:r>
      <w:r w:rsidR="00F63C8A">
        <w:t xml:space="preserve"> </w:t>
      </w:r>
      <w:r w:rsidR="006A569B">
        <w:t>Joint Lifeline ETC Petitioners’</w:t>
      </w:r>
      <w:r w:rsidR="003A5EF6">
        <w:t xml:space="preserve"> Petition for Partial Reconsideration and Clarification, WC Docket No. 11-42 et al., at </w:t>
      </w:r>
      <w:r w:rsidR="00E36206">
        <w:t>5-6</w:t>
      </w:r>
      <w:r w:rsidR="003A5EF6">
        <w:t xml:space="preserve"> (filed June 23, 2016)</w:t>
      </w:r>
      <w:r w:rsidR="00E06CFA">
        <w:t xml:space="preserve"> (claiming that the </w:t>
      </w:r>
      <w:r w:rsidR="00653596">
        <w:t xml:space="preserve">1 GB minimum standard in 2017 </w:t>
      </w:r>
      <w:r w:rsidR="001B1825">
        <w:t>“would require a significant co-pay”)</w:t>
      </w:r>
      <w:r w:rsidR="00FE5085">
        <w:t>; Comments of the National Lifeline Association, WC Docket No. 11-42 et al., at (filed Feb. 21, 2018)</w:t>
      </w:r>
      <w:r w:rsidR="00784F58">
        <w:t xml:space="preserve"> (“As the applicable minimum service standards continue to rise without any corresponding increase in the monthly benefit, subscribers for wireless Lifeline services similarly will be forced to purchase voice and broadband plans that may be more than they can afford or need</w:t>
      </w:r>
      <w:r w:rsidR="003A5EF6">
        <w:t>.</w:t>
      </w:r>
      <w:r w:rsidR="00784F58">
        <w:t>”).</w:t>
      </w:r>
    </w:p>
  </w:footnote>
  <w:footnote w:id="42">
    <w:p w:rsidR="00BF3F5D" w:rsidP="00BF3F5D" w14:paraId="5ED7A884" w14:textId="77777777">
      <w:pPr>
        <w:pStyle w:val="FootnoteText"/>
      </w:pPr>
      <w:r>
        <w:rPr>
          <w:rStyle w:val="FootnoteReference"/>
        </w:rPr>
        <w:footnoteRef/>
      </w:r>
      <w:r>
        <w:t xml:space="preserve"> </w:t>
      </w:r>
      <w:r w:rsidRPr="00295933">
        <w:t xml:space="preserve">Letter from John J. </w:t>
      </w:r>
      <w:r w:rsidRPr="00295933">
        <w:t>Heitmann</w:t>
      </w:r>
      <w:r w:rsidRPr="00295933">
        <w:t xml:space="preserve"> &amp; Joshua </w:t>
      </w:r>
      <w:r w:rsidRPr="00295933">
        <w:t>Guyan</w:t>
      </w:r>
      <w:r w:rsidRPr="00295933">
        <w:t>, Counsel for the National Lifeline Association and Q Link Wireless LLC, WC Docket No. 17-287 et al., at 3 (filed Nov. 1, 2019).</w:t>
      </w:r>
    </w:p>
  </w:footnote>
  <w:footnote w:id="43">
    <w:p w:rsidR="001C36F5" w:rsidRPr="000F06E1" w:rsidP="00B058ED" w14:paraId="5DFCAD2C" w14:textId="77CAB99D">
      <w:pPr>
        <w:pStyle w:val="FootnoteText"/>
      </w:pPr>
      <w:r>
        <w:rPr>
          <w:rStyle w:val="FootnoteReference"/>
        </w:rPr>
        <w:footnoteRef/>
      </w:r>
      <w:r>
        <w:t xml:space="preserve"> </w:t>
      </w:r>
      <w:r w:rsidRPr="00FB00D1">
        <w:rPr>
          <w:i/>
          <w:iCs/>
        </w:rPr>
        <w:t>2020 Waiver Order</w:t>
      </w:r>
      <w:r w:rsidR="000F06E1">
        <w:rPr>
          <w:i/>
          <w:iCs/>
        </w:rPr>
        <w:t xml:space="preserve"> </w:t>
      </w:r>
      <w:r w:rsidR="000F06E1">
        <w:t>at paras. 16-19.</w:t>
      </w:r>
    </w:p>
  </w:footnote>
  <w:footnote w:id="44">
    <w:p w:rsidR="001C36F5" w:rsidP="00B058ED" w14:paraId="41414E3E" w14:textId="77777777">
      <w:pPr>
        <w:pStyle w:val="FootnoteText"/>
      </w:pPr>
      <w:r>
        <w:rPr>
          <w:rStyle w:val="FootnoteReference"/>
        </w:rPr>
        <w:footnoteRef/>
      </w:r>
      <w:r>
        <w:t xml:space="preserve"> </w:t>
      </w:r>
      <w:r>
        <w:rPr>
          <w:i/>
          <w:iCs/>
        </w:rPr>
        <w:t xml:space="preserve">See </w:t>
      </w:r>
      <w:r>
        <w:t xml:space="preserve">Petition for Stay at </w:t>
      </w:r>
      <w:r w:rsidR="00452CB6">
        <w:t>49-53.</w:t>
      </w:r>
    </w:p>
  </w:footnote>
  <w:footnote w:id="45">
    <w:p w:rsidR="001C36F5" w:rsidP="00B058ED" w14:paraId="01637B0A" w14:textId="36977BCE">
      <w:pPr>
        <w:pStyle w:val="FootnoteText"/>
      </w:pPr>
      <w:r>
        <w:rPr>
          <w:rStyle w:val="FootnoteReference"/>
        </w:rPr>
        <w:footnoteRef/>
      </w:r>
      <w:r>
        <w:t xml:space="preserve"> </w:t>
      </w:r>
      <w:r w:rsidR="00C9766F">
        <w:rPr>
          <w:i/>
          <w:iCs/>
        </w:rPr>
        <w:t xml:space="preserve">See </w:t>
      </w:r>
      <w:r w:rsidR="00B93C7A">
        <w:rPr>
          <w:i/>
          <w:iCs/>
        </w:rPr>
        <w:t>id.</w:t>
      </w:r>
      <w:r w:rsidR="00C9766F">
        <w:t xml:space="preserve"> at </w:t>
      </w:r>
      <w:r w:rsidR="00B06225">
        <w:t>49-51.</w:t>
      </w:r>
    </w:p>
  </w:footnote>
  <w:footnote w:id="46">
    <w:p w:rsidR="001C36F5" w:rsidP="00B058ED" w14:paraId="6073F24B" w14:textId="77777777">
      <w:pPr>
        <w:pStyle w:val="FootnoteText"/>
      </w:pPr>
      <w:r>
        <w:rPr>
          <w:rStyle w:val="FootnoteReference"/>
        </w:rPr>
        <w:footnoteRef/>
      </w:r>
      <w:r>
        <w:t xml:space="preserve"> </w:t>
      </w:r>
      <w:r w:rsidR="006C17D3">
        <w:rPr>
          <w:i/>
          <w:iCs/>
        </w:rPr>
        <w:t>See 2016 Order</w:t>
      </w:r>
      <w:r w:rsidR="006C17D3">
        <w:t xml:space="preserve">, 31 FCC Rcd at </w:t>
      </w:r>
      <w:r w:rsidR="009007B5">
        <w:t>3990-91,</w:t>
      </w:r>
      <w:r w:rsidR="001D24BF">
        <w:t xml:space="preserve"> para.</w:t>
      </w:r>
      <w:r w:rsidR="00AF689D">
        <w:t xml:space="preserve"> 77</w:t>
      </w:r>
      <w:r w:rsidR="001D24BF">
        <w:t>.</w:t>
      </w:r>
    </w:p>
  </w:footnote>
  <w:footnote w:id="47">
    <w:p w:rsidR="001C36F5" w:rsidP="00B058ED" w14:paraId="5B2301E9" w14:textId="6B5714B6">
      <w:pPr>
        <w:pStyle w:val="FootnoteText"/>
      </w:pPr>
      <w:r>
        <w:rPr>
          <w:rStyle w:val="FootnoteReference"/>
        </w:rPr>
        <w:footnoteRef/>
      </w:r>
      <w:r>
        <w:t xml:space="preserve"> </w:t>
      </w:r>
      <w:r w:rsidR="005A3049">
        <w:rPr>
          <w:i/>
          <w:iCs/>
        </w:rPr>
        <w:t xml:space="preserve">See </w:t>
      </w:r>
      <w:r w:rsidR="008F34C0">
        <w:rPr>
          <w:i/>
          <w:iCs/>
        </w:rPr>
        <w:t xml:space="preserve">id. </w:t>
      </w:r>
      <w:r w:rsidR="005A3049">
        <w:t>at 3994, para. 91.</w:t>
      </w:r>
    </w:p>
  </w:footnote>
  <w:footnote w:id="48">
    <w:p w:rsidR="001C36F5" w:rsidP="00B058ED" w14:paraId="690D24B4" w14:textId="06C2853A">
      <w:pPr>
        <w:pStyle w:val="FootnoteText"/>
      </w:pPr>
      <w:r w:rsidRPr="009C3109">
        <w:rPr>
          <w:rStyle w:val="FootnoteReference"/>
        </w:rPr>
        <w:footnoteRef/>
      </w:r>
      <w:r>
        <w:t xml:space="preserve"> </w:t>
      </w:r>
      <w:r w:rsidR="008F34C0">
        <w:rPr>
          <w:i/>
          <w:iCs/>
        </w:rPr>
        <w:t>Id.</w:t>
      </w:r>
      <w:r w:rsidRPr="009C3109">
        <w:t xml:space="preserve"> at 3988, para. 69.</w:t>
      </w:r>
    </w:p>
  </w:footnote>
  <w:footnote w:id="49">
    <w:p w:rsidR="001C36F5" w:rsidP="00B058ED" w14:paraId="3845FE29" w14:textId="77777777">
      <w:pPr>
        <w:pStyle w:val="FootnoteText"/>
      </w:pPr>
      <w:r w:rsidRPr="009C3109">
        <w:rPr>
          <w:rStyle w:val="FootnoteReference"/>
        </w:rPr>
        <w:footnoteRef/>
      </w:r>
      <w:r w:rsidRPr="009C3109">
        <w:t xml:space="preserve"> </w:t>
      </w:r>
      <w:r w:rsidRPr="009C3109">
        <w:rPr>
          <w:i/>
          <w:iCs/>
        </w:rPr>
        <w:t>Id.</w:t>
      </w:r>
      <w:r w:rsidRPr="009C3109">
        <w:t xml:space="preserve"> at 3988, para. 70 (quoting 47 U.S.C. § 254(c)(1)(B)).</w:t>
      </w:r>
    </w:p>
  </w:footnote>
  <w:footnote w:id="50">
    <w:p w:rsidR="001C36F5" w:rsidRPr="008F34C0" w:rsidP="00B058ED" w14:paraId="70342C87" w14:textId="5A414064">
      <w:pPr>
        <w:pStyle w:val="FootnoteText"/>
      </w:pPr>
      <w:r>
        <w:rPr>
          <w:rStyle w:val="FootnoteReference"/>
        </w:rPr>
        <w:footnoteRef/>
      </w:r>
      <w:r>
        <w:t xml:space="preserve"> </w:t>
      </w:r>
      <w:r w:rsidRPr="00FB00D1">
        <w:rPr>
          <w:i/>
          <w:iCs/>
        </w:rPr>
        <w:t>2020 Waiver Order</w:t>
      </w:r>
      <w:r w:rsidR="008F34C0">
        <w:rPr>
          <w:i/>
          <w:iCs/>
        </w:rPr>
        <w:t xml:space="preserve"> </w:t>
      </w:r>
      <w:r w:rsidR="008F34C0">
        <w:t>at para. 20.</w:t>
      </w:r>
    </w:p>
  </w:footnote>
  <w:footnote w:id="51">
    <w:p w:rsidR="001C36F5" w:rsidRPr="008F34C0" w:rsidP="00B058ED" w14:paraId="1C9D3BBE" w14:textId="6F7DC654">
      <w:pPr>
        <w:pStyle w:val="FootnoteText"/>
      </w:pPr>
      <w:r>
        <w:rPr>
          <w:rStyle w:val="FootnoteReference"/>
        </w:rPr>
        <w:footnoteRef/>
      </w:r>
      <w:r>
        <w:t xml:space="preserve"> </w:t>
      </w:r>
      <w:r w:rsidR="008F34C0">
        <w:rPr>
          <w:i/>
          <w:iCs/>
        </w:rPr>
        <w:t xml:space="preserve">Id. </w:t>
      </w:r>
      <w:r w:rsidR="008F34C0">
        <w:t>at 12.</w:t>
      </w:r>
    </w:p>
  </w:footnote>
  <w:footnote w:id="52">
    <w:p w:rsidR="00923922" w:rsidRPr="00923922" w14:paraId="0BAB2FE3" w14:textId="5BA11B74">
      <w:pPr>
        <w:pStyle w:val="FootnoteText"/>
      </w:pPr>
      <w:r w:rsidRPr="00FB00D1">
        <w:rPr>
          <w:rStyle w:val="FootnoteReference"/>
        </w:rPr>
        <w:footnoteRef/>
      </w:r>
      <w:r w:rsidRPr="00FB00D1">
        <w:t xml:space="preserve"> </w:t>
      </w:r>
      <w:r w:rsidRPr="00FB00D1">
        <w:rPr>
          <w:i/>
          <w:iCs/>
        </w:rPr>
        <w:t xml:space="preserve">See </w:t>
      </w:r>
      <w:r w:rsidRPr="00FB00D1" w:rsidR="008F34C0">
        <w:rPr>
          <w:i/>
          <w:iCs/>
        </w:rPr>
        <w:t>id.</w:t>
      </w:r>
      <w:r w:rsidRPr="00FB00D1" w:rsidR="008F34C0">
        <w:t xml:space="preserve"> at</w:t>
      </w:r>
      <w:r w:rsidRPr="00FB00D1">
        <w:t xml:space="preserve"> para. 16-19</w:t>
      </w:r>
    </w:p>
  </w:footnote>
  <w:footnote w:id="53">
    <w:p w:rsidR="00995F70" w:rsidRPr="00FB00D1" w14:paraId="2FB783CB" w14:textId="4B22B0A7">
      <w:pPr>
        <w:pStyle w:val="FootnoteText"/>
        <w:rPr>
          <w:i/>
          <w:iCs/>
        </w:rPr>
      </w:pPr>
      <w:r>
        <w:rPr>
          <w:rStyle w:val="FootnoteReference"/>
        </w:rPr>
        <w:footnoteRef/>
      </w:r>
      <w:r>
        <w:t xml:space="preserve"> </w:t>
      </w:r>
      <w:r>
        <w:rPr>
          <w:i/>
          <w:iCs/>
        </w:rPr>
        <w:t>See 2020 Waiver Order</w:t>
      </w:r>
      <w:r>
        <w:t xml:space="preserve"> at para. 16 (citing Letter from Michele K. Thomas, Vice President, Regulatory, T-Mobile, to Marlene H. Dortch, Secretary, FCC, WC Docket No. 11-42 (filed Nov. 16, 2020)</w:t>
      </w:r>
      <w:r w:rsidR="00CD6079">
        <w:t>.</w:t>
      </w:r>
    </w:p>
  </w:footnote>
  <w:footnote w:id="54">
    <w:p w:rsidR="004D25FC" w:rsidRPr="00C7273B" w14:paraId="4CB65BF2" w14:textId="4EA7147F">
      <w:pPr>
        <w:pStyle w:val="FootnoteText"/>
      </w:pPr>
      <w:r w:rsidRPr="00FB00D1">
        <w:rPr>
          <w:rStyle w:val="FootnoteReference"/>
        </w:rPr>
        <w:footnoteRef/>
      </w:r>
      <w:r w:rsidRPr="00FB00D1">
        <w:t xml:space="preserve"> </w:t>
      </w:r>
      <w:r w:rsidRPr="00FB00D1" w:rsidR="00C7273B">
        <w:rPr>
          <w:i/>
          <w:iCs/>
        </w:rPr>
        <w:t xml:space="preserve">See </w:t>
      </w:r>
      <w:r w:rsidRPr="00FB00D1" w:rsidR="008F34C0">
        <w:rPr>
          <w:i/>
          <w:iCs/>
        </w:rPr>
        <w:t>id.</w:t>
      </w:r>
      <w:r w:rsidRPr="00FB00D1" w:rsidR="008F34C0">
        <w:t xml:space="preserve"> at</w:t>
      </w:r>
      <w:r w:rsidRPr="00FB00D1" w:rsidR="00C7273B">
        <w:t xml:space="preserve"> para. </w:t>
      </w:r>
      <w:r w:rsidRPr="00FB00D1" w:rsidR="00696C82">
        <w:t>17</w:t>
      </w:r>
      <w:r w:rsidRPr="00FB00D1" w:rsidR="00471687">
        <w:t xml:space="preserve"> (citing </w:t>
      </w:r>
      <w:r w:rsidRPr="00401D3D" w:rsidR="00471687">
        <w:rPr>
          <w:i/>
          <w:iCs/>
        </w:rPr>
        <w:t>2018 Communications Marketplace Repo</w:t>
      </w:r>
      <w:r w:rsidRPr="00401D3D" w:rsidR="00471687">
        <w:t>rt, 33 FCC Rcd at 12570-77, paras. 14-22</w:t>
      </w:r>
      <w:r w:rsidR="00471687">
        <w:t>)</w:t>
      </w:r>
      <w:r w:rsidRPr="00FB00D1" w:rsidR="00696C82">
        <w:t>.</w:t>
      </w:r>
    </w:p>
  </w:footnote>
  <w:footnote w:id="55">
    <w:p w:rsidR="001C36F5" w:rsidP="00B058ED" w14:paraId="5709B5DF" w14:textId="77777777">
      <w:pPr>
        <w:pStyle w:val="FootnoteText"/>
      </w:pPr>
      <w:r>
        <w:rPr>
          <w:rStyle w:val="FootnoteReference"/>
        </w:rPr>
        <w:footnoteRef/>
      </w:r>
      <w:r>
        <w:t xml:space="preserve"> </w:t>
      </w:r>
      <w:r w:rsidR="00543F14">
        <w:rPr>
          <w:i/>
          <w:iCs/>
        </w:rPr>
        <w:t xml:space="preserve">See </w:t>
      </w:r>
      <w:r w:rsidRPr="00543F14" w:rsidR="00543F14">
        <w:t xml:space="preserve">47 U.S.C. </w:t>
      </w:r>
      <w:r w:rsidR="00DC4D77">
        <w:t>§</w:t>
      </w:r>
      <w:r w:rsidRPr="00543F14" w:rsidR="00543F14">
        <w:t xml:space="preserve"> 254(</w:t>
      </w:r>
      <w:r w:rsidR="00DC4D77">
        <w:t xml:space="preserve">b), </w:t>
      </w:r>
      <w:r w:rsidRPr="00543F14" w:rsidR="00543F14">
        <w:t>(c)(1).</w:t>
      </w:r>
    </w:p>
  </w:footnote>
  <w:footnote w:id="56">
    <w:p w:rsidR="00B940C4" w14:paraId="321A73A8" w14:textId="7C415B19">
      <w:pPr>
        <w:pStyle w:val="FootnoteText"/>
      </w:pPr>
      <w:r>
        <w:rPr>
          <w:rStyle w:val="FootnoteReference"/>
        </w:rPr>
        <w:footnoteRef/>
      </w:r>
      <w:r>
        <w:t xml:space="preserve"> </w:t>
      </w:r>
      <w:r w:rsidRPr="00A2267E">
        <w:rPr>
          <w:i/>
          <w:iCs/>
        </w:rPr>
        <w:t>Communications Marketplace Report et al.</w:t>
      </w:r>
      <w:r w:rsidRPr="00B940C4">
        <w:t xml:space="preserve">, </w:t>
      </w:r>
      <w:r w:rsidRPr="00B940C4">
        <w:t>GN</w:t>
      </w:r>
      <w:r w:rsidRPr="00B940C4">
        <w:t xml:space="preserve"> Docket No. 18-23 et al., Report, 33 FCC Rcd 12558, 12568-69, para. 12, Fig. A-8 (2018) (2018 Communications Marketplace Report).</w:t>
      </w:r>
    </w:p>
  </w:footnote>
  <w:footnote w:id="57">
    <w:p w:rsidR="001C36F5" w:rsidP="00B058ED" w14:paraId="2A9321A7" w14:textId="3CAE32DE">
      <w:pPr>
        <w:pStyle w:val="FootnoteText"/>
      </w:pPr>
      <w:r>
        <w:rPr>
          <w:rStyle w:val="FootnoteReference"/>
        </w:rPr>
        <w:footnoteRef/>
      </w:r>
      <w:r>
        <w:t xml:space="preserve"> </w:t>
      </w:r>
      <w:r w:rsidRPr="00F9531D" w:rsidR="00F9531D">
        <w:t xml:space="preserve"> </w:t>
      </w:r>
      <w:r w:rsidRPr="00A2267E" w:rsidR="00F9531D">
        <w:rPr>
          <w:i/>
          <w:iCs/>
        </w:rPr>
        <w:t>FCC Releases Certain Data Updated as of December 31, 2018 for the Communications Marketplace Report</w:t>
      </w:r>
      <w:r w:rsidRPr="00F9531D" w:rsidR="00F9531D">
        <w:t>, Public Notice, 36 FCC Rcd 1479 (rel. Feb. 20, 2020); FCC, Mobile Wireless Data Usage Updates, https://us-fcc.box.com/s/k8xxnlzw9qjjtui3maik3pxzr1vv16of.</w:t>
      </w:r>
    </w:p>
  </w:footnote>
  <w:footnote w:id="58">
    <w:p w:rsidR="001C36F5" w:rsidP="00B058ED" w14:paraId="697EBDE3" w14:textId="77777777">
      <w:pPr>
        <w:pStyle w:val="FootnoteText"/>
      </w:pPr>
      <w:r>
        <w:rPr>
          <w:rStyle w:val="FootnoteReference"/>
        </w:rPr>
        <w:footnoteRef/>
      </w:r>
      <w:r>
        <w:t xml:space="preserve"> </w:t>
      </w:r>
      <w:r>
        <w:rPr>
          <w:i/>
          <w:iCs/>
        </w:rPr>
        <w:t xml:space="preserve">See </w:t>
      </w:r>
      <w:r w:rsidRPr="00F7578B">
        <w:rPr>
          <w:i/>
          <w:iCs/>
        </w:rPr>
        <w:t>2016 Order</w:t>
      </w:r>
      <w:r w:rsidRPr="00F7578B">
        <w:t>, 31 FCC Rcd at 4000, para. 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AE402E" w14:textId="65329FC2">
    <w:pPr>
      <w:pStyle w:val="Header"/>
      <w:rPr>
        <w:b w:val="0"/>
      </w:rPr>
    </w:pPr>
    <w:r>
      <w:tab/>
      <w:t>Federal Communications Commission</w:t>
    </w:r>
    <w:r>
      <w:tab/>
    </w:r>
    <w:r w:rsidR="002A6CD1">
      <w:t>DA 20-1359</w:t>
    </w:r>
  </w:p>
  <w:p w:rsidR="00D25FB5" w14:paraId="28E0F3B0" w14:textId="682FA4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58F16B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B03554" w14:textId="71CFDFF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2A6CD1">
      <w:rPr>
        <w:spacing w:val="-2"/>
      </w:rPr>
      <w:t>DA 20-1359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7D"/>
    <w:rsid w:val="00002390"/>
    <w:rsid w:val="00003518"/>
    <w:rsid w:val="00003A9B"/>
    <w:rsid w:val="00003AD8"/>
    <w:rsid w:val="0000535A"/>
    <w:rsid w:val="0000616F"/>
    <w:rsid w:val="000061CD"/>
    <w:rsid w:val="00006FCB"/>
    <w:rsid w:val="0000752B"/>
    <w:rsid w:val="00007581"/>
    <w:rsid w:val="00010053"/>
    <w:rsid w:val="000112E0"/>
    <w:rsid w:val="00013824"/>
    <w:rsid w:val="00014117"/>
    <w:rsid w:val="00014212"/>
    <w:rsid w:val="00016B85"/>
    <w:rsid w:val="0001796D"/>
    <w:rsid w:val="00020D63"/>
    <w:rsid w:val="00021702"/>
    <w:rsid w:val="00021B91"/>
    <w:rsid w:val="0002212F"/>
    <w:rsid w:val="00023A12"/>
    <w:rsid w:val="000247E8"/>
    <w:rsid w:val="000253D8"/>
    <w:rsid w:val="0002589E"/>
    <w:rsid w:val="00025909"/>
    <w:rsid w:val="00026210"/>
    <w:rsid w:val="0002710D"/>
    <w:rsid w:val="000304C8"/>
    <w:rsid w:val="00030D42"/>
    <w:rsid w:val="00030F75"/>
    <w:rsid w:val="00032328"/>
    <w:rsid w:val="00034AD4"/>
    <w:rsid w:val="00035BF5"/>
    <w:rsid w:val="00036039"/>
    <w:rsid w:val="00037F90"/>
    <w:rsid w:val="00040026"/>
    <w:rsid w:val="000402E0"/>
    <w:rsid w:val="000459A9"/>
    <w:rsid w:val="00046C5B"/>
    <w:rsid w:val="00047724"/>
    <w:rsid w:val="0005063C"/>
    <w:rsid w:val="00051031"/>
    <w:rsid w:val="00051134"/>
    <w:rsid w:val="0005113C"/>
    <w:rsid w:val="00051FB0"/>
    <w:rsid w:val="000546DE"/>
    <w:rsid w:val="0005603B"/>
    <w:rsid w:val="000566D3"/>
    <w:rsid w:val="00056A1B"/>
    <w:rsid w:val="00056BF4"/>
    <w:rsid w:val="00057797"/>
    <w:rsid w:val="0005784B"/>
    <w:rsid w:val="00060357"/>
    <w:rsid w:val="00063ED6"/>
    <w:rsid w:val="000644E2"/>
    <w:rsid w:val="00071032"/>
    <w:rsid w:val="00072AF8"/>
    <w:rsid w:val="00074541"/>
    <w:rsid w:val="0007623E"/>
    <w:rsid w:val="000768CD"/>
    <w:rsid w:val="00077CE3"/>
    <w:rsid w:val="00084E54"/>
    <w:rsid w:val="00086EC2"/>
    <w:rsid w:val="000872D5"/>
    <w:rsid w:val="000875BF"/>
    <w:rsid w:val="0009010D"/>
    <w:rsid w:val="00090408"/>
    <w:rsid w:val="00090C91"/>
    <w:rsid w:val="00091F31"/>
    <w:rsid w:val="00091F6A"/>
    <w:rsid w:val="0009364E"/>
    <w:rsid w:val="000938A7"/>
    <w:rsid w:val="00095C04"/>
    <w:rsid w:val="00095EAC"/>
    <w:rsid w:val="00096CEC"/>
    <w:rsid w:val="00096D8C"/>
    <w:rsid w:val="000973F2"/>
    <w:rsid w:val="000A182D"/>
    <w:rsid w:val="000A1DEA"/>
    <w:rsid w:val="000A2274"/>
    <w:rsid w:val="000A2EFD"/>
    <w:rsid w:val="000A3455"/>
    <w:rsid w:val="000A408D"/>
    <w:rsid w:val="000A593D"/>
    <w:rsid w:val="000A5E83"/>
    <w:rsid w:val="000A64BD"/>
    <w:rsid w:val="000B09D3"/>
    <w:rsid w:val="000B0ED7"/>
    <w:rsid w:val="000B1CE5"/>
    <w:rsid w:val="000B29F5"/>
    <w:rsid w:val="000B340F"/>
    <w:rsid w:val="000B4231"/>
    <w:rsid w:val="000B470F"/>
    <w:rsid w:val="000B6143"/>
    <w:rsid w:val="000B6319"/>
    <w:rsid w:val="000B674E"/>
    <w:rsid w:val="000C07F4"/>
    <w:rsid w:val="000C0B65"/>
    <w:rsid w:val="000C0BDF"/>
    <w:rsid w:val="000C1293"/>
    <w:rsid w:val="000C43D1"/>
    <w:rsid w:val="000C66F4"/>
    <w:rsid w:val="000C735F"/>
    <w:rsid w:val="000C7BDB"/>
    <w:rsid w:val="000D062E"/>
    <w:rsid w:val="000D0D2B"/>
    <w:rsid w:val="000D1F07"/>
    <w:rsid w:val="000D255E"/>
    <w:rsid w:val="000D3D71"/>
    <w:rsid w:val="000D6985"/>
    <w:rsid w:val="000D753B"/>
    <w:rsid w:val="000E05FE"/>
    <w:rsid w:val="000E094D"/>
    <w:rsid w:val="000E12DE"/>
    <w:rsid w:val="000E2E85"/>
    <w:rsid w:val="000E2FE8"/>
    <w:rsid w:val="000E3D42"/>
    <w:rsid w:val="000E4FE8"/>
    <w:rsid w:val="000E6BDB"/>
    <w:rsid w:val="000F06E1"/>
    <w:rsid w:val="000F099E"/>
    <w:rsid w:val="000F2146"/>
    <w:rsid w:val="000F31B4"/>
    <w:rsid w:val="000F3709"/>
    <w:rsid w:val="000F40E8"/>
    <w:rsid w:val="000F517A"/>
    <w:rsid w:val="000F5488"/>
    <w:rsid w:val="000F64D1"/>
    <w:rsid w:val="00100CFE"/>
    <w:rsid w:val="001011F9"/>
    <w:rsid w:val="001013BC"/>
    <w:rsid w:val="001014B8"/>
    <w:rsid w:val="00101510"/>
    <w:rsid w:val="00102756"/>
    <w:rsid w:val="00103B8B"/>
    <w:rsid w:val="0010494E"/>
    <w:rsid w:val="001066B4"/>
    <w:rsid w:val="00106F4E"/>
    <w:rsid w:val="00112B7D"/>
    <w:rsid w:val="00114057"/>
    <w:rsid w:val="0011494E"/>
    <w:rsid w:val="001158C8"/>
    <w:rsid w:val="00115B87"/>
    <w:rsid w:val="00117990"/>
    <w:rsid w:val="001218DB"/>
    <w:rsid w:val="00122BD5"/>
    <w:rsid w:val="0012333C"/>
    <w:rsid w:val="001234E8"/>
    <w:rsid w:val="001236D1"/>
    <w:rsid w:val="00124D45"/>
    <w:rsid w:val="0012625C"/>
    <w:rsid w:val="001309C7"/>
    <w:rsid w:val="00131FA9"/>
    <w:rsid w:val="001325F3"/>
    <w:rsid w:val="001333C8"/>
    <w:rsid w:val="00133F79"/>
    <w:rsid w:val="001358DB"/>
    <w:rsid w:val="00135DDD"/>
    <w:rsid w:val="00136209"/>
    <w:rsid w:val="00136A71"/>
    <w:rsid w:val="00140C36"/>
    <w:rsid w:val="00140D41"/>
    <w:rsid w:val="001428A3"/>
    <w:rsid w:val="00142C59"/>
    <w:rsid w:val="00142C94"/>
    <w:rsid w:val="00143623"/>
    <w:rsid w:val="001462D1"/>
    <w:rsid w:val="001473A8"/>
    <w:rsid w:val="00147A42"/>
    <w:rsid w:val="0015003F"/>
    <w:rsid w:val="00150D1A"/>
    <w:rsid w:val="0015150D"/>
    <w:rsid w:val="001522B6"/>
    <w:rsid w:val="001528FD"/>
    <w:rsid w:val="001543EF"/>
    <w:rsid w:val="00154F0C"/>
    <w:rsid w:val="00155C09"/>
    <w:rsid w:val="00156DED"/>
    <w:rsid w:val="00157734"/>
    <w:rsid w:val="00160144"/>
    <w:rsid w:val="00160931"/>
    <w:rsid w:val="001609C7"/>
    <w:rsid w:val="00160A34"/>
    <w:rsid w:val="00160B7E"/>
    <w:rsid w:val="00161B48"/>
    <w:rsid w:val="001650E9"/>
    <w:rsid w:val="0017007B"/>
    <w:rsid w:val="001711FF"/>
    <w:rsid w:val="00171765"/>
    <w:rsid w:val="001718CE"/>
    <w:rsid w:val="00171F6B"/>
    <w:rsid w:val="00172299"/>
    <w:rsid w:val="00173065"/>
    <w:rsid w:val="001738B4"/>
    <w:rsid w:val="001745EA"/>
    <w:rsid w:val="00174623"/>
    <w:rsid w:val="00174ED8"/>
    <w:rsid w:val="00175682"/>
    <w:rsid w:val="00175C95"/>
    <w:rsid w:val="00176C48"/>
    <w:rsid w:val="00177FD3"/>
    <w:rsid w:val="00181264"/>
    <w:rsid w:val="001833A5"/>
    <w:rsid w:val="001834F3"/>
    <w:rsid w:val="00183989"/>
    <w:rsid w:val="001843AA"/>
    <w:rsid w:val="00184CF4"/>
    <w:rsid w:val="0018654F"/>
    <w:rsid w:val="00187339"/>
    <w:rsid w:val="00192478"/>
    <w:rsid w:val="00192531"/>
    <w:rsid w:val="001926C6"/>
    <w:rsid w:val="00194A66"/>
    <w:rsid w:val="001A0773"/>
    <w:rsid w:val="001A0B63"/>
    <w:rsid w:val="001A0EAF"/>
    <w:rsid w:val="001A1C8B"/>
    <w:rsid w:val="001A2412"/>
    <w:rsid w:val="001A3466"/>
    <w:rsid w:val="001A46B6"/>
    <w:rsid w:val="001A4911"/>
    <w:rsid w:val="001A4A59"/>
    <w:rsid w:val="001A4B38"/>
    <w:rsid w:val="001A516C"/>
    <w:rsid w:val="001A5483"/>
    <w:rsid w:val="001A55B3"/>
    <w:rsid w:val="001A6968"/>
    <w:rsid w:val="001B013A"/>
    <w:rsid w:val="001B0AE3"/>
    <w:rsid w:val="001B1825"/>
    <w:rsid w:val="001B2E07"/>
    <w:rsid w:val="001B32C2"/>
    <w:rsid w:val="001B381E"/>
    <w:rsid w:val="001C023A"/>
    <w:rsid w:val="001C23CA"/>
    <w:rsid w:val="001C36F5"/>
    <w:rsid w:val="001C3CC7"/>
    <w:rsid w:val="001C4161"/>
    <w:rsid w:val="001C5FC8"/>
    <w:rsid w:val="001C6C53"/>
    <w:rsid w:val="001C769E"/>
    <w:rsid w:val="001D2252"/>
    <w:rsid w:val="001D23FC"/>
    <w:rsid w:val="001D24BF"/>
    <w:rsid w:val="001D4DC7"/>
    <w:rsid w:val="001D5907"/>
    <w:rsid w:val="001D661F"/>
    <w:rsid w:val="001D6824"/>
    <w:rsid w:val="001D6BCF"/>
    <w:rsid w:val="001E01CA"/>
    <w:rsid w:val="001E193D"/>
    <w:rsid w:val="001E50CF"/>
    <w:rsid w:val="001E78E9"/>
    <w:rsid w:val="001E7B5B"/>
    <w:rsid w:val="001F066B"/>
    <w:rsid w:val="001F0E54"/>
    <w:rsid w:val="001F1206"/>
    <w:rsid w:val="001F2886"/>
    <w:rsid w:val="001F3092"/>
    <w:rsid w:val="001F518C"/>
    <w:rsid w:val="001F5BA7"/>
    <w:rsid w:val="001F6166"/>
    <w:rsid w:val="001F721B"/>
    <w:rsid w:val="001F753B"/>
    <w:rsid w:val="001F7CD9"/>
    <w:rsid w:val="00200F36"/>
    <w:rsid w:val="0020104A"/>
    <w:rsid w:val="00201593"/>
    <w:rsid w:val="00202688"/>
    <w:rsid w:val="00202F7D"/>
    <w:rsid w:val="002042B5"/>
    <w:rsid w:val="002045A8"/>
    <w:rsid w:val="002046ED"/>
    <w:rsid w:val="00204956"/>
    <w:rsid w:val="00204A63"/>
    <w:rsid w:val="00204B13"/>
    <w:rsid w:val="002057CE"/>
    <w:rsid w:val="00206151"/>
    <w:rsid w:val="002069C2"/>
    <w:rsid w:val="0020797D"/>
    <w:rsid w:val="00210E6C"/>
    <w:rsid w:val="0021109F"/>
    <w:rsid w:val="002126AA"/>
    <w:rsid w:val="0021333B"/>
    <w:rsid w:val="002161D0"/>
    <w:rsid w:val="002177D0"/>
    <w:rsid w:val="00220C2E"/>
    <w:rsid w:val="00221411"/>
    <w:rsid w:val="00222C6E"/>
    <w:rsid w:val="0022315D"/>
    <w:rsid w:val="00223B3E"/>
    <w:rsid w:val="00223CBD"/>
    <w:rsid w:val="00223D36"/>
    <w:rsid w:val="00223E45"/>
    <w:rsid w:val="00225965"/>
    <w:rsid w:val="00226467"/>
    <w:rsid w:val="002273DA"/>
    <w:rsid w:val="002300E9"/>
    <w:rsid w:val="002338BF"/>
    <w:rsid w:val="0023479F"/>
    <w:rsid w:val="00235396"/>
    <w:rsid w:val="002378A2"/>
    <w:rsid w:val="00240115"/>
    <w:rsid w:val="00242397"/>
    <w:rsid w:val="00242B5D"/>
    <w:rsid w:val="00244893"/>
    <w:rsid w:val="0024537F"/>
    <w:rsid w:val="00245422"/>
    <w:rsid w:val="002460AF"/>
    <w:rsid w:val="002478B2"/>
    <w:rsid w:val="00247F92"/>
    <w:rsid w:val="0025055D"/>
    <w:rsid w:val="00250BF7"/>
    <w:rsid w:val="00251AC2"/>
    <w:rsid w:val="00251E96"/>
    <w:rsid w:val="00252D91"/>
    <w:rsid w:val="00253643"/>
    <w:rsid w:val="0025561E"/>
    <w:rsid w:val="00255CC3"/>
    <w:rsid w:val="002579AA"/>
    <w:rsid w:val="00260B2A"/>
    <w:rsid w:val="00261F9F"/>
    <w:rsid w:val="00264B04"/>
    <w:rsid w:val="00264E53"/>
    <w:rsid w:val="00265AE7"/>
    <w:rsid w:val="00266E2A"/>
    <w:rsid w:val="00270858"/>
    <w:rsid w:val="00271934"/>
    <w:rsid w:val="00273916"/>
    <w:rsid w:val="00275CF5"/>
    <w:rsid w:val="002768B7"/>
    <w:rsid w:val="00276F80"/>
    <w:rsid w:val="00277611"/>
    <w:rsid w:val="00277967"/>
    <w:rsid w:val="0028079F"/>
    <w:rsid w:val="00280A5F"/>
    <w:rsid w:val="002814BE"/>
    <w:rsid w:val="00281A38"/>
    <w:rsid w:val="0028301F"/>
    <w:rsid w:val="00284202"/>
    <w:rsid w:val="00285017"/>
    <w:rsid w:val="00286077"/>
    <w:rsid w:val="0029359C"/>
    <w:rsid w:val="00293E48"/>
    <w:rsid w:val="002941FD"/>
    <w:rsid w:val="00295933"/>
    <w:rsid w:val="002969A9"/>
    <w:rsid w:val="00296C94"/>
    <w:rsid w:val="0029744E"/>
    <w:rsid w:val="002A0AA5"/>
    <w:rsid w:val="002A11D9"/>
    <w:rsid w:val="002A2D2E"/>
    <w:rsid w:val="002A339B"/>
    <w:rsid w:val="002A5629"/>
    <w:rsid w:val="002A591E"/>
    <w:rsid w:val="002A691D"/>
    <w:rsid w:val="002A6CD1"/>
    <w:rsid w:val="002B2580"/>
    <w:rsid w:val="002B362F"/>
    <w:rsid w:val="002B58A1"/>
    <w:rsid w:val="002B759D"/>
    <w:rsid w:val="002C00E8"/>
    <w:rsid w:val="002C026B"/>
    <w:rsid w:val="002C0279"/>
    <w:rsid w:val="002C08CD"/>
    <w:rsid w:val="002C08DE"/>
    <w:rsid w:val="002C1281"/>
    <w:rsid w:val="002C1F8A"/>
    <w:rsid w:val="002C3096"/>
    <w:rsid w:val="002C45F0"/>
    <w:rsid w:val="002C469F"/>
    <w:rsid w:val="002C5B91"/>
    <w:rsid w:val="002C6303"/>
    <w:rsid w:val="002C759A"/>
    <w:rsid w:val="002D0897"/>
    <w:rsid w:val="002D3158"/>
    <w:rsid w:val="002D538D"/>
    <w:rsid w:val="002D7B0E"/>
    <w:rsid w:val="002D7D7A"/>
    <w:rsid w:val="002D7ED3"/>
    <w:rsid w:val="002E143F"/>
    <w:rsid w:val="002E1E16"/>
    <w:rsid w:val="002E320F"/>
    <w:rsid w:val="002E47F1"/>
    <w:rsid w:val="002E48DA"/>
    <w:rsid w:val="002E60CC"/>
    <w:rsid w:val="002E6841"/>
    <w:rsid w:val="002F0C58"/>
    <w:rsid w:val="002F2E40"/>
    <w:rsid w:val="002F55A7"/>
    <w:rsid w:val="002F7C06"/>
    <w:rsid w:val="00303EC8"/>
    <w:rsid w:val="00305D2B"/>
    <w:rsid w:val="0030768C"/>
    <w:rsid w:val="00310FD7"/>
    <w:rsid w:val="00312FB6"/>
    <w:rsid w:val="003130DA"/>
    <w:rsid w:val="003135E4"/>
    <w:rsid w:val="00313C7A"/>
    <w:rsid w:val="00314A12"/>
    <w:rsid w:val="00315C7D"/>
    <w:rsid w:val="00317FD1"/>
    <w:rsid w:val="00320761"/>
    <w:rsid w:val="00320B8C"/>
    <w:rsid w:val="00320BA9"/>
    <w:rsid w:val="003219DE"/>
    <w:rsid w:val="00322B9E"/>
    <w:rsid w:val="00323E33"/>
    <w:rsid w:val="003245CD"/>
    <w:rsid w:val="00324D8F"/>
    <w:rsid w:val="00325227"/>
    <w:rsid w:val="00325FCB"/>
    <w:rsid w:val="00330679"/>
    <w:rsid w:val="003307B4"/>
    <w:rsid w:val="003325EC"/>
    <w:rsid w:val="0033310A"/>
    <w:rsid w:val="0033527B"/>
    <w:rsid w:val="003405DA"/>
    <w:rsid w:val="00340DA2"/>
    <w:rsid w:val="00343749"/>
    <w:rsid w:val="00343DC3"/>
    <w:rsid w:val="00344081"/>
    <w:rsid w:val="00346010"/>
    <w:rsid w:val="00350210"/>
    <w:rsid w:val="00350FC2"/>
    <w:rsid w:val="00351201"/>
    <w:rsid w:val="00352973"/>
    <w:rsid w:val="0035338A"/>
    <w:rsid w:val="00356030"/>
    <w:rsid w:val="00356064"/>
    <w:rsid w:val="0035728F"/>
    <w:rsid w:val="00361A49"/>
    <w:rsid w:val="00361FE6"/>
    <w:rsid w:val="003634D9"/>
    <w:rsid w:val="003642BE"/>
    <w:rsid w:val="003649E7"/>
    <w:rsid w:val="003650D8"/>
    <w:rsid w:val="003660ED"/>
    <w:rsid w:val="0037047D"/>
    <w:rsid w:val="00371750"/>
    <w:rsid w:val="00373501"/>
    <w:rsid w:val="003735BE"/>
    <w:rsid w:val="00373723"/>
    <w:rsid w:val="003741A0"/>
    <w:rsid w:val="00375B14"/>
    <w:rsid w:val="003772ED"/>
    <w:rsid w:val="00380542"/>
    <w:rsid w:val="00380DA1"/>
    <w:rsid w:val="00381066"/>
    <w:rsid w:val="00384070"/>
    <w:rsid w:val="00384DFC"/>
    <w:rsid w:val="00385A21"/>
    <w:rsid w:val="0038660B"/>
    <w:rsid w:val="00387A72"/>
    <w:rsid w:val="00394F94"/>
    <w:rsid w:val="00395417"/>
    <w:rsid w:val="00396659"/>
    <w:rsid w:val="0039719A"/>
    <w:rsid w:val="003A064F"/>
    <w:rsid w:val="003A1241"/>
    <w:rsid w:val="003A1814"/>
    <w:rsid w:val="003A1CF7"/>
    <w:rsid w:val="003A2276"/>
    <w:rsid w:val="003A2A10"/>
    <w:rsid w:val="003A3F95"/>
    <w:rsid w:val="003A5875"/>
    <w:rsid w:val="003A5EF6"/>
    <w:rsid w:val="003A5F16"/>
    <w:rsid w:val="003A5F3A"/>
    <w:rsid w:val="003A6D50"/>
    <w:rsid w:val="003A785A"/>
    <w:rsid w:val="003A788A"/>
    <w:rsid w:val="003B0550"/>
    <w:rsid w:val="003B1C4F"/>
    <w:rsid w:val="003B2778"/>
    <w:rsid w:val="003B3973"/>
    <w:rsid w:val="003B486A"/>
    <w:rsid w:val="003B4D47"/>
    <w:rsid w:val="003B6448"/>
    <w:rsid w:val="003B694F"/>
    <w:rsid w:val="003C0200"/>
    <w:rsid w:val="003C111F"/>
    <w:rsid w:val="003C1AA8"/>
    <w:rsid w:val="003C49F8"/>
    <w:rsid w:val="003C54E6"/>
    <w:rsid w:val="003C6930"/>
    <w:rsid w:val="003C6AA4"/>
    <w:rsid w:val="003C6ADF"/>
    <w:rsid w:val="003C7628"/>
    <w:rsid w:val="003D1517"/>
    <w:rsid w:val="003D1685"/>
    <w:rsid w:val="003D415D"/>
    <w:rsid w:val="003D5D01"/>
    <w:rsid w:val="003D69DD"/>
    <w:rsid w:val="003E13EB"/>
    <w:rsid w:val="003E1ADE"/>
    <w:rsid w:val="003E37FA"/>
    <w:rsid w:val="003E3DFF"/>
    <w:rsid w:val="003E635D"/>
    <w:rsid w:val="003F0123"/>
    <w:rsid w:val="003F0F00"/>
    <w:rsid w:val="003F171C"/>
    <w:rsid w:val="003F1C93"/>
    <w:rsid w:val="003F32EA"/>
    <w:rsid w:val="003F376A"/>
    <w:rsid w:val="003F407C"/>
    <w:rsid w:val="003F5CE6"/>
    <w:rsid w:val="003F5FD9"/>
    <w:rsid w:val="003F6930"/>
    <w:rsid w:val="003F7A9B"/>
    <w:rsid w:val="00401D3D"/>
    <w:rsid w:val="004036CC"/>
    <w:rsid w:val="00405760"/>
    <w:rsid w:val="00411663"/>
    <w:rsid w:val="00411C6B"/>
    <w:rsid w:val="0041206D"/>
    <w:rsid w:val="00412194"/>
    <w:rsid w:val="00412FC5"/>
    <w:rsid w:val="00414B97"/>
    <w:rsid w:val="00414F55"/>
    <w:rsid w:val="00415415"/>
    <w:rsid w:val="00416C22"/>
    <w:rsid w:val="00417334"/>
    <w:rsid w:val="00420BF9"/>
    <w:rsid w:val="00421FDE"/>
    <w:rsid w:val="00422276"/>
    <w:rsid w:val="00422877"/>
    <w:rsid w:val="004240F1"/>
    <w:rsid w:val="004242F1"/>
    <w:rsid w:val="0042795F"/>
    <w:rsid w:val="004317D3"/>
    <w:rsid w:val="00433406"/>
    <w:rsid w:val="00433541"/>
    <w:rsid w:val="00436FDA"/>
    <w:rsid w:val="00437942"/>
    <w:rsid w:val="0044038D"/>
    <w:rsid w:val="00440D2D"/>
    <w:rsid w:val="0044397C"/>
    <w:rsid w:val="004444D0"/>
    <w:rsid w:val="00445A00"/>
    <w:rsid w:val="00445F7E"/>
    <w:rsid w:val="00451639"/>
    <w:rsid w:val="00451B0F"/>
    <w:rsid w:val="00452CB6"/>
    <w:rsid w:val="0045386B"/>
    <w:rsid w:val="00453A97"/>
    <w:rsid w:val="00453D90"/>
    <w:rsid w:val="0045579A"/>
    <w:rsid w:val="00456278"/>
    <w:rsid w:val="004573B3"/>
    <w:rsid w:val="00457BA4"/>
    <w:rsid w:val="00461119"/>
    <w:rsid w:val="00465619"/>
    <w:rsid w:val="00465F00"/>
    <w:rsid w:val="0046709C"/>
    <w:rsid w:val="004671CA"/>
    <w:rsid w:val="004672F9"/>
    <w:rsid w:val="0046741F"/>
    <w:rsid w:val="004702A8"/>
    <w:rsid w:val="00471687"/>
    <w:rsid w:val="00471DFD"/>
    <w:rsid w:val="004721DB"/>
    <w:rsid w:val="00473D69"/>
    <w:rsid w:val="004754AC"/>
    <w:rsid w:val="00476D30"/>
    <w:rsid w:val="00477D81"/>
    <w:rsid w:val="00480753"/>
    <w:rsid w:val="00481EB9"/>
    <w:rsid w:val="004825B9"/>
    <w:rsid w:val="004871D4"/>
    <w:rsid w:val="00492B4D"/>
    <w:rsid w:val="00495086"/>
    <w:rsid w:val="00495F41"/>
    <w:rsid w:val="00496464"/>
    <w:rsid w:val="004967C3"/>
    <w:rsid w:val="00497967"/>
    <w:rsid w:val="004A050F"/>
    <w:rsid w:val="004A0539"/>
    <w:rsid w:val="004A0C70"/>
    <w:rsid w:val="004A1B91"/>
    <w:rsid w:val="004A300C"/>
    <w:rsid w:val="004A4C2B"/>
    <w:rsid w:val="004A4CC8"/>
    <w:rsid w:val="004A5BD4"/>
    <w:rsid w:val="004A5D3A"/>
    <w:rsid w:val="004A5E50"/>
    <w:rsid w:val="004A61B5"/>
    <w:rsid w:val="004A68ED"/>
    <w:rsid w:val="004A6950"/>
    <w:rsid w:val="004A7723"/>
    <w:rsid w:val="004B1B76"/>
    <w:rsid w:val="004B2F6D"/>
    <w:rsid w:val="004B3D48"/>
    <w:rsid w:val="004B4350"/>
    <w:rsid w:val="004B4F5E"/>
    <w:rsid w:val="004B53F3"/>
    <w:rsid w:val="004B5E68"/>
    <w:rsid w:val="004B5EE7"/>
    <w:rsid w:val="004C03DC"/>
    <w:rsid w:val="004C0EA5"/>
    <w:rsid w:val="004C21E9"/>
    <w:rsid w:val="004C2EE3"/>
    <w:rsid w:val="004C34BF"/>
    <w:rsid w:val="004C3C67"/>
    <w:rsid w:val="004C3CFC"/>
    <w:rsid w:val="004C6214"/>
    <w:rsid w:val="004C644C"/>
    <w:rsid w:val="004C7858"/>
    <w:rsid w:val="004D0473"/>
    <w:rsid w:val="004D0595"/>
    <w:rsid w:val="004D1068"/>
    <w:rsid w:val="004D1131"/>
    <w:rsid w:val="004D20A5"/>
    <w:rsid w:val="004D22DD"/>
    <w:rsid w:val="004D25FC"/>
    <w:rsid w:val="004D3C05"/>
    <w:rsid w:val="004D52A3"/>
    <w:rsid w:val="004D7639"/>
    <w:rsid w:val="004D7A90"/>
    <w:rsid w:val="004E1EBB"/>
    <w:rsid w:val="004E23D9"/>
    <w:rsid w:val="004E412F"/>
    <w:rsid w:val="004E4A22"/>
    <w:rsid w:val="004E6FAF"/>
    <w:rsid w:val="004E7377"/>
    <w:rsid w:val="004E7FC5"/>
    <w:rsid w:val="004F196A"/>
    <w:rsid w:val="004F1AD7"/>
    <w:rsid w:val="004F2447"/>
    <w:rsid w:val="004F2866"/>
    <w:rsid w:val="004F3389"/>
    <w:rsid w:val="004F367C"/>
    <w:rsid w:val="004F3DB7"/>
    <w:rsid w:val="004F4860"/>
    <w:rsid w:val="004F48F4"/>
    <w:rsid w:val="004F656B"/>
    <w:rsid w:val="004F6FC7"/>
    <w:rsid w:val="005031AA"/>
    <w:rsid w:val="005061A3"/>
    <w:rsid w:val="00506E9C"/>
    <w:rsid w:val="00507DF4"/>
    <w:rsid w:val="00511217"/>
    <w:rsid w:val="005116AA"/>
    <w:rsid w:val="00511968"/>
    <w:rsid w:val="00512638"/>
    <w:rsid w:val="00512903"/>
    <w:rsid w:val="00512C7B"/>
    <w:rsid w:val="00513BF2"/>
    <w:rsid w:val="00515354"/>
    <w:rsid w:val="005201B5"/>
    <w:rsid w:val="00520AF2"/>
    <w:rsid w:val="00520BE1"/>
    <w:rsid w:val="00520F97"/>
    <w:rsid w:val="005241CC"/>
    <w:rsid w:val="0052510F"/>
    <w:rsid w:val="005252D9"/>
    <w:rsid w:val="00525AAD"/>
    <w:rsid w:val="00525C94"/>
    <w:rsid w:val="00526AE7"/>
    <w:rsid w:val="00531708"/>
    <w:rsid w:val="00531BA3"/>
    <w:rsid w:val="00531F19"/>
    <w:rsid w:val="00533343"/>
    <w:rsid w:val="00534E92"/>
    <w:rsid w:val="00536FFF"/>
    <w:rsid w:val="00537069"/>
    <w:rsid w:val="005408B1"/>
    <w:rsid w:val="00540F96"/>
    <w:rsid w:val="00541DDC"/>
    <w:rsid w:val="00541FBE"/>
    <w:rsid w:val="0054291A"/>
    <w:rsid w:val="00543F14"/>
    <w:rsid w:val="005451ED"/>
    <w:rsid w:val="005453AF"/>
    <w:rsid w:val="00553762"/>
    <w:rsid w:val="00555C23"/>
    <w:rsid w:val="0055614C"/>
    <w:rsid w:val="0055673E"/>
    <w:rsid w:val="00560C25"/>
    <w:rsid w:val="00563732"/>
    <w:rsid w:val="00566D06"/>
    <w:rsid w:val="00570599"/>
    <w:rsid w:val="0057261D"/>
    <w:rsid w:val="00572672"/>
    <w:rsid w:val="005726E1"/>
    <w:rsid w:val="00572E23"/>
    <w:rsid w:val="00574B02"/>
    <w:rsid w:val="0057509F"/>
    <w:rsid w:val="00575744"/>
    <w:rsid w:val="005766D3"/>
    <w:rsid w:val="0058228F"/>
    <w:rsid w:val="005825EA"/>
    <w:rsid w:val="00584FBA"/>
    <w:rsid w:val="005850D1"/>
    <w:rsid w:val="00587A24"/>
    <w:rsid w:val="00587DA2"/>
    <w:rsid w:val="005901F9"/>
    <w:rsid w:val="00590ECB"/>
    <w:rsid w:val="0059170A"/>
    <w:rsid w:val="00594EAF"/>
    <w:rsid w:val="005956B8"/>
    <w:rsid w:val="00595D5B"/>
    <w:rsid w:val="005A083E"/>
    <w:rsid w:val="005A08B8"/>
    <w:rsid w:val="005A1E26"/>
    <w:rsid w:val="005A3049"/>
    <w:rsid w:val="005A4BC8"/>
    <w:rsid w:val="005A4BFC"/>
    <w:rsid w:val="005A4F6C"/>
    <w:rsid w:val="005A547F"/>
    <w:rsid w:val="005A5617"/>
    <w:rsid w:val="005A6E91"/>
    <w:rsid w:val="005B10BC"/>
    <w:rsid w:val="005B2CDB"/>
    <w:rsid w:val="005B2D75"/>
    <w:rsid w:val="005B37C3"/>
    <w:rsid w:val="005B39B4"/>
    <w:rsid w:val="005B6BE9"/>
    <w:rsid w:val="005B6D3F"/>
    <w:rsid w:val="005B74C3"/>
    <w:rsid w:val="005B7B73"/>
    <w:rsid w:val="005C11F4"/>
    <w:rsid w:val="005C17D4"/>
    <w:rsid w:val="005C19EA"/>
    <w:rsid w:val="005C3296"/>
    <w:rsid w:val="005C3C87"/>
    <w:rsid w:val="005C3EE0"/>
    <w:rsid w:val="005C4DDE"/>
    <w:rsid w:val="005C5B74"/>
    <w:rsid w:val="005C5EB5"/>
    <w:rsid w:val="005C71A2"/>
    <w:rsid w:val="005C7999"/>
    <w:rsid w:val="005C7C46"/>
    <w:rsid w:val="005D0ADA"/>
    <w:rsid w:val="005D2148"/>
    <w:rsid w:val="005D2F8D"/>
    <w:rsid w:val="005D3B4E"/>
    <w:rsid w:val="005D55B8"/>
    <w:rsid w:val="005D5DFD"/>
    <w:rsid w:val="005E1425"/>
    <w:rsid w:val="005E14C2"/>
    <w:rsid w:val="005E1692"/>
    <w:rsid w:val="005E2A63"/>
    <w:rsid w:val="005E30C2"/>
    <w:rsid w:val="005E78E5"/>
    <w:rsid w:val="005E79AE"/>
    <w:rsid w:val="005F0159"/>
    <w:rsid w:val="005F0CD6"/>
    <w:rsid w:val="005F12BC"/>
    <w:rsid w:val="005F1542"/>
    <w:rsid w:val="005F44E4"/>
    <w:rsid w:val="005F60CF"/>
    <w:rsid w:val="005F61C6"/>
    <w:rsid w:val="00600B5F"/>
    <w:rsid w:val="00600E24"/>
    <w:rsid w:val="00600EC4"/>
    <w:rsid w:val="00602AAA"/>
    <w:rsid w:val="00603130"/>
    <w:rsid w:val="006033B3"/>
    <w:rsid w:val="00603E5B"/>
    <w:rsid w:val="00603EDA"/>
    <w:rsid w:val="00604D53"/>
    <w:rsid w:val="006057B2"/>
    <w:rsid w:val="00605D9D"/>
    <w:rsid w:val="00606458"/>
    <w:rsid w:val="0060733D"/>
    <w:rsid w:val="00607440"/>
    <w:rsid w:val="00607BA5"/>
    <w:rsid w:val="00607F7C"/>
    <w:rsid w:val="006105F6"/>
    <w:rsid w:val="00610C87"/>
    <w:rsid w:val="0061180A"/>
    <w:rsid w:val="00611F77"/>
    <w:rsid w:val="006124B7"/>
    <w:rsid w:val="006135E0"/>
    <w:rsid w:val="00613ED0"/>
    <w:rsid w:val="00614912"/>
    <w:rsid w:val="00614B17"/>
    <w:rsid w:val="00614B3B"/>
    <w:rsid w:val="00615CD2"/>
    <w:rsid w:val="00616530"/>
    <w:rsid w:val="00616CAD"/>
    <w:rsid w:val="00616E84"/>
    <w:rsid w:val="00617025"/>
    <w:rsid w:val="00620553"/>
    <w:rsid w:val="006213C0"/>
    <w:rsid w:val="0062317D"/>
    <w:rsid w:val="00625167"/>
    <w:rsid w:val="00625F46"/>
    <w:rsid w:val="00626192"/>
    <w:rsid w:val="00626EB6"/>
    <w:rsid w:val="006300A6"/>
    <w:rsid w:val="006305E0"/>
    <w:rsid w:val="0063297B"/>
    <w:rsid w:val="00634D95"/>
    <w:rsid w:val="0063552B"/>
    <w:rsid w:val="00635CAB"/>
    <w:rsid w:val="00635ED5"/>
    <w:rsid w:val="00637201"/>
    <w:rsid w:val="00637DE3"/>
    <w:rsid w:val="00640C1A"/>
    <w:rsid w:val="00642A30"/>
    <w:rsid w:val="00642ECB"/>
    <w:rsid w:val="00644B38"/>
    <w:rsid w:val="00650731"/>
    <w:rsid w:val="00653596"/>
    <w:rsid w:val="00653E03"/>
    <w:rsid w:val="00655694"/>
    <w:rsid w:val="00655D03"/>
    <w:rsid w:val="00660C7B"/>
    <w:rsid w:val="00662EBF"/>
    <w:rsid w:val="00663622"/>
    <w:rsid w:val="00665102"/>
    <w:rsid w:val="00666C2A"/>
    <w:rsid w:val="00670EF6"/>
    <w:rsid w:val="006734AA"/>
    <w:rsid w:val="00673892"/>
    <w:rsid w:val="00677602"/>
    <w:rsid w:val="00677DFF"/>
    <w:rsid w:val="00681261"/>
    <w:rsid w:val="00681D2E"/>
    <w:rsid w:val="00683388"/>
    <w:rsid w:val="00683B66"/>
    <w:rsid w:val="00683F84"/>
    <w:rsid w:val="00684F5C"/>
    <w:rsid w:val="00684F9B"/>
    <w:rsid w:val="00685AE7"/>
    <w:rsid w:val="00686D7F"/>
    <w:rsid w:val="00686EF9"/>
    <w:rsid w:val="00690346"/>
    <w:rsid w:val="00691CC9"/>
    <w:rsid w:val="00692416"/>
    <w:rsid w:val="00692661"/>
    <w:rsid w:val="0069384B"/>
    <w:rsid w:val="00694C19"/>
    <w:rsid w:val="0069535F"/>
    <w:rsid w:val="00695D73"/>
    <w:rsid w:val="00696C82"/>
    <w:rsid w:val="00697D04"/>
    <w:rsid w:val="00697EE8"/>
    <w:rsid w:val="006A1E07"/>
    <w:rsid w:val="006A1E78"/>
    <w:rsid w:val="006A1E9F"/>
    <w:rsid w:val="006A31CA"/>
    <w:rsid w:val="006A3AD6"/>
    <w:rsid w:val="006A569B"/>
    <w:rsid w:val="006A6A81"/>
    <w:rsid w:val="006A6EB0"/>
    <w:rsid w:val="006A7C3E"/>
    <w:rsid w:val="006B06FC"/>
    <w:rsid w:val="006B126A"/>
    <w:rsid w:val="006B1CC1"/>
    <w:rsid w:val="006B2236"/>
    <w:rsid w:val="006B2D33"/>
    <w:rsid w:val="006B2FCC"/>
    <w:rsid w:val="006B3E9A"/>
    <w:rsid w:val="006B5AC1"/>
    <w:rsid w:val="006B68DC"/>
    <w:rsid w:val="006C087C"/>
    <w:rsid w:val="006C12B4"/>
    <w:rsid w:val="006C17D3"/>
    <w:rsid w:val="006C2067"/>
    <w:rsid w:val="006C2600"/>
    <w:rsid w:val="006C3992"/>
    <w:rsid w:val="006C3C84"/>
    <w:rsid w:val="006C4168"/>
    <w:rsid w:val="006C67C4"/>
    <w:rsid w:val="006C7455"/>
    <w:rsid w:val="006D10E1"/>
    <w:rsid w:val="006D2AEE"/>
    <w:rsid w:val="006D34E0"/>
    <w:rsid w:val="006D3CBF"/>
    <w:rsid w:val="006D3CEF"/>
    <w:rsid w:val="006D724B"/>
    <w:rsid w:val="006D7DB3"/>
    <w:rsid w:val="006E0B86"/>
    <w:rsid w:val="006E3CEC"/>
    <w:rsid w:val="006E495A"/>
    <w:rsid w:val="006E4FDF"/>
    <w:rsid w:val="006E53D7"/>
    <w:rsid w:val="006E5847"/>
    <w:rsid w:val="006E7155"/>
    <w:rsid w:val="006E79E6"/>
    <w:rsid w:val="006F7393"/>
    <w:rsid w:val="00701A49"/>
    <w:rsid w:val="00701FA5"/>
    <w:rsid w:val="0070224F"/>
    <w:rsid w:val="00703363"/>
    <w:rsid w:val="00703BEA"/>
    <w:rsid w:val="00703DB4"/>
    <w:rsid w:val="007046D9"/>
    <w:rsid w:val="00706A8D"/>
    <w:rsid w:val="007103BB"/>
    <w:rsid w:val="00711161"/>
    <w:rsid w:val="007115F7"/>
    <w:rsid w:val="007119DC"/>
    <w:rsid w:val="00712173"/>
    <w:rsid w:val="0071306E"/>
    <w:rsid w:val="00713B42"/>
    <w:rsid w:val="0071411E"/>
    <w:rsid w:val="00714A3F"/>
    <w:rsid w:val="00714CDA"/>
    <w:rsid w:val="00717354"/>
    <w:rsid w:val="007206F0"/>
    <w:rsid w:val="007217D5"/>
    <w:rsid w:val="00721F7B"/>
    <w:rsid w:val="0072207E"/>
    <w:rsid w:val="00724A6E"/>
    <w:rsid w:val="00726DAD"/>
    <w:rsid w:val="00727E7B"/>
    <w:rsid w:val="00730399"/>
    <w:rsid w:val="007313B9"/>
    <w:rsid w:val="00732156"/>
    <w:rsid w:val="007333BD"/>
    <w:rsid w:val="00734539"/>
    <w:rsid w:val="00734D83"/>
    <w:rsid w:val="00734FF4"/>
    <w:rsid w:val="00736DFE"/>
    <w:rsid w:val="00736F2A"/>
    <w:rsid w:val="00737BAC"/>
    <w:rsid w:val="00737BCA"/>
    <w:rsid w:val="007401D2"/>
    <w:rsid w:val="007415FD"/>
    <w:rsid w:val="00741635"/>
    <w:rsid w:val="0074172A"/>
    <w:rsid w:val="00742CD2"/>
    <w:rsid w:val="0074323B"/>
    <w:rsid w:val="007437DF"/>
    <w:rsid w:val="00746B96"/>
    <w:rsid w:val="00747469"/>
    <w:rsid w:val="00752FD5"/>
    <w:rsid w:val="007534F3"/>
    <w:rsid w:val="0075395D"/>
    <w:rsid w:val="007553BB"/>
    <w:rsid w:val="00755468"/>
    <w:rsid w:val="00756536"/>
    <w:rsid w:val="00756CA8"/>
    <w:rsid w:val="0075737D"/>
    <w:rsid w:val="00763340"/>
    <w:rsid w:val="007641F6"/>
    <w:rsid w:val="00764440"/>
    <w:rsid w:val="00765226"/>
    <w:rsid w:val="007661A4"/>
    <w:rsid w:val="00770865"/>
    <w:rsid w:val="007728F6"/>
    <w:rsid w:val="00772D38"/>
    <w:rsid w:val="00772EDF"/>
    <w:rsid w:val="00773227"/>
    <w:rsid w:val="0077413E"/>
    <w:rsid w:val="00774A1C"/>
    <w:rsid w:val="00774FDE"/>
    <w:rsid w:val="00776358"/>
    <w:rsid w:val="007772C1"/>
    <w:rsid w:val="00777D34"/>
    <w:rsid w:val="00780514"/>
    <w:rsid w:val="00781E40"/>
    <w:rsid w:val="00781F77"/>
    <w:rsid w:val="00784F58"/>
    <w:rsid w:val="00785689"/>
    <w:rsid w:val="00786160"/>
    <w:rsid w:val="00786DC6"/>
    <w:rsid w:val="00787B72"/>
    <w:rsid w:val="0079055B"/>
    <w:rsid w:val="0079289B"/>
    <w:rsid w:val="007946E1"/>
    <w:rsid w:val="00794A0A"/>
    <w:rsid w:val="00796576"/>
    <w:rsid w:val="007971BA"/>
    <w:rsid w:val="0079754B"/>
    <w:rsid w:val="007A087B"/>
    <w:rsid w:val="007A1E6D"/>
    <w:rsid w:val="007A2888"/>
    <w:rsid w:val="007A2C69"/>
    <w:rsid w:val="007A3047"/>
    <w:rsid w:val="007A331B"/>
    <w:rsid w:val="007A3DD4"/>
    <w:rsid w:val="007A768A"/>
    <w:rsid w:val="007B0158"/>
    <w:rsid w:val="007B0EB2"/>
    <w:rsid w:val="007B119D"/>
    <w:rsid w:val="007B3E2E"/>
    <w:rsid w:val="007B42C2"/>
    <w:rsid w:val="007B6E5E"/>
    <w:rsid w:val="007B732B"/>
    <w:rsid w:val="007B75F0"/>
    <w:rsid w:val="007B7920"/>
    <w:rsid w:val="007C4B0E"/>
    <w:rsid w:val="007C5C55"/>
    <w:rsid w:val="007C68DF"/>
    <w:rsid w:val="007C7086"/>
    <w:rsid w:val="007C746E"/>
    <w:rsid w:val="007D058D"/>
    <w:rsid w:val="007D20F9"/>
    <w:rsid w:val="007D24A6"/>
    <w:rsid w:val="007D2B8A"/>
    <w:rsid w:val="007D4AE7"/>
    <w:rsid w:val="007D5D1E"/>
    <w:rsid w:val="007D6E6B"/>
    <w:rsid w:val="007D7365"/>
    <w:rsid w:val="007E0472"/>
    <w:rsid w:val="007E1543"/>
    <w:rsid w:val="007E2653"/>
    <w:rsid w:val="007E3A8F"/>
    <w:rsid w:val="007E4490"/>
    <w:rsid w:val="007E68D0"/>
    <w:rsid w:val="007E747D"/>
    <w:rsid w:val="007E7FDF"/>
    <w:rsid w:val="007F0163"/>
    <w:rsid w:val="007F0391"/>
    <w:rsid w:val="007F0C06"/>
    <w:rsid w:val="007F197D"/>
    <w:rsid w:val="007F2894"/>
    <w:rsid w:val="007F2CFD"/>
    <w:rsid w:val="007F39D4"/>
    <w:rsid w:val="007F4D9F"/>
    <w:rsid w:val="00801332"/>
    <w:rsid w:val="00801AAD"/>
    <w:rsid w:val="00803172"/>
    <w:rsid w:val="00803EF9"/>
    <w:rsid w:val="00805297"/>
    <w:rsid w:val="0080533D"/>
    <w:rsid w:val="00805A82"/>
    <w:rsid w:val="00806163"/>
    <w:rsid w:val="00807E52"/>
    <w:rsid w:val="00810B6F"/>
    <w:rsid w:val="00810C77"/>
    <w:rsid w:val="00810EEA"/>
    <w:rsid w:val="00811330"/>
    <w:rsid w:val="00813184"/>
    <w:rsid w:val="00815405"/>
    <w:rsid w:val="00815A74"/>
    <w:rsid w:val="00815C92"/>
    <w:rsid w:val="008165D2"/>
    <w:rsid w:val="00817E75"/>
    <w:rsid w:val="00817F01"/>
    <w:rsid w:val="008200A1"/>
    <w:rsid w:val="008200EB"/>
    <w:rsid w:val="008209C7"/>
    <w:rsid w:val="008211A2"/>
    <w:rsid w:val="00822938"/>
    <w:rsid w:val="00822CE0"/>
    <w:rsid w:val="00822EE7"/>
    <w:rsid w:val="00823049"/>
    <w:rsid w:val="00823538"/>
    <w:rsid w:val="00825C7D"/>
    <w:rsid w:val="00826045"/>
    <w:rsid w:val="00826177"/>
    <w:rsid w:val="008309BB"/>
    <w:rsid w:val="00830FFC"/>
    <w:rsid w:val="008317BE"/>
    <w:rsid w:val="00832CC8"/>
    <w:rsid w:val="00833406"/>
    <w:rsid w:val="00833718"/>
    <w:rsid w:val="008342D9"/>
    <w:rsid w:val="008342F2"/>
    <w:rsid w:val="0083462E"/>
    <w:rsid w:val="008356DD"/>
    <w:rsid w:val="008364D7"/>
    <w:rsid w:val="00836D4B"/>
    <w:rsid w:val="008414F4"/>
    <w:rsid w:val="0084193C"/>
    <w:rsid w:val="00841AB1"/>
    <w:rsid w:val="0084200A"/>
    <w:rsid w:val="00842B77"/>
    <w:rsid w:val="0084470D"/>
    <w:rsid w:val="008453FF"/>
    <w:rsid w:val="0084635E"/>
    <w:rsid w:val="00846474"/>
    <w:rsid w:val="00847A57"/>
    <w:rsid w:val="00850AC0"/>
    <w:rsid w:val="00851065"/>
    <w:rsid w:val="0085141D"/>
    <w:rsid w:val="00851901"/>
    <w:rsid w:val="0085208D"/>
    <w:rsid w:val="0085233D"/>
    <w:rsid w:val="00853112"/>
    <w:rsid w:val="008553BB"/>
    <w:rsid w:val="0085594F"/>
    <w:rsid w:val="00856AA8"/>
    <w:rsid w:val="00857B6A"/>
    <w:rsid w:val="0086143C"/>
    <w:rsid w:val="008620E7"/>
    <w:rsid w:val="00862E52"/>
    <w:rsid w:val="008667A3"/>
    <w:rsid w:val="00866AAF"/>
    <w:rsid w:val="00866DC9"/>
    <w:rsid w:val="00871164"/>
    <w:rsid w:val="0087189D"/>
    <w:rsid w:val="00872D48"/>
    <w:rsid w:val="0087372A"/>
    <w:rsid w:val="00873F36"/>
    <w:rsid w:val="00873F94"/>
    <w:rsid w:val="00875C45"/>
    <w:rsid w:val="00876522"/>
    <w:rsid w:val="00876E49"/>
    <w:rsid w:val="00881B10"/>
    <w:rsid w:val="0088460D"/>
    <w:rsid w:val="00884BD6"/>
    <w:rsid w:val="00884EA7"/>
    <w:rsid w:val="0088633C"/>
    <w:rsid w:val="008930F0"/>
    <w:rsid w:val="00893E74"/>
    <w:rsid w:val="00894BA7"/>
    <w:rsid w:val="008A0203"/>
    <w:rsid w:val="008A0C8A"/>
    <w:rsid w:val="008A1284"/>
    <w:rsid w:val="008A4196"/>
    <w:rsid w:val="008A4862"/>
    <w:rsid w:val="008A587C"/>
    <w:rsid w:val="008A6230"/>
    <w:rsid w:val="008A6EC6"/>
    <w:rsid w:val="008B0C9D"/>
    <w:rsid w:val="008B198A"/>
    <w:rsid w:val="008B3004"/>
    <w:rsid w:val="008B41EE"/>
    <w:rsid w:val="008B44E1"/>
    <w:rsid w:val="008B4FEB"/>
    <w:rsid w:val="008B6993"/>
    <w:rsid w:val="008B6FEF"/>
    <w:rsid w:val="008B733A"/>
    <w:rsid w:val="008C1632"/>
    <w:rsid w:val="008C1C32"/>
    <w:rsid w:val="008C1C79"/>
    <w:rsid w:val="008C2327"/>
    <w:rsid w:val="008C2EC4"/>
    <w:rsid w:val="008C3C5E"/>
    <w:rsid w:val="008C4C07"/>
    <w:rsid w:val="008C4FDC"/>
    <w:rsid w:val="008C52D6"/>
    <w:rsid w:val="008C54BA"/>
    <w:rsid w:val="008C68DC"/>
    <w:rsid w:val="008C68F1"/>
    <w:rsid w:val="008C7D48"/>
    <w:rsid w:val="008D0508"/>
    <w:rsid w:val="008D0637"/>
    <w:rsid w:val="008D0D52"/>
    <w:rsid w:val="008D104B"/>
    <w:rsid w:val="008D1E9C"/>
    <w:rsid w:val="008D2C6D"/>
    <w:rsid w:val="008D31A2"/>
    <w:rsid w:val="008D57B8"/>
    <w:rsid w:val="008D6678"/>
    <w:rsid w:val="008D7AA8"/>
    <w:rsid w:val="008E10D6"/>
    <w:rsid w:val="008E147D"/>
    <w:rsid w:val="008E3AF5"/>
    <w:rsid w:val="008E4573"/>
    <w:rsid w:val="008E4ECE"/>
    <w:rsid w:val="008E50BC"/>
    <w:rsid w:val="008E54A6"/>
    <w:rsid w:val="008E5B3D"/>
    <w:rsid w:val="008E5E53"/>
    <w:rsid w:val="008E5F3C"/>
    <w:rsid w:val="008E6818"/>
    <w:rsid w:val="008E6EE8"/>
    <w:rsid w:val="008E77E5"/>
    <w:rsid w:val="008F0967"/>
    <w:rsid w:val="008F099A"/>
    <w:rsid w:val="008F0AB0"/>
    <w:rsid w:val="008F194D"/>
    <w:rsid w:val="008F1CF7"/>
    <w:rsid w:val="008F251D"/>
    <w:rsid w:val="008F34C0"/>
    <w:rsid w:val="008F416C"/>
    <w:rsid w:val="008F5F71"/>
    <w:rsid w:val="009001A0"/>
    <w:rsid w:val="0090026E"/>
    <w:rsid w:val="009007B5"/>
    <w:rsid w:val="009009BF"/>
    <w:rsid w:val="009017BE"/>
    <w:rsid w:val="00902BF8"/>
    <w:rsid w:val="00904813"/>
    <w:rsid w:val="00905B74"/>
    <w:rsid w:val="00906329"/>
    <w:rsid w:val="0091089B"/>
    <w:rsid w:val="00912F5B"/>
    <w:rsid w:val="0091406F"/>
    <w:rsid w:val="009168FF"/>
    <w:rsid w:val="00917CD3"/>
    <w:rsid w:val="00920784"/>
    <w:rsid w:val="00921803"/>
    <w:rsid w:val="00923922"/>
    <w:rsid w:val="00925639"/>
    <w:rsid w:val="0092585B"/>
    <w:rsid w:val="00926503"/>
    <w:rsid w:val="009271E1"/>
    <w:rsid w:val="009273E3"/>
    <w:rsid w:val="009316C5"/>
    <w:rsid w:val="00932403"/>
    <w:rsid w:val="0093278F"/>
    <w:rsid w:val="00937CB9"/>
    <w:rsid w:val="00940719"/>
    <w:rsid w:val="00941821"/>
    <w:rsid w:val="00942FFC"/>
    <w:rsid w:val="00943620"/>
    <w:rsid w:val="00944DBB"/>
    <w:rsid w:val="00946055"/>
    <w:rsid w:val="00947E1C"/>
    <w:rsid w:val="00950750"/>
    <w:rsid w:val="009522A7"/>
    <w:rsid w:val="00952EA3"/>
    <w:rsid w:val="00953258"/>
    <w:rsid w:val="009546C1"/>
    <w:rsid w:val="0095622C"/>
    <w:rsid w:val="0096007A"/>
    <w:rsid w:val="00960F04"/>
    <w:rsid w:val="0096129D"/>
    <w:rsid w:val="00964F17"/>
    <w:rsid w:val="00967518"/>
    <w:rsid w:val="00970DC5"/>
    <w:rsid w:val="009726D8"/>
    <w:rsid w:val="009731C9"/>
    <w:rsid w:val="00973B2C"/>
    <w:rsid w:val="00974B00"/>
    <w:rsid w:val="00974E6A"/>
    <w:rsid w:val="00976245"/>
    <w:rsid w:val="00976820"/>
    <w:rsid w:val="00976CB7"/>
    <w:rsid w:val="00977015"/>
    <w:rsid w:val="00980A73"/>
    <w:rsid w:val="00981301"/>
    <w:rsid w:val="00981C05"/>
    <w:rsid w:val="00983985"/>
    <w:rsid w:val="009857CF"/>
    <w:rsid w:val="00990286"/>
    <w:rsid w:val="0099091A"/>
    <w:rsid w:val="00990CE6"/>
    <w:rsid w:val="00991C01"/>
    <w:rsid w:val="00992F5F"/>
    <w:rsid w:val="0099357B"/>
    <w:rsid w:val="00993BC2"/>
    <w:rsid w:val="00994D03"/>
    <w:rsid w:val="009950CF"/>
    <w:rsid w:val="009956C4"/>
    <w:rsid w:val="00995F70"/>
    <w:rsid w:val="009A195E"/>
    <w:rsid w:val="009A2A16"/>
    <w:rsid w:val="009A2CC8"/>
    <w:rsid w:val="009A41A7"/>
    <w:rsid w:val="009A4B15"/>
    <w:rsid w:val="009A5447"/>
    <w:rsid w:val="009A59C5"/>
    <w:rsid w:val="009A652E"/>
    <w:rsid w:val="009A717E"/>
    <w:rsid w:val="009A76E3"/>
    <w:rsid w:val="009A78CE"/>
    <w:rsid w:val="009A7965"/>
    <w:rsid w:val="009B0046"/>
    <w:rsid w:val="009B00EA"/>
    <w:rsid w:val="009B12E8"/>
    <w:rsid w:val="009B2F9F"/>
    <w:rsid w:val="009B325C"/>
    <w:rsid w:val="009B3C41"/>
    <w:rsid w:val="009B51A1"/>
    <w:rsid w:val="009B6BD5"/>
    <w:rsid w:val="009B71E0"/>
    <w:rsid w:val="009C18A0"/>
    <w:rsid w:val="009C1D6C"/>
    <w:rsid w:val="009C283D"/>
    <w:rsid w:val="009C3109"/>
    <w:rsid w:val="009C45E5"/>
    <w:rsid w:val="009C5C24"/>
    <w:rsid w:val="009C631C"/>
    <w:rsid w:val="009C7804"/>
    <w:rsid w:val="009C7A51"/>
    <w:rsid w:val="009D0474"/>
    <w:rsid w:val="009D12D3"/>
    <w:rsid w:val="009D34B8"/>
    <w:rsid w:val="009D3E6A"/>
    <w:rsid w:val="009D4C44"/>
    <w:rsid w:val="009D656A"/>
    <w:rsid w:val="009D65D0"/>
    <w:rsid w:val="009D72B2"/>
    <w:rsid w:val="009D7308"/>
    <w:rsid w:val="009E157F"/>
    <w:rsid w:val="009E1F9C"/>
    <w:rsid w:val="009E256B"/>
    <w:rsid w:val="009E3E00"/>
    <w:rsid w:val="009E4667"/>
    <w:rsid w:val="009E4993"/>
    <w:rsid w:val="009E6190"/>
    <w:rsid w:val="009E667D"/>
    <w:rsid w:val="009E6EC1"/>
    <w:rsid w:val="009F01D5"/>
    <w:rsid w:val="009F0273"/>
    <w:rsid w:val="009F373F"/>
    <w:rsid w:val="009F378F"/>
    <w:rsid w:val="009F75C7"/>
    <w:rsid w:val="009F76DB"/>
    <w:rsid w:val="009F7D4C"/>
    <w:rsid w:val="00A000B2"/>
    <w:rsid w:val="00A015E6"/>
    <w:rsid w:val="00A032E3"/>
    <w:rsid w:val="00A054B5"/>
    <w:rsid w:val="00A05C25"/>
    <w:rsid w:val="00A068FF"/>
    <w:rsid w:val="00A102B4"/>
    <w:rsid w:val="00A12731"/>
    <w:rsid w:val="00A13A12"/>
    <w:rsid w:val="00A13AE2"/>
    <w:rsid w:val="00A13BBB"/>
    <w:rsid w:val="00A13BF4"/>
    <w:rsid w:val="00A14347"/>
    <w:rsid w:val="00A1551C"/>
    <w:rsid w:val="00A15A38"/>
    <w:rsid w:val="00A15F1F"/>
    <w:rsid w:val="00A169ED"/>
    <w:rsid w:val="00A17263"/>
    <w:rsid w:val="00A20BE5"/>
    <w:rsid w:val="00A2267E"/>
    <w:rsid w:val="00A22C4E"/>
    <w:rsid w:val="00A2317F"/>
    <w:rsid w:val="00A24D14"/>
    <w:rsid w:val="00A25128"/>
    <w:rsid w:val="00A302C9"/>
    <w:rsid w:val="00A307E8"/>
    <w:rsid w:val="00A30850"/>
    <w:rsid w:val="00A310D8"/>
    <w:rsid w:val="00A31246"/>
    <w:rsid w:val="00A3235F"/>
    <w:rsid w:val="00A32C3B"/>
    <w:rsid w:val="00A33404"/>
    <w:rsid w:val="00A344A0"/>
    <w:rsid w:val="00A36F51"/>
    <w:rsid w:val="00A418D2"/>
    <w:rsid w:val="00A4194D"/>
    <w:rsid w:val="00A45F4F"/>
    <w:rsid w:val="00A4733F"/>
    <w:rsid w:val="00A47DDC"/>
    <w:rsid w:val="00A521EA"/>
    <w:rsid w:val="00A531D0"/>
    <w:rsid w:val="00A53CD1"/>
    <w:rsid w:val="00A54C46"/>
    <w:rsid w:val="00A55D29"/>
    <w:rsid w:val="00A55EF1"/>
    <w:rsid w:val="00A56B8F"/>
    <w:rsid w:val="00A600A9"/>
    <w:rsid w:val="00A615DE"/>
    <w:rsid w:val="00A62785"/>
    <w:rsid w:val="00A64BD2"/>
    <w:rsid w:val="00A675F9"/>
    <w:rsid w:val="00A718ED"/>
    <w:rsid w:val="00A738F5"/>
    <w:rsid w:val="00A7486D"/>
    <w:rsid w:val="00A757F7"/>
    <w:rsid w:val="00A75BA1"/>
    <w:rsid w:val="00A77088"/>
    <w:rsid w:val="00A80149"/>
    <w:rsid w:val="00A813C3"/>
    <w:rsid w:val="00A81691"/>
    <w:rsid w:val="00A81C08"/>
    <w:rsid w:val="00A83011"/>
    <w:rsid w:val="00A866D4"/>
    <w:rsid w:val="00A866D9"/>
    <w:rsid w:val="00A86AF8"/>
    <w:rsid w:val="00A87634"/>
    <w:rsid w:val="00A91500"/>
    <w:rsid w:val="00A91853"/>
    <w:rsid w:val="00A922DD"/>
    <w:rsid w:val="00A955C8"/>
    <w:rsid w:val="00A96429"/>
    <w:rsid w:val="00A97FAB"/>
    <w:rsid w:val="00AA0FAB"/>
    <w:rsid w:val="00AA1836"/>
    <w:rsid w:val="00AA202D"/>
    <w:rsid w:val="00AA231D"/>
    <w:rsid w:val="00AA38E1"/>
    <w:rsid w:val="00AA3BD3"/>
    <w:rsid w:val="00AA517B"/>
    <w:rsid w:val="00AA55B7"/>
    <w:rsid w:val="00AA5B9E"/>
    <w:rsid w:val="00AA654D"/>
    <w:rsid w:val="00AB07E4"/>
    <w:rsid w:val="00AB0C4E"/>
    <w:rsid w:val="00AB1489"/>
    <w:rsid w:val="00AB1660"/>
    <w:rsid w:val="00AB1F6D"/>
    <w:rsid w:val="00AB2407"/>
    <w:rsid w:val="00AB3243"/>
    <w:rsid w:val="00AB53DF"/>
    <w:rsid w:val="00AB5730"/>
    <w:rsid w:val="00AB6346"/>
    <w:rsid w:val="00AB63F1"/>
    <w:rsid w:val="00AB6439"/>
    <w:rsid w:val="00AC03F8"/>
    <w:rsid w:val="00AC0A1A"/>
    <w:rsid w:val="00AC152F"/>
    <w:rsid w:val="00AC1C2C"/>
    <w:rsid w:val="00AC245F"/>
    <w:rsid w:val="00AC3761"/>
    <w:rsid w:val="00AC6FEB"/>
    <w:rsid w:val="00AD0625"/>
    <w:rsid w:val="00AD0640"/>
    <w:rsid w:val="00AD19B0"/>
    <w:rsid w:val="00AD2AAF"/>
    <w:rsid w:val="00AD2FA4"/>
    <w:rsid w:val="00AD3626"/>
    <w:rsid w:val="00AD3D24"/>
    <w:rsid w:val="00AD57C2"/>
    <w:rsid w:val="00AD6FD7"/>
    <w:rsid w:val="00AE1C8F"/>
    <w:rsid w:val="00AE397C"/>
    <w:rsid w:val="00AE419C"/>
    <w:rsid w:val="00AE694D"/>
    <w:rsid w:val="00AF02C1"/>
    <w:rsid w:val="00AF0EF4"/>
    <w:rsid w:val="00AF1C7F"/>
    <w:rsid w:val="00AF1CAF"/>
    <w:rsid w:val="00AF1ED5"/>
    <w:rsid w:val="00AF22DA"/>
    <w:rsid w:val="00AF3043"/>
    <w:rsid w:val="00AF3ABA"/>
    <w:rsid w:val="00AF4711"/>
    <w:rsid w:val="00AF4AE5"/>
    <w:rsid w:val="00AF689D"/>
    <w:rsid w:val="00AF7930"/>
    <w:rsid w:val="00AF7A88"/>
    <w:rsid w:val="00AF7E6D"/>
    <w:rsid w:val="00B0035B"/>
    <w:rsid w:val="00B00FA5"/>
    <w:rsid w:val="00B011A5"/>
    <w:rsid w:val="00B02670"/>
    <w:rsid w:val="00B058ED"/>
    <w:rsid w:val="00B06225"/>
    <w:rsid w:val="00B06832"/>
    <w:rsid w:val="00B06E4A"/>
    <w:rsid w:val="00B074D7"/>
    <w:rsid w:val="00B075EB"/>
    <w:rsid w:val="00B07E5C"/>
    <w:rsid w:val="00B10AB2"/>
    <w:rsid w:val="00B10F6D"/>
    <w:rsid w:val="00B123DB"/>
    <w:rsid w:val="00B12C72"/>
    <w:rsid w:val="00B13F9C"/>
    <w:rsid w:val="00B148EF"/>
    <w:rsid w:val="00B165D3"/>
    <w:rsid w:val="00B166DB"/>
    <w:rsid w:val="00B1741D"/>
    <w:rsid w:val="00B17A24"/>
    <w:rsid w:val="00B201DC"/>
    <w:rsid w:val="00B2229A"/>
    <w:rsid w:val="00B31481"/>
    <w:rsid w:val="00B32364"/>
    <w:rsid w:val="00B32D5D"/>
    <w:rsid w:val="00B32EF6"/>
    <w:rsid w:val="00B33982"/>
    <w:rsid w:val="00B33B63"/>
    <w:rsid w:val="00B36320"/>
    <w:rsid w:val="00B36497"/>
    <w:rsid w:val="00B400B7"/>
    <w:rsid w:val="00B406E0"/>
    <w:rsid w:val="00B41769"/>
    <w:rsid w:val="00B417A2"/>
    <w:rsid w:val="00B43922"/>
    <w:rsid w:val="00B43FAF"/>
    <w:rsid w:val="00B45B65"/>
    <w:rsid w:val="00B47568"/>
    <w:rsid w:val="00B51094"/>
    <w:rsid w:val="00B522E8"/>
    <w:rsid w:val="00B52B9D"/>
    <w:rsid w:val="00B55875"/>
    <w:rsid w:val="00B57877"/>
    <w:rsid w:val="00B60268"/>
    <w:rsid w:val="00B60D9D"/>
    <w:rsid w:val="00B60F86"/>
    <w:rsid w:val="00B62F48"/>
    <w:rsid w:val="00B664CC"/>
    <w:rsid w:val="00B66A35"/>
    <w:rsid w:val="00B67696"/>
    <w:rsid w:val="00B705A8"/>
    <w:rsid w:val="00B7159E"/>
    <w:rsid w:val="00B72772"/>
    <w:rsid w:val="00B74974"/>
    <w:rsid w:val="00B7562F"/>
    <w:rsid w:val="00B75AF8"/>
    <w:rsid w:val="00B7685C"/>
    <w:rsid w:val="00B801F5"/>
    <w:rsid w:val="00B8064E"/>
    <w:rsid w:val="00B80A1B"/>
    <w:rsid w:val="00B811F7"/>
    <w:rsid w:val="00B81B8B"/>
    <w:rsid w:val="00B8262D"/>
    <w:rsid w:val="00B85815"/>
    <w:rsid w:val="00B87233"/>
    <w:rsid w:val="00B903ED"/>
    <w:rsid w:val="00B90455"/>
    <w:rsid w:val="00B93726"/>
    <w:rsid w:val="00B93C7A"/>
    <w:rsid w:val="00B940C4"/>
    <w:rsid w:val="00B9543F"/>
    <w:rsid w:val="00B975BB"/>
    <w:rsid w:val="00BA02E8"/>
    <w:rsid w:val="00BA05AD"/>
    <w:rsid w:val="00BA1D5E"/>
    <w:rsid w:val="00BA5DC6"/>
    <w:rsid w:val="00BA6196"/>
    <w:rsid w:val="00BA78C4"/>
    <w:rsid w:val="00BB0D71"/>
    <w:rsid w:val="00BB1524"/>
    <w:rsid w:val="00BB4C19"/>
    <w:rsid w:val="00BB51C2"/>
    <w:rsid w:val="00BB5494"/>
    <w:rsid w:val="00BB642A"/>
    <w:rsid w:val="00BB66DA"/>
    <w:rsid w:val="00BC0A00"/>
    <w:rsid w:val="00BC0AEC"/>
    <w:rsid w:val="00BC1317"/>
    <w:rsid w:val="00BC14E1"/>
    <w:rsid w:val="00BC37B3"/>
    <w:rsid w:val="00BC54D4"/>
    <w:rsid w:val="00BC56A7"/>
    <w:rsid w:val="00BC6D8C"/>
    <w:rsid w:val="00BC791D"/>
    <w:rsid w:val="00BD08E9"/>
    <w:rsid w:val="00BD18F3"/>
    <w:rsid w:val="00BD1DA5"/>
    <w:rsid w:val="00BD281B"/>
    <w:rsid w:val="00BD2A3C"/>
    <w:rsid w:val="00BD3070"/>
    <w:rsid w:val="00BD3132"/>
    <w:rsid w:val="00BD3330"/>
    <w:rsid w:val="00BD3C06"/>
    <w:rsid w:val="00BD3EBE"/>
    <w:rsid w:val="00BD6318"/>
    <w:rsid w:val="00BD7E39"/>
    <w:rsid w:val="00BE01FA"/>
    <w:rsid w:val="00BE040D"/>
    <w:rsid w:val="00BE0DEB"/>
    <w:rsid w:val="00BE5BC2"/>
    <w:rsid w:val="00BF2559"/>
    <w:rsid w:val="00BF3657"/>
    <w:rsid w:val="00BF3782"/>
    <w:rsid w:val="00BF3F5D"/>
    <w:rsid w:val="00BF4A9E"/>
    <w:rsid w:val="00BF75AF"/>
    <w:rsid w:val="00BF76A5"/>
    <w:rsid w:val="00C00E01"/>
    <w:rsid w:val="00C01726"/>
    <w:rsid w:val="00C02296"/>
    <w:rsid w:val="00C0638B"/>
    <w:rsid w:val="00C067F9"/>
    <w:rsid w:val="00C12418"/>
    <w:rsid w:val="00C1605E"/>
    <w:rsid w:val="00C2148D"/>
    <w:rsid w:val="00C2194E"/>
    <w:rsid w:val="00C24708"/>
    <w:rsid w:val="00C25635"/>
    <w:rsid w:val="00C25852"/>
    <w:rsid w:val="00C2776C"/>
    <w:rsid w:val="00C30E40"/>
    <w:rsid w:val="00C31537"/>
    <w:rsid w:val="00C31A81"/>
    <w:rsid w:val="00C32414"/>
    <w:rsid w:val="00C32855"/>
    <w:rsid w:val="00C34006"/>
    <w:rsid w:val="00C343F2"/>
    <w:rsid w:val="00C348C8"/>
    <w:rsid w:val="00C34974"/>
    <w:rsid w:val="00C34B63"/>
    <w:rsid w:val="00C35C4F"/>
    <w:rsid w:val="00C35F51"/>
    <w:rsid w:val="00C36B4C"/>
    <w:rsid w:val="00C41FE2"/>
    <w:rsid w:val="00C426B1"/>
    <w:rsid w:val="00C42838"/>
    <w:rsid w:val="00C43ECC"/>
    <w:rsid w:val="00C45160"/>
    <w:rsid w:val="00C45E85"/>
    <w:rsid w:val="00C461A1"/>
    <w:rsid w:val="00C47277"/>
    <w:rsid w:val="00C478D0"/>
    <w:rsid w:val="00C5025F"/>
    <w:rsid w:val="00C5312B"/>
    <w:rsid w:val="00C53DAA"/>
    <w:rsid w:val="00C540CF"/>
    <w:rsid w:val="00C54F9C"/>
    <w:rsid w:val="00C55D2A"/>
    <w:rsid w:val="00C60E55"/>
    <w:rsid w:val="00C61EDB"/>
    <w:rsid w:val="00C631CC"/>
    <w:rsid w:val="00C63B08"/>
    <w:rsid w:val="00C6444A"/>
    <w:rsid w:val="00C64600"/>
    <w:rsid w:val="00C64EDF"/>
    <w:rsid w:val="00C655B5"/>
    <w:rsid w:val="00C6614E"/>
    <w:rsid w:val="00C66160"/>
    <w:rsid w:val="00C670AE"/>
    <w:rsid w:val="00C70A78"/>
    <w:rsid w:val="00C70E75"/>
    <w:rsid w:val="00C70F79"/>
    <w:rsid w:val="00C7199B"/>
    <w:rsid w:val="00C71CC7"/>
    <w:rsid w:val="00C71F64"/>
    <w:rsid w:val="00C721AC"/>
    <w:rsid w:val="00C7273B"/>
    <w:rsid w:val="00C73FB4"/>
    <w:rsid w:val="00C74927"/>
    <w:rsid w:val="00C76049"/>
    <w:rsid w:val="00C76806"/>
    <w:rsid w:val="00C77141"/>
    <w:rsid w:val="00C77918"/>
    <w:rsid w:val="00C86413"/>
    <w:rsid w:val="00C87D1B"/>
    <w:rsid w:val="00C90D6A"/>
    <w:rsid w:val="00C90ECA"/>
    <w:rsid w:val="00C918F6"/>
    <w:rsid w:val="00C91BC1"/>
    <w:rsid w:val="00C920F8"/>
    <w:rsid w:val="00C924E7"/>
    <w:rsid w:val="00C931F6"/>
    <w:rsid w:val="00C93215"/>
    <w:rsid w:val="00C96CD3"/>
    <w:rsid w:val="00C9766F"/>
    <w:rsid w:val="00CA0282"/>
    <w:rsid w:val="00CA1FDD"/>
    <w:rsid w:val="00CA247E"/>
    <w:rsid w:val="00CA2B42"/>
    <w:rsid w:val="00CA2D09"/>
    <w:rsid w:val="00CA5293"/>
    <w:rsid w:val="00CA6051"/>
    <w:rsid w:val="00CA67A6"/>
    <w:rsid w:val="00CA6A77"/>
    <w:rsid w:val="00CA6D21"/>
    <w:rsid w:val="00CA6E2C"/>
    <w:rsid w:val="00CB0EDE"/>
    <w:rsid w:val="00CB2311"/>
    <w:rsid w:val="00CB378F"/>
    <w:rsid w:val="00CB4924"/>
    <w:rsid w:val="00CB726A"/>
    <w:rsid w:val="00CC235B"/>
    <w:rsid w:val="00CC3276"/>
    <w:rsid w:val="00CC3AC1"/>
    <w:rsid w:val="00CC3BD3"/>
    <w:rsid w:val="00CC72B6"/>
    <w:rsid w:val="00CC74EC"/>
    <w:rsid w:val="00CD1E3A"/>
    <w:rsid w:val="00CD3AB8"/>
    <w:rsid w:val="00CD4137"/>
    <w:rsid w:val="00CD5046"/>
    <w:rsid w:val="00CD6079"/>
    <w:rsid w:val="00CD6704"/>
    <w:rsid w:val="00CE0098"/>
    <w:rsid w:val="00CE27D8"/>
    <w:rsid w:val="00CE3A6D"/>
    <w:rsid w:val="00CE432F"/>
    <w:rsid w:val="00CE5479"/>
    <w:rsid w:val="00CE76C6"/>
    <w:rsid w:val="00CF140B"/>
    <w:rsid w:val="00CF203B"/>
    <w:rsid w:val="00CF3718"/>
    <w:rsid w:val="00CF414B"/>
    <w:rsid w:val="00CF5276"/>
    <w:rsid w:val="00CF6C90"/>
    <w:rsid w:val="00CF6F6A"/>
    <w:rsid w:val="00D004C0"/>
    <w:rsid w:val="00D0218D"/>
    <w:rsid w:val="00D03072"/>
    <w:rsid w:val="00D05040"/>
    <w:rsid w:val="00D060B8"/>
    <w:rsid w:val="00D106E0"/>
    <w:rsid w:val="00D10AE3"/>
    <w:rsid w:val="00D1301E"/>
    <w:rsid w:val="00D135C0"/>
    <w:rsid w:val="00D16611"/>
    <w:rsid w:val="00D16F14"/>
    <w:rsid w:val="00D20894"/>
    <w:rsid w:val="00D2147D"/>
    <w:rsid w:val="00D215FA"/>
    <w:rsid w:val="00D2166D"/>
    <w:rsid w:val="00D221AF"/>
    <w:rsid w:val="00D23991"/>
    <w:rsid w:val="00D242B7"/>
    <w:rsid w:val="00D25FB5"/>
    <w:rsid w:val="00D26F63"/>
    <w:rsid w:val="00D30BF2"/>
    <w:rsid w:val="00D31D2F"/>
    <w:rsid w:val="00D3690E"/>
    <w:rsid w:val="00D40FBB"/>
    <w:rsid w:val="00D412D9"/>
    <w:rsid w:val="00D4169F"/>
    <w:rsid w:val="00D42210"/>
    <w:rsid w:val="00D44223"/>
    <w:rsid w:val="00D448DC"/>
    <w:rsid w:val="00D458A0"/>
    <w:rsid w:val="00D46472"/>
    <w:rsid w:val="00D46B0A"/>
    <w:rsid w:val="00D475CE"/>
    <w:rsid w:val="00D50BAD"/>
    <w:rsid w:val="00D52007"/>
    <w:rsid w:val="00D54367"/>
    <w:rsid w:val="00D54F32"/>
    <w:rsid w:val="00D55F60"/>
    <w:rsid w:val="00D57A82"/>
    <w:rsid w:val="00D61169"/>
    <w:rsid w:val="00D61A11"/>
    <w:rsid w:val="00D61CBA"/>
    <w:rsid w:val="00D61D34"/>
    <w:rsid w:val="00D65DB9"/>
    <w:rsid w:val="00D70E1D"/>
    <w:rsid w:val="00D71199"/>
    <w:rsid w:val="00D72A47"/>
    <w:rsid w:val="00D72A4A"/>
    <w:rsid w:val="00D731B1"/>
    <w:rsid w:val="00D740BA"/>
    <w:rsid w:val="00D74BFD"/>
    <w:rsid w:val="00D7643B"/>
    <w:rsid w:val="00D8173E"/>
    <w:rsid w:val="00D83A75"/>
    <w:rsid w:val="00D84548"/>
    <w:rsid w:val="00D849FD"/>
    <w:rsid w:val="00D86597"/>
    <w:rsid w:val="00D90119"/>
    <w:rsid w:val="00D9139E"/>
    <w:rsid w:val="00D92785"/>
    <w:rsid w:val="00D930A6"/>
    <w:rsid w:val="00D9470C"/>
    <w:rsid w:val="00D96F38"/>
    <w:rsid w:val="00D97C5E"/>
    <w:rsid w:val="00DA1895"/>
    <w:rsid w:val="00DA2529"/>
    <w:rsid w:val="00DA2EA7"/>
    <w:rsid w:val="00DA4EEB"/>
    <w:rsid w:val="00DA7368"/>
    <w:rsid w:val="00DB130A"/>
    <w:rsid w:val="00DB2EBB"/>
    <w:rsid w:val="00DB31E9"/>
    <w:rsid w:val="00DB43B2"/>
    <w:rsid w:val="00DB4BDE"/>
    <w:rsid w:val="00DB55D8"/>
    <w:rsid w:val="00DC10A1"/>
    <w:rsid w:val="00DC128B"/>
    <w:rsid w:val="00DC15AE"/>
    <w:rsid w:val="00DC198D"/>
    <w:rsid w:val="00DC2D09"/>
    <w:rsid w:val="00DC3CEF"/>
    <w:rsid w:val="00DC4D77"/>
    <w:rsid w:val="00DC4FBC"/>
    <w:rsid w:val="00DC655F"/>
    <w:rsid w:val="00DD0B59"/>
    <w:rsid w:val="00DD1253"/>
    <w:rsid w:val="00DD1367"/>
    <w:rsid w:val="00DD1974"/>
    <w:rsid w:val="00DD22CF"/>
    <w:rsid w:val="00DD2443"/>
    <w:rsid w:val="00DD333B"/>
    <w:rsid w:val="00DD45C5"/>
    <w:rsid w:val="00DD71BB"/>
    <w:rsid w:val="00DD799A"/>
    <w:rsid w:val="00DD7EBD"/>
    <w:rsid w:val="00DE03F3"/>
    <w:rsid w:val="00DE0A41"/>
    <w:rsid w:val="00DE2B4E"/>
    <w:rsid w:val="00DE31D1"/>
    <w:rsid w:val="00DE4341"/>
    <w:rsid w:val="00DE49FF"/>
    <w:rsid w:val="00DE4B70"/>
    <w:rsid w:val="00DE67B8"/>
    <w:rsid w:val="00DE69A6"/>
    <w:rsid w:val="00DE7BFB"/>
    <w:rsid w:val="00DF187A"/>
    <w:rsid w:val="00DF4C82"/>
    <w:rsid w:val="00DF50A1"/>
    <w:rsid w:val="00DF62B6"/>
    <w:rsid w:val="00DF6EAD"/>
    <w:rsid w:val="00DF7AF1"/>
    <w:rsid w:val="00E00DBC"/>
    <w:rsid w:val="00E01583"/>
    <w:rsid w:val="00E04009"/>
    <w:rsid w:val="00E048D1"/>
    <w:rsid w:val="00E06164"/>
    <w:rsid w:val="00E06CFA"/>
    <w:rsid w:val="00E07225"/>
    <w:rsid w:val="00E0787F"/>
    <w:rsid w:val="00E11DE9"/>
    <w:rsid w:val="00E1260F"/>
    <w:rsid w:val="00E1454E"/>
    <w:rsid w:val="00E21583"/>
    <w:rsid w:val="00E2366D"/>
    <w:rsid w:val="00E26FE3"/>
    <w:rsid w:val="00E270B1"/>
    <w:rsid w:val="00E3010E"/>
    <w:rsid w:val="00E338CB"/>
    <w:rsid w:val="00E34156"/>
    <w:rsid w:val="00E348AD"/>
    <w:rsid w:val="00E34BBB"/>
    <w:rsid w:val="00E35D86"/>
    <w:rsid w:val="00E361A6"/>
    <w:rsid w:val="00E36206"/>
    <w:rsid w:val="00E404B0"/>
    <w:rsid w:val="00E415BD"/>
    <w:rsid w:val="00E417F0"/>
    <w:rsid w:val="00E4292D"/>
    <w:rsid w:val="00E4428C"/>
    <w:rsid w:val="00E44931"/>
    <w:rsid w:val="00E44C9C"/>
    <w:rsid w:val="00E44D8E"/>
    <w:rsid w:val="00E45550"/>
    <w:rsid w:val="00E45751"/>
    <w:rsid w:val="00E45961"/>
    <w:rsid w:val="00E46C0A"/>
    <w:rsid w:val="00E46E5B"/>
    <w:rsid w:val="00E47862"/>
    <w:rsid w:val="00E50860"/>
    <w:rsid w:val="00E51896"/>
    <w:rsid w:val="00E51D24"/>
    <w:rsid w:val="00E529D2"/>
    <w:rsid w:val="00E53D02"/>
    <w:rsid w:val="00E5409F"/>
    <w:rsid w:val="00E552C1"/>
    <w:rsid w:val="00E560DA"/>
    <w:rsid w:val="00E565F3"/>
    <w:rsid w:val="00E57478"/>
    <w:rsid w:val="00E5797E"/>
    <w:rsid w:val="00E64841"/>
    <w:rsid w:val="00E64ABC"/>
    <w:rsid w:val="00E65A68"/>
    <w:rsid w:val="00E66407"/>
    <w:rsid w:val="00E66AFD"/>
    <w:rsid w:val="00E70BEC"/>
    <w:rsid w:val="00E712CF"/>
    <w:rsid w:val="00E7174C"/>
    <w:rsid w:val="00E720D1"/>
    <w:rsid w:val="00E72253"/>
    <w:rsid w:val="00E73125"/>
    <w:rsid w:val="00E73277"/>
    <w:rsid w:val="00E73BCA"/>
    <w:rsid w:val="00E75CCB"/>
    <w:rsid w:val="00E7620F"/>
    <w:rsid w:val="00E76BE2"/>
    <w:rsid w:val="00E77755"/>
    <w:rsid w:val="00E82200"/>
    <w:rsid w:val="00E83865"/>
    <w:rsid w:val="00E851EC"/>
    <w:rsid w:val="00E86203"/>
    <w:rsid w:val="00E86403"/>
    <w:rsid w:val="00E87815"/>
    <w:rsid w:val="00E87849"/>
    <w:rsid w:val="00E90F22"/>
    <w:rsid w:val="00E90FCC"/>
    <w:rsid w:val="00E913ED"/>
    <w:rsid w:val="00E934C2"/>
    <w:rsid w:val="00E9524C"/>
    <w:rsid w:val="00E95FF3"/>
    <w:rsid w:val="00E97C52"/>
    <w:rsid w:val="00EA10FC"/>
    <w:rsid w:val="00EA11F6"/>
    <w:rsid w:val="00EA57C5"/>
    <w:rsid w:val="00EA5E8D"/>
    <w:rsid w:val="00EA7C84"/>
    <w:rsid w:val="00EB2947"/>
    <w:rsid w:val="00EB2A0B"/>
    <w:rsid w:val="00EB5007"/>
    <w:rsid w:val="00EB735D"/>
    <w:rsid w:val="00EB790B"/>
    <w:rsid w:val="00EC00AE"/>
    <w:rsid w:val="00EC0E1A"/>
    <w:rsid w:val="00EC10F0"/>
    <w:rsid w:val="00EC478D"/>
    <w:rsid w:val="00EC5EB4"/>
    <w:rsid w:val="00EC73DC"/>
    <w:rsid w:val="00EC7585"/>
    <w:rsid w:val="00ED1465"/>
    <w:rsid w:val="00ED28BC"/>
    <w:rsid w:val="00ED3DF3"/>
    <w:rsid w:val="00ED52FD"/>
    <w:rsid w:val="00ED7689"/>
    <w:rsid w:val="00ED771E"/>
    <w:rsid w:val="00EE0F5C"/>
    <w:rsid w:val="00EE2B63"/>
    <w:rsid w:val="00EE3221"/>
    <w:rsid w:val="00EE36A5"/>
    <w:rsid w:val="00EE36D0"/>
    <w:rsid w:val="00EE4418"/>
    <w:rsid w:val="00EE4CEA"/>
    <w:rsid w:val="00EE517A"/>
    <w:rsid w:val="00EE5212"/>
    <w:rsid w:val="00EE6488"/>
    <w:rsid w:val="00EE75B9"/>
    <w:rsid w:val="00EE75FF"/>
    <w:rsid w:val="00EF052D"/>
    <w:rsid w:val="00EF0D95"/>
    <w:rsid w:val="00EF0F24"/>
    <w:rsid w:val="00EF4FE6"/>
    <w:rsid w:val="00F00284"/>
    <w:rsid w:val="00F00A19"/>
    <w:rsid w:val="00F00B35"/>
    <w:rsid w:val="00F00B8D"/>
    <w:rsid w:val="00F0103F"/>
    <w:rsid w:val="00F01BB2"/>
    <w:rsid w:val="00F021FA"/>
    <w:rsid w:val="00F02A46"/>
    <w:rsid w:val="00F04C10"/>
    <w:rsid w:val="00F076DF"/>
    <w:rsid w:val="00F11EDF"/>
    <w:rsid w:val="00F12FF4"/>
    <w:rsid w:val="00F14978"/>
    <w:rsid w:val="00F155DC"/>
    <w:rsid w:val="00F1638E"/>
    <w:rsid w:val="00F16D61"/>
    <w:rsid w:val="00F21F99"/>
    <w:rsid w:val="00F251C8"/>
    <w:rsid w:val="00F259A5"/>
    <w:rsid w:val="00F30460"/>
    <w:rsid w:val="00F31215"/>
    <w:rsid w:val="00F31751"/>
    <w:rsid w:val="00F337B3"/>
    <w:rsid w:val="00F34BA4"/>
    <w:rsid w:val="00F355ED"/>
    <w:rsid w:val="00F356D2"/>
    <w:rsid w:val="00F35B5B"/>
    <w:rsid w:val="00F3670E"/>
    <w:rsid w:val="00F36A64"/>
    <w:rsid w:val="00F40581"/>
    <w:rsid w:val="00F4114A"/>
    <w:rsid w:val="00F41A5C"/>
    <w:rsid w:val="00F4296C"/>
    <w:rsid w:val="00F42C25"/>
    <w:rsid w:val="00F43EE3"/>
    <w:rsid w:val="00F44394"/>
    <w:rsid w:val="00F45CD7"/>
    <w:rsid w:val="00F505D5"/>
    <w:rsid w:val="00F51FE9"/>
    <w:rsid w:val="00F527F1"/>
    <w:rsid w:val="00F545B1"/>
    <w:rsid w:val="00F54FC0"/>
    <w:rsid w:val="00F55992"/>
    <w:rsid w:val="00F57C13"/>
    <w:rsid w:val="00F57FC3"/>
    <w:rsid w:val="00F60BAF"/>
    <w:rsid w:val="00F62E97"/>
    <w:rsid w:val="00F63C8A"/>
    <w:rsid w:val="00F63F20"/>
    <w:rsid w:val="00F64209"/>
    <w:rsid w:val="00F648BF"/>
    <w:rsid w:val="00F64B45"/>
    <w:rsid w:val="00F64D94"/>
    <w:rsid w:val="00F65A8A"/>
    <w:rsid w:val="00F666C9"/>
    <w:rsid w:val="00F70EFB"/>
    <w:rsid w:val="00F72664"/>
    <w:rsid w:val="00F72FF6"/>
    <w:rsid w:val="00F7578B"/>
    <w:rsid w:val="00F762E1"/>
    <w:rsid w:val="00F76400"/>
    <w:rsid w:val="00F8132D"/>
    <w:rsid w:val="00F81931"/>
    <w:rsid w:val="00F81D98"/>
    <w:rsid w:val="00F82764"/>
    <w:rsid w:val="00F83CA0"/>
    <w:rsid w:val="00F853B2"/>
    <w:rsid w:val="00F86FE1"/>
    <w:rsid w:val="00F87099"/>
    <w:rsid w:val="00F87392"/>
    <w:rsid w:val="00F90B8B"/>
    <w:rsid w:val="00F9159E"/>
    <w:rsid w:val="00F92206"/>
    <w:rsid w:val="00F92718"/>
    <w:rsid w:val="00F92924"/>
    <w:rsid w:val="00F9320B"/>
    <w:rsid w:val="00F93BF5"/>
    <w:rsid w:val="00F9531D"/>
    <w:rsid w:val="00F95532"/>
    <w:rsid w:val="00F95593"/>
    <w:rsid w:val="00F95736"/>
    <w:rsid w:val="00FA07E1"/>
    <w:rsid w:val="00FA0AD2"/>
    <w:rsid w:val="00FA146E"/>
    <w:rsid w:val="00FA2DD3"/>
    <w:rsid w:val="00FA3BD7"/>
    <w:rsid w:val="00FA5365"/>
    <w:rsid w:val="00FB00D1"/>
    <w:rsid w:val="00FB1A5E"/>
    <w:rsid w:val="00FB1B9D"/>
    <w:rsid w:val="00FB1E63"/>
    <w:rsid w:val="00FB1FC2"/>
    <w:rsid w:val="00FB27F8"/>
    <w:rsid w:val="00FB5C4D"/>
    <w:rsid w:val="00FC090C"/>
    <w:rsid w:val="00FC0A82"/>
    <w:rsid w:val="00FC1D3C"/>
    <w:rsid w:val="00FC654B"/>
    <w:rsid w:val="00FC7F97"/>
    <w:rsid w:val="00FD036E"/>
    <w:rsid w:val="00FD0979"/>
    <w:rsid w:val="00FD1CCF"/>
    <w:rsid w:val="00FD3549"/>
    <w:rsid w:val="00FD3C0B"/>
    <w:rsid w:val="00FD4086"/>
    <w:rsid w:val="00FD43FC"/>
    <w:rsid w:val="00FD5486"/>
    <w:rsid w:val="00FD557E"/>
    <w:rsid w:val="00FD7E76"/>
    <w:rsid w:val="00FE061B"/>
    <w:rsid w:val="00FE2806"/>
    <w:rsid w:val="00FE5085"/>
    <w:rsid w:val="00FE6278"/>
    <w:rsid w:val="00FE67A7"/>
    <w:rsid w:val="00FE7E9C"/>
    <w:rsid w:val="00FF1396"/>
    <w:rsid w:val="00FF4422"/>
    <w:rsid w:val="00FF4693"/>
    <w:rsid w:val="00FF5FE2"/>
    <w:rsid w:val="00FF6030"/>
    <w:rsid w:val="00FF685A"/>
    <w:rsid w:val="00FF6EB0"/>
    <w:rsid w:val="00FF7D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ABC76DDD-DD23-461A-8F27-C2822BE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44"/>
    <w:pPr>
      <w:widowControl w:val="0"/>
    </w:pPr>
    <w:rPr>
      <w:snapToGrid w:val="0"/>
      <w:kern w:val="28"/>
      <w:sz w:val="22"/>
    </w:rPr>
  </w:style>
  <w:style w:type="paragraph" w:styleId="Heading1">
    <w:name w:val="heading 1"/>
    <w:basedOn w:val="Normal"/>
    <w:next w:val="ParaNum"/>
    <w:link w:val="Heading1Char"/>
    <w:qFormat/>
    <w:rsid w:val="009D4C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D4C44"/>
    <w:pPr>
      <w:keepNext/>
      <w:numPr>
        <w:ilvl w:val="1"/>
        <w:numId w:val="3"/>
      </w:numPr>
      <w:spacing w:after="120"/>
      <w:outlineLvl w:val="1"/>
    </w:pPr>
    <w:rPr>
      <w:b/>
    </w:rPr>
  </w:style>
  <w:style w:type="paragraph" w:styleId="Heading3">
    <w:name w:val="heading 3"/>
    <w:basedOn w:val="Normal"/>
    <w:next w:val="ParaNum"/>
    <w:link w:val="Heading3Char"/>
    <w:qFormat/>
    <w:rsid w:val="009D4C4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D4C4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D4C4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D4C4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D4C4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D4C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D4C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D4C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4C44"/>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rsid w:val="009D4C44"/>
    <w:pPr>
      <w:numPr>
        <w:numId w:val="2"/>
      </w:numPr>
      <w:tabs>
        <w:tab w:val="clear" w:pos="1080"/>
        <w:tab w:val="num" w:pos="1440"/>
      </w:tabs>
      <w:spacing w:after="120"/>
    </w:pPr>
  </w:style>
  <w:style w:type="paragraph" w:styleId="EndnoteText">
    <w:name w:val="endnote text"/>
    <w:basedOn w:val="Normal"/>
    <w:link w:val="EndnoteTextChar"/>
    <w:semiHidden/>
    <w:rsid w:val="009D4C44"/>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9D4C44"/>
    <w:rPr>
      <w:vertAlign w:val="superscript"/>
    </w:rPr>
  </w:style>
  <w:style w:type="paragraph" w:styleId="FootnoteText">
    <w:name w:val="footnote text"/>
    <w:link w:val="FootnoteTextChar"/>
    <w:rsid w:val="009D4C44"/>
    <w:pPr>
      <w:spacing w:after="120"/>
    </w:pPr>
  </w:style>
  <w:style w:type="character" w:customStyle="1" w:styleId="FootnoteTextChar">
    <w:name w:val="Footnote Text Char"/>
    <w:basedOn w:val="DefaultParagraphFont"/>
    <w:link w:val="FootnoteText"/>
    <w:locked/>
    <w:rsid w:val="005E2A63"/>
  </w:style>
  <w:style w:type="character" w:styleId="FootnoteReference">
    <w:name w:val="footnote reference"/>
    <w:rsid w:val="009D4C44"/>
    <w:rPr>
      <w:rFonts w:ascii="Times New Roman" w:hAnsi="Times New Roman"/>
      <w:dstrike w:val="0"/>
      <w:color w:val="auto"/>
      <w:sz w:val="20"/>
      <w:vertAlign w:val="superscript"/>
    </w:rPr>
  </w:style>
  <w:style w:type="paragraph" w:styleId="TOC1">
    <w:name w:val="toc 1"/>
    <w:basedOn w:val="Normal"/>
    <w:next w:val="Normal"/>
    <w:semiHidden/>
    <w:rsid w:val="009D4C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D4C44"/>
    <w:pPr>
      <w:tabs>
        <w:tab w:val="left" w:pos="720"/>
        <w:tab w:val="right" w:leader="dot" w:pos="9360"/>
      </w:tabs>
      <w:suppressAutoHyphens/>
      <w:ind w:left="720" w:right="720" w:hanging="360"/>
    </w:pPr>
    <w:rPr>
      <w:noProof/>
    </w:rPr>
  </w:style>
  <w:style w:type="paragraph" w:styleId="TOC3">
    <w:name w:val="toc 3"/>
    <w:basedOn w:val="Normal"/>
    <w:next w:val="Normal"/>
    <w:semiHidden/>
    <w:rsid w:val="009D4C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D4C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D4C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D4C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D4C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D4C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D4C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D4C44"/>
    <w:pPr>
      <w:tabs>
        <w:tab w:val="right" w:pos="9360"/>
      </w:tabs>
      <w:suppressAutoHyphens/>
    </w:pPr>
  </w:style>
  <w:style w:type="character" w:customStyle="1" w:styleId="EquationCaption">
    <w:name w:val="_Equation Caption"/>
    <w:rsid w:val="009D4C44"/>
  </w:style>
  <w:style w:type="paragraph" w:styleId="Header">
    <w:name w:val="header"/>
    <w:basedOn w:val="Normal"/>
    <w:link w:val="HeaderChar"/>
    <w:autoRedefine/>
    <w:rsid w:val="009D4C44"/>
    <w:pPr>
      <w:tabs>
        <w:tab w:val="center" w:pos="4680"/>
        <w:tab w:val="right" w:pos="9360"/>
      </w:tabs>
    </w:pPr>
    <w:rPr>
      <w:b/>
    </w:rPr>
  </w:style>
  <w:style w:type="character" w:customStyle="1" w:styleId="HeaderChar">
    <w:name w:val="Header Char"/>
    <w:basedOn w:val="DefaultParagraphFont"/>
    <w:link w:val="Header"/>
    <w:rPr>
      <w:b/>
      <w:snapToGrid w:val="0"/>
      <w:kern w:val="28"/>
      <w:sz w:val="22"/>
    </w:rPr>
  </w:style>
  <w:style w:type="paragraph" w:styleId="Footer">
    <w:name w:val="footer"/>
    <w:basedOn w:val="Normal"/>
    <w:link w:val="FooterChar"/>
    <w:uiPriority w:val="99"/>
    <w:rsid w:val="009D4C44"/>
    <w:pPr>
      <w:tabs>
        <w:tab w:val="center" w:pos="4320"/>
        <w:tab w:val="right" w:pos="8640"/>
      </w:tabs>
    </w:pPr>
  </w:style>
  <w:style w:type="character" w:customStyle="1" w:styleId="FooterChar">
    <w:name w:val="Footer Char"/>
    <w:link w:val="Footer"/>
    <w:uiPriority w:val="99"/>
    <w:locked/>
    <w:rsid w:val="009D4C44"/>
    <w:rPr>
      <w:snapToGrid w:val="0"/>
      <w:kern w:val="28"/>
      <w:sz w:val="22"/>
    </w:rPr>
  </w:style>
  <w:style w:type="character" w:styleId="PageNumber">
    <w:name w:val="page number"/>
    <w:basedOn w:val="DefaultParagraphFont"/>
    <w:rsid w:val="009D4C44"/>
  </w:style>
  <w:style w:type="paragraph" w:styleId="BlockText">
    <w:name w:val="Block Text"/>
    <w:basedOn w:val="Normal"/>
    <w:rsid w:val="009D4C44"/>
    <w:pPr>
      <w:spacing w:after="240"/>
      <w:ind w:left="1440" w:right="1440"/>
    </w:pPr>
  </w:style>
  <w:style w:type="paragraph" w:customStyle="1" w:styleId="Paratitle">
    <w:name w:val="Para title"/>
    <w:basedOn w:val="Normal"/>
    <w:rsid w:val="009D4C44"/>
    <w:pPr>
      <w:tabs>
        <w:tab w:val="center" w:pos="9270"/>
      </w:tabs>
      <w:spacing w:after="240"/>
    </w:pPr>
    <w:rPr>
      <w:spacing w:val="-2"/>
    </w:rPr>
  </w:style>
  <w:style w:type="paragraph" w:customStyle="1" w:styleId="Bullet">
    <w:name w:val="Bullet"/>
    <w:basedOn w:val="Normal"/>
    <w:rsid w:val="009D4C44"/>
    <w:pPr>
      <w:tabs>
        <w:tab w:val="left" w:pos="2160"/>
      </w:tabs>
      <w:spacing w:after="220"/>
      <w:ind w:left="2160" w:hanging="720"/>
    </w:pPr>
  </w:style>
  <w:style w:type="paragraph" w:customStyle="1" w:styleId="TableFormat">
    <w:name w:val="TableFormat"/>
    <w:basedOn w:val="Bullet"/>
    <w:rsid w:val="009D4C44"/>
    <w:pPr>
      <w:tabs>
        <w:tab w:val="clear" w:pos="2160"/>
        <w:tab w:val="left" w:pos="5040"/>
      </w:tabs>
      <w:ind w:left="5040" w:hanging="3600"/>
    </w:pPr>
  </w:style>
  <w:style w:type="paragraph" w:customStyle="1" w:styleId="TOCTitle">
    <w:name w:val="TOC Title"/>
    <w:basedOn w:val="Normal"/>
    <w:rsid w:val="009D4C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D4C44"/>
    <w:pPr>
      <w:jc w:val="center"/>
    </w:pPr>
    <w:rPr>
      <w:rFonts w:ascii="Times New Roman Bold" w:hAnsi="Times New Roman Bold"/>
      <w:b/>
      <w:bCs/>
      <w:caps/>
      <w:szCs w:val="22"/>
    </w:rPr>
  </w:style>
  <w:style w:type="character" w:styleId="Hyperlink">
    <w:name w:val="Hyperlink"/>
    <w:rsid w:val="009D4C44"/>
    <w:rPr>
      <w:color w:val="0000FF"/>
      <w:u w:val="single"/>
    </w:rPr>
  </w:style>
  <w:style w:type="paragraph" w:styleId="BalloonText">
    <w:name w:val="Balloon Text"/>
    <w:basedOn w:val="Normal"/>
    <w:link w:val="BalloonTextChar"/>
    <w:uiPriority w:val="99"/>
    <w:rsid w:val="007F0391"/>
    <w:rPr>
      <w:rFonts w:ascii="Segoe UI" w:hAnsi="Segoe UI" w:cs="Segoe UI"/>
      <w:sz w:val="18"/>
      <w:szCs w:val="18"/>
    </w:rPr>
  </w:style>
  <w:style w:type="character" w:customStyle="1" w:styleId="BalloonTextChar">
    <w:name w:val="Balloon Text Char"/>
    <w:basedOn w:val="DefaultParagraphFont"/>
    <w:link w:val="BalloonText"/>
    <w:uiPriority w:val="99"/>
    <w:locked/>
    <w:rsid w:val="007F0391"/>
    <w:rPr>
      <w:rFonts w:ascii="Segoe UI" w:hAnsi="Segoe UI" w:cs="Segoe UI"/>
      <w:kern w:val="28"/>
      <w:sz w:val="18"/>
      <w:szCs w:val="18"/>
    </w:rPr>
  </w:style>
  <w:style w:type="character" w:customStyle="1" w:styleId="UnresolvedMention">
    <w:name w:val="Unresolved Mention"/>
    <w:basedOn w:val="DefaultParagraphFont"/>
    <w:uiPriority w:val="99"/>
    <w:semiHidden/>
    <w:unhideWhenUsed/>
    <w:rsid w:val="00310FD7"/>
    <w:rPr>
      <w:rFonts w:cs="Times New Roman"/>
      <w:color w:val="605E5C"/>
      <w:shd w:val="clear" w:color="auto" w:fill="E1DFDD"/>
    </w:rPr>
  </w:style>
  <w:style w:type="paragraph" w:customStyle="1" w:styleId="Default">
    <w:name w:val="Default"/>
    <w:rsid w:val="009E6190"/>
    <w:pPr>
      <w:autoSpaceDE w:val="0"/>
      <w:autoSpaceDN w:val="0"/>
      <w:adjustRightInd w:val="0"/>
    </w:pPr>
    <w:rPr>
      <w:color w:val="000000"/>
      <w:sz w:val="24"/>
      <w:szCs w:val="24"/>
    </w:rPr>
  </w:style>
  <w:style w:type="character" w:styleId="CommentReference">
    <w:name w:val="annotation reference"/>
    <w:basedOn w:val="DefaultParagraphFont"/>
    <w:uiPriority w:val="99"/>
    <w:rsid w:val="005C3296"/>
    <w:rPr>
      <w:rFonts w:cs="Times New Roman"/>
      <w:sz w:val="16"/>
      <w:szCs w:val="16"/>
    </w:rPr>
  </w:style>
  <w:style w:type="paragraph" w:styleId="CommentText">
    <w:name w:val="annotation text"/>
    <w:basedOn w:val="Normal"/>
    <w:link w:val="CommentTextChar"/>
    <w:uiPriority w:val="99"/>
    <w:rsid w:val="005C3296"/>
    <w:rPr>
      <w:sz w:val="20"/>
    </w:rPr>
  </w:style>
  <w:style w:type="character" w:customStyle="1" w:styleId="CommentTextChar">
    <w:name w:val="Comment Text Char"/>
    <w:basedOn w:val="DefaultParagraphFont"/>
    <w:link w:val="CommentText"/>
    <w:uiPriority w:val="99"/>
    <w:locked/>
    <w:rsid w:val="005C3296"/>
    <w:rPr>
      <w:rFonts w:cs="Times New Roman"/>
      <w:kern w:val="28"/>
    </w:rPr>
  </w:style>
  <w:style w:type="paragraph" w:styleId="CommentSubject">
    <w:name w:val="annotation subject"/>
    <w:basedOn w:val="CommentText"/>
    <w:next w:val="CommentText"/>
    <w:link w:val="CommentSubjectChar"/>
    <w:uiPriority w:val="99"/>
    <w:rsid w:val="005C3296"/>
    <w:rPr>
      <w:b/>
      <w:bCs/>
    </w:rPr>
  </w:style>
  <w:style w:type="character" w:customStyle="1" w:styleId="CommentSubjectChar">
    <w:name w:val="Comment Subject Char"/>
    <w:basedOn w:val="CommentTextChar"/>
    <w:link w:val="CommentSubject"/>
    <w:uiPriority w:val="99"/>
    <w:locked/>
    <w:rsid w:val="005C3296"/>
    <w:rPr>
      <w:rFonts w:cs="Times New Roman"/>
      <w:b/>
      <w:bCs/>
      <w:kern w:val="28"/>
    </w:rPr>
  </w:style>
  <w:style w:type="paragraph" w:styleId="Revision">
    <w:name w:val="Revision"/>
    <w:hidden/>
    <w:uiPriority w:val="99"/>
    <w:semiHidden/>
    <w:rsid w:val="00245422"/>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109746112599" TargetMode="External" /><Relationship Id="rId2" Type="http://schemas.openxmlformats.org/officeDocument/2006/relationships/hyperlink" Target="https://www.fcc.gov/document/comment-sought-nala-minimum-service-voice-phase-down-waiver"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