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13A8B" w:rsidRPr="00B20363" w:rsidP="0033314E" w14:paraId="056004F5" w14:textId="2B3B662F">
      <w:pPr>
        <w:jc w:val="right"/>
        <w:rPr>
          <w:b/>
          <w:sz w:val="24"/>
        </w:rPr>
      </w:pPr>
      <w:r>
        <w:rPr>
          <w:b/>
          <w:sz w:val="24"/>
        </w:rPr>
        <w:t>DA 20-</w:t>
      </w:r>
      <w:r w:rsidR="00963AEE">
        <w:rPr>
          <w:b/>
          <w:sz w:val="24"/>
        </w:rPr>
        <w:t>1351</w:t>
      </w:r>
      <w:bookmarkStart w:id="0" w:name="_GoBack"/>
      <w:bookmarkEnd w:id="0"/>
    </w:p>
    <w:p w:rsidR="00013A8B" w:rsidRPr="00B20363" w:rsidP="13B99A06" w14:paraId="4FAADE41" w14:textId="57F687DE">
      <w:pPr>
        <w:spacing w:before="60"/>
        <w:jc w:val="right"/>
        <w:rPr>
          <w:b/>
          <w:bCs/>
          <w:sz w:val="24"/>
          <w:szCs w:val="24"/>
        </w:rPr>
      </w:pPr>
      <w:r w:rsidRPr="13B99A06">
        <w:rPr>
          <w:b/>
          <w:bCs/>
          <w:sz w:val="24"/>
          <w:szCs w:val="24"/>
        </w:rPr>
        <w:t xml:space="preserve">Released:  </w:t>
      </w:r>
      <w:r w:rsidRPr="13B99A06" w:rsidR="0082716F">
        <w:rPr>
          <w:b/>
          <w:bCs/>
          <w:sz w:val="24"/>
          <w:szCs w:val="24"/>
        </w:rPr>
        <w:t>N</w:t>
      </w:r>
      <w:r w:rsidRPr="13B99A06" w:rsidR="7D4E419D">
        <w:rPr>
          <w:b/>
          <w:bCs/>
          <w:sz w:val="24"/>
          <w:szCs w:val="24"/>
        </w:rPr>
        <w:t>ovember 16</w:t>
      </w:r>
      <w:r w:rsidRPr="13B99A06" w:rsidR="00CC57B5">
        <w:rPr>
          <w:b/>
          <w:bCs/>
          <w:sz w:val="24"/>
          <w:szCs w:val="24"/>
        </w:rPr>
        <w:t>, 2020</w:t>
      </w:r>
    </w:p>
    <w:p w:rsidR="00013A8B" w:rsidP="00013A8B" w14:paraId="691D46BE" w14:textId="77777777">
      <w:pPr>
        <w:jc w:val="right"/>
        <w:rPr>
          <w:sz w:val="24"/>
        </w:rPr>
      </w:pPr>
    </w:p>
    <w:p w:rsidR="004A6707" w:rsidP="005D1232" w14:paraId="6CA356E3" w14:textId="0B836850">
      <w:pPr>
        <w:jc w:val="center"/>
        <w:rPr>
          <w:rFonts w:ascii="Times New Roman Bold" w:hAnsi="Times New Roman Bold"/>
          <w:b/>
          <w:caps/>
          <w:sz w:val="24"/>
        </w:rPr>
      </w:pPr>
      <w:r>
        <w:rPr>
          <w:rFonts w:ascii="Times New Roman Bold" w:hAnsi="Times New Roman Bold"/>
          <w:b/>
          <w:caps/>
          <w:sz w:val="24"/>
        </w:rPr>
        <w:t>WIRELINE COMPETITION BUREAU ANNOUNCE</w:t>
      </w:r>
      <w:r w:rsidR="006B6CBC">
        <w:rPr>
          <w:rFonts w:ascii="Times New Roman Bold" w:hAnsi="Times New Roman Bold"/>
          <w:b/>
          <w:caps/>
          <w:sz w:val="24"/>
        </w:rPr>
        <w:t>S</w:t>
      </w:r>
      <w:r>
        <w:rPr>
          <w:rFonts w:ascii="Times New Roman Bold" w:hAnsi="Times New Roman Bold"/>
          <w:b/>
          <w:caps/>
          <w:sz w:val="24"/>
        </w:rPr>
        <w:t xml:space="preserve"> WINNING APPLICANTS FOR </w:t>
      </w:r>
      <w:r w:rsidR="00D33AD5">
        <w:rPr>
          <w:rFonts w:ascii="Times New Roman Bold" w:hAnsi="Times New Roman Bold"/>
          <w:b/>
          <w:caps/>
          <w:sz w:val="24"/>
        </w:rPr>
        <w:t>the connect usvi</w:t>
      </w:r>
      <w:r w:rsidR="002E12D8">
        <w:rPr>
          <w:rFonts w:ascii="Times New Roman Bold" w:hAnsi="Times New Roman Bold"/>
          <w:b/>
          <w:caps/>
          <w:sz w:val="24"/>
        </w:rPr>
        <w:t xml:space="preserve"> fund </w:t>
      </w:r>
      <w:r w:rsidR="001B2A4D">
        <w:rPr>
          <w:rFonts w:ascii="Times New Roman Bold" w:hAnsi="Times New Roman Bold"/>
          <w:b/>
          <w:caps/>
          <w:sz w:val="24"/>
        </w:rPr>
        <w:t xml:space="preserve">Stage 2 competitive process </w:t>
      </w:r>
    </w:p>
    <w:p w:rsidR="005D1232" w:rsidP="005D1232" w14:paraId="6410F87F" w14:textId="3C552762">
      <w:pPr>
        <w:jc w:val="center"/>
        <w:rPr>
          <w:rFonts w:ascii="Times New Roman Bold" w:hAnsi="Times New Roman Bold"/>
          <w:b/>
          <w:caps/>
          <w:sz w:val="24"/>
        </w:rPr>
      </w:pPr>
    </w:p>
    <w:p w:rsidR="00013A8B" w:rsidRPr="00C62901" w:rsidP="535F9AD1" w14:paraId="232FCCC7" w14:textId="2E87A82B">
      <w:pPr>
        <w:jc w:val="center"/>
        <w:rPr>
          <w:rFonts w:ascii="Times New Roman Bold" w:hAnsi="Times New Roman Bold"/>
          <w:b/>
          <w:bCs/>
          <w:caps/>
          <w:sz w:val="24"/>
          <w:szCs w:val="24"/>
        </w:rPr>
      </w:pPr>
      <w:bookmarkStart w:id="1" w:name="_Hlk56362892"/>
      <w:r w:rsidRPr="535F9AD1">
        <w:rPr>
          <w:b/>
          <w:bCs/>
        </w:rPr>
        <w:t>Applicant</w:t>
      </w:r>
      <w:r w:rsidRPr="535F9AD1" w:rsidR="00C62901">
        <w:rPr>
          <w:b/>
          <w:bCs/>
        </w:rPr>
        <w:t>s</w:t>
      </w:r>
      <w:r w:rsidRPr="535F9AD1">
        <w:rPr>
          <w:b/>
          <w:bCs/>
        </w:rPr>
        <w:t xml:space="preserve"> Must Submit </w:t>
      </w:r>
      <w:r w:rsidRPr="535F9AD1" w:rsidR="00C62901">
        <w:rPr>
          <w:b/>
          <w:bCs/>
        </w:rPr>
        <w:t xml:space="preserve">Additional Information </w:t>
      </w:r>
      <w:r w:rsidRPr="535F9AD1">
        <w:rPr>
          <w:b/>
          <w:bCs/>
        </w:rPr>
        <w:t xml:space="preserve">by 6 P.M. (ET) on </w:t>
      </w:r>
      <w:r w:rsidRPr="535F9AD1" w:rsidR="212F1DC8">
        <w:rPr>
          <w:b/>
          <w:bCs/>
        </w:rPr>
        <w:t>December 1</w:t>
      </w:r>
      <w:r w:rsidRPr="535F9AD1">
        <w:rPr>
          <w:b/>
          <w:bCs/>
        </w:rPr>
        <w:t>, 2020</w:t>
      </w:r>
      <w:r w:rsidRPr="535F9AD1" w:rsidR="00546295">
        <w:rPr>
          <w:rFonts w:ascii="Times New Roman Bold" w:hAnsi="Times New Roman Bold"/>
          <w:b/>
          <w:bCs/>
          <w:caps/>
          <w:sz w:val="24"/>
          <w:szCs w:val="24"/>
        </w:rPr>
        <w:t xml:space="preserve"> </w:t>
      </w:r>
      <w:bookmarkEnd w:id="1"/>
    </w:p>
    <w:p w:rsidR="00865E1E" w:rsidRPr="00B20363" w:rsidP="00865E1E" w14:paraId="0A322469" w14:textId="77777777">
      <w:pPr>
        <w:jc w:val="center"/>
        <w:rPr>
          <w:rFonts w:ascii="Times New Roman Bold" w:hAnsi="Times New Roman Bold"/>
          <w:b/>
          <w:caps/>
          <w:sz w:val="24"/>
        </w:rPr>
      </w:pPr>
    </w:p>
    <w:p w:rsidR="00013A8B" w:rsidRPr="007B3728" w:rsidP="00013A8B" w14:paraId="6B54E802" w14:textId="1CE4F226">
      <w:pPr>
        <w:jc w:val="center"/>
        <w:rPr>
          <w:b/>
          <w:szCs w:val="18"/>
        </w:rPr>
      </w:pPr>
      <w:r w:rsidRPr="007B3728">
        <w:rPr>
          <w:b/>
          <w:szCs w:val="18"/>
        </w:rPr>
        <w:t>WC Docket No</w:t>
      </w:r>
      <w:r w:rsidRPr="007B3728" w:rsidR="00D455D4">
        <w:rPr>
          <w:b/>
          <w:szCs w:val="18"/>
        </w:rPr>
        <w:t>s</w:t>
      </w:r>
      <w:r w:rsidRPr="007B3728">
        <w:rPr>
          <w:b/>
          <w:szCs w:val="18"/>
        </w:rPr>
        <w:t>. 18-143</w:t>
      </w:r>
      <w:r w:rsidRPr="007B3728" w:rsidR="00D455D4">
        <w:rPr>
          <w:b/>
          <w:szCs w:val="18"/>
        </w:rPr>
        <w:t>, 10-90</w:t>
      </w:r>
    </w:p>
    <w:p w:rsidR="00F96F63" w:rsidRPr="00930ECF" w:rsidP="00F96F63" w14:paraId="33557828" w14:textId="77777777">
      <w:pPr>
        <w:rPr>
          <w:sz w:val="24"/>
        </w:rPr>
      </w:pPr>
      <w:bookmarkStart w:id="2" w:name="TOChere"/>
    </w:p>
    <w:bookmarkEnd w:id="2"/>
    <w:p w:rsidR="00A5177C" w:rsidP="007B3728" w14:paraId="7480EB9F" w14:textId="17F08C40">
      <w:pPr>
        <w:numPr>
          <w:ilvl w:val="0"/>
          <w:numId w:val="7"/>
        </w:numPr>
        <w:spacing w:after="120"/>
        <w:ind w:left="0" w:firstLine="720"/>
        <w:rPr>
          <w:szCs w:val="22"/>
        </w:rPr>
      </w:pPr>
      <w:r w:rsidRPr="007E177E">
        <w:rPr>
          <w:szCs w:val="22"/>
        </w:rPr>
        <w:t>By this Public Notice</w:t>
      </w:r>
      <w:r w:rsidRPr="007E177E" w:rsidR="005864A0">
        <w:rPr>
          <w:szCs w:val="22"/>
        </w:rPr>
        <w:t xml:space="preserve">, the Wireline Competition Bureau (Bureau) announces the </w:t>
      </w:r>
      <w:r w:rsidRPr="007E177E" w:rsidR="00313ED4">
        <w:rPr>
          <w:szCs w:val="22"/>
        </w:rPr>
        <w:t xml:space="preserve">results of the Stage 2 competitive process of the </w:t>
      </w:r>
      <w:r w:rsidR="00E22D35">
        <w:rPr>
          <w:szCs w:val="22"/>
        </w:rPr>
        <w:t>Connect USVI</w:t>
      </w:r>
      <w:r w:rsidRPr="007E177E" w:rsidR="00313ED4">
        <w:rPr>
          <w:szCs w:val="22"/>
        </w:rPr>
        <w:t xml:space="preserve"> Fund</w:t>
      </w:r>
      <w:r w:rsidRPr="007E177E" w:rsidR="003319A0">
        <w:rPr>
          <w:szCs w:val="22"/>
        </w:rPr>
        <w:t>.</w:t>
      </w:r>
      <w:r>
        <w:rPr>
          <w:rStyle w:val="FootnoteReference"/>
          <w:szCs w:val="22"/>
        </w:rPr>
        <w:footnoteReference w:id="3"/>
      </w:r>
      <w:r w:rsidRPr="007E177E" w:rsidR="003319A0">
        <w:rPr>
          <w:szCs w:val="22"/>
        </w:rPr>
        <w:t xml:space="preserve">  Based on the </w:t>
      </w:r>
      <w:r w:rsidRPr="007E177E" w:rsidR="007A7B56">
        <w:rPr>
          <w:szCs w:val="22"/>
        </w:rPr>
        <w:t xml:space="preserve">completed </w:t>
      </w:r>
      <w:r w:rsidRPr="007E177E" w:rsidR="003319A0">
        <w:rPr>
          <w:szCs w:val="22"/>
        </w:rPr>
        <w:t xml:space="preserve">applications received </w:t>
      </w:r>
      <w:r w:rsidRPr="007E177E" w:rsidR="000A1F6D">
        <w:rPr>
          <w:szCs w:val="22"/>
        </w:rPr>
        <w:t xml:space="preserve">by the deadline </w:t>
      </w:r>
      <w:r w:rsidRPr="007E177E" w:rsidR="003319A0">
        <w:rPr>
          <w:szCs w:val="22"/>
        </w:rPr>
        <w:t>on September 3, 2020</w:t>
      </w:r>
      <w:r w:rsidRPr="007E177E" w:rsidR="00F0637E">
        <w:rPr>
          <w:szCs w:val="22"/>
        </w:rPr>
        <w:t>, there</w:t>
      </w:r>
      <w:r w:rsidR="00E22D35">
        <w:rPr>
          <w:szCs w:val="22"/>
        </w:rPr>
        <w:t xml:space="preserve"> is one</w:t>
      </w:r>
      <w:r w:rsidRPr="007E177E" w:rsidR="00F0637E">
        <w:rPr>
          <w:szCs w:val="22"/>
        </w:rPr>
        <w:t xml:space="preserve"> winning applicant</w:t>
      </w:r>
      <w:r w:rsidR="002656D6">
        <w:rPr>
          <w:szCs w:val="22"/>
        </w:rPr>
        <w:t xml:space="preserve"> in the U.S. Virgin Islands that is</w:t>
      </w:r>
      <w:r w:rsidR="00095ACE">
        <w:rPr>
          <w:szCs w:val="22"/>
        </w:rPr>
        <w:t xml:space="preserve"> </w:t>
      </w:r>
      <w:r w:rsidRPr="007E177E" w:rsidR="007A022B">
        <w:rPr>
          <w:szCs w:val="22"/>
        </w:rPr>
        <w:t>eligible for high-cost support</w:t>
      </w:r>
      <w:r w:rsidRPr="007E177E" w:rsidR="00C625EB">
        <w:rPr>
          <w:szCs w:val="22"/>
        </w:rPr>
        <w:t>, with the 10-year support amount totaling $</w:t>
      </w:r>
      <w:r w:rsidR="00EE0686">
        <w:rPr>
          <w:szCs w:val="22"/>
        </w:rPr>
        <w:t>84.5</w:t>
      </w:r>
      <w:r w:rsidRPr="007E177E" w:rsidR="00302CA8">
        <w:rPr>
          <w:szCs w:val="22"/>
        </w:rPr>
        <w:t xml:space="preserve"> million covering </w:t>
      </w:r>
      <w:r w:rsidR="00EE0686">
        <w:rPr>
          <w:szCs w:val="22"/>
        </w:rPr>
        <w:t>46,039</w:t>
      </w:r>
      <w:r w:rsidRPr="007E177E" w:rsidR="00302CA8">
        <w:rPr>
          <w:szCs w:val="22"/>
        </w:rPr>
        <w:t xml:space="preserve"> </w:t>
      </w:r>
      <w:r w:rsidRPr="007E177E" w:rsidR="0078735D">
        <w:rPr>
          <w:szCs w:val="22"/>
        </w:rPr>
        <w:t xml:space="preserve">total </w:t>
      </w:r>
      <w:r w:rsidRPr="007E177E" w:rsidR="00302CA8">
        <w:rPr>
          <w:szCs w:val="22"/>
        </w:rPr>
        <w:t>locations</w:t>
      </w:r>
      <w:r w:rsidRPr="007E177E" w:rsidR="00296AE3">
        <w:rPr>
          <w:szCs w:val="22"/>
        </w:rPr>
        <w:t xml:space="preserve"> </w:t>
      </w:r>
      <w:r w:rsidR="004241A0">
        <w:rPr>
          <w:szCs w:val="22"/>
        </w:rPr>
        <w:t>throughout the territory</w:t>
      </w:r>
      <w:r w:rsidR="00095ACE">
        <w:rPr>
          <w:szCs w:val="22"/>
        </w:rPr>
        <w:t>.</w:t>
      </w:r>
      <w:r>
        <w:rPr>
          <w:rStyle w:val="FootnoteReference"/>
          <w:szCs w:val="22"/>
        </w:rPr>
        <w:footnoteReference w:id="4"/>
      </w:r>
      <w:r w:rsidRPr="007E177E" w:rsidR="00F96D2C">
        <w:rPr>
          <w:szCs w:val="22"/>
        </w:rPr>
        <w:t xml:space="preserve">  </w:t>
      </w:r>
      <w:r w:rsidR="00CF6434">
        <w:rPr>
          <w:szCs w:val="22"/>
        </w:rPr>
        <w:t>The</w:t>
      </w:r>
      <w:r w:rsidRPr="007E177E" w:rsidR="003F060F">
        <w:rPr>
          <w:szCs w:val="22"/>
        </w:rPr>
        <w:t xml:space="preserve"> winning proposals </w:t>
      </w:r>
      <w:r w:rsidRPr="007E177E" w:rsidR="00DD405D">
        <w:rPr>
          <w:szCs w:val="22"/>
        </w:rPr>
        <w:t xml:space="preserve">are </w:t>
      </w:r>
      <w:r w:rsidRPr="007E177E" w:rsidR="00D762FA">
        <w:rPr>
          <w:szCs w:val="22"/>
        </w:rPr>
        <w:t xml:space="preserve">for </w:t>
      </w:r>
      <w:r w:rsidR="00095ACE">
        <w:rPr>
          <w:szCs w:val="22"/>
        </w:rPr>
        <w:t xml:space="preserve">the </w:t>
      </w:r>
      <w:r w:rsidR="00695286">
        <w:rPr>
          <w:szCs w:val="22"/>
        </w:rPr>
        <w:t xml:space="preserve">highest </w:t>
      </w:r>
      <w:r w:rsidRPr="007E177E" w:rsidR="00D762FA">
        <w:rPr>
          <w:szCs w:val="22"/>
        </w:rPr>
        <w:t xml:space="preserve">performance tier </w:t>
      </w:r>
      <w:r w:rsidR="00095ACE">
        <w:rPr>
          <w:szCs w:val="22"/>
        </w:rPr>
        <w:t>– downstream speeds of 1 Gigabit per second</w:t>
      </w:r>
      <w:r w:rsidR="00171BC1">
        <w:rPr>
          <w:szCs w:val="22"/>
        </w:rPr>
        <w:t>.</w:t>
      </w:r>
    </w:p>
    <w:p w:rsidR="007C79E8" w:rsidP="007B3728" w14:paraId="54A91EE8" w14:textId="09051CE6">
      <w:pPr>
        <w:pStyle w:val="Heading1"/>
      </w:pPr>
      <w:r>
        <w:t>OVERVIEW</w:t>
      </w:r>
    </w:p>
    <w:p w:rsidR="005A5A3F" w:rsidP="007B3728" w14:paraId="2321C513" w14:textId="219E010B">
      <w:pPr>
        <w:numPr>
          <w:ilvl w:val="0"/>
          <w:numId w:val="7"/>
        </w:numPr>
        <w:spacing w:after="120"/>
        <w:ind w:left="0" w:firstLine="720"/>
        <w:rPr>
          <w:szCs w:val="22"/>
        </w:rPr>
      </w:pPr>
      <w:r>
        <w:rPr>
          <w:szCs w:val="22"/>
        </w:rPr>
        <w:t xml:space="preserve">This Public Notice </w:t>
      </w:r>
      <w:r w:rsidR="00FF001E">
        <w:rPr>
          <w:szCs w:val="22"/>
        </w:rPr>
        <w:t>closes the competitive proposal process</w:t>
      </w:r>
      <w:r w:rsidR="00A66D3E">
        <w:rPr>
          <w:szCs w:val="22"/>
        </w:rPr>
        <w:t xml:space="preserve"> </w:t>
      </w:r>
      <w:r>
        <w:rPr>
          <w:szCs w:val="22"/>
        </w:rPr>
        <w:t xml:space="preserve">and provides winning applicants with important information, including </w:t>
      </w:r>
      <w:r w:rsidR="008401AD">
        <w:rPr>
          <w:szCs w:val="22"/>
        </w:rPr>
        <w:t xml:space="preserve">additional filing </w:t>
      </w:r>
      <w:r w:rsidR="00A66D3E">
        <w:rPr>
          <w:szCs w:val="22"/>
        </w:rPr>
        <w:t xml:space="preserve">and support disbursement </w:t>
      </w:r>
      <w:r w:rsidR="008401AD">
        <w:rPr>
          <w:szCs w:val="22"/>
        </w:rPr>
        <w:t xml:space="preserve">requirements.  </w:t>
      </w:r>
      <w:r w:rsidRPr="00BC4AF1" w:rsidR="000E2FBE">
        <w:rPr>
          <w:szCs w:val="22"/>
        </w:rPr>
        <w:t>Attachme</w:t>
      </w:r>
      <w:r w:rsidRPr="00BC4AF1" w:rsidR="00FC60BF">
        <w:rPr>
          <w:szCs w:val="22"/>
        </w:rPr>
        <w:t>n</w:t>
      </w:r>
      <w:r w:rsidRPr="00BC4AF1" w:rsidR="000E2FBE">
        <w:rPr>
          <w:szCs w:val="22"/>
        </w:rPr>
        <w:t>t A</w:t>
      </w:r>
      <w:r w:rsidR="00A66D3E">
        <w:rPr>
          <w:szCs w:val="22"/>
        </w:rPr>
        <w:t xml:space="preserve"> </w:t>
      </w:r>
      <w:r w:rsidRPr="00BC4AF1" w:rsidR="008358F1">
        <w:rPr>
          <w:szCs w:val="22"/>
        </w:rPr>
        <w:t xml:space="preserve">lists the winning applicant </w:t>
      </w:r>
      <w:r w:rsidRPr="00BC4AF1" w:rsidR="00F161E2">
        <w:rPr>
          <w:szCs w:val="22"/>
        </w:rPr>
        <w:t xml:space="preserve">for each </w:t>
      </w:r>
      <w:r w:rsidR="004F745C">
        <w:rPr>
          <w:szCs w:val="22"/>
        </w:rPr>
        <w:t>geographic area</w:t>
      </w:r>
      <w:r w:rsidRPr="00BC4AF1" w:rsidR="00F161E2">
        <w:rPr>
          <w:szCs w:val="22"/>
        </w:rPr>
        <w:t xml:space="preserve">, the </w:t>
      </w:r>
      <w:r w:rsidR="003D70FC">
        <w:rPr>
          <w:szCs w:val="22"/>
        </w:rPr>
        <w:t xml:space="preserve">annual </w:t>
      </w:r>
      <w:r w:rsidRPr="00BC4AF1" w:rsidR="00F161E2">
        <w:rPr>
          <w:szCs w:val="22"/>
        </w:rPr>
        <w:t xml:space="preserve">support amount, and the number of locations assigned </w:t>
      </w:r>
      <w:r w:rsidRPr="00BC4AF1">
        <w:rPr>
          <w:szCs w:val="22"/>
        </w:rPr>
        <w:t xml:space="preserve">for the corresponding </w:t>
      </w:r>
      <w:r w:rsidR="0014665A">
        <w:rPr>
          <w:szCs w:val="22"/>
        </w:rPr>
        <w:t>area</w:t>
      </w:r>
      <w:r w:rsidRPr="00BC4AF1">
        <w:rPr>
          <w:szCs w:val="22"/>
        </w:rPr>
        <w:t>.</w:t>
      </w:r>
    </w:p>
    <w:p w:rsidR="00B84944" w:rsidP="007B3728" w14:paraId="291D3233" w14:textId="435E291C">
      <w:pPr>
        <w:numPr>
          <w:ilvl w:val="0"/>
          <w:numId w:val="7"/>
        </w:numPr>
        <w:spacing w:after="120"/>
        <w:ind w:left="0" w:firstLine="720"/>
        <w:rPr>
          <w:szCs w:val="22"/>
        </w:rPr>
      </w:pPr>
      <w:r>
        <w:rPr>
          <w:szCs w:val="22"/>
        </w:rPr>
        <w:t>A copy of</w:t>
      </w:r>
      <w:r w:rsidR="007B017B">
        <w:rPr>
          <w:szCs w:val="22"/>
        </w:rPr>
        <w:t xml:space="preserve"> this Public Notice will be sent to </w:t>
      </w:r>
      <w:r w:rsidR="0014665A">
        <w:rPr>
          <w:szCs w:val="22"/>
        </w:rPr>
        <w:t>the</w:t>
      </w:r>
      <w:r w:rsidR="002D7733">
        <w:rPr>
          <w:szCs w:val="22"/>
        </w:rPr>
        <w:t xml:space="preserve"> winning</w:t>
      </w:r>
      <w:r w:rsidR="007B017B">
        <w:rPr>
          <w:szCs w:val="22"/>
        </w:rPr>
        <w:t xml:space="preserve"> applicant via overnight delivery to the contact person at the contact address listed in </w:t>
      </w:r>
      <w:r w:rsidR="0054296C">
        <w:rPr>
          <w:szCs w:val="22"/>
        </w:rPr>
        <w:t>the applicant’s application form (FCC Form 5634).</w:t>
      </w:r>
      <w:r w:rsidR="001F6942">
        <w:rPr>
          <w:szCs w:val="22"/>
        </w:rPr>
        <w:t xml:space="preserve">  The Bureau </w:t>
      </w:r>
      <w:r w:rsidR="00FF001E">
        <w:rPr>
          <w:szCs w:val="22"/>
        </w:rPr>
        <w:t xml:space="preserve">will authorize a </w:t>
      </w:r>
      <w:r w:rsidR="001F6942">
        <w:rPr>
          <w:szCs w:val="22"/>
        </w:rPr>
        <w:t>winning applicant</w:t>
      </w:r>
      <w:r w:rsidR="00FF001E">
        <w:rPr>
          <w:szCs w:val="22"/>
        </w:rPr>
        <w:t xml:space="preserve"> to begin receiving high-cost support </w:t>
      </w:r>
      <w:r w:rsidR="00A66D3E">
        <w:rPr>
          <w:szCs w:val="22"/>
        </w:rPr>
        <w:t xml:space="preserve">only after </w:t>
      </w:r>
      <w:r w:rsidR="00FF001E">
        <w:rPr>
          <w:szCs w:val="22"/>
        </w:rPr>
        <w:t>the applicant has submitted and certified to its</w:t>
      </w:r>
      <w:r w:rsidR="001F6942">
        <w:rPr>
          <w:szCs w:val="22"/>
        </w:rPr>
        <w:t xml:space="preserve"> </w:t>
      </w:r>
      <w:r w:rsidR="002B33BE">
        <w:rPr>
          <w:szCs w:val="22"/>
        </w:rPr>
        <w:t xml:space="preserve">eligible telecommunications carrier (ETC) </w:t>
      </w:r>
      <w:r w:rsidR="00FF001E">
        <w:rPr>
          <w:szCs w:val="22"/>
        </w:rPr>
        <w:t xml:space="preserve">designation in the winning </w:t>
      </w:r>
      <w:r w:rsidR="0014665A">
        <w:rPr>
          <w:szCs w:val="22"/>
        </w:rPr>
        <w:t>areas</w:t>
      </w:r>
      <w:r w:rsidR="00FF001E">
        <w:rPr>
          <w:szCs w:val="22"/>
        </w:rPr>
        <w:t xml:space="preserve">, submitted </w:t>
      </w:r>
      <w:r w:rsidR="001F6942">
        <w:rPr>
          <w:szCs w:val="22"/>
        </w:rPr>
        <w:t>letter(s) of credit from an eligible bank</w:t>
      </w:r>
      <w:r w:rsidR="00FF001E">
        <w:rPr>
          <w:szCs w:val="22"/>
        </w:rPr>
        <w:t xml:space="preserve"> and a legal counsel opinion letter</w:t>
      </w:r>
      <w:r w:rsidR="00225528">
        <w:rPr>
          <w:szCs w:val="22"/>
        </w:rPr>
        <w:t>,</w:t>
      </w:r>
      <w:r w:rsidR="001F6942">
        <w:rPr>
          <w:szCs w:val="22"/>
        </w:rPr>
        <w:t xml:space="preserve"> and the Bureau approv</w:t>
      </w:r>
      <w:r w:rsidR="00FF001E">
        <w:rPr>
          <w:szCs w:val="22"/>
        </w:rPr>
        <w:t>es the applicant’s</w:t>
      </w:r>
      <w:r w:rsidR="001F6942">
        <w:rPr>
          <w:szCs w:val="22"/>
        </w:rPr>
        <w:t xml:space="preserve"> Disaster Preparation and Response Plan.</w:t>
      </w:r>
    </w:p>
    <w:p w:rsidR="00C9057B" w:rsidP="003F2392" w14:paraId="60082A3A" w14:textId="2FFD854B">
      <w:pPr>
        <w:widowControl/>
        <w:numPr>
          <w:ilvl w:val="0"/>
          <w:numId w:val="7"/>
        </w:numPr>
        <w:spacing w:after="120"/>
        <w:ind w:left="0" w:firstLine="720"/>
        <w:rPr>
          <w:szCs w:val="22"/>
        </w:rPr>
      </w:pPr>
      <w:r>
        <w:rPr>
          <w:szCs w:val="22"/>
        </w:rPr>
        <w:t xml:space="preserve">The </w:t>
      </w:r>
      <w:r w:rsidR="00053818">
        <w:rPr>
          <w:szCs w:val="22"/>
        </w:rPr>
        <w:t xml:space="preserve">Bureau </w:t>
      </w:r>
      <w:r w:rsidR="004B1650">
        <w:rPr>
          <w:szCs w:val="22"/>
        </w:rPr>
        <w:t>will</w:t>
      </w:r>
      <w:r w:rsidR="00B21858">
        <w:rPr>
          <w:szCs w:val="22"/>
        </w:rPr>
        <w:t xml:space="preserve"> treat as confidential</w:t>
      </w:r>
      <w:r w:rsidR="00F92D89">
        <w:rPr>
          <w:szCs w:val="22"/>
        </w:rPr>
        <w:t>, and thus</w:t>
      </w:r>
      <w:r w:rsidR="004B1650">
        <w:rPr>
          <w:szCs w:val="22"/>
        </w:rPr>
        <w:t xml:space="preserve"> withhold</w:t>
      </w:r>
      <w:r w:rsidR="00F92D89">
        <w:rPr>
          <w:szCs w:val="22"/>
        </w:rPr>
        <w:t>,</w:t>
      </w:r>
      <w:r w:rsidR="004B1650">
        <w:rPr>
          <w:szCs w:val="22"/>
        </w:rPr>
        <w:t xml:space="preserve"> certain application information </w:t>
      </w:r>
      <w:r w:rsidR="00F92D89">
        <w:rPr>
          <w:szCs w:val="22"/>
        </w:rPr>
        <w:t xml:space="preserve">to </w:t>
      </w:r>
      <w:r w:rsidR="001A2888">
        <w:rPr>
          <w:szCs w:val="22"/>
        </w:rPr>
        <w:t xml:space="preserve">protect </w:t>
      </w:r>
      <w:r w:rsidR="00D40415">
        <w:rPr>
          <w:szCs w:val="22"/>
        </w:rPr>
        <w:t>an</w:t>
      </w:r>
      <w:r w:rsidR="001A2888">
        <w:rPr>
          <w:szCs w:val="22"/>
        </w:rPr>
        <w:t xml:space="preserve"> applicant’s competitively sensitive information </w:t>
      </w:r>
      <w:r w:rsidR="004B1650">
        <w:rPr>
          <w:szCs w:val="22"/>
        </w:rPr>
        <w:t>until at least after</w:t>
      </w:r>
      <w:r w:rsidR="006436D6">
        <w:rPr>
          <w:szCs w:val="22"/>
        </w:rPr>
        <w:t xml:space="preserve"> a</w:t>
      </w:r>
      <w:r w:rsidR="004B1650">
        <w:rPr>
          <w:szCs w:val="22"/>
        </w:rPr>
        <w:t xml:space="preserve"> winning applicant </w:t>
      </w:r>
      <w:r w:rsidR="006436D6">
        <w:rPr>
          <w:szCs w:val="22"/>
        </w:rPr>
        <w:t>has</w:t>
      </w:r>
      <w:r w:rsidR="004B1650">
        <w:rPr>
          <w:szCs w:val="22"/>
        </w:rPr>
        <w:t xml:space="preserve"> been authorized to receive Stage 2 support.</w:t>
      </w:r>
      <w:r>
        <w:rPr>
          <w:rStyle w:val="FootnoteReference"/>
          <w:szCs w:val="22"/>
        </w:rPr>
        <w:footnoteReference w:id="5"/>
      </w:r>
      <w:r w:rsidR="003A2F7E">
        <w:rPr>
          <w:szCs w:val="22"/>
        </w:rPr>
        <w:t xml:space="preserve">  After </w:t>
      </w:r>
      <w:r w:rsidR="006436D6">
        <w:rPr>
          <w:szCs w:val="22"/>
        </w:rPr>
        <w:t>a</w:t>
      </w:r>
      <w:r w:rsidR="003A2F7E">
        <w:rPr>
          <w:szCs w:val="22"/>
        </w:rPr>
        <w:t xml:space="preserve"> winning applicant</w:t>
      </w:r>
      <w:r w:rsidR="008F2FBE">
        <w:rPr>
          <w:szCs w:val="22"/>
        </w:rPr>
        <w:t xml:space="preserve"> i</w:t>
      </w:r>
      <w:r w:rsidR="003A2F7E">
        <w:rPr>
          <w:szCs w:val="22"/>
        </w:rPr>
        <w:t>s authorized to receive Stage 2 support, w</w:t>
      </w:r>
      <w:r w:rsidR="00DB6753">
        <w:rPr>
          <w:szCs w:val="22"/>
        </w:rPr>
        <w:t>e no longer have a need to preserve the confidentiality of all application information</w:t>
      </w:r>
      <w:r w:rsidR="00E63DA3">
        <w:rPr>
          <w:szCs w:val="22"/>
        </w:rPr>
        <w:t xml:space="preserve">, at which </w:t>
      </w:r>
      <w:r w:rsidR="00E63DA3">
        <w:rPr>
          <w:szCs w:val="22"/>
        </w:rPr>
        <w:t xml:space="preserve">time </w:t>
      </w:r>
      <w:r w:rsidR="00DB6753">
        <w:rPr>
          <w:szCs w:val="22"/>
        </w:rPr>
        <w:t>we will make availab</w:t>
      </w:r>
      <w:r w:rsidR="009A7989">
        <w:rPr>
          <w:szCs w:val="22"/>
        </w:rPr>
        <w:t xml:space="preserve">le certain </w:t>
      </w:r>
      <w:r>
        <w:rPr>
          <w:szCs w:val="22"/>
        </w:rPr>
        <w:t xml:space="preserve">application </w:t>
      </w:r>
      <w:r w:rsidR="009A7989">
        <w:rPr>
          <w:szCs w:val="22"/>
        </w:rPr>
        <w:t>information consistent with our interest in a transparent competit</w:t>
      </w:r>
      <w:r w:rsidR="003D2482">
        <w:rPr>
          <w:szCs w:val="22"/>
        </w:rPr>
        <w:t>ive process.</w:t>
      </w:r>
      <w:r>
        <w:rPr>
          <w:rStyle w:val="FootnoteReference"/>
          <w:szCs w:val="22"/>
        </w:rPr>
        <w:footnoteReference w:id="6"/>
      </w:r>
    </w:p>
    <w:p w:rsidR="003F39D8" w:rsidP="007B3728" w14:paraId="43128765" w14:textId="616A3EA6">
      <w:pPr>
        <w:pStyle w:val="Heading1"/>
      </w:pPr>
      <w:r>
        <w:t xml:space="preserve">additional </w:t>
      </w:r>
      <w:r w:rsidR="00F63AC8">
        <w:t>information required</w:t>
      </w:r>
      <w:r w:rsidR="001769E5">
        <w:t xml:space="preserve"> FROM WINNING APPLICANTS</w:t>
      </w:r>
    </w:p>
    <w:p w:rsidR="00123E8D" w:rsidP="007B3728" w14:paraId="4D250D6B" w14:textId="43603F02">
      <w:pPr>
        <w:pStyle w:val="Heading2"/>
      </w:pPr>
      <w:r w:rsidRPr="008C32FC">
        <w:t>Eligible Telecommunications Carrier</w:t>
      </w:r>
      <w:r>
        <w:t xml:space="preserve"> </w:t>
      </w:r>
      <w:r w:rsidR="00EB2EA0">
        <w:t>Designation Orders and Certifications</w:t>
      </w:r>
      <w:r>
        <w:t xml:space="preserve"> </w:t>
      </w:r>
    </w:p>
    <w:p w:rsidR="00A10E97" w:rsidRPr="00495FCC" w:rsidP="007B3728" w14:paraId="4E234093" w14:textId="55B8045B">
      <w:pPr>
        <w:numPr>
          <w:ilvl w:val="0"/>
          <w:numId w:val="7"/>
        </w:numPr>
        <w:spacing w:after="120"/>
        <w:ind w:left="0" w:firstLine="720"/>
      </w:pPr>
      <w:r w:rsidRPr="535F9AD1">
        <w:t>The w</w:t>
      </w:r>
      <w:r w:rsidRPr="535F9AD1" w:rsidR="0029506F">
        <w:t>inning applicant</w:t>
      </w:r>
      <w:r w:rsidRPr="535F9AD1" w:rsidR="00ED5A77">
        <w:t xml:space="preserve"> listed in Attachment A</w:t>
      </w:r>
      <w:r w:rsidR="0029506F">
        <w:rPr>
          <w:szCs w:val="22"/>
        </w:rPr>
        <w:t xml:space="preserve"> </w:t>
      </w:r>
      <w:r w:rsidRPr="535F9AD1">
        <w:t>is</w:t>
      </w:r>
      <w:r w:rsidRPr="535F9AD1" w:rsidR="0029506F">
        <w:t xml:space="preserve"> required to certify that </w:t>
      </w:r>
      <w:r w:rsidRPr="535F9AD1">
        <w:t>it is</w:t>
      </w:r>
      <w:r w:rsidRPr="535F9AD1" w:rsidR="0029506F">
        <w:t xml:space="preserve"> an ETC throughout</w:t>
      </w:r>
      <w:r w:rsidRPr="535F9AD1" w:rsidR="00B9545B">
        <w:t xml:space="preserve"> its</w:t>
      </w:r>
      <w:r w:rsidRPr="535F9AD1" w:rsidR="0029506F">
        <w:t xml:space="preserve"> service areas and to submit appropriate documentation supporting such certification to the Bureau.</w:t>
      </w:r>
      <w:r>
        <w:rPr>
          <w:rStyle w:val="FootnoteReference"/>
        </w:rPr>
        <w:footnoteReference w:id="7"/>
      </w:r>
      <w:r w:rsidR="0029506F">
        <w:rPr>
          <w:szCs w:val="22"/>
        </w:rPr>
        <w:t xml:space="preserve">  </w:t>
      </w:r>
      <w:r w:rsidRPr="535F9AD1" w:rsidR="001F6942">
        <w:t>The w</w:t>
      </w:r>
      <w:r w:rsidRPr="535F9AD1" w:rsidR="00C402F5">
        <w:t xml:space="preserve">inning applicant </w:t>
      </w:r>
      <w:r w:rsidRPr="535F9AD1" w:rsidR="001F6942">
        <w:t xml:space="preserve">must submit </w:t>
      </w:r>
      <w:r w:rsidRPr="535F9AD1" w:rsidR="0029506F">
        <w:t xml:space="preserve">the required ETC </w:t>
      </w:r>
      <w:r w:rsidRPr="535F9AD1" w:rsidR="001F6942">
        <w:t xml:space="preserve">certification from an officer of the company certifying that the applicant’s </w:t>
      </w:r>
      <w:r w:rsidRPr="535F9AD1" w:rsidR="00C402F5">
        <w:t>high-cost</w:t>
      </w:r>
      <w:r w:rsidRPr="535F9AD1" w:rsidR="002B33BE">
        <w:t xml:space="preserve"> ETC</w:t>
      </w:r>
      <w:r w:rsidR="00C402F5">
        <w:rPr>
          <w:szCs w:val="22"/>
        </w:rPr>
        <w:t xml:space="preserve"> </w:t>
      </w:r>
      <w:r w:rsidRPr="535F9AD1" w:rsidR="001035A8">
        <w:t>designation</w:t>
      </w:r>
      <w:r w:rsidRPr="535F9AD1" w:rsidR="001F6942">
        <w:t xml:space="preserve"> covers the relevant areas where the applicant will receive support as shown in Attachment A of this Public Notic</w:t>
      </w:r>
      <w:r w:rsidRPr="535F9AD1" w:rsidR="00C84C15">
        <w:t>e</w:t>
      </w:r>
      <w:r w:rsidR="001F6942">
        <w:rPr>
          <w:szCs w:val="22"/>
        </w:rPr>
        <w:t>.</w:t>
      </w:r>
      <w:r w:rsidR="001035A8">
        <w:rPr>
          <w:szCs w:val="22"/>
        </w:rPr>
        <w:t xml:space="preserve"> </w:t>
      </w:r>
      <w:r w:rsidR="002B33BE">
        <w:rPr>
          <w:szCs w:val="22"/>
        </w:rPr>
        <w:t xml:space="preserve"> </w:t>
      </w:r>
      <w:r w:rsidRPr="535F9AD1" w:rsidR="002B33BE">
        <w:rPr>
          <w:b/>
          <w:bCs/>
        </w:rPr>
        <w:t>The</w:t>
      </w:r>
      <w:r w:rsidRPr="535F9AD1" w:rsidR="00236EE3">
        <w:rPr>
          <w:b/>
          <w:bCs/>
        </w:rPr>
        <w:t xml:space="preserve"> deadline for</w:t>
      </w:r>
      <w:r w:rsidRPr="535F9AD1" w:rsidR="002B33BE">
        <w:rPr>
          <w:b/>
          <w:bCs/>
        </w:rPr>
        <w:t xml:space="preserve"> winning applicants </w:t>
      </w:r>
      <w:r w:rsidRPr="535F9AD1" w:rsidR="00236EE3">
        <w:rPr>
          <w:b/>
          <w:bCs/>
        </w:rPr>
        <w:t xml:space="preserve">to </w:t>
      </w:r>
      <w:r w:rsidRPr="535F9AD1" w:rsidR="002B33BE">
        <w:rPr>
          <w:b/>
          <w:bCs/>
        </w:rPr>
        <w:t xml:space="preserve">submit this required </w:t>
      </w:r>
      <w:r w:rsidRPr="535F9AD1" w:rsidR="0029506F">
        <w:rPr>
          <w:b/>
          <w:bCs/>
        </w:rPr>
        <w:t xml:space="preserve">ETC </w:t>
      </w:r>
      <w:r w:rsidRPr="535F9AD1" w:rsidR="002B33BE">
        <w:rPr>
          <w:b/>
          <w:bCs/>
        </w:rPr>
        <w:t xml:space="preserve">certification </w:t>
      </w:r>
      <w:r w:rsidRPr="535F9AD1" w:rsidR="009C3A22">
        <w:rPr>
          <w:b/>
          <w:bCs/>
        </w:rPr>
        <w:t xml:space="preserve">is </w:t>
      </w:r>
      <w:r w:rsidRPr="535F9AD1" w:rsidR="002B33BE">
        <w:rPr>
          <w:b/>
          <w:bCs/>
        </w:rPr>
        <w:t xml:space="preserve">6 p.m. ET on </w:t>
      </w:r>
      <w:r w:rsidRPr="535F9AD1" w:rsidR="3DE3CF8C">
        <w:rPr>
          <w:b/>
          <w:bCs/>
        </w:rPr>
        <w:t>December 1,</w:t>
      </w:r>
      <w:r w:rsidRPr="535F9AD1" w:rsidR="002B33BE">
        <w:rPr>
          <w:b/>
          <w:bCs/>
        </w:rPr>
        <w:t xml:space="preserve"> 2020</w:t>
      </w:r>
      <w:r w:rsidRPr="535F9AD1" w:rsidR="0029506F">
        <w:rPr>
          <w:b/>
          <w:bCs/>
        </w:rPr>
        <w:t>,</w:t>
      </w:r>
      <w:r w:rsidRPr="535F9AD1" w:rsidR="002B33BE">
        <w:rPr>
          <w:b/>
          <w:bCs/>
        </w:rPr>
        <w:t xml:space="preserve"> via e-mail to ConnectAmerica@fcc.gov.</w:t>
      </w:r>
      <w:r w:rsidRPr="00E157C7" w:rsidR="005E23F7">
        <w:rPr>
          <w:snapToGrid/>
          <w:kern w:val="0"/>
          <w:szCs w:val="22"/>
        </w:rPr>
        <w:t xml:space="preserve">  </w:t>
      </w:r>
    </w:p>
    <w:p w:rsidR="00495FCC" w:rsidRPr="009F4EBC" w:rsidP="007B3728" w14:paraId="485DDCB6" w14:textId="55F5B3A2">
      <w:pPr>
        <w:numPr>
          <w:ilvl w:val="0"/>
          <w:numId w:val="7"/>
        </w:numPr>
        <w:spacing w:after="120"/>
        <w:ind w:left="0" w:firstLine="720"/>
      </w:pPr>
      <w:r>
        <w:t xml:space="preserve">The </w:t>
      </w:r>
      <w:r>
        <w:t>winning applicant listed in Attachment A ha</w:t>
      </w:r>
      <w:r>
        <w:t>s</w:t>
      </w:r>
      <w:r>
        <w:t xml:space="preserve"> submitted a copy of </w:t>
      </w:r>
      <w:r w:rsidR="002567C6">
        <w:t>its</w:t>
      </w:r>
      <w:r>
        <w:t xml:space="preserve"> ETC designation orders.  </w:t>
      </w:r>
      <w:r w:rsidR="00EB2EA0">
        <w:t>I</w:t>
      </w:r>
      <w:r>
        <w:t xml:space="preserve">n the event the ETC designation order does not cover the relevant areas where an applicant will receive support as identified in Attachment A, the winning applicant </w:t>
      </w:r>
      <w:r w:rsidR="00EB2EA0">
        <w:t xml:space="preserve">must </w:t>
      </w:r>
      <w:r>
        <w:t xml:space="preserve">submit a new or </w:t>
      </w:r>
      <w:r w:rsidR="00D96FA9">
        <w:t>updated</w:t>
      </w:r>
      <w:r>
        <w:t xml:space="preserve"> ETC designation order that covers all relevant areas along with a certification from a company officer and other appropriate supporting documentation to the Bureau.</w:t>
      </w:r>
      <w:r>
        <w:rPr>
          <w:rStyle w:val="FootnoteReference"/>
        </w:rPr>
        <w:footnoteReference w:id="8"/>
      </w:r>
      <w:r>
        <w:t xml:space="preserve">  </w:t>
      </w:r>
      <w:r w:rsidRPr="00495FCC">
        <w:rPr>
          <w:b/>
          <w:bCs/>
        </w:rPr>
        <w:t xml:space="preserve">The deadline for </w:t>
      </w:r>
      <w:r w:rsidR="002567C6">
        <w:rPr>
          <w:b/>
          <w:bCs/>
        </w:rPr>
        <w:t xml:space="preserve">the </w:t>
      </w:r>
      <w:r w:rsidRPr="00495FCC">
        <w:rPr>
          <w:b/>
          <w:bCs/>
        </w:rPr>
        <w:t xml:space="preserve">winning applicant to submit the </w:t>
      </w:r>
      <w:r w:rsidR="00755AC5">
        <w:rPr>
          <w:b/>
          <w:bCs/>
        </w:rPr>
        <w:t xml:space="preserve">new or </w:t>
      </w:r>
      <w:r w:rsidR="00D96FA9">
        <w:rPr>
          <w:b/>
          <w:bCs/>
        </w:rPr>
        <w:t>updated</w:t>
      </w:r>
      <w:r w:rsidR="00755AC5">
        <w:rPr>
          <w:b/>
          <w:bCs/>
        </w:rPr>
        <w:t xml:space="preserve"> </w:t>
      </w:r>
      <w:r w:rsidRPr="00495FCC">
        <w:rPr>
          <w:b/>
          <w:bCs/>
        </w:rPr>
        <w:t xml:space="preserve">ETC designation order, certification, and supporting documentation is 6 p.m. ET on </w:t>
      </w:r>
      <w:r w:rsidRPr="00495FCC" w:rsidR="4823506A">
        <w:rPr>
          <w:b/>
          <w:bCs/>
        </w:rPr>
        <w:t xml:space="preserve">February 5, </w:t>
      </w:r>
      <w:r w:rsidRPr="00495FCC">
        <w:rPr>
          <w:b/>
          <w:bCs/>
        </w:rPr>
        <w:t>2020, via e-mail to ConnectAmerica@fcc.gov</w:t>
      </w:r>
      <w:r>
        <w:rPr>
          <w:b/>
          <w:bCs/>
        </w:rPr>
        <w:t>.</w:t>
      </w:r>
    </w:p>
    <w:p w:rsidR="007F55AA" w:rsidP="007B3728" w14:paraId="74EC353C" w14:textId="63DEF759">
      <w:pPr>
        <w:pStyle w:val="Heading2"/>
      </w:pPr>
      <w:r w:rsidRPr="0094404A">
        <w:t xml:space="preserve">Irrevocable </w:t>
      </w:r>
      <w:r w:rsidRPr="0094404A" w:rsidR="00073FB7">
        <w:t>Letters of Credit</w:t>
      </w:r>
      <w:r w:rsidR="008F715C">
        <w:t xml:space="preserve"> and Bankruptcy Letter</w:t>
      </w:r>
      <w:r w:rsidRPr="0094404A" w:rsidR="00073FB7">
        <w:t xml:space="preserve">  </w:t>
      </w:r>
    </w:p>
    <w:p w:rsidR="0029506F" w:rsidRPr="0029506F" w:rsidP="007B3728" w14:paraId="3034FF9B" w14:textId="02CD43A9">
      <w:pPr>
        <w:numPr>
          <w:ilvl w:val="0"/>
          <w:numId w:val="7"/>
        </w:numPr>
        <w:spacing w:after="120"/>
        <w:ind w:left="0" w:firstLine="720"/>
      </w:pPr>
      <w:r>
        <w:t>Pursuant to section 54.1508(a) of the Commission’s rules, the winning applicant identified in Attachment A must submit an irrevocable stand-by letter(s) of credit, issued in substantially the same form as set forth in the model letter of credit by a bank that is acceptable to the Commission by</w:t>
      </w:r>
      <w:r w:rsidRPr="13B99A06">
        <w:rPr>
          <w:b/>
          <w:bCs/>
        </w:rPr>
        <w:t xml:space="preserve"> 6:00 p.m. ET on </w:t>
      </w:r>
      <w:r w:rsidRPr="13B99A06" w:rsidR="15D663EC">
        <w:rPr>
          <w:b/>
          <w:bCs/>
          <w:szCs w:val="22"/>
        </w:rPr>
        <w:t>December 1</w:t>
      </w:r>
      <w:r w:rsidRPr="13B99A06" w:rsidR="727595E1">
        <w:rPr>
          <w:b/>
          <w:bCs/>
          <w:szCs w:val="22"/>
        </w:rPr>
        <w:t xml:space="preserve">, </w:t>
      </w:r>
      <w:r w:rsidRPr="10098B29">
        <w:rPr>
          <w:b/>
          <w:bCs/>
        </w:rPr>
        <w:t>2020</w:t>
      </w:r>
      <w:r w:rsidRPr="10098B29" w:rsidR="000711D3">
        <w:rPr>
          <w:b/>
          <w:bCs/>
        </w:rPr>
        <w:t>.</w:t>
      </w:r>
      <w:r>
        <w:rPr>
          <w:vertAlign w:val="superscript"/>
        </w:rPr>
        <w:footnoteReference w:id="9"/>
      </w:r>
      <w:r w:rsidRPr="000C4112">
        <w:rPr>
          <w:vertAlign w:val="superscript"/>
        </w:rPr>
        <w:t xml:space="preserve"> </w:t>
      </w:r>
      <w:r w:rsidRPr="10098B29">
        <w:rPr>
          <w:b/>
          <w:bCs/>
        </w:rPr>
        <w:t xml:space="preserve"> </w:t>
      </w:r>
      <w:r w:rsidRPr="10098B29" w:rsidR="00CB657E">
        <w:t>A copy of t</w:t>
      </w:r>
      <w:r w:rsidRPr="10098B29" w:rsidR="0005758A">
        <w:t xml:space="preserve">he model letter of credit is attached as </w:t>
      </w:r>
      <w:r w:rsidRPr="10098B29" w:rsidR="004D0655">
        <w:t>Attachment B to this Public Notice.</w:t>
      </w:r>
      <w:r>
        <w:rPr>
          <w:vertAlign w:val="superscript"/>
        </w:rPr>
        <w:footnoteReference w:id="10"/>
      </w:r>
    </w:p>
    <w:p w:rsidR="006E7985" w:rsidRPr="00581235" w:rsidP="007B3728" w14:paraId="50CA99D1" w14:textId="0BD594F7">
      <w:pPr>
        <w:numPr>
          <w:ilvl w:val="0"/>
          <w:numId w:val="7"/>
        </w:numPr>
        <w:spacing w:after="120"/>
        <w:ind w:left="0" w:firstLine="720"/>
      </w:pPr>
      <w:r>
        <w:t>The winning applicant must submit to the</w:t>
      </w:r>
      <w:r w:rsidR="008A2A4E">
        <w:t xml:space="preserve"> </w:t>
      </w:r>
      <w:r w:rsidRPr="10098B29" w:rsidR="008A2A4E">
        <w:t>Universal Service Administrative Company</w:t>
      </w:r>
      <w:r>
        <w:t xml:space="preserve"> </w:t>
      </w:r>
      <w:r w:rsidR="008A2A4E">
        <w:t>(</w:t>
      </w:r>
      <w:r>
        <w:t>USAC</w:t>
      </w:r>
      <w:r w:rsidR="008A2A4E">
        <w:t>)</w:t>
      </w:r>
      <w:r>
        <w:t xml:space="preserve"> </w:t>
      </w:r>
      <w:r w:rsidR="00BB1FBA">
        <w:t xml:space="preserve">an </w:t>
      </w:r>
      <w:r w:rsidRPr="10098B29" w:rsidR="00BB1FBA">
        <w:t>irrevocable</w:t>
      </w:r>
      <w:r w:rsidR="00BB1FBA">
        <w:t xml:space="preserve"> standby letter of credit at the</w:t>
      </w:r>
      <w:r w:rsidR="00A20B50">
        <w:t xml:space="preserve"> appropriate</w:t>
      </w:r>
      <w:r w:rsidR="00BB1FBA">
        <w:t xml:space="preserve"> value specified </w:t>
      </w:r>
      <w:r w:rsidR="00796162">
        <w:t xml:space="preserve">by the Commission </w:t>
      </w:r>
      <w:r w:rsidR="00BB1FBA">
        <w:t>from a</w:t>
      </w:r>
      <w:r w:rsidR="00796162">
        <w:t>n</w:t>
      </w:r>
      <w:r w:rsidR="00BB1FBA">
        <w:t xml:space="preserve"> acceptable</w:t>
      </w:r>
      <w:r w:rsidR="00796162">
        <w:t xml:space="preserve"> bank</w:t>
      </w:r>
      <w:r w:rsidR="002F3664">
        <w:t xml:space="preserve"> that covers all areas </w:t>
      </w:r>
      <w:r w:rsidR="00BB1FBA">
        <w:t>where the applicant is seeking to be authorized</w:t>
      </w:r>
      <w:r w:rsidRPr="0094404A" w:rsidR="00BB1FBA">
        <w:rPr>
          <w:szCs w:val="22"/>
        </w:rPr>
        <w:t>.</w:t>
      </w:r>
      <w:r>
        <w:rPr>
          <w:rStyle w:val="FootnoteReference"/>
        </w:rPr>
        <w:footnoteReference w:id="11"/>
      </w:r>
      <w:r w:rsidRPr="0094404A" w:rsidR="00BB1FBA">
        <w:rPr>
          <w:szCs w:val="22"/>
        </w:rPr>
        <w:t xml:space="preserve">  </w:t>
      </w:r>
      <w:r w:rsidRPr="10098B29" w:rsidR="007F2DBE">
        <w:t xml:space="preserve">The </w:t>
      </w:r>
      <w:r w:rsidRPr="10098B29" w:rsidR="00A56107">
        <w:t>support</w:t>
      </w:r>
      <w:r w:rsidRPr="10098B29" w:rsidR="00AA2626">
        <w:t xml:space="preserve"> recipients should </w:t>
      </w:r>
      <w:r w:rsidRPr="10098B29" w:rsidR="008A2A4E">
        <w:t xml:space="preserve">also </w:t>
      </w:r>
      <w:r w:rsidRPr="10098B29" w:rsidR="00AA2626">
        <w:t xml:space="preserve">carefully </w:t>
      </w:r>
      <w:r w:rsidRPr="10098B29">
        <w:t>review the letter of credit requirements in section</w:t>
      </w:r>
      <w:r w:rsidRPr="10098B29" w:rsidR="00581235">
        <w:t>s</w:t>
      </w:r>
      <w:r w:rsidRPr="10098B29">
        <w:t xml:space="preserve"> 54.</w:t>
      </w:r>
      <w:r w:rsidRPr="10098B29" w:rsidR="000B5F33">
        <w:t>15</w:t>
      </w:r>
      <w:r w:rsidRPr="10098B29" w:rsidR="006130B9">
        <w:t>08 and 54.804(c)</w:t>
      </w:r>
      <w:r w:rsidRPr="00581235">
        <w:rPr>
          <w:szCs w:val="22"/>
        </w:rPr>
        <w:t xml:space="preserve"> </w:t>
      </w:r>
      <w:r w:rsidRPr="10098B29">
        <w:t>of the Commission’s rules</w:t>
      </w:r>
      <w:r w:rsidRPr="10098B29" w:rsidR="00665DC3">
        <w:t xml:space="preserve">, and in the </w:t>
      </w:r>
      <w:r w:rsidRPr="13B99A06" w:rsidR="00665DC3">
        <w:rPr>
          <w:i/>
          <w:iCs/>
        </w:rPr>
        <w:t>PR-USVI Stage 2 Order</w:t>
      </w:r>
      <w:r w:rsidR="000711D3">
        <w:rPr>
          <w:szCs w:val="22"/>
        </w:rPr>
        <w:t>,</w:t>
      </w:r>
      <w:r w:rsidR="009C3A22">
        <w:rPr>
          <w:szCs w:val="22"/>
        </w:rPr>
        <w:t xml:space="preserve"> </w:t>
      </w:r>
      <w:r w:rsidRPr="13B99A06" w:rsidR="006961D1">
        <w:rPr>
          <w:i/>
          <w:iCs/>
        </w:rPr>
        <w:t>Procedures Public Notice</w:t>
      </w:r>
      <w:r w:rsidRPr="00581235">
        <w:rPr>
          <w:szCs w:val="22"/>
        </w:rPr>
        <w:t xml:space="preserve">, </w:t>
      </w:r>
      <w:r w:rsidRPr="10098B29" w:rsidR="000711D3">
        <w:t xml:space="preserve">and </w:t>
      </w:r>
      <w:r w:rsidRPr="13B99A06" w:rsidR="000711D3">
        <w:rPr>
          <w:i/>
          <w:iCs/>
        </w:rPr>
        <w:t>LOC Waiver Order</w:t>
      </w:r>
      <w:r w:rsidR="000711D3">
        <w:rPr>
          <w:szCs w:val="22"/>
        </w:rPr>
        <w:t xml:space="preserve">, </w:t>
      </w:r>
      <w:r w:rsidRPr="10098B29">
        <w:t>which are summarized below</w:t>
      </w:r>
      <w:r w:rsidRPr="10098B29" w:rsidR="00060054">
        <w:t xml:space="preserve"> and </w:t>
      </w:r>
      <w:r w:rsidRPr="10098B29" w:rsidR="005669C6">
        <w:t xml:space="preserve">available </w:t>
      </w:r>
      <w:r w:rsidRPr="10098B29" w:rsidR="00100A92">
        <w:t xml:space="preserve">on the Commission’s website:  </w:t>
      </w:r>
      <w:hyperlink r:id="rId5" w:history="1">
        <w:r w:rsidRPr="10098B29" w:rsidR="008F6AB3">
          <w:rPr>
            <w:rStyle w:val="Hyperlink"/>
          </w:rPr>
          <w:t>https://www.fcc.gov/uniendo-puerto-rico-and-connect-usvi-fund-stage-2</w:t>
        </w:r>
      </w:hyperlink>
      <w:r w:rsidR="00060054">
        <w:rPr>
          <w:bCs/>
        </w:rPr>
        <w:t xml:space="preserve">. </w:t>
      </w:r>
      <w:r w:rsidRPr="10098B29" w:rsidR="008A2A4E">
        <w:rPr>
          <w:b/>
          <w:bCs/>
        </w:rPr>
        <w:t xml:space="preserve"> </w:t>
      </w:r>
      <w:r w:rsidRPr="10098B29" w:rsidR="008A2A4E">
        <w:t xml:space="preserve">Prior to submitting </w:t>
      </w:r>
      <w:r w:rsidRPr="10098B29" w:rsidR="00A56107">
        <w:t>its</w:t>
      </w:r>
      <w:r w:rsidRPr="10098B29" w:rsidR="008A2A4E">
        <w:t xml:space="preserve"> letters of </w:t>
      </w:r>
      <w:r w:rsidRPr="10098B29" w:rsidR="008A2A4E">
        <w:t>credit,</w:t>
      </w:r>
      <w:r w:rsidRPr="00C84C15" w:rsidR="008A2A4E">
        <w:rPr>
          <w:bCs/>
        </w:rPr>
        <w:t xml:space="preserve"> </w:t>
      </w:r>
      <w:r w:rsidRPr="10098B29" w:rsidR="008A2A4E">
        <w:t>we also encourage the winning applicant to view and share with their issuing banks the Letter of Credit Common Errors List available on</w:t>
      </w:r>
      <w:r w:rsidR="008A2A4E">
        <w:rPr>
          <w:bCs/>
        </w:rPr>
        <w:t xml:space="preserve"> </w:t>
      </w:r>
      <w:r w:rsidRPr="10098B29" w:rsidR="008A2A4E">
        <w:t>USAC’s website:</w:t>
      </w:r>
      <w:r w:rsidRPr="10098B29" w:rsidR="008A2A4E">
        <w:rPr>
          <w:b/>
          <w:bCs/>
        </w:rPr>
        <w:t xml:space="preserve"> </w:t>
      </w:r>
      <w:hyperlink r:id="rId6" w:history="1">
        <w:r w:rsidRPr="000C4112" w:rsidR="008A2A4E">
          <w:rPr>
            <w:rStyle w:val="Hyperlink"/>
          </w:rPr>
          <w:t>https://www.usac.org/hc/funds/caf-phase-ii-auction.aspx</w:t>
        </w:r>
      </w:hyperlink>
      <w:r w:rsidRPr="000C4112" w:rsidR="008A2A4E">
        <w:t>.</w:t>
      </w:r>
    </w:p>
    <w:p w:rsidR="006E7985" w:rsidRPr="006E7985" w:rsidP="007B3728" w14:paraId="077BD659" w14:textId="0EC891F3">
      <w:pPr>
        <w:numPr>
          <w:ilvl w:val="0"/>
          <w:numId w:val="8"/>
        </w:numPr>
        <w:spacing w:after="120"/>
        <w:rPr>
          <w:szCs w:val="22"/>
        </w:rPr>
      </w:pPr>
      <w:r w:rsidRPr="006E7985">
        <w:rPr>
          <w:szCs w:val="22"/>
        </w:rPr>
        <w:t xml:space="preserve">The letter(s) of credit must cover the first year of support for </w:t>
      </w:r>
      <w:r w:rsidR="00A43A33">
        <w:rPr>
          <w:szCs w:val="22"/>
        </w:rPr>
        <w:t xml:space="preserve">all winning areas of </w:t>
      </w:r>
      <w:r w:rsidR="00AA0A3E">
        <w:rPr>
          <w:szCs w:val="22"/>
        </w:rPr>
        <w:t>the U.S. Virgin Islands</w:t>
      </w:r>
      <w:r w:rsidRPr="006E7985">
        <w:rPr>
          <w:szCs w:val="22"/>
        </w:rPr>
        <w:t xml:space="preserve">, at a minimum.  </w:t>
      </w:r>
      <w:r w:rsidRPr="000C4112" w:rsidR="00EA6BB8">
        <w:rPr>
          <w:color w:val="000000"/>
          <w:szCs w:val="22"/>
        </w:rPr>
        <w:t xml:space="preserve">The </w:t>
      </w:r>
      <w:r w:rsidR="00E000A5">
        <w:rPr>
          <w:color w:val="000000"/>
          <w:szCs w:val="22"/>
        </w:rPr>
        <w:t>winning applicant may determine</w:t>
      </w:r>
      <w:r w:rsidR="001918F4">
        <w:rPr>
          <w:color w:val="000000"/>
          <w:szCs w:val="22"/>
        </w:rPr>
        <w:t xml:space="preserve"> the </w:t>
      </w:r>
      <w:r w:rsidRPr="000C4112" w:rsidR="00EA6BB8">
        <w:rPr>
          <w:color w:val="000000"/>
          <w:szCs w:val="22"/>
        </w:rPr>
        <w:t xml:space="preserve">minimum amount of the first letter of credit is determined by adding up the </w:t>
      </w:r>
      <w:r w:rsidR="006D337F">
        <w:rPr>
          <w:color w:val="000000"/>
          <w:szCs w:val="22"/>
        </w:rPr>
        <w:t>annual</w:t>
      </w:r>
      <w:r w:rsidRPr="000C4112" w:rsidR="00EA6BB8">
        <w:rPr>
          <w:color w:val="000000"/>
          <w:szCs w:val="22"/>
        </w:rPr>
        <w:t xml:space="preserve"> support listed in Attachment A for each winning </w:t>
      </w:r>
      <w:r w:rsidR="00EA6BB8">
        <w:rPr>
          <w:color w:val="000000"/>
          <w:szCs w:val="22"/>
        </w:rPr>
        <w:t>proposal</w:t>
      </w:r>
      <w:r w:rsidRPr="000C4112" w:rsidR="00EA6BB8">
        <w:rPr>
          <w:color w:val="000000"/>
          <w:szCs w:val="22"/>
        </w:rPr>
        <w:t xml:space="preserve">. </w:t>
      </w:r>
      <w:r w:rsidRPr="006E7985">
        <w:rPr>
          <w:szCs w:val="22"/>
        </w:rPr>
        <w:t xml:space="preserve">An applicant may obtain multiple letters of credit to cover all the </w:t>
      </w:r>
      <w:r w:rsidR="00A43A33">
        <w:rPr>
          <w:szCs w:val="22"/>
        </w:rPr>
        <w:t>winning areas</w:t>
      </w:r>
      <w:r w:rsidRPr="006E7985">
        <w:rPr>
          <w:szCs w:val="22"/>
        </w:rPr>
        <w:t xml:space="preserve"> in </w:t>
      </w:r>
      <w:r w:rsidR="005F388B">
        <w:rPr>
          <w:szCs w:val="22"/>
        </w:rPr>
        <w:t>the U.S. Virgin Islands</w:t>
      </w:r>
      <w:r w:rsidR="00E4068F">
        <w:rPr>
          <w:szCs w:val="22"/>
        </w:rPr>
        <w:t xml:space="preserve">, </w:t>
      </w:r>
      <w:r w:rsidRPr="006E7985">
        <w:rPr>
          <w:szCs w:val="22"/>
        </w:rPr>
        <w:t xml:space="preserve">but compliance with service milestones will be reviewed on a </w:t>
      </w:r>
      <w:r w:rsidR="00CB50FF">
        <w:rPr>
          <w:szCs w:val="22"/>
        </w:rPr>
        <w:t>territory</w:t>
      </w:r>
      <w:r w:rsidRPr="006E7985">
        <w:rPr>
          <w:szCs w:val="22"/>
        </w:rPr>
        <w:t xml:space="preserve">-wide basis.  Accordingly, if a </w:t>
      </w:r>
      <w:r w:rsidR="00676C24">
        <w:rPr>
          <w:szCs w:val="22"/>
        </w:rPr>
        <w:t>support recipient</w:t>
      </w:r>
      <w:r w:rsidRPr="006E7985">
        <w:rPr>
          <w:szCs w:val="22"/>
        </w:rPr>
        <w:t xml:space="preserve"> chooses to obtain a letter of credit for each </w:t>
      </w:r>
      <w:r w:rsidR="00676C24">
        <w:rPr>
          <w:szCs w:val="22"/>
        </w:rPr>
        <w:t xml:space="preserve">proposal </w:t>
      </w:r>
      <w:r w:rsidRPr="006E7985">
        <w:rPr>
          <w:szCs w:val="22"/>
        </w:rPr>
        <w:t xml:space="preserve">in </w:t>
      </w:r>
      <w:r w:rsidR="005F388B">
        <w:rPr>
          <w:szCs w:val="22"/>
        </w:rPr>
        <w:t>the U.S. Virgin Islands</w:t>
      </w:r>
      <w:r w:rsidRPr="006E7985">
        <w:rPr>
          <w:szCs w:val="22"/>
        </w:rPr>
        <w:t xml:space="preserve"> and defaults, a draw on all the letters of credit covering </w:t>
      </w:r>
      <w:r w:rsidRPr="006E7985">
        <w:rPr>
          <w:szCs w:val="22"/>
        </w:rPr>
        <w:t>all of</w:t>
      </w:r>
      <w:r w:rsidRPr="006E7985">
        <w:rPr>
          <w:szCs w:val="22"/>
        </w:rPr>
        <w:t xml:space="preserve"> the </w:t>
      </w:r>
      <w:r w:rsidR="007C54A1">
        <w:rPr>
          <w:szCs w:val="22"/>
        </w:rPr>
        <w:t xml:space="preserve">proposals in </w:t>
      </w:r>
      <w:r w:rsidR="00B57645">
        <w:rPr>
          <w:szCs w:val="22"/>
        </w:rPr>
        <w:t>the territory</w:t>
      </w:r>
      <w:r w:rsidRPr="006E7985">
        <w:rPr>
          <w:szCs w:val="22"/>
        </w:rPr>
        <w:t xml:space="preserve"> will be authorized. </w:t>
      </w:r>
    </w:p>
    <w:p w:rsidR="006E7985" w:rsidRPr="006E7985" w:rsidP="007B3728" w14:paraId="34DACBA1" w14:textId="6336F864">
      <w:pPr>
        <w:numPr>
          <w:ilvl w:val="0"/>
          <w:numId w:val="8"/>
        </w:numPr>
        <w:spacing w:after="120"/>
        <w:rPr>
          <w:szCs w:val="22"/>
        </w:rPr>
      </w:pPr>
      <w:r w:rsidRPr="006E7985">
        <w:rPr>
          <w:szCs w:val="22"/>
        </w:rPr>
        <w:t>The letter(s) of credit must be issued in substantially the same form as set forth in the model letter of credit provided in A</w:t>
      </w:r>
      <w:r w:rsidR="00B57645">
        <w:rPr>
          <w:szCs w:val="22"/>
        </w:rPr>
        <w:t>ttachment B of this Public Notice</w:t>
      </w:r>
      <w:r w:rsidR="000711D3">
        <w:rPr>
          <w:i/>
          <w:iCs/>
          <w:szCs w:val="22"/>
        </w:rPr>
        <w:t>.</w:t>
      </w:r>
      <w:r>
        <w:rPr>
          <w:rStyle w:val="FootnoteReference"/>
          <w:szCs w:val="22"/>
        </w:rPr>
        <w:footnoteReference w:id="12"/>
      </w:r>
      <w:r w:rsidRPr="006E7985">
        <w:rPr>
          <w:szCs w:val="22"/>
        </w:rPr>
        <w:t xml:space="preserve"> </w:t>
      </w:r>
    </w:p>
    <w:p w:rsidR="006E7985" w:rsidRPr="006E7985" w:rsidP="007B3728" w14:paraId="48C2BB46" w14:textId="4F6A50B5">
      <w:pPr>
        <w:numPr>
          <w:ilvl w:val="0"/>
          <w:numId w:val="8"/>
        </w:numPr>
        <w:spacing w:after="120"/>
        <w:rPr>
          <w:szCs w:val="22"/>
        </w:rPr>
      </w:pPr>
      <w:r w:rsidRPr="006E7985">
        <w:rPr>
          <w:szCs w:val="22"/>
        </w:rPr>
        <w:t xml:space="preserve">The </w:t>
      </w:r>
      <w:r w:rsidR="007C54A1">
        <w:rPr>
          <w:szCs w:val="22"/>
        </w:rPr>
        <w:t>support recipient</w:t>
      </w:r>
      <w:r w:rsidRPr="006E7985">
        <w:rPr>
          <w:szCs w:val="22"/>
        </w:rPr>
        <w:t xml:space="preserve"> must be the entity that is named in the letter(s) of credit</w:t>
      </w:r>
      <w:r w:rsidR="00B920E6">
        <w:rPr>
          <w:szCs w:val="22"/>
        </w:rPr>
        <w:t>.</w:t>
      </w:r>
      <w:r w:rsidRPr="006E7985">
        <w:rPr>
          <w:szCs w:val="22"/>
        </w:rPr>
        <w:t xml:space="preserve"> </w:t>
      </w:r>
    </w:p>
    <w:p w:rsidR="00FE666D" w:rsidP="007B3728" w14:paraId="073AEAD7" w14:textId="77777777">
      <w:pPr>
        <w:numPr>
          <w:ilvl w:val="0"/>
          <w:numId w:val="8"/>
        </w:numPr>
        <w:spacing w:after="120"/>
        <w:rPr>
          <w:szCs w:val="22"/>
        </w:rPr>
      </w:pPr>
      <w:r w:rsidRPr="006E7985">
        <w:rPr>
          <w:szCs w:val="22"/>
        </w:rPr>
        <w:t>The letter(s) of credit must be issued by a qualified bank.  The issuing bank eligibility requirements are described in section 54.</w:t>
      </w:r>
      <w:r w:rsidR="00B920E6">
        <w:rPr>
          <w:szCs w:val="22"/>
        </w:rPr>
        <w:t>1508</w:t>
      </w:r>
      <w:r w:rsidRPr="006E7985">
        <w:rPr>
          <w:szCs w:val="22"/>
        </w:rPr>
        <w:t xml:space="preserve">(c) of the Commission’s rules. </w:t>
      </w:r>
    </w:p>
    <w:p w:rsidR="006E7985" w:rsidRPr="006E7985" w:rsidP="007B3728" w14:paraId="719759D3" w14:textId="4644C8FC">
      <w:pPr>
        <w:numPr>
          <w:ilvl w:val="0"/>
          <w:numId w:val="8"/>
        </w:numPr>
        <w:spacing w:after="120"/>
        <w:rPr>
          <w:szCs w:val="22"/>
        </w:rPr>
      </w:pPr>
      <w:r>
        <w:rPr>
          <w:szCs w:val="22"/>
        </w:rPr>
        <w:t xml:space="preserve">The support recipient </w:t>
      </w:r>
      <w:r w:rsidR="00BB15D4">
        <w:rPr>
          <w:szCs w:val="22"/>
        </w:rPr>
        <w:t xml:space="preserve">shall maintain </w:t>
      </w:r>
      <w:r w:rsidR="0007435A">
        <w:rPr>
          <w:szCs w:val="22"/>
        </w:rPr>
        <w:t xml:space="preserve">the </w:t>
      </w:r>
      <w:r w:rsidR="00BB15D4">
        <w:rPr>
          <w:szCs w:val="22"/>
        </w:rPr>
        <w:t>letter</w:t>
      </w:r>
      <w:r w:rsidR="0007435A">
        <w:rPr>
          <w:szCs w:val="22"/>
        </w:rPr>
        <w:t>(s)</w:t>
      </w:r>
      <w:r w:rsidR="00BB15D4">
        <w:rPr>
          <w:szCs w:val="22"/>
        </w:rPr>
        <w:t xml:space="preserve"> of credit in an amount equal to, at a minimum, one year of support until the </w:t>
      </w:r>
      <w:r w:rsidR="00FC6AF7">
        <w:rPr>
          <w:szCs w:val="22"/>
        </w:rPr>
        <w:t>USAC</w:t>
      </w:r>
      <w:r w:rsidR="00BB15D4">
        <w:rPr>
          <w:szCs w:val="22"/>
        </w:rPr>
        <w:t xml:space="preserve"> has verified</w:t>
      </w:r>
      <w:r w:rsidR="001F7D80">
        <w:rPr>
          <w:szCs w:val="22"/>
        </w:rPr>
        <w:t xml:space="preserve"> deployment to 100 % of the determin</w:t>
      </w:r>
      <w:r w:rsidR="000E1AEC">
        <w:rPr>
          <w:szCs w:val="22"/>
        </w:rPr>
        <w:t xml:space="preserve">ed location total.  The support recipient </w:t>
      </w:r>
      <w:r>
        <w:rPr>
          <w:szCs w:val="22"/>
        </w:rPr>
        <w:t>may obtain new letter</w:t>
      </w:r>
      <w:r w:rsidR="00FC6AF7">
        <w:rPr>
          <w:szCs w:val="22"/>
        </w:rPr>
        <w:t>(s)</w:t>
      </w:r>
      <w:r>
        <w:rPr>
          <w:szCs w:val="22"/>
        </w:rPr>
        <w:t xml:space="preserve"> of credit or renew its existing letter(s) of credit so that it is valued at a</w:t>
      </w:r>
      <w:r w:rsidR="003D6BA4">
        <w:rPr>
          <w:szCs w:val="22"/>
        </w:rPr>
        <w:t>n</w:t>
      </w:r>
      <w:r>
        <w:rPr>
          <w:szCs w:val="22"/>
        </w:rPr>
        <w:t xml:space="preserve"> amount equal to one year of support</w:t>
      </w:r>
      <w:r w:rsidR="003D6BA4">
        <w:rPr>
          <w:szCs w:val="22"/>
        </w:rPr>
        <w:t xml:space="preserve"> once it meets its optional or required service milestones.</w:t>
      </w:r>
      <w:r w:rsidRPr="006E7985">
        <w:rPr>
          <w:szCs w:val="22"/>
        </w:rPr>
        <w:t xml:space="preserve"> </w:t>
      </w:r>
    </w:p>
    <w:p w:rsidR="006E7985" w:rsidRPr="006E7985" w:rsidP="007B3728" w14:paraId="68C09F96" w14:textId="086A1CB1">
      <w:pPr>
        <w:numPr>
          <w:ilvl w:val="0"/>
          <w:numId w:val="8"/>
        </w:numPr>
        <w:spacing w:after="120"/>
        <w:rPr>
          <w:szCs w:val="22"/>
        </w:rPr>
      </w:pPr>
      <w:r w:rsidRPr="006E7985">
        <w:rPr>
          <w:szCs w:val="22"/>
        </w:rPr>
        <w:t>The letter(s) of credit must remain open until the support recipient has certified that is has met the final service milestone and the USAC has verified that the build out obligation has been fulfilled</w:t>
      </w:r>
      <w:r w:rsidR="00006922">
        <w:rPr>
          <w:szCs w:val="22"/>
        </w:rPr>
        <w:t>.</w:t>
      </w:r>
      <w:r w:rsidRPr="006E7985">
        <w:rPr>
          <w:szCs w:val="22"/>
        </w:rPr>
        <w:t xml:space="preserve"> </w:t>
      </w:r>
    </w:p>
    <w:p w:rsidR="00A56966" w:rsidRPr="00EA6BB8" w:rsidP="007B3728" w14:paraId="09D834F5" w14:textId="4EE3F07D">
      <w:pPr>
        <w:numPr>
          <w:ilvl w:val="0"/>
          <w:numId w:val="7"/>
        </w:numPr>
        <w:spacing w:after="120"/>
        <w:ind w:left="0" w:firstLine="720"/>
      </w:pPr>
      <w:r w:rsidRPr="10098B29">
        <w:t xml:space="preserve">In addition, a </w:t>
      </w:r>
      <w:r>
        <w:t xml:space="preserve">winning applicant </w:t>
      </w:r>
      <w:r w:rsidRPr="10098B29">
        <w:t>will be required to provide with the letter of credit an opinion letter from legal counsel clearly stating, subject only to customary assumptions, limitations, and qualifications, that, in a proceeding under the Bankruptcy Code, the bankruptcy court would not treat the letter of credit or proceeds of the letter of credit as property of the applicant’s bankruptcy estate, or the bankruptcy estate of any other applicant-related entity requesting issuance of the letter of credit, under section 541 of the Bankruptcy Code.</w:t>
      </w:r>
      <w:r>
        <w:rPr>
          <w:rStyle w:val="FootnoteReference"/>
        </w:rPr>
        <w:footnoteReference w:id="13"/>
      </w:r>
      <w:r w:rsidR="00EA6BB8">
        <w:rPr>
          <w:szCs w:val="22"/>
        </w:rPr>
        <w:t xml:space="preserve"> </w:t>
      </w:r>
      <w:r w:rsidR="0030141E">
        <w:rPr>
          <w:szCs w:val="22"/>
        </w:rPr>
        <w:t xml:space="preserve"> </w:t>
      </w:r>
      <w:r w:rsidRPr="10098B29">
        <w:rPr>
          <w:color w:val="000000"/>
        </w:rPr>
        <w:t>The letter(s) of credit and opinion letter(s) submitted to the USAC must reference the relevant</w:t>
      </w:r>
      <w:r w:rsidRPr="10098B29" w:rsidR="005E144F">
        <w:rPr>
          <w:color w:val="000000"/>
        </w:rPr>
        <w:t xml:space="preserve"> </w:t>
      </w:r>
      <w:r w:rsidRPr="10098B29" w:rsidR="007B79CB">
        <w:rPr>
          <w:color w:val="000000"/>
        </w:rPr>
        <w:t>geographic area</w:t>
      </w:r>
      <w:r w:rsidRPr="10098B29" w:rsidR="007B79CB">
        <w:rPr>
          <w:color w:val="000000"/>
        </w:rPr>
        <w:t xml:space="preserve"> </w:t>
      </w:r>
      <w:r w:rsidRPr="10098B29" w:rsidR="00783B6E">
        <w:rPr>
          <w:color w:val="000000"/>
        </w:rPr>
        <w:t>(s)</w:t>
      </w:r>
      <w:r w:rsidRPr="10098B29">
        <w:rPr>
          <w:color w:val="000000"/>
        </w:rPr>
        <w:t xml:space="preserve"> as listed in Attachment A. </w:t>
      </w:r>
    </w:p>
    <w:p w:rsidR="00A56966" w:rsidRPr="000C4112" w:rsidP="007B3728" w14:paraId="46745213" w14:textId="74538DCB">
      <w:pPr>
        <w:widowControl/>
        <w:numPr>
          <w:ilvl w:val="0"/>
          <w:numId w:val="7"/>
        </w:numPr>
        <w:spacing w:after="120"/>
        <w:ind w:left="0" w:firstLine="720"/>
        <w:rPr>
          <w:color w:val="000000"/>
        </w:rPr>
      </w:pPr>
      <w:r w:rsidRPr="13B99A06">
        <w:rPr>
          <w:color w:val="000000" w:themeColor="text1"/>
        </w:rPr>
        <w:t xml:space="preserve">The original of the letter of credit and opinion letter must be submitted to USAC </w:t>
      </w:r>
      <w:r w:rsidRPr="13B99A06">
        <w:rPr>
          <w:b/>
          <w:bCs/>
          <w:color w:val="000000" w:themeColor="text1"/>
        </w:rPr>
        <w:t>prior to</w:t>
      </w:r>
      <w:r w:rsidRPr="13B99A06">
        <w:rPr>
          <w:color w:val="000000" w:themeColor="text1"/>
        </w:rPr>
        <w:t xml:space="preserve"> </w:t>
      </w:r>
      <w:r w:rsidRPr="13B99A06">
        <w:rPr>
          <w:b/>
          <w:bCs/>
          <w:color w:val="000000" w:themeColor="text1"/>
        </w:rPr>
        <w:t xml:space="preserve">6:00 p.m. ET on </w:t>
      </w:r>
      <w:r w:rsidRPr="13B99A06" w:rsidR="7DBEDD8F">
        <w:rPr>
          <w:b/>
          <w:bCs/>
        </w:rPr>
        <w:t>December 1</w:t>
      </w:r>
      <w:r w:rsidRPr="13B99A06">
        <w:rPr>
          <w:b/>
          <w:bCs/>
        </w:rPr>
        <w:t>, 2020</w:t>
      </w:r>
      <w:r w:rsidRPr="13B99A06" w:rsidR="008A2A4E">
        <w:rPr>
          <w:color w:val="000000" w:themeColor="text1"/>
        </w:rPr>
        <w:t>—</w:t>
      </w:r>
      <w:r w:rsidRPr="13B99A06">
        <w:rPr>
          <w:color w:val="000000" w:themeColor="text1"/>
        </w:rPr>
        <w:t xml:space="preserve">at the following address:  Universal Service Administrative Company, High Cost Program, </w:t>
      </w:r>
      <w:r w:rsidRPr="13B99A06" w:rsidR="002E4B8F">
        <w:rPr>
          <w:color w:val="000000" w:themeColor="text1"/>
        </w:rPr>
        <w:t>ATTN:  Christina Cunningham</w:t>
      </w:r>
      <w:r>
        <w:t>, 700 12th Street, NW, Suite 900, Washington, DC 20005</w:t>
      </w:r>
      <w:r w:rsidRPr="13B99A06">
        <w:rPr>
          <w:color w:val="000000" w:themeColor="text1"/>
        </w:rPr>
        <w:t xml:space="preserve">.  We recommend that </w:t>
      </w:r>
      <w:r w:rsidRPr="13B99A06" w:rsidR="00CF591E">
        <w:rPr>
          <w:color w:val="000000" w:themeColor="text1"/>
        </w:rPr>
        <w:t xml:space="preserve">a </w:t>
      </w:r>
      <w:r w:rsidRPr="13B99A06" w:rsidR="00EC4C0F">
        <w:rPr>
          <w:color w:val="000000" w:themeColor="text1"/>
        </w:rPr>
        <w:t xml:space="preserve">winning </w:t>
      </w:r>
      <w:r w:rsidRPr="13B99A06">
        <w:rPr>
          <w:color w:val="000000" w:themeColor="text1"/>
        </w:rPr>
        <w:t xml:space="preserve">applicant send the originals of both the letter of credit and the opinion letter by means of delivery requiring signature.  </w:t>
      </w:r>
      <w:r w:rsidRPr="13B99A06" w:rsidR="00621AF5">
        <w:rPr>
          <w:color w:val="000000" w:themeColor="text1"/>
        </w:rPr>
        <w:t xml:space="preserve">We also recommend that </w:t>
      </w:r>
      <w:r w:rsidRPr="13B99A06" w:rsidR="00CF591E">
        <w:rPr>
          <w:color w:val="000000" w:themeColor="text1"/>
        </w:rPr>
        <w:t xml:space="preserve">a winning applicant provide USAC with a courtesy copy of the </w:t>
      </w:r>
      <w:r w:rsidRPr="13B99A06" w:rsidR="00CC0E92">
        <w:rPr>
          <w:color w:val="000000" w:themeColor="text1"/>
        </w:rPr>
        <w:t xml:space="preserve">letter of credit and opinion letter via e-mail to </w:t>
      </w:r>
      <w:hyperlink r:id="rId7" w:history="1">
        <w:r w:rsidRPr="13B99A06" w:rsidR="00944273">
          <w:rPr>
            <w:rStyle w:val="Hyperlink"/>
          </w:rPr>
          <w:t>hcinfo@usac.org</w:t>
        </w:r>
      </w:hyperlink>
      <w:r w:rsidRPr="13B99A06" w:rsidR="00944273">
        <w:rPr>
          <w:color w:val="000000" w:themeColor="text1"/>
        </w:rPr>
        <w:t xml:space="preserve">. </w:t>
      </w:r>
    </w:p>
    <w:p w:rsidR="00A56966" w:rsidRPr="000C4112" w:rsidP="007B3728" w14:paraId="777D9025" w14:textId="01A29EEC">
      <w:pPr>
        <w:numPr>
          <w:ilvl w:val="0"/>
          <w:numId w:val="7"/>
        </w:numPr>
        <w:spacing w:after="120"/>
        <w:ind w:left="0" w:firstLine="720"/>
      </w:pPr>
      <w:r w:rsidRPr="000C4112">
        <w:rPr>
          <w:spacing w:val="-2"/>
        </w:rPr>
        <w:t xml:space="preserve">A copy of the letter of credit and opinion letter must also be submitted </w:t>
      </w:r>
      <w:r w:rsidR="00EA6BB8">
        <w:rPr>
          <w:spacing w:val="-2"/>
        </w:rPr>
        <w:t>to</w:t>
      </w:r>
      <w:r w:rsidRPr="000C4112" w:rsidR="00EA6BB8">
        <w:rPr>
          <w:spacing w:val="-2"/>
        </w:rPr>
        <w:t xml:space="preserve"> </w:t>
      </w:r>
      <w:r w:rsidRPr="000C4112">
        <w:rPr>
          <w:spacing w:val="-2"/>
        </w:rPr>
        <w:t>the</w:t>
      </w:r>
      <w:r w:rsidR="00EC4C0F">
        <w:rPr>
          <w:spacing w:val="-2"/>
        </w:rPr>
        <w:t xml:space="preserve"> Bureau via e-mail to </w:t>
      </w:r>
      <w:hyperlink r:id="rId8" w:history="1">
        <w:r w:rsidRPr="002439E0" w:rsidR="00EC4C0F">
          <w:rPr>
            <w:rStyle w:val="Hyperlink"/>
            <w:spacing w:val="-2"/>
          </w:rPr>
          <w:t>ConnectAmerica@fcc.gov</w:t>
        </w:r>
      </w:hyperlink>
      <w:r w:rsidR="00EC4C0F">
        <w:rPr>
          <w:spacing w:val="-2"/>
        </w:rPr>
        <w:t xml:space="preserve"> </w:t>
      </w:r>
      <w:r w:rsidRPr="10098B29">
        <w:rPr>
          <w:b/>
          <w:bCs/>
          <w:spacing w:val="-2"/>
        </w:rPr>
        <w:t>prior to</w:t>
      </w:r>
      <w:r w:rsidRPr="000C4112">
        <w:rPr>
          <w:spacing w:val="-2"/>
        </w:rPr>
        <w:t xml:space="preserve"> </w:t>
      </w:r>
      <w:r w:rsidRPr="10098B29">
        <w:rPr>
          <w:b/>
          <w:bCs/>
          <w:spacing w:val="-2"/>
        </w:rPr>
        <w:t>6:00 p.m. ET on</w:t>
      </w:r>
      <w:r w:rsidRPr="10098B29" w:rsidR="13D79960">
        <w:rPr>
          <w:b/>
          <w:bCs/>
          <w:spacing w:val="-2"/>
        </w:rPr>
        <w:t xml:space="preserve"> December 1</w:t>
      </w:r>
      <w:r w:rsidRPr="10098B29">
        <w:rPr>
          <w:b/>
          <w:bCs/>
        </w:rPr>
        <w:t>, 2020</w:t>
      </w:r>
      <w:r w:rsidRPr="000C4112">
        <w:rPr>
          <w:spacing w:val="-2"/>
        </w:rPr>
        <w:t xml:space="preserve">.  </w:t>
      </w:r>
      <w:r w:rsidRPr="000C4112">
        <w:t>A</w:t>
      </w:r>
      <w:r w:rsidR="00EA4B12">
        <w:t xml:space="preserve"> winning</w:t>
      </w:r>
      <w:r w:rsidRPr="000C4112">
        <w:t xml:space="preserve"> applicant </w:t>
      </w:r>
      <w:r w:rsidRPr="000C4112">
        <w:t xml:space="preserve">must provide this required information in two attachments. </w:t>
      </w:r>
      <w:r w:rsidR="00EC4C0F">
        <w:t xml:space="preserve"> The file name for each attachment should readily identify the attachment as the </w:t>
      </w:r>
      <w:r w:rsidRPr="000C4112">
        <w:t>letter of credit</w:t>
      </w:r>
      <w:r w:rsidR="00EC4C0F">
        <w:t xml:space="preserve"> or the opinion letter.  The documentation</w:t>
      </w:r>
      <w:r w:rsidRPr="000C4112">
        <w:t xml:space="preserve"> will be treated as confidential trade secrets and/or commercial information and withheld from routine public inspection.</w:t>
      </w:r>
      <w:r>
        <w:rPr>
          <w:rStyle w:val="FootnoteReference"/>
        </w:rPr>
        <w:footnoteReference w:id="14"/>
      </w:r>
    </w:p>
    <w:p w:rsidR="00A56966" w:rsidP="007B3728" w14:paraId="22D2A5E4" w14:textId="7379636B">
      <w:pPr>
        <w:numPr>
          <w:ilvl w:val="0"/>
          <w:numId w:val="7"/>
        </w:numPr>
        <w:spacing w:after="120"/>
        <w:ind w:left="0" w:firstLine="720"/>
      </w:pPr>
      <w:r>
        <w:t xml:space="preserve">If </w:t>
      </w:r>
      <w:r w:rsidR="00E24106">
        <w:t>a</w:t>
      </w:r>
      <w:r w:rsidRPr="000C4112">
        <w:t xml:space="preserve"> </w:t>
      </w:r>
      <w:r w:rsidR="00EC4C0F">
        <w:t>winning</w:t>
      </w:r>
      <w:r w:rsidRPr="000C4112">
        <w:t xml:space="preserve"> applicant identified in Attachment A fails to file the required documents</w:t>
      </w:r>
      <w:r>
        <w:rPr>
          <w:rStyle w:val="FootnoteReference"/>
        </w:rPr>
        <w:footnoteReference w:id="15"/>
      </w:r>
      <w:r w:rsidRPr="000C4112">
        <w:t xml:space="preserve"> for any of the identified winning </w:t>
      </w:r>
      <w:r w:rsidR="00EC4C0F">
        <w:t xml:space="preserve">proposals </w:t>
      </w:r>
      <w:r w:rsidRPr="10098B29">
        <w:rPr>
          <w:b/>
          <w:bCs/>
        </w:rPr>
        <w:t>prior to</w:t>
      </w:r>
      <w:r w:rsidRPr="000C4112">
        <w:t xml:space="preserve"> </w:t>
      </w:r>
      <w:r w:rsidRPr="10098B29">
        <w:rPr>
          <w:b/>
          <w:bCs/>
        </w:rPr>
        <w:t xml:space="preserve">6:00 p.m. ET on </w:t>
      </w:r>
      <w:r w:rsidRPr="10098B29" w:rsidR="0B6D2D7E">
        <w:rPr>
          <w:b/>
          <w:bCs/>
        </w:rPr>
        <w:t>December 1,</w:t>
      </w:r>
      <w:r w:rsidRPr="10098B29">
        <w:rPr>
          <w:b/>
          <w:bCs/>
        </w:rPr>
        <w:t xml:space="preserve"> 2020</w:t>
      </w:r>
      <w:r w:rsidR="00EA6BB8">
        <w:t xml:space="preserve"> </w:t>
      </w:r>
      <w:r>
        <w:t xml:space="preserve">the applicant </w:t>
      </w:r>
      <w:r w:rsidRPr="000C4112">
        <w:t xml:space="preserve">will be in default on such </w:t>
      </w:r>
      <w:r w:rsidR="000711D3">
        <w:t>proposal</w:t>
      </w:r>
      <w:r w:rsidRPr="000C4112">
        <w:t>(s) and subject to forfeiture.</w:t>
      </w:r>
      <w:r w:rsidRPr="00801880">
        <w:t xml:space="preserve">  </w:t>
      </w:r>
    </w:p>
    <w:p w:rsidR="002806BE" w:rsidRPr="007432DA" w:rsidP="007B3728" w14:paraId="6F9C439E" w14:textId="77777777">
      <w:pPr>
        <w:pStyle w:val="Heading2"/>
      </w:pPr>
      <w:r w:rsidRPr="007432DA">
        <w:t>Updating the Disaster Preparation and Response Plan</w:t>
      </w:r>
    </w:p>
    <w:p w:rsidR="002806BE" w:rsidP="007B3728" w14:paraId="58DAE9ED" w14:textId="43CEA20A">
      <w:pPr>
        <w:numPr>
          <w:ilvl w:val="0"/>
          <w:numId w:val="7"/>
        </w:numPr>
        <w:spacing w:after="120"/>
        <w:ind w:left="0" w:firstLine="720"/>
      </w:pPr>
      <w:r w:rsidRPr="10098B29">
        <w:t xml:space="preserve">A </w:t>
      </w:r>
      <w:r w:rsidRPr="10098B29" w:rsidR="00E32AB8">
        <w:t>winning a</w:t>
      </w:r>
      <w:r w:rsidRPr="10098B29">
        <w:t xml:space="preserve">pplicant </w:t>
      </w:r>
      <w:r w:rsidRPr="10098B29" w:rsidR="00EA6BB8">
        <w:t xml:space="preserve">also </w:t>
      </w:r>
      <w:r w:rsidRPr="10098B29">
        <w:t>must submit a Disaster Preparation and Response Plan (DPRP</w:t>
      </w:r>
      <w:r>
        <w:rPr>
          <w:szCs w:val="22"/>
        </w:rPr>
        <w:t>)</w:t>
      </w:r>
      <w:r w:rsidRPr="007432DA">
        <w:rPr>
          <w:szCs w:val="22"/>
        </w:rPr>
        <w:t xml:space="preserve"> </w:t>
      </w:r>
      <w:r w:rsidRPr="10098B29">
        <w:t xml:space="preserve">that commits to the methods and procedures that the applicant will use, during the period </w:t>
      </w:r>
      <w:r w:rsidRPr="10098B29" w:rsidR="00EA6BB8">
        <w:t xml:space="preserve">for </w:t>
      </w:r>
      <w:r w:rsidRPr="10098B29">
        <w:t xml:space="preserve">which it receives Stage 2 support, to prepare for and respond to disasters in </w:t>
      </w:r>
      <w:r w:rsidRPr="10098B29" w:rsidR="00236556">
        <w:t>the U.S. Virgin Islands</w:t>
      </w:r>
      <w:r>
        <w:rPr>
          <w:szCs w:val="22"/>
        </w:rPr>
        <w:t>.</w:t>
      </w:r>
      <w:r>
        <w:rPr>
          <w:rStyle w:val="FootnoteReference"/>
        </w:rPr>
        <w:footnoteReference w:id="16"/>
      </w:r>
      <w:r w:rsidRPr="10098B29">
        <w:t xml:space="preserve">  The </w:t>
      </w:r>
      <w:r w:rsidRPr="10098B29" w:rsidR="00EA6BB8">
        <w:t>Stage 2</w:t>
      </w:r>
      <w:r w:rsidRPr="10098B29">
        <w:t xml:space="preserve"> support for </w:t>
      </w:r>
      <w:r w:rsidRPr="10098B29" w:rsidR="00DC4F2E">
        <w:t>a</w:t>
      </w:r>
      <w:r w:rsidRPr="10098B29">
        <w:t xml:space="preserve"> winning applicant identified in Attachment A will not be authorized until the Bureau approves the DPRP submitted by the winning applicant.</w:t>
      </w:r>
      <w:r>
        <w:rPr>
          <w:rStyle w:val="FootnoteReference"/>
        </w:rPr>
        <w:footnoteReference w:id="17"/>
      </w:r>
      <w:r w:rsidRPr="10098B29">
        <w:t xml:space="preserve">  A winning applicant has the obligation to provide the Bureau with an updated DPRP within ten business days of making any material change, and for as long as it receives Stage 2 support. The failure to update the DPRP may result in withholding of support or disqualification from future participation in the Commission’s competitive competitions.</w:t>
      </w:r>
      <w:r>
        <w:rPr>
          <w:vertAlign w:val="superscript"/>
        </w:rPr>
        <w:footnoteReference w:id="18"/>
      </w:r>
    </w:p>
    <w:p w:rsidR="000E7362" w:rsidRPr="000E7362" w:rsidP="007B3728" w14:paraId="6E7C6854" w14:textId="672E93D3">
      <w:pPr>
        <w:numPr>
          <w:ilvl w:val="0"/>
          <w:numId w:val="7"/>
        </w:numPr>
        <w:spacing w:after="120"/>
        <w:ind w:left="0" w:firstLine="720"/>
      </w:pPr>
      <w:r>
        <w:t>By future public notice, the Bureau will authorize support for specific winning proposals for which all requirements, including submission of the letter of credit and opinion letter, have been met.</w:t>
      </w:r>
    </w:p>
    <w:p w:rsidR="007432DA" w:rsidRPr="007432DA" w:rsidP="007B3728" w14:paraId="05A9E70A" w14:textId="30A92947">
      <w:pPr>
        <w:pStyle w:val="Heading1"/>
        <w:rPr>
          <w:szCs w:val="22"/>
        </w:rPr>
      </w:pPr>
      <w:r>
        <w:t>other important information</w:t>
      </w:r>
    </w:p>
    <w:p w:rsidR="00A0652F" w:rsidP="007B3728" w14:paraId="798C8DDC" w14:textId="4DCA04A8">
      <w:pPr>
        <w:pStyle w:val="Heading2"/>
      </w:pPr>
      <w:r>
        <w:t xml:space="preserve">Maintaining Prohibition on Certain </w:t>
      </w:r>
      <w:r w:rsidR="0057486C">
        <w:t>Communications</w:t>
      </w:r>
    </w:p>
    <w:p w:rsidR="00490DE8" w:rsidP="007B3728" w14:paraId="01F44DCE" w14:textId="06F59CFD">
      <w:pPr>
        <w:pStyle w:val="ParaNum"/>
        <w:widowControl/>
        <w:numPr>
          <w:ilvl w:val="0"/>
          <w:numId w:val="7"/>
        </w:numPr>
        <w:ind w:left="0" w:firstLine="720"/>
      </w:pPr>
      <w:r>
        <w:t xml:space="preserve">The </w:t>
      </w:r>
      <w:r w:rsidRPr="13B99A06">
        <w:rPr>
          <w:i/>
          <w:iCs/>
        </w:rPr>
        <w:t>PR-USVI Stage 2 Order</w:t>
      </w:r>
      <w:r>
        <w:t xml:space="preserve"> </w:t>
      </w:r>
      <w:r w:rsidR="00DF0745">
        <w:t>prohibits</w:t>
      </w:r>
      <w:r>
        <w:t xml:space="preserve">, subject to specified exceptions, </w:t>
      </w:r>
      <w:r w:rsidRPr="10098B29">
        <w:t xml:space="preserve">an applicant from communicating with any other applicant in any manner the substance of its own, or one another’s, or any competing applicant’s bids or bidding strategies, until </w:t>
      </w:r>
      <w:r w:rsidRPr="10098B29" w:rsidR="00053B88">
        <w:t xml:space="preserve">support is </w:t>
      </w:r>
      <w:r w:rsidRPr="10098B29" w:rsidR="007E689B">
        <w:t>authorized</w:t>
      </w:r>
      <w:r w:rsidR="007B14D6">
        <w:rPr>
          <w:szCs w:val="22"/>
        </w:rPr>
        <w:t>.</w:t>
      </w:r>
      <w:r>
        <w:rPr>
          <w:rStyle w:val="FootnoteReference"/>
        </w:rPr>
        <w:footnoteReference w:id="19"/>
      </w:r>
      <w:r>
        <w:t xml:space="preserve">  As explained more fully in the </w:t>
      </w:r>
      <w:r w:rsidRPr="13B99A06">
        <w:rPr>
          <w:i/>
          <w:iCs/>
        </w:rPr>
        <w:t>Procedures Public Notice</w:t>
      </w:r>
      <w:r>
        <w:t>,</w:t>
      </w:r>
      <w:r w:rsidRPr="13B99A06">
        <w:rPr>
          <w:i/>
          <w:iCs/>
        </w:rPr>
        <w:t xml:space="preserve"> </w:t>
      </w:r>
      <w:r>
        <w:t xml:space="preserve">this prohibition took effect as of the application filing deadline, i.e., </w:t>
      </w:r>
      <w:r w:rsidR="00053B88">
        <w:t>September</w:t>
      </w:r>
      <w:r>
        <w:t xml:space="preserve"> 3, 20</w:t>
      </w:r>
      <w:r w:rsidR="00E76E30">
        <w:t>20</w:t>
      </w:r>
      <w:r>
        <w:t>, at 6:00 p.m. ET, and extends until the</w:t>
      </w:r>
      <w:r w:rsidR="00225F0C">
        <w:t xml:space="preserve"> winning applicants are authorized to receive support</w:t>
      </w:r>
      <w:r>
        <w:t>.</w:t>
      </w:r>
      <w:r>
        <w:rPr>
          <w:rStyle w:val="FootnoteReference"/>
        </w:rPr>
        <w:footnoteReference w:id="20"/>
      </w:r>
    </w:p>
    <w:p w:rsidR="00490DE8" w:rsidRPr="00333EA0" w:rsidP="007B3728" w14:paraId="5A217B65" w14:textId="7A41E1B3">
      <w:pPr>
        <w:pStyle w:val="ParaNum"/>
        <w:widowControl/>
        <w:numPr>
          <w:ilvl w:val="0"/>
          <w:numId w:val="7"/>
        </w:numPr>
        <w:ind w:left="0" w:firstLine="720"/>
      </w:pPr>
      <w:r w:rsidRPr="10098B29">
        <w:t>We also emphasize that, for purposes of this prohibition, an “applicant” includes the entity filing the application, each entity capable of controlling the applicant, and each entity that may be controlled by the applicant or by an</w:t>
      </w:r>
      <w:r w:rsidRPr="008F2585">
        <w:rPr>
          <w:szCs w:val="22"/>
        </w:rPr>
        <w:t xml:space="preserve"> </w:t>
      </w:r>
      <w:r w:rsidRPr="10098B29">
        <w:t>entity capable of controlling the applicant.</w:t>
      </w:r>
      <w:r>
        <w:rPr>
          <w:rStyle w:val="FootnoteReference"/>
        </w:rPr>
        <w:footnoteReference w:id="21"/>
      </w:r>
      <w:r>
        <w:t xml:space="preserve"> </w:t>
      </w:r>
      <w:r w:rsidR="00333EA0">
        <w:t xml:space="preserve"> </w:t>
      </w:r>
      <w:r w:rsidRPr="10098B29">
        <w:t xml:space="preserve">The prohibition of “communicating in any manner” includes public disclosures, private communications, and indirect or implicit communications, as well as express statements of </w:t>
      </w:r>
      <w:r w:rsidRPr="10098B29" w:rsidR="00BF3335">
        <w:t xml:space="preserve">proposals </w:t>
      </w:r>
      <w:r w:rsidRPr="10098B29">
        <w:t xml:space="preserve">and </w:t>
      </w:r>
      <w:r w:rsidRPr="10098B29" w:rsidR="00BF3335">
        <w:t>application</w:t>
      </w:r>
      <w:r w:rsidRPr="10098B29">
        <w:t xml:space="preserve"> strategies.</w:t>
      </w:r>
      <w:r>
        <w:rPr>
          <w:rStyle w:val="FootnoteReference"/>
        </w:rPr>
        <w:footnoteReference w:id="22"/>
      </w:r>
      <w:r w:rsidRPr="10098B29">
        <w:t xml:space="preserve">  </w:t>
      </w:r>
      <w:r w:rsidRPr="10098B29">
        <w:t>Consequently, an applicant must take care to determine whether its communications</w:t>
      </w:r>
      <w:r w:rsidRPr="10098B29" w:rsidR="00BF3335">
        <w:t xml:space="preserve"> pertaining to the Stage 2 competitive process</w:t>
      </w:r>
      <w:r w:rsidRPr="10098B29">
        <w:t xml:space="preserve"> may reach another applicant.</w:t>
      </w:r>
    </w:p>
    <w:p w:rsidR="002806BE" w:rsidP="007B3728" w14:paraId="40FCDF4F" w14:textId="77777777">
      <w:pPr>
        <w:pStyle w:val="Heading2"/>
      </w:pPr>
      <w:r>
        <w:t>Default</w:t>
      </w:r>
    </w:p>
    <w:p w:rsidR="002806BE" w:rsidP="007B3728" w14:paraId="400FAFA4" w14:textId="77777777">
      <w:pPr>
        <w:pStyle w:val="ParaNum"/>
        <w:widowControl/>
        <w:numPr>
          <w:ilvl w:val="0"/>
          <w:numId w:val="7"/>
        </w:numPr>
        <w:ind w:left="0" w:firstLine="720"/>
      </w:pPr>
      <w:r>
        <w:t xml:space="preserve">As described in the </w:t>
      </w:r>
      <w:r w:rsidRPr="13B99A06">
        <w:rPr>
          <w:i/>
          <w:iCs/>
          <w:shd w:val="clear" w:color="auto" w:fill="FFFFFF"/>
        </w:rPr>
        <w:t>PR-USVI Stage 2 Order</w:t>
      </w:r>
      <w:r>
        <w:t>,</w:t>
      </w:r>
      <w:r>
        <w:rPr>
          <w:rStyle w:val="FootnoteReference"/>
        </w:rPr>
        <w:footnoteReference w:id="23"/>
      </w:r>
      <w:r>
        <w:t xml:space="preserve"> winning applicants will be subject to a forfeiture in the event of a default prior to authorization to receive support.  A winning applicant will be considered in default and will be subject to forfeiture if it fails to meet the document submission deadlines, is found ineligible or unqualified to receive Stage 2 support, and/or otherwise defaults on its winning proposal(s) or is disqualified for any reason prior to the authorization of support.</w:t>
      </w:r>
      <w:r>
        <w:rPr>
          <w:rStyle w:val="FootnoteReference"/>
        </w:rPr>
        <w:footnoteReference w:id="24"/>
      </w:r>
      <w:r>
        <w:t xml:space="preserve">  Any such determination shall be final, and a winning applicant shall have no opportunity to cure through additional submissions, negotiations, or otherwise.</w:t>
      </w:r>
    </w:p>
    <w:p w:rsidR="00A93858" w:rsidRPr="002806BE" w:rsidP="007B3728" w14:paraId="08A569AD" w14:textId="3A25F1D6">
      <w:pPr>
        <w:numPr>
          <w:ilvl w:val="0"/>
          <w:numId w:val="7"/>
        </w:numPr>
        <w:spacing w:after="120"/>
        <w:ind w:left="0" w:firstLine="720"/>
      </w:pPr>
      <w:r w:rsidRPr="00685817">
        <w:t>In the event of a</w:t>
      </w:r>
      <w:r>
        <w:t xml:space="preserve"> </w:t>
      </w:r>
      <w:r w:rsidRPr="00685817">
        <w:t>default, a base forfeiture per violation of $3,000 may be imposed</w:t>
      </w:r>
      <w:r>
        <w:t>.</w:t>
      </w:r>
      <w:r>
        <w:rPr>
          <w:rStyle w:val="FootnoteReference"/>
        </w:rPr>
        <w:footnoteReference w:id="25"/>
      </w:r>
      <w:r>
        <w:t xml:space="preserve">  So that this </w:t>
      </w:r>
      <w:r w:rsidRPr="00F1521D">
        <w:rPr>
          <w:rStyle w:val="Hyperlink"/>
          <w:color w:val="auto"/>
          <w:u w:val="none"/>
          <w:shd w:val="clear" w:color="auto" w:fill="FFFFFF"/>
        </w:rPr>
        <w:t xml:space="preserve">base forfeiture </w:t>
      </w:r>
      <w:r>
        <w:rPr>
          <w:rStyle w:val="Hyperlink"/>
          <w:color w:val="auto"/>
          <w:u w:val="none"/>
          <w:shd w:val="clear" w:color="auto" w:fill="FFFFFF"/>
        </w:rPr>
        <w:t xml:space="preserve">amount </w:t>
      </w:r>
      <w:r w:rsidRPr="00F1521D">
        <w:rPr>
          <w:rStyle w:val="Hyperlink"/>
          <w:color w:val="auto"/>
          <w:u w:val="none"/>
          <w:shd w:val="clear" w:color="auto" w:fill="FFFFFF"/>
        </w:rPr>
        <w:t>is not disproportionate to the amount of a winning</w:t>
      </w:r>
      <w:r>
        <w:rPr>
          <w:rStyle w:val="Hyperlink"/>
          <w:color w:val="auto"/>
          <w:u w:val="none"/>
          <w:shd w:val="clear" w:color="auto" w:fill="FFFFFF"/>
        </w:rPr>
        <w:t xml:space="preserve"> applicant</w:t>
      </w:r>
      <w:r w:rsidRPr="00F1521D">
        <w:rPr>
          <w:rStyle w:val="Hyperlink"/>
          <w:color w:val="auto"/>
          <w:u w:val="none"/>
          <w:shd w:val="clear" w:color="auto" w:fill="FFFFFF"/>
        </w:rPr>
        <w:t xml:space="preserve">’s </w:t>
      </w:r>
      <w:r>
        <w:rPr>
          <w:rStyle w:val="Hyperlink"/>
          <w:color w:val="auto"/>
          <w:u w:val="none"/>
          <w:shd w:val="clear" w:color="auto" w:fill="FFFFFF"/>
        </w:rPr>
        <w:t>proposal</w:t>
      </w:r>
      <w:r w:rsidRPr="00F1521D">
        <w:rPr>
          <w:rStyle w:val="Hyperlink"/>
          <w:color w:val="auto"/>
          <w:u w:val="none"/>
          <w:shd w:val="clear" w:color="auto" w:fill="FFFFFF"/>
        </w:rPr>
        <w:t xml:space="preserve">, the Commission </w:t>
      </w:r>
      <w:r>
        <w:rPr>
          <w:rStyle w:val="Hyperlink"/>
          <w:color w:val="auto"/>
          <w:u w:val="none"/>
          <w:shd w:val="clear" w:color="auto" w:fill="FFFFFF"/>
        </w:rPr>
        <w:t xml:space="preserve">has limited </w:t>
      </w:r>
      <w:r w:rsidRPr="00F1521D">
        <w:rPr>
          <w:rStyle w:val="Hyperlink"/>
          <w:color w:val="auto"/>
          <w:u w:val="none"/>
          <w:shd w:val="clear" w:color="auto" w:fill="FFFFFF"/>
        </w:rPr>
        <w:t xml:space="preserve">the total </w:t>
      </w:r>
      <w:r w:rsidRPr="00886E70">
        <w:rPr>
          <w:rStyle w:val="Hyperlink"/>
          <w:color w:val="auto"/>
          <w:u w:val="none"/>
          <w:shd w:val="clear" w:color="auto" w:fill="FFFFFF"/>
        </w:rPr>
        <w:t>base</w:t>
      </w:r>
      <w:r w:rsidRPr="00F1521D">
        <w:rPr>
          <w:rStyle w:val="Hyperlink"/>
          <w:color w:val="auto"/>
          <w:u w:val="none"/>
          <w:shd w:val="clear" w:color="auto" w:fill="FFFFFF"/>
        </w:rPr>
        <w:t xml:space="preserve"> forfeiture to five percent of the </w:t>
      </w:r>
      <w:r>
        <w:rPr>
          <w:rStyle w:val="Hyperlink"/>
          <w:color w:val="auto"/>
          <w:u w:val="none"/>
          <w:shd w:val="clear" w:color="auto" w:fill="FFFFFF"/>
        </w:rPr>
        <w:t>applicant</w:t>
      </w:r>
      <w:r w:rsidRPr="00F1521D">
        <w:rPr>
          <w:rStyle w:val="Hyperlink"/>
          <w:color w:val="auto"/>
          <w:u w:val="none"/>
          <w:shd w:val="clear" w:color="auto" w:fill="FFFFFF"/>
        </w:rPr>
        <w:t xml:space="preserve">’s total assigned support for the </w:t>
      </w:r>
      <w:r>
        <w:rPr>
          <w:rStyle w:val="Hyperlink"/>
          <w:color w:val="auto"/>
          <w:u w:val="none"/>
          <w:shd w:val="clear" w:color="auto" w:fill="FFFFFF"/>
        </w:rPr>
        <w:t>proposal</w:t>
      </w:r>
      <w:r w:rsidRPr="00F1521D">
        <w:rPr>
          <w:rStyle w:val="Hyperlink"/>
          <w:color w:val="auto"/>
          <w:u w:val="none"/>
          <w:shd w:val="clear" w:color="auto" w:fill="FFFFFF"/>
        </w:rPr>
        <w:t xml:space="preserve"> for the support term.</w:t>
      </w:r>
      <w:r>
        <w:rPr>
          <w:rStyle w:val="FootnoteReference"/>
          <w:shd w:val="clear" w:color="auto" w:fill="FFFFFF"/>
        </w:rPr>
        <w:footnoteReference w:id="26"/>
      </w:r>
      <w:r>
        <w:rPr>
          <w:rStyle w:val="Hyperlink"/>
          <w:color w:val="auto"/>
          <w:u w:val="none"/>
          <w:shd w:val="clear" w:color="auto" w:fill="FFFFFF"/>
        </w:rPr>
        <w:t xml:space="preserve">  Notwithstanding this limitation,</w:t>
      </w:r>
      <w:r w:rsidRPr="00685817">
        <w:t xml:space="preserve"> </w:t>
      </w:r>
      <w:r>
        <w:t xml:space="preserve">the total base forfeiture will also be </w:t>
      </w:r>
      <w:r w:rsidRPr="00685817">
        <w:t>subject to adjustment upward or downward based on the criteria set forth in the Commission’s forfeiture guidelines</w:t>
      </w:r>
      <w:r w:rsidRPr="00685817">
        <w:rPr>
          <w:rStyle w:val="Hyperlink"/>
          <w:color w:val="auto"/>
          <w:u w:val="none"/>
          <w:shd w:val="clear" w:color="auto" w:fill="FFFFFF"/>
        </w:rPr>
        <w:t>.</w:t>
      </w:r>
      <w:r>
        <w:rPr>
          <w:rStyle w:val="FootnoteReference"/>
          <w:shd w:val="clear" w:color="auto" w:fill="FFFFFF"/>
        </w:rPr>
        <w:footnoteReference w:id="27"/>
      </w:r>
      <w:r w:rsidRPr="00F1521D">
        <w:rPr>
          <w:rStyle w:val="Hyperlink"/>
          <w:color w:val="auto"/>
          <w:u w:val="none"/>
          <w:shd w:val="clear" w:color="auto" w:fill="FFFFFF"/>
        </w:rPr>
        <w:t xml:space="preserve">  A violation is defined as any form of default with respect to the minimum geographic unit eligible for bidding.</w:t>
      </w:r>
      <w:r>
        <w:rPr>
          <w:rStyle w:val="FootnoteReference"/>
          <w:shd w:val="clear" w:color="auto" w:fill="FFFFFF"/>
        </w:rPr>
        <w:footnoteReference w:id="28"/>
      </w:r>
      <w:r w:rsidRPr="00F1521D">
        <w:rPr>
          <w:rStyle w:val="Hyperlink"/>
          <w:color w:val="auto"/>
          <w:u w:val="none"/>
          <w:shd w:val="clear" w:color="auto" w:fill="FFFFFF"/>
        </w:rPr>
        <w:t xml:space="preserve">  In other words, there shall be separate </w:t>
      </w:r>
      <w:r>
        <w:rPr>
          <w:rStyle w:val="Hyperlink"/>
          <w:color w:val="auto"/>
          <w:u w:val="none"/>
          <w:shd w:val="clear" w:color="auto" w:fill="FFFFFF"/>
        </w:rPr>
        <w:t xml:space="preserve">apparent </w:t>
      </w:r>
      <w:r w:rsidRPr="00F1521D">
        <w:rPr>
          <w:rStyle w:val="Hyperlink"/>
          <w:color w:val="auto"/>
          <w:u w:val="none"/>
          <w:shd w:val="clear" w:color="auto" w:fill="FFFFFF"/>
        </w:rPr>
        <w:t>violations for each</w:t>
      </w:r>
      <w:r w:rsidR="00095ACE">
        <w:rPr>
          <w:rStyle w:val="Hyperlink"/>
          <w:color w:val="auto"/>
          <w:u w:val="none"/>
          <w:shd w:val="clear" w:color="auto" w:fill="FFFFFF"/>
        </w:rPr>
        <w:t xml:space="preserve"> bidding unit</w:t>
      </w:r>
      <w:r>
        <w:rPr>
          <w:rStyle w:val="Hyperlink"/>
          <w:color w:val="auto"/>
          <w:u w:val="none"/>
          <w:shd w:val="clear" w:color="auto" w:fill="FFFFFF"/>
        </w:rPr>
        <w:t>.</w:t>
      </w:r>
      <w:r w:rsidRPr="10098B29">
        <w:rPr>
          <w:rStyle w:val="Hyperlink"/>
          <w:color w:val="auto"/>
          <w:u w:val="none"/>
        </w:rPr>
        <w:t xml:space="preserve">  </w:t>
      </w:r>
      <w:r>
        <w:t>In addition, the Bureau may employ next-in-line procedures to select another qualified applicant if a winning applicant defaults prior to authorization of support.</w:t>
      </w:r>
      <w:r>
        <w:rPr>
          <w:rStyle w:val="FootnoteReference"/>
        </w:rPr>
        <w:footnoteReference w:id="29"/>
      </w:r>
      <w:r>
        <w:t xml:space="preserve">  </w:t>
      </w:r>
    </w:p>
    <w:p w:rsidR="00943CC0" w:rsidP="00AF3343" w14:paraId="0C911F54" w14:textId="680A8AE6">
      <w:pPr>
        <w:pStyle w:val="Heading1"/>
      </w:pPr>
      <w:r>
        <w:t>Contact Information</w:t>
      </w:r>
    </w:p>
    <w:p w:rsidR="00AF3343" w:rsidP="10098B29" w14:paraId="777F78EF" w14:textId="3BA33C12">
      <w:pPr>
        <w:numPr>
          <w:ilvl w:val="0"/>
          <w:numId w:val="7"/>
        </w:numPr>
        <w:spacing w:after="240"/>
        <w:ind w:left="0" w:firstLine="720"/>
      </w:pPr>
      <w:r>
        <w:t>Contact Information Table:</w:t>
      </w:r>
    </w:p>
    <w:tbl>
      <w:tblPr>
        <w:tblW w:w="9828" w:type="dxa"/>
        <w:tblLayout w:type="fixed"/>
        <w:tblLook w:val="0000"/>
      </w:tblPr>
      <w:tblGrid>
        <w:gridCol w:w="4968"/>
        <w:gridCol w:w="4860"/>
      </w:tblGrid>
      <w:tr w14:paraId="16D6C1AB" w14:textId="77777777" w:rsidTr="007B3728">
        <w:tblPrEx>
          <w:tblW w:w="9828" w:type="dxa"/>
          <w:tblLayout w:type="fixed"/>
          <w:tblLook w:val="0000"/>
        </w:tblPrEx>
        <w:trPr>
          <w:cantSplit/>
        </w:trPr>
        <w:tc>
          <w:tcPr>
            <w:tcW w:w="4968" w:type="dxa"/>
          </w:tcPr>
          <w:p w:rsidR="006114C0" w:rsidP="00C30113" w14:paraId="6EABA666" w14:textId="77777777">
            <w:pPr>
              <w:widowControl/>
              <w:rPr>
                <w:b/>
                <w:szCs w:val="22"/>
              </w:rPr>
            </w:pPr>
            <w:r>
              <w:rPr>
                <w:b/>
                <w:szCs w:val="22"/>
              </w:rPr>
              <w:t>FCC Email &amp; Webpages</w:t>
            </w:r>
          </w:p>
          <w:p w:rsidR="006114C0" w:rsidP="00C30113" w14:paraId="4A1B7FE1" w14:textId="77777777">
            <w:pPr>
              <w:widowControl/>
              <w:rPr>
                <w:b/>
                <w:szCs w:val="22"/>
              </w:rPr>
            </w:pPr>
          </w:p>
        </w:tc>
        <w:tc>
          <w:tcPr>
            <w:tcW w:w="4860" w:type="dxa"/>
          </w:tcPr>
          <w:p w:rsidR="006114C0" w:rsidP="00C30113" w14:paraId="1C05B913" w14:textId="77777777">
            <w:pPr>
              <w:widowControl/>
            </w:pPr>
            <w:hyperlink r:id="rId8" w:history="1">
              <w:r w:rsidRPr="003E256E">
                <w:rPr>
                  <w:rStyle w:val="Hyperlink"/>
                </w:rPr>
                <w:t>ConnectAmerica@fcc.gov</w:t>
              </w:r>
            </w:hyperlink>
          </w:p>
          <w:p w:rsidR="006114C0" w:rsidP="00C30113" w14:paraId="2299DBAE" w14:textId="77777777">
            <w:pPr>
              <w:widowControl/>
              <w:rPr>
                <w:szCs w:val="22"/>
              </w:rPr>
            </w:pPr>
            <w:hyperlink r:id="rId9" w:history="1">
              <w:r>
                <w:rPr>
                  <w:rStyle w:val="Hyperlink"/>
                  <w:szCs w:val="22"/>
                </w:rPr>
                <w:t>http://www.fcc.gov</w:t>
              </w:r>
            </w:hyperlink>
          </w:p>
          <w:p w:rsidR="006114C0" w:rsidP="00C30113" w14:paraId="038D6A85" w14:textId="77777777">
            <w:pPr>
              <w:widowControl/>
              <w:rPr>
                <w:szCs w:val="22"/>
              </w:rPr>
            </w:pPr>
          </w:p>
          <w:p w:rsidR="006114C0" w:rsidP="00C30113" w14:paraId="633C2EA8" w14:textId="77777777">
            <w:pPr>
              <w:widowControl/>
              <w:rPr>
                <w:b/>
                <w:szCs w:val="22"/>
              </w:rPr>
            </w:pPr>
          </w:p>
        </w:tc>
      </w:tr>
      <w:tr w14:paraId="20E95C7E" w14:textId="77777777" w:rsidTr="007B3728">
        <w:tblPrEx>
          <w:tblW w:w="9828" w:type="dxa"/>
          <w:tblLayout w:type="fixed"/>
          <w:tblLook w:val="0000"/>
        </w:tblPrEx>
        <w:trPr>
          <w:cantSplit/>
          <w:trHeight w:val="1267"/>
        </w:trPr>
        <w:tc>
          <w:tcPr>
            <w:tcW w:w="4968" w:type="dxa"/>
          </w:tcPr>
          <w:p w:rsidR="006114C0" w:rsidP="00C30113" w14:paraId="47D08068" w14:textId="77777777">
            <w:pPr>
              <w:widowControl/>
              <w:rPr>
                <w:b/>
                <w:szCs w:val="22"/>
              </w:rPr>
            </w:pPr>
            <w:r>
              <w:rPr>
                <w:b/>
                <w:szCs w:val="22"/>
              </w:rPr>
              <w:t>General Uniendo a Puerto Rico Fund and Connect USVI Fund Questions</w:t>
            </w:r>
          </w:p>
          <w:p w:rsidR="006114C0" w:rsidP="00C30113" w14:paraId="24DAF3F8" w14:textId="77777777">
            <w:pPr>
              <w:widowControl/>
              <w:rPr>
                <w:b/>
                <w:i/>
                <w:szCs w:val="22"/>
                <w:highlight w:val="yellow"/>
              </w:rPr>
            </w:pPr>
          </w:p>
        </w:tc>
        <w:tc>
          <w:tcPr>
            <w:tcW w:w="4860" w:type="dxa"/>
          </w:tcPr>
          <w:p w:rsidR="006114C0" w:rsidP="00C30113" w14:paraId="7ECE30EE" w14:textId="77777777">
            <w:pPr>
              <w:widowControl/>
              <w:rPr>
                <w:szCs w:val="22"/>
              </w:rPr>
            </w:pPr>
            <w:r>
              <w:rPr>
                <w:b/>
                <w:szCs w:val="22"/>
              </w:rPr>
              <w:t>Wireline Competition Bureau</w:t>
            </w:r>
          </w:p>
          <w:p w:rsidR="006114C0" w:rsidP="00C30113" w14:paraId="4738115F" w14:textId="77777777">
            <w:pPr>
              <w:widowControl/>
              <w:rPr>
                <w:b/>
                <w:szCs w:val="22"/>
              </w:rPr>
            </w:pPr>
            <w:r>
              <w:rPr>
                <w:b/>
                <w:szCs w:val="22"/>
              </w:rPr>
              <w:t>Telecommunications Access Policy Division</w:t>
            </w:r>
          </w:p>
          <w:p w:rsidR="006114C0" w:rsidP="00C30113" w14:paraId="4CFF4D8A" w14:textId="77777777">
            <w:pPr>
              <w:widowControl/>
              <w:rPr>
                <w:szCs w:val="22"/>
              </w:rPr>
            </w:pPr>
            <w:r>
              <w:rPr>
                <w:szCs w:val="22"/>
              </w:rPr>
              <w:t>Alex Minard</w:t>
            </w:r>
          </w:p>
          <w:p w:rsidR="006114C0" w:rsidP="00C30113" w14:paraId="794E93C7" w14:textId="77777777">
            <w:pPr>
              <w:widowControl/>
              <w:rPr>
                <w:szCs w:val="22"/>
              </w:rPr>
            </w:pPr>
            <w:r>
              <w:rPr>
                <w:szCs w:val="22"/>
              </w:rPr>
              <w:t>Rebekah Douglas</w:t>
            </w:r>
          </w:p>
          <w:p w:rsidR="006114C0" w:rsidP="00C30113" w14:paraId="568821AB" w14:textId="77777777">
            <w:pPr>
              <w:widowControl/>
              <w:rPr>
                <w:szCs w:val="22"/>
              </w:rPr>
            </w:pPr>
            <w:r>
              <w:rPr>
                <w:szCs w:val="22"/>
              </w:rPr>
              <w:t>Dangkhoa Nguyen</w:t>
            </w:r>
          </w:p>
          <w:p w:rsidR="006114C0" w:rsidP="00C30113" w14:paraId="3F807802" w14:textId="77777777">
            <w:pPr>
              <w:widowControl/>
              <w:rPr>
                <w:szCs w:val="22"/>
              </w:rPr>
            </w:pPr>
            <w:r>
              <w:rPr>
                <w:szCs w:val="22"/>
              </w:rPr>
              <w:t>(202) 418-0660</w:t>
            </w:r>
          </w:p>
          <w:p w:rsidR="006114C0" w:rsidP="00C30113" w14:paraId="3E88CB3B" w14:textId="77777777">
            <w:pPr>
              <w:widowControl/>
              <w:rPr>
                <w:szCs w:val="22"/>
                <w:highlight w:val="yellow"/>
              </w:rPr>
            </w:pPr>
          </w:p>
        </w:tc>
      </w:tr>
      <w:tr w14:paraId="50F7086E" w14:textId="77777777" w:rsidTr="007B3728">
        <w:tblPrEx>
          <w:tblW w:w="9828" w:type="dxa"/>
          <w:tblLayout w:type="fixed"/>
          <w:tblLook w:val="0000"/>
        </w:tblPrEx>
        <w:trPr>
          <w:cantSplit/>
          <w:trHeight w:val="350"/>
        </w:trPr>
        <w:tc>
          <w:tcPr>
            <w:tcW w:w="4968" w:type="dxa"/>
          </w:tcPr>
          <w:p w:rsidR="006114C0" w:rsidP="00C30113" w14:paraId="338E213F" w14:textId="77777777">
            <w:pPr>
              <w:widowControl/>
              <w:rPr>
                <w:b/>
                <w:szCs w:val="22"/>
              </w:rPr>
            </w:pPr>
            <w:r>
              <w:rPr>
                <w:b/>
                <w:szCs w:val="22"/>
              </w:rPr>
              <w:t>Press Information</w:t>
            </w:r>
          </w:p>
        </w:tc>
        <w:tc>
          <w:tcPr>
            <w:tcW w:w="4860" w:type="dxa"/>
          </w:tcPr>
          <w:p w:rsidR="006114C0" w:rsidP="00C30113" w14:paraId="6E9E2EB2" w14:textId="77777777">
            <w:pPr>
              <w:widowControl/>
              <w:rPr>
                <w:szCs w:val="22"/>
              </w:rPr>
            </w:pPr>
            <w:r>
              <w:rPr>
                <w:szCs w:val="22"/>
              </w:rPr>
              <w:t>Office of Media Relations, (202) 418-0500</w:t>
            </w:r>
          </w:p>
          <w:p w:rsidR="006114C0" w:rsidP="00C30113" w14:paraId="45726770" w14:textId="77777777">
            <w:pPr>
              <w:widowControl/>
              <w:rPr>
                <w:szCs w:val="22"/>
              </w:rPr>
            </w:pPr>
          </w:p>
        </w:tc>
      </w:tr>
      <w:tr w14:paraId="7D9AD958" w14:textId="77777777" w:rsidTr="007B3728">
        <w:tblPrEx>
          <w:tblW w:w="9828" w:type="dxa"/>
          <w:tblLayout w:type="fixed"/>
          <w:tblLook w:val="0000"/>
        </w:tblPrEx>
        <w:trPr>
          <w:cantSplit/>
          <w:trHeight w:val="980"/>
        </w:trPr>
        <w:tc>
          <w:tcPr>
            <w:tcW w:w="4968" w:type="dxa"/>
          </w:tcPr>
          <w:p w:rsidR="006114C0" w:rsidP="00C30113" w14:paraId="300B4E83" w14:textId="77777777">
            <w:pPr>
              <w:widowControl/>
              <w:rPr>
                <w:b/>
                <w:szCs w:val="22"/>
              </w:rPr>
            </w:pPr>
            <w:r>
              <w:rPr>
                <w:b/>
                <w:szCs w:val="22"/>
              </w:rPr>
              <w:t>FCC Forms</w:t>
            </w:r>
          </w:p>
        </w:tc>
        <w:tc>
          <w:tcPr>
            <w:tcW w:w="4860" w:type="dxa"/>
          </w:tcPr>
          <w:p w:rsidR="006114C0" w:rsidP="00C30113" w14:paraId="3CCFB64E" w14:textId="77777777">
            <w:pPr>
              <w:widowControl/>
              <w:rPr>
                <w:szCs w:val="22"/>
              </w:rPr>
            </w:pPr>
            <w:r>
              <w:rPr>
                <w:szCs w:val="22"/>
              </w:rPr>
              <w:t xml:space="preserve">(800) 418-3676 (outside Washington, DC) </w:t>
            </w:r>
          </w:p>
          <w:p w:rsidR="006114C0" w:rsidP="00C30113" w14:paraId="0791A974" w14:textId="77777777">
            <w:pPr>
              <w:widowControl/>
              <w:rPr>
                <w:szCs w:val="22"/>
              </w:rPr>
            </w:pPr>
            <w:r>
              <w:rPr>
                <w:szCs w:val="22"/>
              </w:rPr>
              <w:t>(202) 418-3676 (in the Washington area)</w:t>
            </w:r>
          </w:p>
          <w:p w:rsidR="006114C0" w:rsidP="00C30113" w14:paraId="7A1E75D1" w14:textId="77777777">
            <w:pPr>
              <w:widowControl/>
              <w:rPr>
                <w:szCs w:val="22"/>
              </w:rPr>
            </w:pPr>
            <w:hyperlink r:id="rId10" w:history="1">
              <w:r>
                <w:rPr>
                  <w:rStyle w:val="Hyperlink"/>
                  <w:szCs w:val="22"/>
                </w:rPr>
                <w:t>http://www.fcc.gov/formpage.html</w:t>
              </w:r>
            </w:hyperlink>
          </w:p>
        </w:tc>
      </w:tr>
      <w:tr w14:paraId="504AC7C4" w14:textId="77777777" w:rsidTr="007B3728">
        <w:tblPrEx>
          <w:tblW w:w="9828" w:type="dxa"/>
          <w:tblLayout w:type="fixed"/>
          <w:tblLook w:val="0000"/>
        </w:tblPrEx>
        <w:trPr>
          <w:cantSplit/>
          <w:trHeight w:val="1106"/>
        </w:trPr>
        <w:tc>
          <w:tcPr>
            <w:tcW w:w="4968" w:type="dxa"/>
          </w:tcPr>
          <w:p w:rsidR="006114C0" w:rsidP="00C30113" w14:paraId="38910014" w14:textId="77777777">
            <w:pPr>
              <w:widowControl/>
              <w:rPr>
                <w:b/>
                <w:szCs w:val="22"/>
              </w:rPr>
            </w:pPr>
            <w:r>
              <w:rPr>
                <w:b/>
                <w:szCs w:val="22"/>
              </w:rPr>
              <w:t>Accessible Formats</w:t>
            </w:r>
          </w:p>
          <w:p w:rsidR="006114C0" w:rsidP="00C30113" w14:paraId="2DBCC387" w14:textId="77777777">
            <w:pPr>
              <w:widowControl/>
              <w:ind w:left="360"/>
              <w:rPr>
                <w:szCs w:val="22"/>
              </w:rPr>
            </w:pPr>
            <w:r>
              <w:rPr>
                <w:szCs w:val="22"/>
              </w:rPr>
              <w:t xml:space="preserve">Braille, large print, electronic files, or </w:t>
            </w:r>
          </w:p>
          <w:p w:rsidR="006114C0" w:rsidP="00C30113" w14:paraId="3DA5D7BA" w14:textId="77777777">
            <w:pPr>
              <w:widowControl/>
              <w:ind w:left="360"/>
              <w:rPr>
                <w:b/>
                <w:szCs w:val="22"/>
              </w:rPr>
            </w:pPr>
            <w:r>
              <w:rPr>
                <w:szCs w:val="22"/>
              </w:rPr>
              <w:t>audio format for people with disabilities</w:t>
            </w:r>
          </w:p>
        </w:tc>
        <w:tc>
          <w:tcPr>
            <w:tcW w:w="4860" w:type="dxa"/>
          </w:tcPr>
          <w:p w:rsidR="006114C0" w:rsidP="00C30113" w14:paraId="1E51D190" w14:textId="77777777">
            <w:pPr>
              <w:widowControl/>
              <w:rPr>
                <w:b/>
                <w:szCs w:val="22"/>
              </w:rPr>
            </w:pPr>
            <w:r>
              <w:rPr>
                <w:b/>
                <w:szCs w:val="22"/>
              </w:rPr>
              <w:t>Consumer and Governmental Affairs Bureau</w:t>
            </w:r>
          </w:p>
          <w:p w:rsidR="006114C0" w:rsidP="00C30113" w14:paraId="43E156BB" w14:textId="77777777">
            <w:pPr>
              <w:widowControl/>
              <w:rPr>
                <w:szCs w:val="22"/>
              </w:rPr>
            </w:pPr>
            <w:r>
              <w:rPr>
                <w:szCs w:val="22"/>
              </w:rPr>
              <w:t>(202) 418-0530 or (202) 418-0432 (TTY)</w:t>
            </w:r>
          </w:p>
          <w:p w:rsidR="006114C0" w:rsidP="00C30113" w14:paraId="36C92079" w14:textId="77777777">
            <w:pPr>
              <w:widowControl/>
              <w:rPr>
                <w:szCs w:val="22"/>
              </w:rPr>
            </w:pPr>
            <w:hyperlink r:id="rId11" w:history="1">
              <w:r>
                <w:rPr>
                  <w:rStyle w:val="Hyperlink"/>
                  <w:szCs w:val="22"/>
                </w:rPr>
                <w:t>fcc504@fcc.gov</w:t>
              </w:r>
            </w:hyperlink>
          </w:p>
          <w:p w:rsidR="006114C0" w:rsidP="00C30113" w14:paraId="5CEF81F2" w14:textId="77777777">
            <w:pPr>
              <w:widowControl/>
              <w:rPr>
                <w:szCs w:val="22"/>
              </w:rPr>
            </w:pPr>
          </w:p>
          <w:p w:rsidR="006114C0" w:rsidP="00C30113" w14:paraId="6B58FF65" w14:textId="77777777">
            <w:pPr>
              <w:widowControl/>
              <w:rPr>
                <w:b/>
                <w:szCs w:val="22"/>
              </w:rPr>
            </w:pPr>
          </w:p>
        </w:tc>
      </w:tr>
      <w:tr w14:paraId="76A709F6" w14:textId="77777777" w:rsidTr="007B3728">
        <w:tblPrEx>
          <w:tblW w:w="9828" w:type="dxa"/>
          <w:tblLayout w:type="fixed"/>
          <w:tblLook w:val="0000"/>
        </w:tblPrEx>
        <w:trPr>
          <w:cantSplit/>
          <w:trHeight w:val="1106"/>
        </w:trPr>
        <w:tc>
          <w:tcPr>
            <w:tcW w:w="4968" w:type="dxa"/>
          </w:tcPr>
          <w:p w:rsidR="006114C0" w:rsidP="00C30113" w14:paraId="5FDE90A1" w14:textId="77777777">
            <w:pPr>
              <w:widowControl/>
              <w:autoSpaceDE w:val="0"/>
              <w:autoSpaceDN w:val="0"/>
              <w:adjustRightInd w:val="0"/>
              <w:rPr>
                <w:b/>
                <w:bCs/>
                <w:snapToGrid/>
                <w:szCs w:val="22"/>
              </w:rPr>
            </w:pPr>
            <w:r>
              <w:rPr>
                <w:b/>
                <w:bCs/>
                <w:snapToGrid/>
                <w:szCs w:val="22"/>
              </w:rPr>
              <w:t>Small Businesses</w:t>
            </w:r>
          </w:p>
          <w:p w:rsidR="006114C0" w:rsidP="00C30113" w14:paraId="785F55F0" w14:textId="77777777">
            <w:pPr>
              <w:widowControl/>
              <w:autoSpaceDE w:val="0"/>
              <w:autoSpaceDN w:val="0"/>
              <w:adjustRightInd w:val="0"/>
              <w:ind w:left="360"/>
              <w:rPr>
                <w:snapToGrid/>
                <w:szCs w:val="22"/>
              </w:rPr>
            </w:pPr>
            <w:r>
              <w:rPr>
                <w:snapToGrid/>
                <w:szCs w:val="22"/>
              </w:rPr>
              <w:t>Additional information for small and disadvantaged businesses</w:t>
            </w:r>
          </w:p>
          <w:p w:rsidR="006114C0" w:rsidP="00C30113" w14:paraId="7C70D623" w14:textId="77777777">
            <w:pPr>
              <w:widowControl/>
              <w:rPr>
                <w:b/>
                <w:szCs w:val="22"/>
              </w:rPr>
            </w:pPr>
          </w:p>
        </w:tc>
        <w:tc>
          <w:tcPr>
            <w:tcW w:w="4860" w:type="dxa"/>
          </w:tcPr>
          <w:p w:rsidR="006114C0" w:rsidP="00C30113" w14:paraId="0FD409F5" w14:textId="77777777">
            <w:pPr>
              <w:widowControl/>
              <w:autoSpaceDE w:val="0"/>
              <w:autoSpaceDN w:val="0"/>
              <w:adjustRightInd w:val="0"/>
              <w:rPr>
                <w:snapToGrid/>
                <w:szCs w:val="22"/>
              </w:rPr>
            </w:pPr>
            <w:r>
              <w:rPr>
                <w:b/>
                <w:bCs/>
                <w:snapToGrid/>
                <w:szCs w:val="22"/>
              </w:rPr>
              <w:t>Office of Communications Business Opportunities</w:t>
            </w:r>
          </w:p>
          <w:p w:rsidR="006114C0" w:rsidP="00C30113" w14:paraId="548EBE9D" w14:textId="77777777">
            <w:pPr>
              <w:widowControl/>
              <w:autoSpaceDE w:val="0"/>
              <w:autoSpaceDN w:val="0"/>
              <w:adjustRightInd w:val="0"/>
              <w:rPr>
                <w:snapToGrid/>
                <w:szCs w:val="22"/>
              </w:rPr>
            </w:pPr>
            <w:r>
              <w:rPr>
                <w:snapToGrid/>
                <w:szCs w:val="22"/>
              </w:rPr>
              <w:t>(202) 418-0990</w:t>
            </w:r>
          </w:p>
          <w:p w:rsidR="006114C0" w:rsidP="00C30113" w14:paraId="0333793C" w14:textId="77777777">
            <w:pPr>
              <w:widowControl/>
              <w:autoSpaceDE w:val="0"/>
              <w:autoSpaceDN w:val="0"/>
              <w:adjustRightInd w:val="0"/>
              <w:rPr>
                <w:snapToGrid/>
                <w:szCs w:val="22"/>
              </w:rPr>
            </w:pPr>
            <w:hyperlink r:id="rId12" w:history="1">
              <w:r>
                <w:rPr>
                  <w:snapToGrid/>
                  <w:color w:val="0000FF"/>
                  <w:szCs w:val="22"/>
                  <w:u w:val="single"/>
                </w:rPr>
                <w:t>http://www.fcc.gov/ocbo/</w:t>
              </w:r>
            </w:hyperlink>
          </w:p>
          <w:p w:rsidR="006114C0" w:rsidP="00C30113" w14:paraId="68BEB15C" w14:textId="77777777">
            <w:pPr>
              <w:widowControl/>
              <w:rPr>
                <w:b/>
                <w:szCs w:val="22"/>
              </w:rPr>
            </w:pPr>
          </w:p>
        </w:tc>
      </w:tr>
    </w:tbl>
    <w:p w:rsidR="000414D6" w:rsidP="000414D6" w14:paraId="0044504A" w14:textId="20E94032">
      <w:pPr>
        <w:spacing w:after="240"/>
        <w:ind w:left="720"/>
        <w:rPr>
          <w:szCs w:val="22"/>
        </w:rPr>
      </w:pPr>
    </w:p>
    <w:p w:rsidR="00930ECF" w:rsidRPr="00761C0A" w:rsidP="00761C0A" w14:paraId="2CF03B99" w14:textId="63630CA2">
      <w:pPr>
        <w:jc w:val="center"/>
        <w:rPr>
          <w:b/>
          <w:bCs/>
          <w:sz w:val="24"/>
        </w:rPr>
      </w:pPr>
      <w:r w:rsidRPr="00761C0A">
        <w:rPr>
          <w:b/>
          <w:bCs/>
          <w:sz w:val="24"/>
        </w:rPr>
        <w:t>- FCC -</w:t>
      </w:r>
    </w:p>
    <w:sectPr w:rsidSect="000E5884">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67CB9E7"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9F47B8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6683A91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14CC196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5367F" w14:paraId="53C384ED" w14:textId="77777777">
      <w:r>
        <w:separator/>
      </w:r>
    </w:p>
  </w:footnote>
  <w:footnote w:type="continuationSeparator" w:id="1">
    <w:p w:rsidR="00C5367F" w14:paraId="440584A9" w14:textId="77777777">
      <w:pPr>
        <w:rPr>
          <w:sz w:val="20"/>
        </w:rPr>
      </w:pPr>
      <w:r>
        <w:rPr>
          <w:sz w:val="20"/>
        </w:rPr>
        <w:t xml:space="preserve">(Continued from previous page)  </w:t>
      </w:r>
      <w:r>
        <w:rPr>
          <w:sz w:val="20"/>
        </w:rPr>
        <w:separator/>
      </w:r>
    </w:p>
  </w:footnote>
  <w:footnote w:type="continuationNotice" w:id="2">
    <w:p w:rsidR="00C5367F" w:rsidP="00910F12" w14:paraId="17B30042" w14:textId="77777777">
      <w:pPr>
        <w:jc w:val="right"/>
        <w:rPr>
          <w:sz w:val="20"/>
        </w:rPr>
      </w:pPr>
      <w:r>
        <w:rPr>
          <w:sz w:val="20"/>
        </w:rPr>
        <w:t>(continued….)</w:t>
      </w:r>
    </w:p>
  </w:footnote>
  <w:footnote w:id="3">
    <w:p w:rsidR="00713594" w14:paraId="3A59A4A5" w14:textId="30375910">
      <w:pPr>
        <w:pStyle w:val="FootnoteText"/>
      </w:pPr>
      <w:r>
        <w:rPr>
          <w:rStyle w:val="FootnoteReference"/>
        </w:rPr>
        <w:footnoteRef/>
      </w:r>
      <w:r>
        <w:t xml:space="preserve"> </w:t>
      </w:r>
      <w:r w:rsidR="00920432">
        <w:rPr>
          <w:rStyle w:val="FootnoteReference"/>
        </w:rPr>
        <w:footnoteRef/>
      </w:r>
      <w:r w:rsidR="00920432">
        <w:t xml:space="preserve"> In the </w:t>
      </w:r>
      <w:r w:rsidRPr="005F46E9" w:rsidR="00920432">
        <w:rPr>
          <w:i/>
        </w:rPr>
        <w:t>Uniendo a Puerto Rico Fund and the Connect USVI Fund</w:t>
      </w:r>
      <w:r w:rsidRPr="001956D9" w:rsidR="00920432">
        <w:t xml:space="preserve">, Order, WC Docket Nos. 18-143, 10-90, 14-58, </w:t>
      </w:r>
      <w:r w:rsidR="00920432">
        <w:t>34 FCC Rcd 9109 (Sept. 30, 2019</w:t>
      </w:r>
      <w:r w:rsidRPr="001956D9" w:rsidR="00920432">
        <w:t>) (</w:t>
      </w:r>
      <w:r w:rsidRPr="001956D9" w:rsidR="00920432">
        <w:rPr>
          <w:i/>
        </w:rPr>
        <w:t>PR-USVI</w:t>
      </w:r>
      <w:r w:rsidR="00920432">
        <w:rPr>
          <w:i/>
        </w:rPr>
        <w:t xml:space="preserve"> Stage 2 </w:t>
      </w:r>
      <w:r w:rsidRPr="001956D9" w:rsidR="00920432">
        <w:rPr>
          <w:i/>
        </w:rPr>
        <w:t>Order</w:t>
      </w:r>
      <w:r w:rsidRPr="001956D9" w:rsidR="00920432">
        <w:t>)</w:t>
      </w:r>
      <w:r w:rsidR="00920432">
        <w:t xml:space="preserve">.  </w:t>
      </w:r>
    </w:p>
  </w:footnote>
  <w:footnote w:id="4">
    <w:p w:rsidR="00FC3D2A" w14:paraId="3F1D4A0B" w14:textId="01F34251">
      <w:pPr>
        <w:pStyle w:val="FootnoteText"/>
      </w:pPr>
      <w:r>
        <w:rPr>
          <w:rStyle w:val="FootnoteReference"/>
        </w:rPr>
        <w:footnoteRef/>
      </w:r>
      <w:r>
        <w:t xml:space="preserve"> </w:t>
      </w:r>
      <w:r w:rsidRPr="00F97025">
        <w:rPr>
          <w:i/>
          <w:iCs/>
        </w:rPr>
        <w:t xml:space="preserve">Wireline Competition Bureau Released Updated List of Reserve Prices and Location </w:t>
      </w:r>
      <w:r w:rsidRPr="00F97025" w:rsidR="004160B5">
        <w:rPr>
          <w:i/>
          <w:iCs/>
        </w:rPr>
        <w:t>Counts for the Uniendo a Puerto Rico Fund and Connect USVI Fund Stage 2 Fixed Support Competitive Proposal Process</w:t>
      </w:r>
      <w:r w:rsidR="004160B5">
        <w:t xml:space="preserve">, Public Notice, </w:t>
      </w:r>
      <w:r w:rsidR="003F6F3A">
        <w:t>35 FCC Rcd 8228</w:t>
      </w:r>
      <w:r w:rsidR="002672FD">
        <w:t xml:space="preserve"> </w:t>
      </w:r>
      <w:r w:rsidR="00324442">
        <w:t>(rel. Aug. 6, 2020)</w:t>
      </w:r>
      <w:r w:rsidR="002672FD">
        <w:t xml:space="preserve"> </w:t>
      </w:r>
      <w:r w:rsidR="00656160">
        <w:t>(</w:t>
      </w:r>
      <w:r w:rsidRPr="00656160" w:rsidR="00656160">
        <w:rPr>
          <w:i/>
          <w:iCs/>
        </w:rPr>
        <w:t>Reserve Prices</w:t>
      </w:r>
      <w:r w:rsidRPr="00656160" w:rsidR="002672FD">
        <w:rPr>
          <w:i/>
          <w:iCs/>
        </w:rPr>
        <w:t xml:space="preserve"> </w:t>
      </w:r>
      <w:r w:rsidRPr="00F97025" w:rsidR="002672FD">
        <w:rPr>
          <w:i/>
          <w:iCs/>
        </w:rPr>
        <w:t>Public Notice</w:t>
      </w:r>
      <w:r w:rsidR="002672FD">
        <w:t>)</w:t>
      </w:r>
      <w:r w:rsidR="009C3A22">
        <w:t>.</w:t>
      </w:r>
    </w:p>
  </w:footnote>
  <w:footnote w:id="5">
    <w:p w:rsidR="001A2888" w14:paraId="7AB9C3C2" w14:textId="46EC8B20">
      <w:pPr>
        <w:pStyle w:val="FootnoteText"/>
      </w:pPr>
      <w:r>
        <w:rPr>
          <w:rStyle w:val="FootnoteReference"/>
        </w:rPr>
        <w:footnoteRef/>
      </w:r>
      <w:r>
        <w:t xml:space="preserve"> </w:t>
      </w:r>
      <w:r w:rsidRPr="00E864E8" w:rsidR="00E864E8">
        <w:rPr>
          <w:i/>
          <w:iCs/>
        </w:rPr>
        <w:t xml:space="preserve">The </w:t>
      </w:r>
      <w:r w:rsidRPr="009C513D" w:rsidR="00A84551">
        <w:rPr>
          <w:i/>
          <w:iCs/>
        </w:rPr>
        <w:t>Uniendo a Puerto Rico Fund and Connect USVI Fund Notice and Filing Require</w:t>
      </w:r>
      <w:r w:rsidRPr="009C513D" w:rsidR="009C513D">
        <w:rPr>
          <w:i/>
          <w:iCs/>
        </w:rPr>
        <w:t>m</w:t>
      </w:r>
      <w:r w:rsidRPr="009C513D" w:rsidR="00A84551">
        <w:rPr>
          <w:i/>
          <w:iCs/>
        </w:rPr>
        <w:t>ents and Other Proced</w:t>
      </w:r>
      <w:r w:rsidRPr="009C513D" w:rsidR="00147286">
        <w:rPr>
          <w:i/>
          <w:iCs/>
        </w:rPr>
        <w:t>ures for Stage 2 Fixed Competitive Proposal Process</w:t>
      </w:r>
      <w:r w:rsidR="00147286">
        <w:t>, Public Notice, 35</w:t>
      </w:r>
      <w:r>
        <w:t xml:space="preserve"> FCC Rcd</w:t>
      </w:r>
      <w:r w:rsidR="00E05652">
        <w:t xml:space="preserve"> </w:t>
      </w:r>
      <w:r w:rsidR="00147286">
        <w:t xml:space="preserve">218, </w:t>
      </w:r>
      <w:r w:rsidR="00B92DCA">
        <w:t xml:space="preserve">232, </w:t>
      </w:r>
      <w:r w:rsidR="00E05652">
        <w:t>para. 83</w:t>
      </w:r>
      <w:r w:rsidR="00B92DCA">
        <w:t xml:space="preserve"> (</w:t>
      </w:r>
      <w:r w:rsidR="009C513D">
        <w:t>2020) (</w:t>
      </w:r>
      <w:r w:rsidRPr="00B078E7" w:rsidR="009C513D">
        <w:rPr>
          <w:i/>
          <w:iCs/>
        </w:rPr>
        <w:t>Procedures Public Notice</w:t>
      </w:r>
      <w:r w:rsidR="009C513D">
        <w:t>).</w:t>
      </w:r>
    </w:p>
  </w:footnote>
  <w:footnote w:id="6">
    <w:p w:rsidR="003D2482" w14:paraId="3F3B7EC9" w14:textId="2F35B14D">
      <w:pPr>
        <w:pStyle w:val="FootnoteText"/>
      </w:pPr>
      <w:r>
        <w:rPr>
          <w:rStyle w:val="FootnoteReference"/>
        </w:rPr>
        <w:footnoteRef/>
      </w:r>
      <w:r>
        <w:t xml:space="preserve"> </w:t>
      </w:r>
      <w:r w:rsidRPr="00B078E7">
        <w:rPr>
          <w:i/>
          <w:iCs/>
        </w:rPr>
        <w:t>Procedures Public Notice</w:t>
      </w:r>
      <w:r>
        <w:t xml:space="preserve">, </w:t>
      </w:r>
      <w:r w:rsidR="00B078E7">
        <w:t>35</w:t>
      </w:r>
      <w:r>
        <w:t xml:space="preserve"> FCC Rcd at </w:t>
      </w:r>
      <w:r w:rsidR="00B078E7">
        <w:t>233</w:t>
      </w:r>
      <w:r>
        <w:t>, para. 86.</w:t>
      </w:r>
    </w:p>
  </w:footnote>
  <w:footnote w:id="7">
    <w:p w:rsidR="0029506F" w14:paraId="72A56D3A" w14:textId="2625233B">
      <w:pPr>
        <w:pStyle w:val="FootnoteText"/>
      </w:pPr>
      <w:r>
        <w:rPr>
          <w:rStyle w:val="FootnoteReference"/>
        </w:rPr>
        <w:footnoteRef/>
      </w:r>
      <w:r>
        <w:t xml:space="preserve"> </w:t>
      </w:r>
      <w:r w:rsidRPr="00055EC5">
        <w:rPr>
          <w:i/>
          <w:iCs/>
        </w:rPr>
        <w:t>Id</w:t>
      </w:r>
      <w:r>
        <w:t>. at 257, para. 145.</w:t>
      </w:r>
    </w:p>
  </w:footnote>
  <w:footnote w:id="8">
    <w:p w:rsidR="00495FCC" w14:paraId="2AC32A9D" w14:textId="675474E5">
      <w:pPr>
        <w:pStyle w:val="FootnoteText"/>
      </w:pPr>
      <w:r>
        <w:rPr>
          <w:rStyle w:val="FootnoteReference"/>
        </w:rPr>
        <w:footnoteRef/>
      </w:r>
      <w:r>
        <w:t xml:space="preserve">  </w:t>
      </w:r>
      <w:r w:rsidRPr="00495FCC">
        <w:rPr>
          <w:i/>
          <w:iCs/>
        </w:rPr>
        <w:t>See</w:t>
      </w:r>
      <w:r>
        <w:t xml:space="preserve"> 47 CFR § 54.315(b)(5); </w:t>
      </w:r>
      <w:r w:rsidRPr="00B078E7">
        <w:rPr>
          <w:i/>
          <w:iCs/>
        </w:rPr>
        <w:t>Procedures Public Notice</w:t>
      </w:r>
      <w:r>
        <w:t>, 35 FCC Rcd at 257, para. 145.</w:t>
      </w:r>
    </w:p>
  </w:footnote>
  <w:footnote w:id="9">
    <w:p w:rsidR="0029506F" w:rsidRPr="004C60A9" w:rsidP="0029506F" w14:paraId="66EC0189" w14:textId="794CAEF5">
      <w:pPr>
        <w:pStyle w:val="FootnoteText"/>
      </w:pPr>
      <w:r w:rsidRPr="004C60A9">
        <w:rPr>
          <w:rStyle w:val="FootnoteReference"/>
        </w:rPr>
        <w:footnoteRef/>
      </w:r>
      <w:r>
        <w:t xml:space="preserve"> </w:t>
      </w:r>
      <w:r>
        <w:rPr>
          <w:szCs w:val="22"/>
        </w:rPr>
        <w:t xml:space="preserve">The Commission’s rules list specific requirements for a bank to be acceptable to the Commission to issue the letter of credit.  Those requirements vary for United States banks and non-U.S. banks.  </w:t>
      </w:r>
      <w:r w:rsidRPr="00BB7EEB">
        <w:rPr>
          <w:i/>
          <w:szCs w:val="22"/>
        </w:rPr>
        <w:t xml:space="preserve">See </w:t>
      </w:r>
      <w:r>
        <w:t xml:space="preserve">47 CFR </w:t>
      </w:r>
      <w:r w:rsidRPr="004C60A9">
        <w:t>§</w:t>
      </w:r>
      <w:r>
        <w:t xml:space="preserve"> 54.</w:t>
      </w:r>
      <w:r w:rsidR="00C80C11">
        <w:t>1508</w:t>
      </w:r>
      <w:r>
        <w:t>(c).</w:t>
      </w:r>
    </w:p>
  </w:footnote>
  <w:footnote w:id="10">
    <w:p w:rsidR="0023599B" w:rsidRPr="004A4861" w:rsidP="0023599B" w14:paraId="0BE48681" w14:textId="41774B31">
      <w:pPr>
        <w:pStyle w:val="FootnoteText"/>
      </w:pPr>
      <w:r w:rsidRPr="004C60A9">
        <w:rPr>
          <w:rStyle w:val="FootnoteReference"/>
        </w:rPr>
        <w:footnoteRef/>
      </w:r>
      <w:r>
        <w:t xml:space="preserve"> </w:t>
      </w:r>
      <w:r w:rsidRPr="00B25859" w:rsidR="00B25859">
        <w:rPr>
          <w:i/>
          <w:iCs/>
        </w:rPr>
        <w:t xml:space="preserve">See also </w:t>
      </w:r>
      <w:r>
        <w:rPr>
          <w:i/>
        </w:rPr>
        <w:t>PR-USVI Stage 2 Order</w:t>
      </w:r>
      <w:r w:rsidRPr="00010B65">
        <w:t>, 3</w:t>
      </w:r>
      <w:r>
        <w:t>4</w:t>
      </w:r>
      <w:r w:rsidRPr="00010B65">
        <w:t xml:space="preserve"> FCC Rcd </w:t>
      </w:r>
      <w:r>
        <w:t>at</w:t>
      </w:r>
      <w:r w:rsidRPr="008A5853">
        <w:t xml:space="preserve"> </w:t>
      </w:r>
      <w:r>
        <w:t xml:space="preserve">9211-15, </w:t>
      </w:r>
      <w:r w:rsidRPr="008A5853">
        <w:t xml:space="preserve">App. </w:t>
      </w:r>
      <w:r>
        <w:t>C</w:t>
      </w:r>
      <w:r w:rsidR="00B25859">
        <w:t xml:space="preserve">; </w:t>
      </w:r>
      <w:r w:rsidRPr="00C9298E">
        <w:rPr>
          <w:i/>
          <w:iCs/>
        </w:rPr>
        <w:t>Procedures Public Notice</w:t>
      </w:r>
      <w:r>
        <w:t>, 35 FCC Rcd at 263-67, App. B.</w:t>
      </w:r>
    </w:p>
  </w:footnote>
  <w:footnote w:id="11">
    <w:p w:rsidR="00BB1FBA" w:rsidP="00BB1FBA" w14:paraId="0C46BFDB" w14:textId="5E8C2752">
      <w:pPr>
        <w:pStyle w:val="FootnoteText"/>
      </w:pPr>
      <w:r>
        <w:rPr>
          <w:rStyle w:val="FootnoteReference"/>
        </w:rPr>
        <w:footnoteRef/>
      </w:r>
      <w:r>
        <w:t xml:space="preserve"> 47 CFR §</w:t>
      </w:r>
      <w:r w:rsidR="00476461">
        <w:t xml:space="preserve"> </w:t>
      </w:r>
      <w:r w:rsidR="00AB7EAC">
        <w:t>54.</w:t>
      </w:r>
      <w:r w:rsidR="008F2FDD">
        <w:t>804(c)</w:t>
      </w:r>
      <w:r w:rsidR="00EB0F4C">
        <w:t>(1)</w:t>
      </w:r>
      <w:r w:rsidR="008F2FDD">
        <w:t>.</w:t>
      </w:r>
      <w:r w:rsidR="00476461">
        <w:t xml:space="preserve"> </w:t>
      </w:r>
      <w:r w:rsidR="00D53BD7">
        <w:t xml:space="preserve">The Bureau issued an order </w:t>
      </w:r>
      <w:r w:rsidR="00C76CA6">
        <w:t xml:space="preserve">waiving the letter of credit value rules adopted for </w:t>
      </w:r>
      <w:r w:rsidR="00AF7112">
        <w:t>the</w:t>
      </w:r>
      <w:r w:rsidR="00D53BD7">
        <w:t xml:space="preserve"> </w:t>
      </w:r>
      <w:r w:rsidR="00AE5187">
        <w:t>support recipients of the Uniendo a Puerto Rico Fund and the Connect USVI Fund</w:t>
      </w:r>
      <w:r w:rsidR="00E63963">
        <w:t>,</w:t>
      </w:r>
      <w:r w:rsidR="00AE5187">
        <w:t xml:space="preserve"> </w:t>
      </w:r>
      <w:r w:rsidR="00AF7112">
        <w:t xml:space="preserve">and directed support recipients </w:t>
      </w:r>
      <w:r w:rsidR="00AE5187">
        <w:t xml:space="preserve">to follow the letter of credit </w:t>
      </w:r>
      <w:r w:rsidR="00AB7EAC">
        <w:t xml:space="preserve">value </w:t>
      </w:r>
      <w:r w:rsidR="00890C8D">
        <w:t xml:space="preserve">rules adopted for the Rural Digital Opportunity Fund.  </w:t>
      </w:r>
      <w:r w:rsidRPr="00E864E8" w:rsidR="00B03FCD">
        <w:rPr>
          <w:i/>
          <w:iCs/>
        </w:rPr>
        <w:t xml:space="preserve">The </w:t>
      </w:r>
      <w:r w:rsidRPr="009C513D" w:rsidR="00B03FCD">
        <w:rPr>
          <w:i/>
          <w:iCs/>
        </w:rPr>
        <w:t>Uniendo a Puerto Rico Fund and Connect USVI Fund</w:t>
      </w:r>
      <w:r w:rsidR="00B03FCD">
        <w:t>, Order on Reconsideration and Order,</w:t>
      </w:r>
      <w:r w:rsidR="00E864E8">
        <w:t xml:space="preserve"> </w:t>
      </w:r>
      <w:r w:rsidR="00E313B5">
        <w:t xml:space="preserve">35 FCC Rcd 8211, </w:t>
      </w:r>
      <w:r w:rsidR="0017544F">
        <w:t>8222</w:t>
      </w:r>
      <w:r w:rsidR="00E864E8">
        <w:t>-23</w:t>
      </w:r>
      <w:r w:rsidR="0017544F">
        <w:t>, paras</w:t>
      </w:r>
      <w:r w:rsidR="00A025C8">
        <w:t>. 29-34</w:t>
      </w:r>
      <w:r w:rsidR="00E313B5">
        <w:t xml:space="preserve"> (WCB 2020)</w:t>
      </w:r>
      <w:r w:rsidR="00110800">
        <w:t xml:space="preserve"> (</w:t>
      </w:r>
      <w:r w:rsidRPr="00110800" w:rsidR="00110800">
        <w:rPr>
          <w:i/>
          <w:iCs/>
        </w:rPr>
        <w:t>LOC Waiver Order</w:t>
      </w:r>
      <w:r w:rsidR="00110800">
        <w:t>)</w:t>
      </w:r>
      <w:r>
        <w:t xml:space="preserve">.  An applicant may obtain multiple letters of credit for a state.  However, because compliance is determined at the </w:t>
      </w:r>
      <w:r w:rsidR="00331651">
        <w:t>territory</w:t>
      </w:r>
      <w:r>
        <w:t>-level, the Bureau will authorize a draw on all the letters of credit covering all the</w:t>
      </w:r>
      <w:r w:rsidR="008956A7">
        <w:t xml:space="preserve"> proposals</w:t>
      </w:r>
      <w:r>
        <w:t xml:space="preserve"> </w:t>
      </w:r>
      <w:r w:rsidR="00BE59F2">
        <w:t xml:space="preserve">in </w:t>
      </w:r>
      <w:r w:rsidR="00236556">
        <w:t>the U.S. Virgin Islands</w:t>
      </w:r>
      <w:r>
        <w:t xml:space="preserve"> if a support recipient defaults.  47 CFR §</w:t>
      </w:r>
      <w:r w:rsidRPr="00A41A17">
        <w:t xml:space="preserve"> </w:t>
      </w:r>
      <w:r>
        <w:t>54.1508(b), (e).</w:t>
      </w:r>
    </w:p>
  </w:footnote>
  <w:footnote w:id="12">
    <w:p w:rsidR="005031CB" w:rsidP="005031CB" w14:paraId="3B99F263" w14:textId="3085F59B">
      <w:pPr>
        <w:pStyle w:val="FootnoteText"/>
      </w:pPr>
      <w:r>
        <w:rPr>
          <w:rStyle w:val="FootnoteReference"/>
        </w:rPr>
        <w:footnoteRef/>
      </w:r>
      <w:r>
        <w:t xml:space="preserve"> </w:t>
      </w:r>
      <w:r w:rsidRPr="00B45A9C" w:rsidR="00222326">
        <w:rPr>
          <w:i/>
          <w:iCs/>
        </w:rPr>
        <w:t>See also</w:t>
      </w:r>
      <w:r w:rsidR="00222326">
        <w:t xml:space="preserve"> </w:t>
      </w:r>
      <w:r w:rsidRPr="007F4E7C" w:rsidR="000711D3">
        <w:rPr>
          <w:i/>
          <w:iCs/>
        </w:rPr>
        <w:t>PR-USVI Stage 2 Order</w:t>
      </w:r>
      <w:r w:rsidR="000711D3">
        <w:t>, 34 FCC Rcd at 9211-</w:t>
      </w:r>
      <w:r w:rsidR="00944465">
        <w:t xml:space="preserve">15, App. C; </w:t>
      </w:r>
      <w:r>
        <w:rPr>
          <w:i/>
        </w:rPr>
        <w:t>Procedures Public Notice</w:t>
      </w:r>
      <w:r>
        <w:rPr>
          <w:iCs/>
        </w:rPr>
        <w:t>, 35 FCC Rcd at</w:t>
      </w:r>
      <w:r>
        <w:t xml:space="preserve"> </w:t>
      </w:r>
      <w:r w:rsidR="00510623">
        <w:rPr>
          <w:iCs/>
        </w:rPr>
        <w:t>263-67,</w:t>
      </w:r>
      <w:r>
        <w:t xml:space="preserve"> </w:t>
      </w:r>
      <w:r w:rsidR="00944465">
        <w:t xml:space="preserve">App. </w:t>
      </w:r>
      <w:r>
        <w:t>B.</w:t>
      </w:r>
    </w:p>
  </w:footnote>
  <w:footnote w:id="13">
    <w:p w:rsidR="00BB1FBA" w:rsidP="00BB1FBA" w14:paraId="1CE4476F" w14:textId="77777777">
      <w:pPr>
        <w:pStyle w:val="FootnoteText"/>
      </w:pPr>
      <w:r>
        <w:rPr>
          <w:rStyle w:val="FootnoteReference"/>
        </w:rPr>
        <w:footnoteRef/>
      </w:r>
      <w:r>
        <w:t xml:space="preserve"> </w:t>
      </w:r>
      <w:r w:rsidRPr="00A41A17">
        <w:t>47 CFR</w:t>
      </w:r>
      <w:r>
        <w:t xml:space="preserve"> § 1508(d); </w:t>
      </w:r>
      <w:r>
        <w:rPr>
          <w:i/>
        </w:rPr>
        <w:t>PR-USVI Stage 2 Order</w:t>
      </w:r>
      <w:r>
        <w:t xml:space="preserve">, 34 FCC Rcd at 9152, para. 78; </w:t>
      </w:r>
      <w:r w:rsidRPr="00A41A17">
        <w:rPr>
          <w:i/>
        </w:rPr>
        <w:t>see also</w:t>
      </w:r>
      <w:r>
        <w:t xml:space="preserve"> 11 U.S.C. § 541; 47 CFR § 54.315(c)(3). </w:t>
      </w:r>
    </w:p>
  </w:footnote>
  <w:footnote w:id="14">
    <w:p w:rsidR="00A56966" w:rsidP="00A56966" w14:paraId="2572E5D0" w14:textId="5EF9BDBA">
      <w:pPr>
        <w:pStyle w:val="FootnoteText"/>
      </w:pPr>
      <w:r>
        <w:rPr>
          <w:rStyle w:val="FootnoteReference"/>
        </w:rPr>
        <w:footnoteRef/>
      </w:r>
      <w:r>
        <w:t xml:space="preserve"> If a request for public inspection under section </w:t>
      </w:r>
      <w:r w:rsidRPr="00735F3D">
        <w:t>0.461</w:t>
      </w:r>
      <w:r>
        <w:t xml:space="preserve"> is made for </w:t>
      </w:r>
      <w:r w:rsidR="00B12483">
        <w:t>an</w:t>
      </w:r>
      <w:r>
        <w:t xml:space="preserve"> applicant’s letter of credit or attorney opinion letter, the applicant will be notified and then must justify the continued confidential treatment of the information if it objects to the disclosure.  47 CFR </w:t>
      </w:r>
      <w:r w:rsidRPr="00D62C8E">
        <w:t>§§ 0.459</w:t>
      </w:r>
      <w:r>
        <w:t>, 0.461</w:t>
      </w:r>
      <w:r w:rsidRPr="00D62C8E">
        <w:t>.</w:t>
      </w:r>
    </w:p>
  </w:footnote>
  <w:footnote w:id="15">
    <w:p w:rsidR="00A56966" w:rsidRPr="004C60A9" w:rsidP="00A56966" w14:paraId="14B7E647" w14:textId="77777777">
      <w:pPr>
        <w:pStyle w:val="FootnoteText"/>
      </w:pPr>
      <w:r w:rsidRPr="004C60A9">
        <w:rPr>
          <w:rStyle w:val="FootnoteReference"/>
        </w:rPr>
        <w:footnoteRef/>
      </w:r>
      <w:r>
        <w:t xml:space="preserve"> 47 CFR</w:t>
      </w:r>
      <w:r w:rsidRPr="004C60A9">
        <w:t xml:space="preserve"> </w:t>
      </w:r>
      <w:r>
        <w:rPr>
          <w:lang w:val="it-IT"/>
        </w:rPr>
        <w:t>§ 54.313(b)(6)(v)</w:t>
      </w:r>
      <w:r w:rsidRPr="004C60A9">
        <w:t>.</w:t>
      </w:r>
    </w:p>
  </w:footnote>
  <w:footnote w:id="16">
    <w:p w:rsidR="002806BE" w:rsidP="002806BE" w14:paraId="614D07BB" w14:textId="77777777">
      <w:pPr>
        <w:pStyle w:val="FootnoteText"/>
      </w:pPr>
      <w:r>
        <w:rPr>
          <w:rStyle w:val="FootnoteReference"/>
        </w:rPr>
        <w:footnoteRef/>
      </w:r>
      <w:r>
        <w:t xml:space="preserve"> </w:t>
      </w:r>
      <w:r w:rsidRPr="00976859">
        <w:rPr>
          <w:i/>
          <w:iCs/>
        </w:rPr>
        <w:t>Id</w:t>
      </w:r>
      <w:r>
        <w:t>. at 9174-76, para. 134-38.</w:t>
      </w:r>
    </w:p>
  </w:footnote>
  <w:footnote w:id="17">
    <w:p w:rsidR="002806BE" w:rsidP="002806BE" w14:paraId="632E7A95" w14:textId="77777777">
      <w:pPr>
        <w:pStyle w:val="FootnoteText"/>
      </w:pPr>
      <w:r>
        <w:rPr>
          <w:rStyle w:val="FootnoteReference"/>
        </w:rPr>
        <w:footnoteRef/>
      </w:r>
      <w:r>
        <w:t xml:space="preserve"> </w:t>
      </w:r>
      <w:r w:rsidRPr="00976859">
        <w:rPr>
          <w:i/>
          <w:iCs/>
        </w:rPr>
        <w:t>Id</w:t>
      </w:r>
      <w:r>
        <w:t xml:space="preserve">. at 9174-75, paras. 134-35.  The Bureau will approve the disaster plan if it is “complete and thoroughly addresses how the carrier will meet each of the criteria [the Commission] identif[ied].”  </w:t>
      </w:r>
      <w:r w:rsidRPr="00976859">
        <w:rPr>
          <w:i/>
          <w:iCs/>
        </w:rPr>
        <w:t>Id</w:t>
      </w:r>
      <w:r>
        <w:t>.</w:t>
      </w:r>
    </w:p>
  </w:footnote>
  <w:footnote w:id="18">
    <w:p w:rsidR="002806BE" w:rsidP="002806BE" w14:paraId="09218451" w14:textId="750C7739">
      <w:pPr>
        <w:pStyle w:val="FootnoteText"/>
      </w:pPr>
      <w:r>
        <w:rPr>
          <w:rStyle w:val="FootnoteReference"/>
        </w:rPr>
        <w:footnoteRef/>
      </w:r>
      <w:r>
        <w:t xml:space="preserve"> 47 CFR </w:t>
      </w:r>
      <w:r w:rsidRPr="00745C1D">
        <w:t>§</w:t>
      </w:r>
      <w:r>
        <w:t xml:space="preserve"> 54.1515(c).</w:t>
      </w:r>
    </w:p>
  </w:footnote>
  <w:footnote w:id="19">
    <w:p w:rsidR="00490DE8" w:rsidRPr="00D62C8E" w:rsidP="00490DE8" w14:paraId="3FD69242" w14:textId="2A1FB81F">
      <w:pPr>
        <w:pStyle w:val="FootnoteText"/>
      </w:pPr>
      <w:r w:rsidRPr="00D62C8E">
        <w:rPr>
          <w:rStyle w:val="FootnoteReference"/>
          <w:sz w:val="20"/>
        </w:rPr>
        <w:footnoteRef/>
      </w:r>
      <w:r w:rsidRPr="00D62C8E">
        <w:t xml:space="preserve"> </w:t>
      </w:r>
      <w:r w:rsidRPr="004F2B8A" w:rsidR="00A57A88">
        <w:rPr>
          <w:i/>
          <w:iCs/>
        </w:rPr>
        <w:t>PR-USVI Stage 2 Order</w:t>
      </w:r>
      <w:r w:rsidR="00A57A88">
        <w:t xml:space="preserve">, 34 FCC Rcd at </w:t>
      </w:r>
      <w:r w:rsidR="009F2ADB">
        <w:t>9133-34</w:t>
      </w:r>
      <w:r w:rsidR="00A57A88">
        <w:t>, para. 39</w:t>
      </w:r>
      <w:r w:rsidRPr="00D62C8E">
        <w:t xml:space="preserve">.  </w:t>
      </w:r>
    </w:p>
  </w:footnote>
  <w:footnote w:id="20">
    <w:p w:rsidR="00490DE8" w:rsidRPr="00D62C8E" w:rsidP="00490DE8" w14:paraId="25B5CB30" w14:textId="3145AC30">
      <w:pPr>
        <w:pStyle w:val="FootnoteText"/>
        <w:tabs>
          <w:tab w:val="left" w:pos="-720"/>
        </w:tabs>
        <w:suppressAutoHyphens/>
        <w:rPr>
          <w:color w:val="000000"/>
        </w:rPr>
      </w:pPr>
      <w:r w:rsidRPr="00004808">
        <w:rPr>
          <w:rStyle w:val="FootnoteReference"/>
          <w:color w:val="000000"/>
          <w:sz w:val="20"/>
        </w:rPr>
        <w:footnoteRef/>
      </w:r>
      <w:r w:rsidRPr="00D62C8E">
        <w:rPr>
          <w:color w:val="000000"/>
        </w:rPr>
        <w:t xml:space="preserve"> </w:t>
      </w:r>
      <w:r w:rsidRPr="004F2B8A" w:rsidR="00381576">
        <w:rPr>
          <w:i/>
          <w:iCs/>
        </w:rPr>
        <w:t>Procedures Public Notice</w:t>
      </w:r>
      <w:r w:rsidR="00381576">
        <w:t xml:space="preserve">, 35 FCC Rcd at 243, para. 87 (adopting prohibition against certain communications identical to </w:t>
      </w:r>
      <w:r w:rsidR="00381576">
        <w:rPr>
          <w:iCs/>
        </w:rPr>
        <w:t>47 CFR</w:t>
      </w:r>
      <w:r w:rsidRPr="00D62C8E" w:rsidR="00381576">
        <w:t xml:space="preserve"> § 1.21002(b)</w:t>
      </w:r>
      <w:r w:rsidR="00381576">
        <w:t>)</w:t>
      </w:r>
      <w:r w:rsidR="008A2C55">
        <w:t>.</w:t>
      </w:r>
    </w:p>
  </w:footnote>
  <w:footnote w:id="21">
    <w:p w:rsidR="00490DE8" w:rsidRPr="00D62C8E" w:rsidP="00490DE8" w14:paraId="32635A0D" w14:textId="18019B0B">
      <w:pPr>
        <w:pStyle w:val="FootnoteText"/>
      </w:pPr>
      <w:r w:rsidRPr="00004808">
        <w:rPr>
          <w:rStyle w:val="FootnoteReference"/>
          <w:sz w:val="20"/>
        </w:rPr>
        <w:footnoteRef/>
      </w:r>
      <w:r w:rsidRPr="00D62C8E">
        <w:t xml:space="preserve"> </w:t>
      </w:r>
      <w:r w:rsidRPr="00EB1382" w:rsidR="00EB1382">
        <w:rPr>
          <w:i/>
          <w:iCs/>
        </w:rPr>
        <w:t>See</w:t>
      </w:r>
      <w:r w:rsidR="00EB1382">
        <w:t xml:space="preserve"> </w:t>
      </w:r>
      <w:r w:rsidRPr="00D62C8E">
        <w:t>47 CFR § 1.21002(a).</w:t>
      </w:r>
    </w:p>
  </w:footnote>
  <w:footnote w:id="22">
    <w:p w:rsidR="00490DE8" w:rsidRPr="00D62C8E" w:rsidP="00490DE8" w14:paraId="288283CF" w14:textId="471A4E41">
      <w:pPr>
        <w:pStyle w:val="FootnoteText"/>
      </w:pPr>
      <w:r w:rsidRPr="00004808">
        <w:rPr>
          <w:rStyle w:val="FootnoteReference"/>
          <w:sz w:val="20"/>
        </w:rPr>
        <w:footnoteRef/>
      </w:r>
      <w:r w:rsidRPr="00D62C8E">
        <w:t xml:space="preserve"> </w:t>
      </w:r>
      <w:r w:rsidRPr="00D62C8E">
        <w:rPr>
          <w:i/>
        </w:rPr>
        <w:t>Id</w:t>
      </w:r>
      <w:r w:rsidRPr="00D62C8E">
        <w:t>.</w:t>
      </w:r>
    </w:p>
  </w:footnote>
  <w:footnote w:id="23">
    <w:p w:rsidR="002806BE" w:rsidP="002806BE" w14:paraId="795DE3E8" w14:textId="77777777">
      <w:pPr>
        <w:pStyle w:val="FootnoteText"/>
      </w:pPr>
      <w:r w:rsidRPr="00004808">
        <w:rPr>
          <w:rStyle w:val="FootnoteReference"/>
          <w:sz w:val="20"/>
        </w:rPr>
        <w:footnoteRef/>
      </w:r>
      <w:r w:rsidRPr="008D6745">
        <w:t xml:space="preserve"> </w:t>
      </w:r>
      <w:r>
        <w:rPr>
          <w:i/>
        </w:rPr>
        <w:t>PR-USVI Stage 2 Order</w:t>
      </w:r>
      <w:r>
        <w:t>, 34 FCC Rcd at 9152-53, paras. 81-83</w:t>
      </w:r>
      <w:r w:rsidRPr="008A5853">
        <w:t>.</w:t>
      </w:r>
      <w:r>
        <w:t xml:space="preserve">  </w:t>
      </w:r>
      <w:r w:rsidRPr="002806BE">
        <w:rPr>
          <w:i/>
        </w:rPr>
        <w:t>See also</w:t>
      </w:r>
      <w:r>
        <w:t xml:space="preserve"> </w:t>
      </w:r>
      <w:r>
        <w:rPr>
          <w:i/>
          <w:iCs/>
        </w:rPr>
        <w:t>Procedures Public Notice</w:t>
      </w:r>
      <w:r>
        <w:t xml:space="preserve"> 35 FCC Rcd at 242-43, paras. 136-38.</w:t>
      </w:r>
    </w:p>
  </w:footnote>
  <w:footnote w:id="24">
    <w:p w:rsidR="002806BE" w:rsidP="002806BE" w14:paraId="21FD42C1" w14:textId="77777777">
      <w:pPr>
        <w:pStyle w:val="FootnoteText"/>
      </w:pPr>
      <w:r>
        <w:rPr>
          <w:rStyle w:val="FootnoteReference"/>
        </w:rPr>
        <w:footnoteRef/>
      </w:r>
      <w:r>
        <w:t xml:space="preserve"> </w:t>
      </w:r>
      <w:r w:rsidRPr="00856654">
        <w:rPr>
          <w:i/>
          <w:iCs/>
        </w:rPr>
        <w:t>Id</w:t>
      </w:r>
      <w:r>
        <w:t>.</w:t>
      </w:r>
    </w:p>
  </w:footnote>
  <w:footnote w:id="25">
    <w:p w:rsidR="002806BE" w:rsidP="002806BE" w14:paraId="0BF6A92D" w14:textId="77777777">
      <w:pPr>
        <w:pStyle w:val="FootnoteText"/>
      </w:pPr>
      <w:r>
        <w:rPr>
          <w:rStyle w:val="FootnoteReference"/>
        </w:rPr>
        <w:footnoteRef/>
      </w:r>
      <w:r>
        <w:t xml:space="preserve"> </w:t>
      </w:r>
      <w:r w:rsidRPr="003C1A99">
        <w:rPr>
          <w:i/>
          <w:iCs/>
        </w:rPr>
        <w:t>PR-USVI Stage 2 Order</w:t>
      </w:r>
      <w:r>
        <w:t xml:space="preserve">, 34 FCC Rcd at 9152-53, para. 81; </w:t>
      </w:r>
      <w:r>
        <w:rPr>
          <w:i/>
          <w:iCs/>
        </w:rPr>
        <w:t>Procedures Public Notice</w:t>
      </w:r>
      <w:r>
        <w:t xml:space="preserve"> 35 FCC Rcd at 242, para. 137.</w:t>
      </w:r>
    </w:p>
  </w:footnote>
  <w:footnote w:id="26">
    <w:p w:rsidR="002806BE" w:rsidRPr="00244FF2" w:rsidP="002806BE" w14:paraId="10C4ECA1" w14:textId="77777777">
      <w:pPr>
        <w:pStyle w:val="FootnoteText"/>
        <w:rPr>
          <w:iCs/>
        </w:rPr>
      </w:pPr>
      <w:r w:rsidRPr="00004808">
        <w:rPr>
          <w:rStyle w:val="FootnoteReference"/>
          <w:sz w:val="20"/>
        </w:rPr>
        <w:footnoteRef/>
      </w:r>
      <w:r w:rsidRPr="00D62C8E">
        <w:t xml:space="preserve"> </w:t>
      </w:r>
      <w:r w:rsidRPr="003C1A99">
        <w:rPr>
          <w:i/>
          <w:iCs/>
        </w:rPr>
        <w:t>PR-USVI Stage 2 Order</w:t>
      </w:r>
      <w:r>
        <w:t>, 34 FCC Rcd</w:t>
      </w:r>
      <w:r>
        <w:rPr>
          <w:iCs/>
        </w:rPr>
        <w:t xml:space="preserve"> at 9153, para. 82; </w:t>
      </w:r>
      <w:r>
        <w:rPr>
          <w:i/>
          <w:iCs/>
        </w:rPr>
        <w:t>Procedures Public Notice</w:t>
      </w:r>
      <w:r>
        <w:t xml:space="preserve"> 35 FCC Rcd at 242, para. 138</w:t>
      </w:r>
      <w:r>
        <w:rPr>
          <w:iCs/>
        </w:rPr>
        <w:t xml:space="preserve">. </w:t>
      </w:r>
    </w:p>
  </w:footnote>
  <w:footnote w:id="27">
    <w:p w:rsidR="002806BE" w:rsidRPr="00D44B8A" w:rsidP="002806BE" w14:paraId="6DB6A8B0" w14:textId="77777777">
      <w:pPr>
        <w:pStyle w:val="FootnoteText"/>
      </w:pPr>
      <w:r w:rsidRPr="00004808">
        <w:rPr>
          <w:rStyle w:val="FootnoteReference"/>
          <w:sz w:val="20"/>
        </w:rPr>
        <w:footnoteRef/>
      </w:r>
      <w:r w:rsidRPr="00004808">
        <w:t xml:space="preserve"> </w:t>
      </w:r>
      <w:r w:rsidRPr="00D62C8E">
        <w:rPr>
          <w:i/>
        </w:rPr>
        <w:t>See</w:t>
      </w:r>
      <w:r w:rsidRPr="00D62C8E">
        <w:t xml:space="preserve"> 47 U.S.C. § 503(b)(2)(B); 47 CFR § 1.80(b)(8), note to paragraph (b)(8); </w:t>
      </w:r>
      <w:r w:rsidRPr="003C1A99">
        <w:rPr>
          <w:i/>
          <w:iCs/>
        </w:rPr>
        <w:t>PR-USVI Stage 2 Order</w:t>
      </w:r>
      <w:r>
        <w:t xml:space="preserve">, 34 FCC Rcd at 9153, para 82 &amp; n.297; </w:t>
      </w:r>
      <w:r>
        <w:rPr>
          <w:i/>
          <w:iCs/>
        </w:rPr>
        <w:t>Procedures Public Notice</w:t>
      </w:r>
      <w:r>
        <w:t xml:space="preserve"> 35 FCC Rcd at 242, para. 137.</w:t>
      </w:r>
    </w:p>
  </w:footnote>
  <w:footnote w:id="28">
    <w:p w:rsidR="002806BE" w:rsidP="002806BE" w14:paraId="13725DBA" w14:textId="77777777">
      <w:pPr>
        <w:pStyle w:val="FootnoteText"/>
      </w:pPr>
      <w:r>
        <w:rPr>
          <w:rStyle w:val="FootnoteReference"/>
        </w:rPr>
        <w:footnoteRef/>
      </w:r>
      <w:r>
        <w:t xml:space="preserve"> </w:t>
      </w:r>
      <w:r>
        <w:rPr>
          <w:i/>
          <w:iCs/>
        </w:rPr>
        <w:t>Procedures Public Notice</w:t>
      </w:r>
      <w:r>
        <w:t xml:space="preserve"> 35 FCC Rcd at 242, para. 137.</w:t>
      </w:r>
    </w:p>
  </w:footnote>
  <w:footnote w:id="29">
    <w:p w:rsidR="002806BE" w:rsidP="002806BE" w14:paraId="258270BA" w14:textId="77777777">
      <w:pPr>
        <w:pStyle w:val="FootnoteText"/>
      </w:pPr>
      <w:r>
        <w:rPr>
          <w:rStyle w:val="FootnoteReference"/>
        </w:rPr>
        <w:footnoteRef/>
      </w:r>
      <w:r>
        <w:t xml:space="preserve"> </w:t>
      </w:r>
      <w:r w:rsidRPr="00C9298E">
        <w:rPr>
          <w:i/>
          <w:iCs/>
        </w:rPr>
        <w:t>PR-USVI Stage 2 Order</w:t>
      </w:r>
      <w:r>
        <w:t>, 34 FCC Rcd at 9153, para. 84.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E24C677" w14:textId="1A98354A">
    <w:pPr>
      <w:tabs>
        <w:tab w:val="center" w:pos="4680"/>
        <w:tab w:val="right" w:pos="9360"/>
      </w:tabs>
    </w:pPr>
    <w:r w:rsidRPr="009838BC">
      <w:rPr>
        <w:b/>
      </w:rPr>
      <w:tab/>
      <w:t>Federal Communications Commission</w:t>
    </w:r>
    <w:r w:rsidRPr="009838BC">
      <w:rPr>
        <w:b/>
      </w:rPr>
      <w:tab/>
    </w:r>
    <w:r w:rsidR="00963AEE">
      <w:rPr>
        <w:b/>
      </w:rPr>
      <w:t>DA 20-1351</w:t>
    </w:r>
  </w:p>
  <w:p w:rsidR="009838BC" w:rsidRPr="009838BC" w:rsidP="009838BC" w14:paraId="63DEBDF6"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14:paraId="732A7495"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755178B"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14:paraId="0E939422" w14:textId="77777777">
                <w:pPr>
                  <w:rPr>
                    <w:rFonts w:ascii="Arial" w:hAnsi="Arial"/>
                    <w:b/>
                  </w:rPr>
                </w:pPr>
                <w:r>
                  <w:rPr>
                    <w:rFonts w:ascii="Arial" w:hAnsi="Arial"/>
                    <w:b/>
                  </w:rPr>
                  <w:t>Federal Communications Commission</w:t>
                </w:r>
              </w:p>
              <w:p w:rsidR="009838BC" w:rsidP="009838BC" w14:paraId="4EA696A5" w14:textId="2B122E64">
                <w:pPr>
                  <w:rPr>
                    <w:rFonts w:ascii="Arial" w:hAnsi="Arial"/>
                    <w:b/>
                  </w:rPr>
                </w:pPr>
                <w:r>
                  <w:rPr>
                    <w:rFonts w:ascii="Arial" w:hAnsi="Arial"/>
                    <w:b/>
                  </w:rPr>
                  <w:t xml:space="preserve">45 </w:t>
                </w:r>
                <w:r w:rsidR="00857D11">
                  <w:rPr>
                    <w:rFonts w:ascii="Arial" w:hAnsi="Arial"/>
                    <w:b/>
                  </w:rPr>
                  <w:t>L</w:t>
                </w:r>
                <w:r>
                  <w:rPr>
                    <w:rFonts w:ascii="Arial" w:hAnsi="Arial"/>
                    <w:b/>
                  </w:rPr>
                  <w:t xml:space="preserve"> St</w:t>
                </w:r>
                <w:r w:rsidR="007B3728">
                  <w:rPr>
                    <w:rFonts w:ascii="Arial" w:hAnsi="Arial"/>
                    <w:b/>
                  </w:rPr>
                  <w:t>reet</w:t>
                </w:r>
                <w:r>
                  <w:rPr>
                    <w:rFonts w:ascii="Arial" w:hAnsi="Arial"/>
                    <w:b/>
                  </w:rPr>
                  <w:t xml:space="preserve">, </w:t>
                </w:r>
                <w:r w:rsidR="00CC6FF9">
                  <w:rPr>
                    <w:rFonts w:ascii="Arial" w:hAnsi="Arial"/>
                    <w:b/>
                  </w:rPr>
                  <w:t>N</w:t>
                </w:r>
                <w:r>
                  <w:rPr>
                    <w:rFonts w:ascii="Arial" w:hAnsi="Arial"/>
                    <w:b/>
                  </w:rPr>
                  <w:t>.</w:t>
                </w:r>
                <w:r w:rsidR="00CC6FF9">
                  <w:rPr>
                    <w:rFonts w:ascii="Arial" w:hAnsi="Arial"/>
                    <w:b/>
                  </w:rPr>
                  <w:t>E</w:t>
                </w:r>
                <w:r>
                  <w:rPr>
                    <w:rFonts w:ascii="Arial" w:hAnsi="Arial"/>
                    <w:b/>
                  </w:rPr>
                  <w:t>.</w:t>
                </w:r>
              </w:p>
              <w:p w:rsidR="009838BC" w:rsidP="009838BC" w14:paraId="67EE1DEB"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535F9AD1" w:rsidR="13B99A06">
      <w:rPr>
        <w:rFonts w:ascii="Arial" w:hAnsi="Arial" w:cs="Arial"/>
        <w:b/>
        <w:bCs/>
        <w:sz w:val="96"/>
        <w:szCs w:val="96"/>
      </w:rPr>
      <w:t>PUBLIC NOTICE</w:t>
    </w:r>
  </w:p>
  <w:p w:rsidR="009838BC" w:rsidRPr="00357D50" w:rsidP="009838BC" w14:paraId="5674F747"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12098.4pt,56.7pt" to="12566.4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27A82D32" w14:textId="77777777">
                <w:pPr>
                  <w:spacing w:before="40"/>
                  <w:jc w:val="right"/>
                  <w:rPr>
                    <w:rFonts w:ascii="Arial" w:hAnsi="Arial"/>
                    <w:b/>
                    <w:sz w:val="16"/>
                  </w:rPr>
                </w:pPr>
                <w:r>
                  <w:rPr>
                    <w:rFonts w:ascii="Arial" w:hAnsi="Arial"/>
                    <w:b/>
                    <w:sz w:val="16"/>
                  </w:rPr>
                  <w:t>News Media Information 202 / 418-0500</w:t>
                </w:r>
              </w:p>
              <w:p w:rsidR="009838BC" w:rsidP="009838BC" w14:paraId="79DA955A"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51A094C1" w14:textId="77777777">
                <w:pPr>
                  <w:jc w:val="right"/>
                </w:pPr>
                <w:r>
                  <w:rPr>
                    <w:rFonts w:ascii="Arial" w:hAnsi="Arial"/>
                    <w:b/>
                    <w:sz w:val="16"/>
                  </w:rPr>
                  <w:t>TTY: 1-888-835-5322</w:t>
                </w:r>
              </w:p>
            </w:txbxContent>
          </v:textbox>
        </v:shape>
      </w:pict>
    </w:r>
  </w:p>
  <w:p w:rsidR="006F7393" w:rsidRPr="009838BC" w:rsidP="009838BC" w14:paraId="603F3914"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hybridMultilevel"/>
    <w:tmpl w:val="B1F45678"/>
    <w:lvl w:ilvl="0">
      <w:start w:val="1"/>
      <w:numFmt w:val="decimal"/>
      <w:lvlText w:val="%1."/>
      <w:lvlJc w:val="left"/>
      <w:pPr>
        <w:tabs>
          <w:tab w:val="num" w:pos="1080"/>
        </w:tabs>
        <w:ind w:left="0" w:firstLine="72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47E129A"/>
    <w:multiLevelType w:val="hybridMultilevel"/>
    <w:tmpl w:val="434884B0"/>
    <w:lvl w:ilvl="0">
      <w:start w:val="1"/>
      <w:numFmt w:val="decimal"/>
      <w:lvlText w:val="%1."/>
      <w:lvlJc w:val="left"/>
      <w:pPr>
        <w:ind w:left="1500" w:hanging="420"/>
      </w:pPr>
    </w:lvl>
    <w:lvl w:ilvl="1">
      <w:start w:val="1"/>
      <w:numFmt w:val="lowerLetter"/>
      <w:lvlText w:val="%2."/>
      <w:lvlJc w:val="left"/>
      <w:pPr>
        <w:ind w:left="2160" w:hanging="360"/>
      </w:pPr>
    </w:lvl>
    <w:lvl w:ilvl="2">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41A058A3"/>
    <w:multiLevelType w:val="hybridMultilevel"/>
    <w:tmpl w:val="7140217C"/>
    <w:lvl w:ilvl="0">
      <w:start w:val="1"/>
      <w:numFmt w:val="bullet"/>
      <w:lvlText w:val=""/>
      <w:lvlJc w:val="left"/>
      <w:pPr>
        <w:ind w:left="1440" w:hanging="360"/>
      </w:pPr>
      <w:rPr>
        <w:rFonts w:ascii="Symbol" w:hAnsi="Symbol"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hybridMultilevel"/>
    <w:tmpl w:val="D180CED0"/>
    <w:lvl w:ilvl="0">
      <w:start w:val="1"/>
      <w:numFmt w:val="decimal"/>
      <w:pStyle w:val="ParaNum"/>
      <w:lvlText w:val="%1."/>
      <w:lvlJc w:val="left"/>
      <w:pPr>
        <w:tabs>
          <w:tab w:val="num" w:pos="1080"/>
        </w:tabs>
        <w:ind w:left="0" w:firstLine="72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8">
    <w:nsid w:val="76032A37"/>
    <w:multiLevelType w:val="hybridMultilevel"/>
    <w:tmpl w:val="58AC4E3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1"/>
  </w:num>
  <w:num w:numId="2">
    <w:abstractNumId w:val="7"/>
  </w:num>
  <w:num w:numId="3">
    <w:abstractNumId w:val="3"/>
  </w:num>
  <w:num w:numId="4">
    <w:abstractNumId w:val="6"/>
  </w:num>
  <w:num w:numId="5">
    <w:abstractNumId w:val="2"/>
  </w:num>
  <w:num w:numId="6">
    <w:abstractNumId w:val="0"/>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6C3"/>
    <w:rsid w:val="00004808"/>
    <w:rsid w:val="00004C3C"/>
    <w:rsid w:val="00006922"/>
    <w:rsid w:val="000072CE"/>
    <w:rsid w:val="00010B65"/>
    <w:rsid w:val="00013A8B"/>
    <w:rsid w:val="00021445"/>
    <w:rsid w:val="00032B67"/>
    <w:rsid w:val="00036039"/>
    <w:rsid w:val="00037F90"/>
    <w:rsid w:val="000414D6"/>
    <w:rsid w:val="00053818"/>
    <w:rsid w:val="00053B88"/>
    <w:rsid w:val="00055EC5"/>
    <w:rsid w:val="00056423"/>
    <w:rsid w:val="0005758A"/>
    <w:rsid w:val="00060054"/>
    <w:rsid w:val="00067A9B"/>
    <w:rsid w:val="00067D6C"/>
    <w:rsid w:val="000711D3"/>
    <w:rsid w:val="000726C3"/>
    <w:rsid w:val="00073FB7"/>
    <w:rsid w:val="0007435A"/>
    <w:rsid w:val="00085D53"/>
    <w:rsid w:val="000875BF"/>
    <w:rsid w:val="000926A1"/>
    <w:rsid w:val="00095ACE"/>
    <w:rsid w:val="000966C9"/>
    <w:rsid w:val="00096D8C"/>
    <w:rsid w:val="000A1F6D"/>
    <w:rsid w:val="000A2419"/>
    <w:rsid w:val="000B32AA"/>
    <w:rsid w:val="000B4CFE"/>
    <w:rsid w:val="000B5F33"/>
    <w:rsid w:val="000B7D9C"/>
    <w:rsid w:val="000C0B65"/>
    <w:rsid w:val="000C4112"/>
    <w:rsid w:val="000E1AEC"/>
    <w:rsid w:val="000E2FBE"/>
    <w:rsid w:val="000E31DC"/>
    <w:rsid w:val="000E3D42"/>
    <w:rsid w:val="000E5351"/>
    <w:rsid w:val="000E5884"/>
    <w:rsid w:val="000E5AE8"/>
    <w:rsid w:val="000E634D"/>
    <w:rsid w:val="000E7362"/>
    <w:rsid w:val="000F1180"/>
    <w:rsid w:val="000F72F3"/>
    <w:rsid w:val="000F7AD8"/>
    <w:rsid w:val="000F7F2F"/>
    <w:rsid w:val="00100A92"/>
    <w:rsid w:val="00101D29"/>
    <w:rsid w:val="00103227"/>
    <w:rsid w:val="001035A8"/>
    <w:rsid w:val="001102A6"/>
    <w:rsid w:val="00110800"/>
    <w:rsid w:val="001176AD"/>
    <w:rsid w:val="00122B4F"/>
    <w:rsid w:val="00122BD5"/>
    <w:rsid w:val="00123E8D"/>
    <w:rsid w:val="001310E1"/>
    <w:rsid w:val="0013636F"/>
    <w:rsid w:val="001433A7"/>
    <w:rsid w:val="0014665A"/>
    <w:rsid w:val="00146A92"/>
    <w:rsid w:val="00147286"/>
    <w:rsid w:val="0015604E"/>
    <w:rsid w:val="00157547"/>
    <w:rsid w:val="00160237"/>
    <w:rsid w:val="00163A34"/>
    <w:rsid w:val="00165AD5"/>
    <w:rsid w:val="00165DCA"/>
    <w:rsid w:val="00170ED4"/>
    <w:rsid w:val="001716BB"/>
    <w:rsid w:val="00171BC1"/>
    <w:rsid w:val="0017544F"/>
    <w:rsid w:val="001769E5"/>
    <w:rsid w:val="001809E6"/>
    <w:rsid w:val="00180CD5"/>
    <w:rsid w:val="00182E45"/>
    <w:rsid w:val="00183D52"/>
    <w:rsid w:val="00185F88"/>
    <w:rsid w:val="0018742D"/>
    <w:rsid w:val="001918F4"/>
    <w:rsid w:val="001956D9"/>
    <w:rsid w:val="001979D9"/>
    <w:rsid w:val="00197EEF"/>
    <w:rsid w:val="001A2888"/>
    <w:rsid w:val="001A42AA"/>
    <w:rsid w:val="001B211A"/>
    <w:rsid w:val="001B2A4D"/>
    <w:rsid w:val="001B302E"/>
    <w:rsid w:val="001C295E"/>
    <w:rsid w:val="001C5767"/>
    <w:rsid w:val="001C64D2"/>
    <w:rsid w:val="001D1A79"/>
    <w:rsid w:val="001D39C0"/>
    <w:rsid w:val="001D6BCF"/>
    <w:rsid w:val="001E01CA"/>
    <w:rsid w:val="001E2339"/>
    <w:rsid w:val="001F6942"/>
    <w:rsid w:val="001F7D80"/>
    <w:rsid w:val="002002F4"/>
    <w:rsid w:val="00203B66"/>
    <w:rsid w:val="00203E8D"/>
    <w:rsid w:val="0020432D"/>
    <w:rsid w:val="002060D9"/>
    <w:rsid w:val="00222326"/>
    <w:rsid w:val="00225528"/>
    <w:rsid w:val="00225F0C"/>
    <w:rsid w:val="00226822"/>
    <w:rsid w:val="00232E6B"/>
    <w:rsid w:val="00235325"/>
    <w:rsid w:val="0023563B"/>
    <w:rsid w:val="0023599B"/>
    <w:rsid w:val="00236556"/>
    <w:rsid w:val="00236EE3"/>
    <w:rsid w:val="002439E0"/>
    <w:rsid w:val="00244FF2"/>
    <w:rsid w:val="0025116C"/>
    <w:rsid w:val="002534CD"/>
    <w:rsid w:val="0025547B"/>
    <w:rsid w:val="002567C6"/>
    <w:rsid w:val="00260594"/>
    <w:rsid w:val="00262946"/>
    <w:rsid w:val="002656D6"/>
    <w:rsid w:val="002672FD"/>
    <w:rsid w:val="00272E4E"/>
    <w:rsid w:val="00276D15"/>
    <w:rsid w:val="00276EDA"/>
    <w:rsid w:val="002806BE"/>
    <w:rsid w:val="00280C5F"/>
    <w:rsid w:val="00285017"/>
    <w:rsid w:val="00291BF5"/>
    <w:rsid w:val="002921D7"/>
    <w:rsid w:val="0029506F"/>
    <w:rsid w:val="00295F82"/>
    <w:rsid w:val="00296AE3"/>
    <w:rsid w:val="002A2D2E"/>
    <w:rsid w:val="002A35A1"/>
    <w:rsid w:val="002B33BE"/>
    <w:rsid w:val="002B5539"/>
    <w:rsid w:val="002C4D31"/>
    <w:rsid w:val="002C618D"/>
    <w:rsid w:val="002D2E2E"/>
    <w:rsid w:val="002D4078"/>
    <w:rsid w:val="002D5F4C"/>
    <w:rsid w:val="002D7733"/>
    <w:rsid w:val="002E09E9"/>
    <w:rsid w:val="002E12D8"/>
    <w:rsid w:val="002E4B8F"/>
    <w:rsid w:val="002E5726"/>
    <w:rsid w:val="002F3664"/>
    <w:rsid w:val="00301211"/>
    <w:rsid w:val="0030141E"/>
    <w:rsid w:val="0030251A"/>
    <w:rsid w:val="00302CA8"/>
    <w:rsid w:val="00306699"/>
    <w:rsid w:val="00310FCC"/>
    <w:rsid w:val="00313ED4"/>
    <w:rsid w:val="003151B6"/>
    <w:rsid w:val="0031787B"/>
    <w:rsid w:val="00324442"/>
    <w:rsid w:val="00331651"/>
    <w:rsid w:val="003319A0"/>
    <w:rsid w:val="00332C2E"/>
    <w:rsid w:val="0033314E"/>
    <w:rsid w:val="00333EA0"/>
    <w:rsid w:val="00334967"/>
    <w:rsid w:val="00337D56"/>
    <w:rsid w:val="00343749"/>
    <w:rsid w:val="00346409"/>
    <w:rsid w:val="00346618"/>
    <w:rsid w:val="00351AA5"/>
    <w:rsid w:val="00352A9F"/>
    <w:rsid w:val="0035757D"/>
    <w:rsid w:val="00357D50"/>
    <w:rsid w:val="00357D73"/>
    <w:rsid w:val="00361920"/>
    <w:rsid w:val="00361EA7"/>
    <w:rsid w:val="003649B3"/>
    <w:rsid w:val="00366F54"/>
    <w:rsid w:val="00381576"/>
    <w:rsid w:val="0039171E"/>
    <w:rsid w:val="00391BE8"/>
    <w:rsid w:val="003925DC"/>
    <w:rsid w:val="003927D3"/>
    <w:rsid w:val="00393829"/>
    <w:rsid w:val="00394557"/>
    <w:rsid w:val="003977AB"/>
    <w:rsid w:val="003A1E8B"/>
    <w:rsid w:val="003A2F7E"/>
    <w:rsid w:val="003B0550"/>
    <w:rsid w:val="003B2CE8"/>
    <w:rsid w:val="003B5630"/>
    <w:rsid w:val="003B694F"/>
    <w:rsid w:val="003C1A99"/>
    <w:rsid w:val="003C2B7E"/>
    <w:rsid w:val="003C598A"/>
    <w:rsid w:val="003C6076"/>
    <w:rsid w:val="003D2482"/>
    <w:rsid w:val="003D6BA4"/>
    <w:rsid w:val="003D70FC"/>
    <w:rsid w:val="003E1B93"/>
    <w:rsid w:val="003E256E"/>
    <w:rsid w:val="003E4FDF"/>
    <w:rsid w:val="003F060F"/>
    <w:rsid w:val="003F171C"/>
    <w:rsid w:val="003F2392"/>
    <w:rsid w:val="003F39D8"/>
    <w:rsid w:val="003F6CC0"/>
    <w:rsid w:val="003F6F3A"/>
    <w:rsid w:val="004001B2"/>
    <w:rsid w:val="004078FC"/>
    <w:rsid w:val="00412FC5"/>
    <w:rsid w:val="004160B5"/>
    <w:rsid w:val="00416DD8"/>
    <w:rsid w:val="00422276"/>
    <w:rsid w:val="00422B91"/>
    <w:rsid w:val="004241A0"/>
    <w:rsid w:val="004242F1"/>
    <w:rsid w:val="0043147B"/>
    <w:rsid w:val="00433383"/>
    <w:rsid w:val="004344DB"/>
    <w:rsid w:val="0043747B"/>
    <w:rsid w:val="00437D4B"/>
    <w:rsid w:val="004406D7"/>
    <w:rsid w:val="004443DF"/>
    <w:rsid w:val="00445A00"/>
    <w:rsid w:val="00445EC1"/>
    <w:rsid w:val="00451B0F"/>
    <w:rsid w:val="0046125F"/>
    <w:rsid w:val="00465E73"/>
    <w:rsid w:val="004671FE"/>
    <w:rsid w:val="00471FFC"/>
    <w:rsid w:val="0047481D"/>
    <w:rsid w:val="00476461"/>
    <w:rsid w:val="00484F67"/>
    <w:rsid w:val="00487524"/>
    <w:rsid w:val="00490DE8"/>
    <w:rsid w:val="004959E3"/>
    <w:rsid w:val="00495FCC"/>
    <w:rsid w:val="00496106"/>
    <w:rsid w:val="004A380A"/>
    <w:rsid w:val="004A4861"/>
    <w:rsid w:val="004A6707"/>
    <w:rsid w:val="004B04D9"/>
    <w:rsid w:val="004B1650"/>
    <w:rsid w:val="004B58CD"/>
    <w:rsid w:val="004C12D0"/>
    <w:rsid w:val="004C2EE3"/>
    <w:rsid w:val="004C46F4"/>
    <w:rsid w:val="004C60A9"/>
    <w:rsid w:val="004C722C"/>
    <w:rsid w:val="004D01E1"/>
    <w:rsid w:val="004D0655"/>
    <w:rsid w:val="004D3C9E"/>
    <w:rsid w:val="004D441D"/>
    <w:rsid w:val="004D4D20"/>
    <w:rsid w:val="004D4DB2"/>
    <w:rsid w:val="004D54CD"/>
    <w:rsid w:val="004D7B49"/>
    <w:rsid w:val="004D7FDC"/>
    <w:rsid w:val="004E4A22"/>
    <w:rsid w:val="004F2B8A"/>
    <w:rsid w:val="004F4798"/>
    <w:rsid w:val="004F745C"/>
    <w:rsid w:val="00500C13"/>
    <w:rsid w:val="0050269D"/>
    <w:rsid w:val="005031CB"/>
    <w:rsid w:val="00510623"/>
    <w:rsid w:val="00511968"/>
    <w:rsid w:val="00511C89"/>
    <w:rsid w:val="00532AAF"/>
    <w:rsid w:val="0053506D"/>
    <w:rsid w:val="0053707A"/>
    <w:rsid w:val="0054296C"/>
    <w:rsid w:val="0054535C"/>
    <w:rsid w:val="00546295"/>
    <w:rsid w:val="00550E14"/>
    <w:rsid w:val="00555EAC"/>
    <w:rsid w:val="0055614C"/>
    <w:rsid w:val="00560C53"/>
    <w:rsid w:val="005620C2"/>
    <w:rsid w:val="005620D8"/>
    <w:rsid w:val="00562D8F"/>
    <w:rsid w:val="00564232"/>
    <w:rsid w:val="005669C6"/>
    <w:rsid w:val="0057486C"/>
    <w:rsid w:val="00581235"/>
    <w:rsid w:val="005864A0"/>
    <w:rsid w:val="0059236E"/>
    <w:rsid w:val="005A407F"/>
    <w:rsid w:val="005A4DC1"/>
    <w:rsid w:val="005A5A3F"/>
    <w:rsid w:val="005B435D"/>
    <w:rsid w:val="005C6F63"/>
    <w:rsid w:val="005D1232"/>
    <w:rsid w:val="005D7BFA"/>
    <w:rsid w:val="005E1015"/>
    <w:rsid w:val="005E144F"/>
    <w:rsid w:val="005E23F7"/>
    <w:rsid w:val="005F0322"/>
    <w:rsid w:val="005F388B"/>
    <w:rsid w:val="005F46E9"/>
    <w:rsid w:val="00607BA5"/>
    <w:rsid w:val="006114C0"/>
    <w:rsid w:val="0061189A"/>
    <w:rsid w:val="006130B9"/>
    <w:rsid w:val="0061416E"/>
    <w:rsid w:val="00614D1D"/>
    <w:rsid w:val="00621636"/>
    <w:rsid w:val="00621AF5"/>
    <w:rsid w:val="00623CBE"/>
    <w:rsid w:val="00625293"/>
    <w:rsid w:val="00626EB6"/>
    <w:rsid w:val="006301B6"/>
    <w:rsid w:val="006353A3"/>
    <w:rsid w:val="00635622"/>
    <w:rsid w:val="006436D6"/>
    <w:rsid w:val="006438C7"/>
    <w:rsid w:val="006478A3"/>
    <w:rsid w:val="006539B5"/>
    <w:rsid w:val="0065547A"/>
    <w:rsid w:val="00655D03"/>
    <w:rsid w:val="00656160"/>
    <w:rsid w:val="00656BAB"/>
    <w:rsid w:val="00656D94"/>
    <w:rsid w:val="00660A9E"/>
    <w:rsid w:val="00665DC3"/>
    <w:rsid w:val="0066736B"/>
    <w:rsid w:val="00667F69"/>
    <w:rsid w:val="00676C24"/>
    <w:rsid w:val="00683F84"/>
    <w:rsid w:val="00685817"/>
    <w:rsid w:val="00686110"/>
    <w:rsid w:val="00686AAB"/>
    <w:rsid w:val="00687296"/>
    <w:rsid w:val="00695286"/>
    <w:rsid w:val="006961D1"/>
    <w:rsid w:val="006A171F"/>
    <w:rsid w:val="006A6182"/>
    <w:rsid w:val="006A6A81"/>
    <w:rsid w:val="006A7B57"/>
    <w:rsid w:val="006B6CBC"/>
    <w:rsid w:val="006D337F"/>
    <w:rsid w:val="006D7470"/>
    <w:rsid w:val="006E26AF"/>
    <w:rsid w:val="006E6AE4"/>
    <w:rsid w:val="006E7985"/>
    <w:rsid w:val="006F6A2F"/>
    <w:rsid w:val="006F6FEB"/>
    <w:rsid w:val="006F7393"/>
    <w:rsid w:val="0070224F"/>
    <w:rsid w:val="00705A71"/>
    <w:rsid w:val="00707126"/>
    <w:rsid w:val="007115F7"/>
    <w:rsid w:val="00713594"/>
    <w:rsid w:val="007139F6"/>
    <w:rsid w:val="007166ED"/>
    <w:rsid w:val="00723BE8"/>
    <w:rsid w:val="0072551C"/>
    <w:rsid w:val="00725B00"/>
    <w:rsid w:val="0073125E"/>
    <w:rsid w:val="00735F3D"/>
    <w:rsid w:val="007432DA"/>
    <w:rsid w:val="00745C1D"/>
    <w:rsid w:val="00755AC5"/>
    <w:rsid w:val="00760D26"/>
    <w:rsid w:val="00761C0A"/>
    <w:rsid w:val="00766953"/>
    <w:rsid w:val="00772517"/>
    <w:rsid w:val="00773016"/>
    <w:rsid w:val="00773AC1"/>
    <w:rsid w:val="0077552F"/>
    <w:rsid w:val="007776A9"/>
    <w:rsid w:val="00783B6E"/>
    <w:rsid w:val="00785689"/>
    <w:rsid w:val="0078735D"/>
    <w:rsid w:val="00796162"/>
    <w:rsid w:val="00796EA0"/>
    <w:rsid w:val="0079754B"/>
    <w:rsid w:val="007A022B"/>
    <w:rsid w:val="007A1E6D"/>
    <w:rsid w:val="007A448E"/>
    <w:rsid w:val="007A7B56"/>
    <w:rsid w:val="007A7C82"/>
    <w:rsid w:val="007B017B"/>
    <w:rsid w:val="007B14D6"/>
    <w:rsid w:val="007B3728"/>
    <w:rsid w:val="007B3AAE"/>
    <w:rsid w:val="007B4094"/>
    <w:rsid w:val="007B4335"/>
    <w:rsid w:val="007B79CB"/>
    <w:rsid w:val="007C23A8"/>
    <w:rsid w:val="007C45A1"/>
    <w:rsid w:val="007C54A1"/>
    <w:rsid w:val="007C79E8"/>
    <w:rsid w:val="007D1505"/>
    <w:rsid w:val="007D7062"/>
    <w:rsid w:val="007E177E"/>
    <w:rsid w:val="007E5ADD"/>
    <w:rsid w:val="007E689B"/>
    <w:rsid w:val="007F2DBE"/>
    <w:rsid w:val="007F4E7C"/>
    <w:rsid w:val="007F55AA"/>
    <w:rsid w:val="007F5917"/>
    <w:rsid w:val="007F7FD8"/>
    <w:rsid w:val="008004E3"/>
    <w:rsid w:val="00800607"/>
    <w:rsid w:val="00801880"/>
    <w:rsid w:val="008026BD"/>
    <w:rsid w:val="008036A2"/>
    <w:rsid w:val="00806CF6"/>
    <w:rsid w:val="00807A73"/>
    <w:rsid w:val="008205B7"/>
    <w:rsid w:val="00822CE0"/>
    <w:rsid w:val="0082716F"/>
    <w:rsid w:val="008302B1"/>
    <w:rsid w:val="008321DC"/>
    <w:rsid w:val="008358F1"/>
    <w:rsid w:val="00837C62"/>
    <w:rsid w:val="008401AD"/>
    <w:rsid w:val="00841AB1"/>
    <w:rsid w:val="0084503A"/>
    <w:rsid w:val="00845AB3"/>
    <w:rsid w:val="0084625C"/>
    <w:rsid w:val="00846A57"/>
    <w:rsid w:val="00847158"/>
    <w:rsid w:val="00851AB6"/>
    <w:rsid w:val="00853532"/>
    <w:rsid w:val="0085445D"/>
    <w:rsid w:val="00856654"/>
    <w:rsid w:val="00857D11"/>
    <w:rsid w:val="00865E1E"/>
    <w:rsid w:val="00876281"/>
    <w:rsid w:val="00880947"/>
    <w:rsid w:val="00886E70"/>
    <w:rsid w:val="00890C8D"/>
    <w:rsid w:val="008934F3"/>
    <w:rsid w:val="00894C1F"/>
    <w:rsid w:val="008956A7"/>
    <w:rsid w:val="00896647"/>
    <w:rsid w:val="00896A2E"/>
    <w:rsid w:val="008A2A4E"/>
    <w:rsid w:val="008A2C55"/>
    <w:rsid w:val="008A5853"/>
    <w:rsid w:val="008A6FE6"/>
    <w:rsid w:val="008C0674"/>
    <w:rsid w:val="008C0DDE"/>
    <w:rsid w:val="008C22FD"/>
    <w:rsid w:val="008C32FC"/>
    <w:rsid w:val="008D2102"/>
    <w:rsid w:val="008D5A92"/>
    <w:rsid w:val="008D6745"/>
    <w:rsid w:val="008E04A6"/>
    <w:rsid w:val="008E13D9"/>
    <w:rsid w:val="008E1AA6"/>
    <w:rsid w:val="008E6412"/>
    <w:rsid w:val="008F2423"/>
    <w:rsid w:val="008F2585"/>
    <w:rsid w:val="008F2FBE"/>
    <w:rsid w:val="008F2FDD"/>
    <w:rsid w:val="008F6AB3"/>
    <w:rsid w:val="008F715C"/>
    <w:rsid w:val="009014C3"/>
    <w:rsid w:val="0090153E"/>
    <w:rsid w:val="00904430"/>
    <w:rsid w:val="00904C36"/>
    <w:rsid w:val="00907556"/>
    <w:rsid w:val="0090792D"/>
    <w:rsid w:val="00910C13"/>
    <w:rsid w:val="00910F12"/>
    <w:rsid w:val="009148C4"/>
    <w:rsid w:val="00920432"/>
    <w:rsid w:val="00926503"/>
    <w:rsid w:val="00927524"/>
    <w:rsid w:val="00930ECF"/>
    <w:rsid w:val="009337B6"/>
    <w:rsid w:val="00933870"/>
    <w:rsid w:val="0094382E"/>
    <w:rsid w:val="00943CC0"/>
    <w:rsid w:val="0094404A"/>
    <w:rsid w:val="00944273"/>
    <w:rsid w:val="00944465"/>
    <w:rsid w:val="0095026F"/>
    <w:rsid w:val="00950C28"/>
    <w:rsid w:val="0095168C"/>
    <w:rsid w:val="00956B12"/>
    <w:rsid w:val="0095720E"/>
    <w:rsid w:val="00963AEE"/>
    <w:rsid w:val="00965776"/>
    <w:rsid w:val="00967EEF"/>
    <w:rsid w:val="009702A2"/>
    <w:rsid w:val="009705FD"/>
    <w:rsid w:val="0097252B"/>
    <w:rsid w:val="00974C3A"/>
    <w:rsid w:val="00976859"/>
    <w:rsid w:val="00981952"/>
    <w:rsid w:val="00982EDE"/>
    <w:rsid w:val="009838BC"/>
    <w:rsid w:val="00990E83"/>
    <w:rsid w:val="009922BF"/>
    <w:rsid w:val="00997747"/>
    <w:rsid w:val="009A4C66"/>
    <w:rsid w:val="009A57F6"/>
    <w:rsid w:val="009A7798"/>
    <w:rsid w:val="009A7989"/>
    <w:rsid w:val="009B36CE"/>
    <w:rsid w:val="009B3A94"/>
    <w:rsid w:val="009C3A22"/>
    <w:rsid w:val="009C513D"/>
    <w:rsid w:val="009C77C0"/>
    <w:rsid w:val="009C791D"/>
    <w:rsid w:val="009E2950"/>
    <w:rsid w:val="009E58E3"/>
    <w:rsid w:val="009E7E80"/>
    <w:rsid w:val="009F125B"/>
    <w:rsid w:val="009F2229"/>
    <w:rsid w:val="009F2ADB"/>
    <w:rsid w:val="009F4EBC"/>
    <w:rsid w:val="00A025C8"/>
    <w:rsid w:val="00A060A6"/>
    <w:rsid w:val="00A0652F"/>
    <w:rsid w:val="00A069C9"/>
    <w:rsid w:val="00A10E97"/>
    <w:rsid w:val="00A15EE7"/>
    <w:rsid w:val="00A20B50"/>
    <w:rsid w:val="00A33B9D"/>
    <w:rsid w:val="00A33E79"/>
    <w:rsid w:val="00A353CB"/>
    <w:rsid w:val="00A37791"/>
    <w:rsid w:val="00A41A17"/>
    <w:rsid w:val="00A41A1A"/>
    <w:rsid w:val="00A43A33"/>
    <w:rsid w:val="00A44D4A"/>
    <w:rsid w:val="00A45F4F"/>
    <w:rsid w:val="00A46B72"/>
    <w:rsid w:val="00A5177C"/>
    <w:rsid w:val="00A56107"/>
    <w:rsid w:val="00A56966"/>
    <w:rsid w:val="00A57A88"/>
    <w:rsid w:val="00A600A9"/>
    <w:rsid w:val="00A62621"/>
    <w:rsid w:val="00A62CA5"/>
    <w:rsid w:val="00A66D3E"/>
    <w:rsid w:val="00A678CD"/>
    <w:rsid w:val="00A73149"/>
    <w:rsid w:val="00A754EA"/>
    <w:rsid w:val="00A84551"/>
    <w:rsid w:val="00A866AC"/>
    <w:rsid w:val="00A93858"/>
    <w:rsid w:val="00A94805"/>
    <w:rsid w:val="00A96B1E"/>
    <w:rsid w:val="00AA0A3E"/>
    <w:rsid w:val="00AA2626"/>
    <w:rsid w:val="00AA55B7"/>
    <w:rsid w:val="00AA5911"/>
    <w:rsid w:val="00AA5B9E"/>
    <w:rsid w:val="00AB01AD"/>
    <w:rsid w:val="00AB2407"/>
    <w:rsid w:val="00AB53DF"/>
    <w:rsid w:val="00AB5E66"/>
    <w:rsid w:val="00AB6859"/>
    <w:rsid w:val="00AB7EAC"/>
    <w:rsid w:val="00AC2029"/>
    <w:rsid w:val="00AC78F1"/>
    <w:rsid w:val="00AD105C"/>
    <w:rsid w:val="00AD5170"/>
    <w:rsid w:val="00AD6BE6"/>
    <w:rsid w:val="00AE1B36"/>
    <w:rsid w:val="00AE24FE"/>
    <w:rsid w:val="00AE5187"/>
    <w:rsid w:val="00AE7325"/>
    <w:rsid w:val="00AF3343"/>
    <w:rsid w:val="00AF38F5"/>
    <w:rsid w:val="00AF5D03"/>
    <w:rsid w:val="00AF7112"/>
    <w:rsid w:val="00B03FCD"/>
    <w:rsid w:val="00B05666"/>
    <w:rsid w:val="00B078E7"/>
    <w:rsid w:val="00B07E5C"/>
    <w:rsid w:val="00B11C29"/>
    <w:rsid w:val="00B12483"/>
    <w:rsid w:val="00B13687"/>
    <w:rsid w:val="00B20363"/>
    <w:rsid w:val="00B21858"/>
    <w:rsid w:val="00B22215"/>
    <w:rsid w:val="00B25859"/>
    <w:rsid w:val="00B25974"/>
    <w:rsid w:val="00B326E3"/>
    <w:rsid w:val="00B365C7"/>
    <w:rsid w:val="00B45A9C"/>
    <w:rsid w:val="00B45D87"/>
    <w:rsid w:val="00B52B97"/>
    <w:rsid w:val="00B56835"/>
    <w:rsid w:val="00B57645"/>
    <w:rsid w:val="00B60565"/>
    <w:rsid w:val="00B62E08"/>
    <w:rsid w:val="00B6616C"/>
    <w:rsid w:val="00B751F8"/>
    <w:rsid w:val="00B75AED"/>
    <w:rsid w:val="00B811F7"/>
    <w:rsid w:val="00B82D53"/>
    <w:rsid w:val="00B84944"/>
    <w:rsid w:val="00B920E6"/>
    <w:rsid w:val="00B92DCA"/>
    <w:rsid w:val="00B9545B"/>
    <w:rsid w:val="00B955FE"/>
    <w:rsid w:val="00BA4C95"/>
    <w:rsid w:val="00BA4FF7"/>
    <w:rsid w:val="00BA5319"/>
    <w:rsid w:val="00BA5DC6"/>
    <w:rsid w:val="00BA6196"/>
    <w:rsid w:val="00BB15D4"/>
    <w:rsid w:val="00BB1FBA"/>
    <w:rsid w:val="00BB5B94"/>
    <w:rsid w:val="00BB7EEB"/>
    <w:rsid w:val="00BC1661"/>
    <w:rsid w:val="00BC4AF1"/>
    <w:rsid w:val="00BC6D8C"/>
    <w:rsid w:val="00BD08F6"/>
    <w:rsid w:val="00BD3F80"/>
    <w:rsid w:val="00BE2EF6"/>
    <w:rsid w:val="00BE59F2"/>
    <w:rsid w:val="00BE758A"/>
    <w:rsid w:val="00BF3335"/>
    <w:rsid w:val="00BF72B0"/>
    <w:rsid w:val="00BF7944"/>
    <w:rsid w:val="00C00594"/>
    <w:rsid w:val="00C16AF2"/>
    <w:rsid w:val="00C2683B"/>
    <w:rsid w:val="00C30113"/>
    <w:rsid w:val="00C3081C"/>
    <w:rsid w:val="00C34006"/>
    <w:rsid w:val="00C36CB9"/>
    <w:rsid w:val="00C402F5"/>
    <w:rsid w:val="00C426B1"/>
    <w:rsid w:val="00C46C6C"/>
    <w:rsid w:val="00C50CAA"/>
    <w:rsid w:val="00C5367F"/>
    <w:rsid w:val="00C573E6"/>
    <w:rsid w:val="00C6209A"/>
    <w:rsid w:val="00C625EB"/>
    <w:rsid w:val="00C62901"/>
    <w:rsid w:val="00C64943"/>
    <w:rsid w:val="00C71997"/>
    <w:rsid w:val="00C76CA6"/>
    <w:rsid w:val="00C80C11"/>
    <w:rsid w:val="00C80DB5"/>
    <w:rsid w:val="00C821D4"/>
    <w:rsid w:val="00C82B6B"/>
    <w:rsid w:val="00C83290"/>
    <w:rsid w:val="00C84C15"/>
    <w:rsid w:val="00C86CD1"/>
    <w:rsid w:val="00C9057B"/>
    <w:rsid w:val="00C90D6A"/>
    <w:rsid w:val="00C9298E"/>
    <w:rsid w:val="00C93DC9"/>
    <w:rsid w:val="00C93F65"/>
    <w:rsid w:val="00CA1C22"/>
    <w:rsid w:val="00CA2549"/>
    <w:rsid w:val="00CA6FFD"/>
    <w:rsid w:val="00CB1B45"/>
    <w:rsid w:val="00CB50FF"/>
    <w:rsid w:val="00CB6242"/>
    <w:rsid w:val="00CB657E"/>
    <w:rsid w:val="00CB7F29"/>
    <w:rsid w:val="00CC0E92"/>
    <w:rsid w:val="00CC57B5"/>
    <w:rsid w:val="00CC6FF9"/>
    <w:rsid w:val="00CC72B6"/>
    <w:rsid w:val="00CC754F"/>
    <w:rsid w:val="00CD0A68"/>
    <w:rsid w:val="00CD2FE6"/>
    <w:rsid w:val="00CD39DF"/>
    <w:rsid w:val="00CD3FBD"/>
    <w:rsid w:val="00CF591E"/>
    <w:rsid w:val="00CF6434"/>
    <w:rsid w:val="00CF7BED"/>
    <w:rsid w:val="00D000C9"/>
    <w:rsid w:val="00D0218D"/>
    <w:rsid w:val="00D10512"/>
    <w:rsid w:val="00D1225B"/>
    <w:rsid w:val="00D14FBB"/>
    <w:rsid w:val="00D20C5B"/>
    <w:rsid w:val="00D216CD"/>
    <w:rsid w:val="00D228C4"/>
    <w:rsid w:val="00D25E5F"/>
    <w:rsid w:val="00D268B7"/>
    <w:rsid w:val="00D303C4"/>
    <w:rsid w:val="00D30856"/>
    <w:rsid w:val="00D33AD5"/>
    <w:rsid w:val="00D344DD"/>
    <w:rsid w:val="00D40415"/>
    <w:rsid w:val="00D44B8A"/>
    <w:rsid w:val="00D455D4"/>
    <w:rsid w:val="00D53BD7"/>
    <w:rsid w:val="00D62C8E"/>
    <w:rsid w:val="00D70906"/>
    <w:rsid w:val="00D762FA"/>
    <w:rsid w:val="00D83CDF"/>
    <w:rsid w:val="00D86C66"/>
    <w:rsid w:val="00D911BD"/>
    <w:rsid w:val="00D93C37"/>
    <w:rsid w:val="00D96FA9"/>
    <w:rsid w:val="00D977A7"/>
    <w:rsid w:val="00DA2529"/>
    <w:rsid w:val="00DA3F42"/>
    <w:rsid w:val="00DA41CE"/>
    <w:rsid w:val="00DA425F"/>
    <w:rsid w:val="00DA44EC"/>
    <w:rsid w:val="00DA525E"/>
    <w:rsid w:val="00DB130A"/>
    <w:rsid w:val="00DB5877"/>
    <w:rsid w:val="00DB6753"/>
    <w:rsid w:val="00DC10A1"/>
    <w:rsid w:val="00DC1BEC"/>
    <w:rsid w:val="00DC4788"/>
    <w:rsid w:val="00DC4F2E"/>
    <w:rsid w:val="00DC5D3E"/>
    <w:rsid w:val="00DC655F"/>
    <w:rsid w:val="00DD405D"/>
    <w:rsid w:val="00DD7EBD"/>
    <w:rsid w:val="00DE5E62"/>
    <w:rsid w:val="00DE661D"/>
    <w:rsid w:val="00DF037D"/>
    <w:rsid w:val="00DF05B7"/>
    <w:rsid w:val="00DF0745"/>
    <w:rsid w:val="00DF4523"/>
    <w:rsid w:val="00DF474C"/>
    <w:rsid w:val="00DF62B6"/>
    <w:rsid w:val="00DF6B39"/>
    <w:rsid w:val="00E000A5"/>
    <w:rsid w:val="00E05652"/>
    <w:rsid w:val="00E05F83"/>
    <w:rsid w:val="00E07225"/>
    <w:rsid w:val="00E1021F"/>
    <w:rsid w:val="00E155B7"/>
    <w:rsid w:val="00E157C7"/>
    <w:rsid w:val="00E22D35"/>
    <w:rsid w:val="00E24106"/>
    <w:rsid w:val="00E25D71"/>
    <w:rsid w:val="00E304E6"/>
    <w:rsid w:val="00E313B5"/>
    <w:rsid w:val="00E32AB8"/>
    <w:rsid w:val="00E4068F"/>
    <w:rsid w:val="00E427F8"/>
    <w:rsid w:val="00E530D2"/>
    <w:rsid w:val="00E5409F"/>
    <w:rsid w:val="00E54BEA"/>
    <w:rsid w:val="00E57166"/>
    <w:rsid w:val="00E61A74"/>
    <w:rsid w:val="00E63963"/>
    <w:rsid w:val="00E63DA3"/>
    <w:rsid w:val="00E6562E"/>
    <w:rsid w:val="00E75F02"/>
    <w:rsid w:val="00E76E30"/>
    <w:rsid w:val="00E8044E"/>
    <w:rsid w:val="00E8380E"/>
    <w:rsid w:val="00E864E8"/>
    <w:rsid w:val="00E87F59"/>
    <w:rsid w:val="00E913AF"/>
    <w:rsid w:val="00E9165D"/>
    <w:rsid w:val="00E96BDD"/>
    <w:rsid w:val="00EA02AB"/>
    <w:rsid w:val="00EA4B12"/>
    <w:rsid w:val="00EA6BB8"/>
    <w:rsid w:val="00EB0F4C"/>
    <w:rsid w:val="00EB1382"/>
    <w:rsid w:val="00EB178C"/>
    <w:rsid w:val="00EB2EA0"/>
    <w:rsid w:val="00EB463C"/>
    <w:rsid w:val="00EB4E01"/>
    <w:rsid w:val="00EC0185"/>
    <w:rsid w:val="00EC262D"/>
    <w:rsid w:val="00EC4C0F"/>
    <w:rsid w:val="00ED173E"/>
    <w:rsid w:val="00ED3A1D"/>
    <w:rsid w:val="00ED5A07"/>
    <w:rsid w:val="00ED5A77"/>
    <w:rsid w:val="00EE0329"/>
    <w:rsid w:val="00EE0686"/>
    <w:rsid w:val="00EE656D"/>
    <w:rsid w:val="00EF2DC1"/>
    <w:rsid w:val="00F021FA"/>
    <w:rsid w:val="00F0637E"/>
    <w:rsid w:val="00F143B8"/>
    <w:rsid w:val="00F1521D"/>
    <w:rsid w:val="00F161E2"/>
    <w:rsid w:val="00F27B2E"/>
    <w:rsid w:val="00F32169"/>
    <w:rsid w:val="00F35430"/>
    <w:rsid w:val="00F42EE8"/>
    <w:rsid w:val="00F44CF9"/>
    <w:rsid w:val="00F55DB3"/>
    <w:rsid w:val="00F55DDE"/>
    <w:rsid w:val="00F57ACA"/>
    <w:rsid w:val="00F62E97"/>
    <w:rsid w:val="00F63AC8"/>
    <w:rsid w:val="00F64209"/>
    <w:rsid w:val="00F711ED"/>
    <w:rsid w:val="00F8026D"/>
    <w:rsid w:val="00F83E22"/>
    <w:rsid w:val="00F91ADD"/>
    <w:rsid w:val="00F92275"/>
    <w:rsid w:val="00F92D89"/>
    <w:rsid w:val="00F93BF5"/>
    <w:rsid w:val="00F9537C"/>
    <w:rsid w:val="00F96D2C"/>
    <w:rsid w:val="00F96F63"/>
    <w:rsid w:val="00F97025"/>
    <w:rsid w:val="00FA0C90"/>
    <w:rsid w:val="00FA3825"/>
    <w:rsid w:val="00FB3260"/>
    <w:rsid w:val="00FC3D2A"/>
    <w:rsid w:val="00FC60BF"/>
    <w:rsid w:val="00FC6AF7"/>
    <w:rsid w:val="00FC6BA4"/>
    <w:rsid w:val="00FD0487"/>
    <w:rsid w:val="00FD132B"/>
    <w:rsid w:val="00FD37C6"/>
    <w:rsid w:val="00FD4469"/>
    <w:rsid w:val="00FE1165"/>
    <w:rsid w:val="00FE666D"/>
    <w:rsid w:val="00FE6B49"/>
    <w:rsid w:val="00FF001E"/>
    <w:rsid w:val="00FF4657"/>
    <w:rsid w:val="00FF72D8"/>
    <w:rsid w:val="0B6D2D7E"/>
    <w:rsid w:val="10098B29"/>
    <w:rsid w:val="13B99A06"/>
    <w:rsid w:val="13D79960"/>
    <w:rsid w:val="15D663EC"/>
    <w:rsid w:val="212F1DC8"/>
    <w:rsid w:val="3DE3CF8C"/>
    <w:rsid w:val="4823506A"/>
    <w:rsid w:val="49DCB454"/>
    <w:rsid w:val="4A0BAF40"/>
    <w:rsid w:val="51E08524"/>
    <w:rsid w:val="535F9AD1"/>
    <w:rsid w:val="727595E1"/>
    <w:rsid w:val="7D4E419D"/>
    <w:rsid w:val="7DBEDD8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6DED4F0-7EBD-46F6-B551-858523392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Footnote Text Char Char Char Char,Footnote Text Char1,Footnote Text Char2 Char Char2 Char2 Char Char,Footnote Text Char4 Char Char1 Char Char,Footnote Text Char5 Char,Footnote Text Char5 Char Char"/>
    <w:link w:val="FootnoteTextChar2"/>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styleId="CommentReference">
    <w:name w:val="annotation reference"/>
    <w:uiPriority w:val="99"/>
    <w:semiHidden/>
    <w:unhideWhenUsed/>
    <w:rsid w:val="002D4078"/>
    <w:rPr>
      <w:sz w:val="16"/>
      <w:szCs w:val="16"/>
    </w:rPr>
  </w:style>
  <w:style w:type="paragraph" w:styleId="CommentText">
    <w:name w:val="annotation text"/>
    <w:basedOn w:val="Normal"/>
    <w:link w:val="CommentTextChar"/>
    <w:uiPriority w:val="99"/>
    <w:semiHidden/>
    <w:unhideWhenUsed/>
    <w:rsid w:val="002D4078"/>
    <w:rPr>
      <w:sz w:val="20"/>
    </w:rPr>
  </w:style>
  <w:style w:type="character" w:customStyle="1" w:styleId="CommentTextChar">
    <w:name w:val="Comment Text Char"/>
    <w:link w:val="CommentText"/>
    <w:uiPriority w:val="99"/>
    <w:semiHidden/>
    <w:rsid w:val="002D4078"/>
    <w:rPr>
      <w:snapToGrid w:val="0"/>
      <w:kern w:val="28"/>
    </w:rPr>
  </w:style>
  <w:style w:type="paragraph" w:styleId="CommentSubject">
    <w:name w:val="annotation subject"/>
    <w:basedOn w:val="CommentText"/>
    <w:next w:val="CommentText"/>
    <w:link w:val="CommentSubjectChar"/>
    <w:uiPriority w:val="99"/>
    <w:semiHidden/>
    <w:unhideWhenUsed/>
    <w:rsid w:val="002D4078"/>
    <w:rPr>
      <w:b/>
      <w:bCs/>
    </w:rPr>
  </w:style>
  <w:style w:type="character" w:customStyle="1" w:styleId="CommentSubjectChar">
    <w:name w:val="Comment Subject Char"/>
    <w:link w:val="CommentSubject"/>
    <w:uiPriority w:val="99"/>
    <w:semiHidden/>
    <w:rsid w:val="002D4078"/>
    <w:rPr>
      <w:b/>
      <w:bCs/>
      <w:snapToGrid w:val="0"/>
      <w:kern w:val="28"/>
    </w:rPr>
  </w:style>
  <w:style w:type="paragraph" w:styleId="BalloonText">
    <w:name w:val="Balloon Text"/>
    <w:basedOn w:val="Normal"/>
    <w:link w:val="BalloonTextChar"/>
    <w:uiPriority w:val="99"/>
    <w:semiHidden/>
    <w:unhideWhenUsed/>
    <w:rsid w:val="002D4078"/>
    <w:rPr>
      <w:rFonts w:ascii="Segoe UI" w:hAnsi="Segoe UI" w:cs="Segoe UI"/>
      <w:sz w:val="18"/>
      <w:szCs w:val="18"/>
    </w:rPr>
  </w:style>
  <w:style w:type="character" w:customStyle="1" w:styleId="BalloonTextChar">
    <w:name w:val="Balloon Text Char"/>
    <w:link w:val="BalloonText"/>
    <w:uiPriority w:val="99"/>
    <w:semiHidden/>
    <w:rsid w:val="002D4078"/>
    <w:rPr>
      <w:rFonts w:ascii="Segoe UI" w:hAnsi="Segoe UI" w:cs="Segoe UI"/>
      <w:snapToGrid w:val="0"/>
      <w:kern w:val="28"/>
      <w:sz w:val="18"/>
      <w:szCs w:val="18"/>
    </w:rPr>
  </w:style>
  <w:style w:type="character" w:customStyle="1" w:styleId="FootnoteTextChar2">
    <w:name w:val="Footnote Text Char2"/>
    <w:aliases w:val="Footnote Text Char Char Char,Footnote Text Char Char Char Char Char,Footnote Text Char Char1,Footnote Text Char1 Char,Footnote Text Char2 Char Char2 Char2 Char Char Char,Footnote Text Char4 Char Char1 Char Char Char"/>
    <w:link w:val="FootnoteText"/>
    <w:rsid w:val="005E23F7"/>
  </w:style>
  <w:style w:type="character" w:customStyle="1" w:styleId="ParaNumCharChar1">
    <w:name w:val="ParaNum Char Char1"/>
    <w:link w:val="ParaNum"/>
    <w:locked/>
    <w:rsid w:val="00BB1FBA"/>
    <w:rPr>
      <w:snapToGrid w:val="0"/>
      <w:kern w:val="28"/>
      <w:sz w:val="22"/>
    </w:rPr>
  </w:style>
  <w:style w:type="character" w:customStyle="1" w:styleId="ALTSFOOTNOTEChar1">
    <w:name w:val="ALTS FOOTNOTE Char1"/>
    <w:aliases w:val="ALTS FOOTNOTE Char Char,Footnote Text Char2 Char Char,Footnote Text Char2 Char1 Char1 Char Char,Footnote Text Char2 Char1 Char1 Char Char Char Char,Footnote Text Char3,Footnote Text Char3 Char1 Char Char,f Char,fn  Char,fn Char2"/>
    <w:rsid w:val="00EB463C"/>
  </w:style>
  <w:style w:type="character" w:customStyle="1" w:styleId="UnresolvedMention">
    <w:name w:val="Unresolved Mention"/>
    <w:uiPriority w:val="99"/>
    <w:semiHidden/>
    <w:unhideWhenUsed/>
    <w:rsid w:val="00EC4C0F"/>
    <w:rPr>
      <w:color w:val="605E5C"/>
      <w:shd w:val="clear" w:color="auto" w:fill="E1DFDD"/>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fcc.gov/formpage.html" TargetMode="External" /><Relationship Id="rId11" Type="http://schemas.openxmlformats.org/officeDocument/2006/relationships/hyperlink" Target="mailto:fcc504@fcc.gov" TargetMode="External" /><Relationship Id="rId12" Type="http://schemas.openxmlformats.org/officeDocument/2006/relationships/hyperlink" Target="http://www.fcc.gov/ocbo/" TargetMode="External"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2.xml" /><Relationship Id="rId17" Type="http://schemas.openxmlformats.org/officeDocument/2006/relationships/footer" Target="footer3.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uniendo-puerto-rico-and-connect-usvi-fund-stage-2" TargetMode="External" /><Relationship Id="rId6" Type="http://schemas.openxmlformats.org/officeDocument/2006/relationships/hyperlink" Target="https://www.usac.org/hc/funds/caf-phase-ii-auction.aspx" TargetMode="External" /><Relationship Id="rId7" Type="http://schemas.openxmlformats.org/officeDocument/2006/relationships/hyperlink" Target="mailto:hcinfo@usac.org" TargetMode="External" /><Relationship Id="rId8" Type="http://schemas.openxmlformats.org/officeDocument/2006/relationships/hyperlink" Target="mailto:ConnectAmerica@fcc.gov" TargetMode="External" /><Relationship Id="rId9" Type="http://schemas.openxmlformats.org/officeDocument/2006/relationships/hyperlink" Target="http://www.fcc.gov/"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