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24EE5" w:rsidRPr="00B20363" w:rsidP="00631D07" w14:paraId="52D67230" w14:textId="6FF93213">
      <w:pPr>
        <w:jc w:val="right"/>
        <w:rPr>
          <w:b/>
          <w:sz w:val="24"/>
        </w:rPr>
      </w:pPr>
      <w:r>
        <w:rPr>
          <w:b/>
          <w:sz w:val="24"/>
        </w:rPr>
        <w:t>DA 20</w:t>
      </w:r>
      <w:r w:rsidR="00414BFD">
        <w:rPr>
          <w:b/>
          <w:sz w:val="24"/>
        </w:rPr>
        <w:t>-1315</w:t>
      </w:r>
    </w:p>
    <w:p w:rsidR="00424EE5" w:rsidRPr="00B20363" w:rsidP="00424EE5" w14:paraId="07E773DB" w14:textId="30415959">
      <w:pPr>
        <w:spacing w:before="60"/>
        <w:jc w:val="right"/>
        <w:rPr>
          <w:b/>
          <w:sz w:val="24"/>
        </w:rPr>
      </w:pPr>
      <w:r>
        <w:rPr>
          <w:b/>
          <w:sz w:val="24"/>
        </w:rPr>
        <w:t xml:space="preserve">Released:  </w:t>
      </w:r>
      <w:r w:rsidR="0002403E">
        <w:rPr>
          <w:b/>
          <w:sz w:val="24"/>
        </w:rPr>
        <w:t>November 5, 2020</w:t>
      </w:r>
    </w:p>
    <w:p w:rsidR="00424EE5" w:rsidP="00424EE5" w14:paraId="555458EC" w14:textId="77777777">
      <w:pPr>
        <w:jc w:val="right"/>
        <w:rPr>
          <w:sz w:val="24"/>
        </w:rPr>
      </w:pPr>
      <w:bookmarkStart w:id="0" w:name="_Hlk55461214"/>
    </w:p>
    <w:p w:rsidR="0096112C" w:rsidP="00631D07" w14:paraId="4F2F7DA7" w14:textId="3EB70A26">
      <w:pPr>
        <w:spacing w:after="120"/>
        <w:jc w:val="center"/>
        <w:rPr>
          <w:rFonts w:ascii="Times New Roman Bold" w:hAnsi="Times New Roman Bold"/>
          <w:b/>
          <w:caps/>
          <w:sz w:val="24"/>
        </w:rPr>
      </w:pPr>
      <w:r>
        <w:rPr>
          <w:rFonts w:ascii="Times New Roman Bold" w:hAnsi="Times New Roman Bold"/>
          <w:b/>
          <w:caps/>
          <w:sz w:val="24"/>
        </w:rPr>
        <w:t xml:space="preserve">Wireline competition bureau </w:t>
      </w:r>
      <w:r w:rsidR="00945F28">
        <w:rPr>
          <w:rFonts w:ascii="Times New Roman Bold" w:hAnsi="Times New Roman Bold"/>
          <w:b/>
          <w:caps/>
          <w:sz w:val="24"/>
        </w:rPr>
        <w:t>ANNOUNCES</w:t>
      </w:r>
      <w:r w:rsidR="00577CF3">
        <w:rPr>
          <w:rFonts w:ascii="Times New Roman Bold" w:hAnsi="Times New Roman Bold"/>
          <w:b/>
          <w:caps/>
          <w:sz w:val="24"/>
        </w:rPr>
        <w:t xml:space="preserve"> connected care pilot program application </w:t>
      </w:r>
      <w:r w:rsidR="00CE12DB">
        <w:rPr>
          <w:rFonts w:ascii="Times New Roman Bold" w:hAnsi="Times New Roman Bold"/>
          <w:b/>
          <w:caps/>
          <w:sz w:val="24"/>
        </w:rPr>
        <w:t xml:space="preserve">filing </w:t>
      </w:r>
      <w:r w:rsidR="00577CF3">
        <w:rPr>
          <w:rFonts w:ascii="Times New Roman Bold" w:hAnsi="Times New Roman Bold"/>
          <w:b/>
          <w:caps/>
          <w:sz w:val="24"/>
        </w:rPr>
        <w:t xml:space="preserve">WINDOW OPENING </w:t>
      </w:r>
    </w:p>
    <w:bookmarkEnd w:id="0"/>
    <w:p w:rsidR="00577CF3" w:rsidRPr="00EA70AA" w:rsidP="00631D07" w14:paraId="66BBD9E6" w14:textId="29999D80">
      <w:pPr>
        <w:spacing w:after="120"/>
        <w:jc w:val="center"/>
        <w:rPr>
          <w:rFonts w:ascii="Times New Roman Bold" w:hAnsi="Times New Roman Bold"/>
          <w:b/>
          <w:i/>
          <w:iCs/>
          <w:caps/>
          <w:szCs w:val="22"/>
        </w:rPr>
      </w:pPr>
      <w:r>
        <w:rPr>
          <w:rFonts w:ascii="Times New Roman Bold" w:hAnsi="Times New Roman Bold"/>
          <w:b/>
          <w:caps/>
          <w:sz w:val="24"/>
        </w:rPr>
        <w:t xml:space="preserve"> </w:t>
      </w:r>
      <w:r w:rsidR="0096112C">
        <w:rPr>
          <w:rFonts w:ascii="Times New Roman Bold" w:hAnsi="Times New Roman Bold"/>
          <w:b/>
          <w:i/>
          <w:iCs/>
          <w:szCs w:val="22"/>
        </w:rPr>
        <w:t>B</w:t>
      </w:r>
      <w:r w:rsidRPr="00EA70AA" w:rsidR="0096112C">
        <w:rPr>
          <w:rFonts w:ascii="Times New Roman Bold" w:hAnsi="Times New Roman Bold"/>
          <w:b/>
          <w:i/>
          <w:iCs/>
          <w:szCs w:val="22"/>
        </w:rPr>
        <w:t xml:space="preserve">ureau </w:t>
      </w:r>
      <w:r w:rsidR="0096112C">
        <w:rPr>
          <w:rFonts w:ascii="Times New Roman Bold" w:hAnsi="Times New Roman Bold"/>
          <w:b/>
          <w:i/>
          <w:iCs/>
          <w:szCs w:val="22"/>
        </w:rPr>
        <w:t>P</w:t>
      </w:r>
      <w:r w:rsidRPr="00EA70AA" w:rsidR="0096112C">
        <w:rPr>
          <w:rFonts w:ascii="Times New Roman Bold" w:hAnsi="Times New Roman Bold"/>
          <w:b/>
          <w:i/>
          <w:iCs/>
          <w:szCs w:val="22"/>
        </w:rPr>
        <w:t xml:space="preserve">rovides </w:t>
      </w:r>
      <w:r w:rsidR="0096112C">
        <w:rPr>
          <w:rFonts w:ascii="Times New Roman Bold" w:hAnsi="Times New Roman Bold"/>
          <w:b/>
          <w:i/>
          <w:iCs/>
          <w:szCs w:val="22"/>
        </w:rPr>
        <w:t>A</w:t>
      </w:r>
      <w:r w:rsidRPr="00EA70AA" w:rsidR="0096112C">
        <w:rPr>
          <w:rFonts w:ascii="Times New Roman Bold" w:hAnsi="Times New Roman Bold"/>
          <w:b/>
          <w:i/>
          <w:iCs/>
          <w:szCs w:val="22"/>
        </w:rPr>
        <w:t xml:space="preserve">dditional </w:t>
      </w:r>
      <w:r w:rsidR="0096112C">
        <w:rPr>
          <w:rFonts w:ascii="Times New Roman Bold" w:hAnsi="Times New Roman Bold"/>
          <w:b/>
          <w:i/>
          <w:iCs/>
          <w:szCs w:val="22"/>
        </w:rPr>
        <w:t>G</w:t>
      </w:r>
      <w:r w:rsidRPr="00EA70AA" w:rsidR="0096112C">
        <w:rPr>
          <w:rFonts w:ascii="Times New Roman Bold" w:hAnsi="Times New Roman Bold"/>
          <w:b/>
          <w:i/>
          <w:iCs/>
          <w:szCs w:val="22"/>
        </w:rPr>
        <w:t xml:space="preserve">uidance on </w:t>
      </w:r>
      <w:r w:rsidR="0096112C">
        <w:rPr>
          <w:rFonts w:ascii="Times New Roman Bold" w:hAnsi="Times New Roman Bold"/>
          <w:b/>
          <w:i/>
          <w:iCs/>
          <w:szCs w:val="22"/>
        </w:rPr>
        <w:t>P</w:t>
      </w:r>
      <w:r w:rsidRPr="00EA70AA" w:rsidR="0096112C">
        <w:rPr>
          <w:rFonts w:ascii="Times New Roman Bold" w:hAnsi="Times New Roman Bold"/>
          <w:b/>
          <w:i/>
          <w:iCs/>
          <w:szCs w:val="22"/>
        </w:rPr>
        <w:t xml:space="preserve">ilot </w:t>
      </w:r>
      <w:r w:rsidR="0096112C">
        <w:rPr>
          <w:rFonts w:ascii="Times New Roman Bold" w:hAnsi="Times New Roman Bold"/>
          <w:b/>
          <w:i/>
          <w:iCs/>
          <w:szCs w:val="22"/>
        </w:rPr>
        <w:t>P</w:t>
      </w:r>
      <w:r w:rsidRPr="00EA70AA" w:rsidR="0096112C">
        <w:rPr>
          <w:rFonts w:ascii="Times New Roman Bold" w:hAnsi="Times New Roman Bold"/>
          <w:b/>
          <w:i/>
          <w:iCs/>
          <w:szCs w:val="22"/>
        </w:rPr>
        <w:t xml:space="preserve">rogram </w:t>
      </w:r>
      <w:r w:rsidR="0096112C">
        <w:rPr>
          <w:rFonts w:ascii="Times New Roman Bold" w:hAnsi="Times New Roman Bold"/>
          <w:b/>
          <w:i/>
          <w:iCs/>
          <w:szCs w:val="22"/>
        </w:rPr>
        <w:t>R</w:t>
      </w:r>
      <w:r w:rsidRPr="00EA70AA" w:rsidR="0096112C">
        <w:rPr>
          <w:rFonts w:ascii="Times New Roman Bold" w:hAnsi="Times New Roman Bold"/>
          <w:b/>
          <w:i/>
          <w:iCs/>
          <w:szCs w:val="22"/>
        </w:rPr>
        <w:t>equirements</w:t>
      </w:r>
    </w:p>
    <w:p w:rsidR="00424EE5" w:rsidRPr="00631D07" w:rsidP="00631D07" w14:paraId="2AEAA2A7" w14:textId="77777777">
      <w:pPr>
        <w:jc w:val="center"/>
        <w:rPr>
          <w:b/>
          <w:szCs w:val="18"/>
        </w:rPr>
      </w:pPr>
      <w:r w:rsidRPr="00631D07">
        <w:rPr>
          <w:b/>
          <w:szCs w:val="18"/>
        </w:rPr>
        <w:t>WC Docket No. 18-213</w:t>
      </w:r>
    </w:p>
    <w:p w:rsidR="00631D07" w:rsidP="000D29F3" w14:paraId="07CC4C71" w14:textId="77777777">
      <w:pPr>
        <w:spacing w:before="120" w:after="120"/>
        <w:ind w:firstLine="720"/>
        <w:rPr>
          <w:szCs w:val="22"/>
        </w:rPr>
      </w:pPr>
      <w:r w:rsidRPr="00BB3BE7">
        <w:rPr>
          <w:szCs w:val="22"/>
        </w:rPr>
        <w:t xml:space="preserve">By this Public Notice, the Wireline Competition Bureau (Bureau) </w:t>
      </w:r>
      <w:r w:rsidR="00BF445F">
        <w:rPr>
          <w:szCs w:val="22"/>
        </w:rPr>
        <w:t xml:space="preserve">announces that </w:t>
      </w:r>
      <w:bookmarkStart w:id="1" w:name="_Hlk55461352"/>
      <w:r w:rsidR="00BF445F">
        <w:rPr>
          <w:szCs w:val="22"/>
        </w:rPr>
        <w:t xml:space="preserve">the </w:t>
      </w:r>
      <w:r w:rsidRPr="00BF445F" w:rsidR="00BF445F">
        <w:rPr>
          <w:szCs w:val="22"/>
        </w:rPr>
        <w:t>Connected Care Pilot Program (Pilot Program)</w:t>
      </w:r>
      <w:r w:rsidR="00BF445F">
        <w:rPr>
          <w:szCs w:val="22"/>
        </w:rPr>
        <w:t xml:space="preserve"> application filing window will open </w:t>
      </w:r>
      <w:r w:rsidRPr="00F25085" w:rsidR="00BF445F">
        <w:rPr>
          <w:szCs w:val="22"/>
        </w:rPr>
        <w:t>on</w:t>
      </w:r>
      <w:r w:rsidRPr="004A0D23" w:rsidR="00BF445F">
        <w:rPr>
          <w:b/>
          <w:bCs/>
          <w:szCs w:val="22"/>
        </w:rPr>
        <w:t xml:space="preserve"> </w:t>
      </w:r>
      <w:r w:rsidRPr="007B6DD4" w:rsidR="00BF445F">
        <w:rPr>
          <w:b/>
          <w:bCs/>
          <w:szCs w:val="22"/>
        </w:rPr>
        <w:t>Friday, November 6</w:t>
      </w:r>
      <w:r w:rsidRPr="004A0D23" w:rsidR="00BF445F">
        <w:rPr>
          <w:b/>
          <w:bCs/>
          <w:szCs w:val="22"/>
        </w:rPr>
        <w:t xml:space="preserve">, 2020 at </w:t>
      </w:r>
      <w:bookmarkStart w:id="2" w:name="_Hlk55461272"/>
      <w:r w:rsidRPr="004A0D23" w:rsidR="00BF445F">
        <w:rPr>
          <w:b/>
          <w:bCs/>
          <w:szCs w:val="22"/>
        </w:rPr>
        <w:t xml:space="preserve">12:00 PM ET </w:t>
      </w:r>
      <w:bookmarkEnd w:id="2"/>
      <w:r w:rsidR="00BF445F">
        <w:rPr>
          <w:szCs w:val="22"/>
        </w:rPr>
        <w:t xml:space="preserve">and will close on </w:t>
      </w:r>
      <w:r w:rsidRPr="007B6DD4" w:rsidR="00BF445F">
        <w:rPr>
          <w:b/>
          <w:bCs/>
          <w:szCs w:val="22"/>
        </w:rPr>
        <w:t>Monday, December 7,</w:t>
      </w:r>
      <w:r w:rsidRPr="004A0D23" w:rsidR="00BF445F">
        <w:rPr>
          <w:b/>
          <w:bCs/>
          <w:szCs w:val="22"/>
        </w:rPr>
        <w:t xml:space="preserve"> 2020 at 11:59 PM ET</w:t>
      </w:r>
      <w:bookmarkEnd w:id="1"/>
      <w:r w:rsidR="00BF445F">
        <w:rPr>
          <w:szCs w:val="22"/>
        </w:rPr>
        <w:t xml:space="preserve">.  </w:t>
      </w:r>
      <w:r w:rsidR="00CE12DB">
        <w:rPr>
          <w:szCs w:val="22"/>
        </w:rPr>
        <w:t xml:space="preserve">The Bureau </w:t>
      </w:r>
      <w:r w:rsidR="00BF445F">
        <w:rPr>
          <w:szCs w:val="22"/>
        </w:rPr>
        <w:t xml:space="preserve">also </w:t>
      </w:r>
      <w:r>
        <w:rPr>
          <w:szCs w:val="22"/>
        </w:rPr>
        <w:t>provides additional guidance concerning the application submission process for the Pilot Program</w:t>
      </w:r>
      <w:r w:rsidR="00057CB0">
        <w:rPr>
          <w:szCs w:val="22"/>
        </w:rPr>
        <w:t>, prerequisites for the submission of an application,</w:t>
      </w:r>
      <w:r>
        <w:rPr>
          <w:szCs w:val="22"/>
        </w:rPr>
        <w:t xml:space="preserve"> and </w:t>
      </w:r>
      <w:r w:rsidRPr="0020255D">
        <w:rPr>
          <w:szCs w:val="22"/>
        </w:rPr>
        <w:t xml:space="preserve">services </w:t>
      </w:r>
      <w:r w:rsidR="00CE12DB">
        <w:rPr>
          <w:szCs w:val="22"/>
        </w:rPr>
        <w:t xml:space="preserve">eligible </w:t>
      </w:r>
      <w:r w:rsidRPr="0020255D">
        <w:rPr>
          <w:szCs w:val="22"/>
        </w:rPr>
        <w:t xml:space="preserve">for </w:t>
      </w:r>
      <w:r w:rsidR="00CE12DB">
        <w:rPr>
          <w:szCs w:val="22"/>
        </w:rPr>
        <w:t xml:space="preserve">support under </w:t>
      </w:r>
      <w:r w:rsidRPr="0020255D">
        <w:rPr>
          <w:szCs w:val="22"/>
        </w:rPr>
        <w:t>the Pilot Program</w:t>
      </w:r>
      <w:r w:rsidR="00CE12DB">
        <w:rPr>
          <w:szCs w:val="22"/>
        </w:rPr>
        <w:t xml:space="preserve"> requirements</w:t>
      </w:r>
      <w:r w:rsidRPr="0020255D">
        <w:rPr>
          <w:szCs w:val="22"/>
        </w:rPr>
        <w:t>.</w:t>
      </w:r>
      <w:r>
        <w:rPr>
          <w:szCs w:val="22"/>
        </w:rPr>
        <w:t xml:space="preserve"> </w:t>
      </w:r>
      <w:r w:rsidR="00F8501C">
        <w:rPr>
          <w:szCs w:val="22"/>
        </w:rPr>
        <w:t xml:space="preserve"> </w:t>
      </w:r>
    </w:p>
    <w:p w:rsidR="00631D07" w:rsidP="007A0F99" w14:paraId="56791733" w14:textId="77777777">
      <w:pPr>
        <w:spacing w:before="120" w:after="120"/>
        <w:ind w:firstLine="720"/>
        <w:rPr>
          <w:szCs w:val="22"/>
        </w:rPr>
      </w:pPr>
      <w:r w:rsidRPr="7CBB81DA">
        <w:t>The Pilot Program</w:t>
      </w:r>
      <w:r>
        <w:rPr>
          <w:szCs w:val="22"/>
        </w:rPr>
        <w:t xml:space="preserve"> </w:t>
      </w:r>
      <w:r w:rsidRPr="7CBB81DA">
        <w:t xml:space="preserve">will make available up to $100 million over </w:t>
      </w:r>
      <w:r w:rsidRPr="7CBB81DA" w:rsidR="00D66F62">
        <w:t xml:space="preserve">a </w:t>
      </w:r>
      <w:r w:rsidRPr="7CBB81DA">
        <w:t>three year</w:t>
      </w:r>
      <w:r w:rsidRPr="7CBB81DA" w:rsidR="00D66F62">
        <w:t xml:space="preserve"> period</w:t>
      </w:r>
      <w:r w:rsidRPr="7CBB81DA">
        <w:t xml:space="preserve"> for selected pilot projects for qualifying purchases necessary to provide connected care services through the Pilot Program</w:t>
      </w:r>
      <w:r w:rsidR="006E1873">
        <w:t>, with a particular emphasis on providing connected care services to low-income and veteran patients</w:t>
      </w:r>
      <w:r w:rsidRPr="7CBB81DA">
        <w:t>.</w:t>
      </w:r>
      <w:r>
        <w:rPr>
          <w:rStyle w:val="FootnoteReference"/>
        </w:rPr>
        <w:footnoteReference w:id="3"/>
      </w:r>
      <w:r w:rsidRPr="7CBB81DA">
        <w:t xml:space="preserve">  The Pilot Program is open to eligible non-profit or public health care providers that fall within the categories in section 254(h)(7)(B) of the Telecommunications Act</w:t>
      </w:r>
      <w:r>
        <w:rPr>
          <w:szCs w:val="22"/>
        </w:rPr>
        <w:t>.</w:t>
      </w:r>
      <w:r>
        <w:rPr>
          <w:rStyle w:val="FootnoteReference"/>
        </w:rPr>
        <w:footnoteReference w:id="4"/>
      </w:r>
      <w:r w:rsidRPr="00BB3BE7">
        <w:rPr>
          <w:szCs w:val="22"/>
        </w:rPr>
        <w:t xml:space="preserve"> </w:t>
      </w:r>
      <w:r>
        <w:rPr>
          <w:szCs w:val="22"/>
        </w:rPr>
        <w:t xml:space="preserve"> </w:t>
      </w:r>
      <w:r w:rsidRPr="7CBB81DA">
        <w:rPr>
          <w:rFonts w:eastAsia="Calibri"/>
        </w:rPr>
        <w:t xml:space="preserve">For purposes of the Pilot Program, eligible health care providers and their patients may be </w:t>
      </w:r>
      <w:r w:rsidRPr="7CBB81DA">
        <w:t>located in rural or non-rural areas, and eligible non-rural health care providers are not required to be part of a majority rural consortium</w:t>
      </w:r>
      <w:r w:rsidRPr="00BB3BE7">
        <w:rPr>
          <w:szCs w:val="22"/>
        </w:rPr>
        <w:t>.</w:t>
      </w:r>
      <w:r>
        <w:rPr>
          <w:rStyle w:val="FootnoteReference"/>
        </w:rPr>
        <w:footnoteReference w:id="5"/>
      </w:r>
      <w:r w:rsidR="005432E1">
        <w:rPr>
          <w:szCs w:val="22"/>
        </w:rPr>
        <w:t xml:space="preserve">  </w:t>
      </w:r>
    </w:p>
    <w:p w:rsidR="00631D07" w:rsidP="007A0F99" w14:paraId="4A1CB7D5" w14:textId="77777777">
      <w:pPr>
        <w:spacing w:before="120" w:after="120"/>
        <w:ind w:firstLine="720"/>
        <w:rPr>
          <w:szCs w:val="22"/>
        </w:rPr>
      </w:pPr>
      <w:r>
        <w:rPr>
          <w:szCs w:val="22"/>
        </w:rPr>
        <w:t>P</w:t>
      </w:r>
      <w:r w:rsidRPr="009C4ADC" w:rsidR="00424EE5">
        <w:rPr>
          <w:szCs w:val="22"/>
        </w:rPr>
        <w:t xml:space="preserve">ilot projects </w:t>
      </w:r>
      <w:r>
        <w:rPr>
          <w:szCs w:val="22"/>
        </w:rPr>
        <w:t xml:space="preserve">selected to participate in the program </w:t>
      </w:r>
      <w:r w:rsidRPr="009C4ADC" w:rsidR="00424EE5">
        <w:rPr>
          <w:szCs w:val="22"/>
        </w:rPr>
        <w:t xml:space="preserve">will receive universal service support to offset 85% of qualifying costs incurred in connection with the Pilot Program.  </w:t>
      </w:r>
      <w:r>
        <w:rPr>
          <w:szCs w:val="22"/>
        </w:rPr>
        <w:t>T</w:t>
      </w:r>
      <w:r w:rsidRPr="00786BD6" w:rsidR="00073C9D">
        <w:rPr>
          <w:szCs w:val="22"/>
        </w:rPr>
        <w:t xml:space="preserve">he remaining </w:t>
      </w:r>
      <w:r w:rsidRPr="00786BD6" w:rsidR="00424EE5">
        <w:rPr>
          <w:szCs w:val="22"/>
        </w:rPr>
        <w:t xml:space="preserve">15% share of the costs </w:t>
      </w:r>
      <w:r w:rsidR="004C7771">
        <w:rPr>
          <w:szCs w:val="22"/>
        </w:rPr>
        <w:t xml:space="preserve">of </w:t>
      </w:r>
      <w:r w:rsidRPr="00786BD6" w:rsidR="00424EE5">
        <w:rPr>
          <w:szCs w:val="22"/>
        </w:rPr>
        <w:t>eligible services</w:t>
      </w:r>
      <w:r>
        <w:rPr>
          <w:szCs w:val="22"/>
        </w:rPr>
        <w:t xml:space="preserve"> must be paid by the selected pilot project</w:t>
      </w:r>
      <w:r w:rsidR="004C7771">
        <w:rPr>
          <w:szCs w:val="22"/>
        </w:rPr>
        <w:t xml:space="preserve"> recipients</w:t>
      </w:r>
      <w:r>
        <w:rPr>
          <w:szCs w:val="22"/>
        </w:rPr>
        <w:t>,</w:t>
      </w:r>
      <w:r w:rsidRPr="00786BD6" w:rsidR="00424EE5">
        <w:rPr>
          <w:szCs w:val="22"/>
        </w:rPr>
        <w:t xml:space="preserve"> </w:t>
      </w:r>
      <w:r>
        <w:rPr>
          <w:szCs w:val="22"/>
        </w:rPr>
        <w:t xml:space="preserve">as well as </w:t>
      </w:r>
      <w:r>
        <w:rPr>
          <w:szCs w:val="22"/>
        </w:rPr>
        <w:t>all of</w:t>
      </w:r>
      <w:r>
        <w:rPr>
          <w:szCs w:val="22"/>
        </w:rPr>
        <w:t xml:space="preserve"> the costs of </w:t>
      </w:r>
      <w:r w:rsidRPr="00786BD6" w:rsidR="00424EE5">
        <w:rPr>
          <w:szCs w:val="22"/>
        </w:rPr>
        <w:t xml:space="preserve">any ineligible expenses associated with their </w:t>
      </w:r>
      <w:r>
        <w:rPr>
          <w:szCs w:val="22"/>
        </w:rPr>
        <w:t xml:space="preserve">respective </w:t>
      </w:r>
      <w:r w:rsidRPr="00786BD6" w:rsidR="00424EE5">
        <w:rPr>
          <w:szCs w:val="22"/>
        </w:rPr>
        <w:t>project</w:t>
      </w:r>
      <w:r>
        <w:rPr>
          <w:szCs w:val="22"/>
        </w:rPr>
        <w:t>s</w:t>
      </w:r>
      <w:r w:rsidRPr="00786BD6" w:rsidR="00424EE5">
        <w:rPr>
          <w:szCs w:val="22"/>
        </w:rPr>
        <w:t xml:space="preserve">. </w:t>
      </w:r>
      <w:r w:rsidRPr="00E57102" w:rsidR="00424EE5">
        <w:rPr>
          <w:szCs w:val="22"/>
        </w:rPr>
        <w:t xml:space="preserve"> </w:t>
      </w:r>
      <w:r>
        <w:rPr>
          <w:szCs w:val="22"/>
        </w:rPr>
        <w:t>H</w:t>
      </w:r>
      <w:r w:rsidRPr="00E57102" w:rsidR="00843D4D">
        <w:rPr>
          <w:szCs w:val="22"/>
        </w:rPr>
        <w:t xml:space="preserve">ealth care providers </w:t>
      </w:r>
      <w:r w:rsidR="000C5A65">
        <w:rPr>
          <w:szCs w:val="22"/>
        </w:rPr>
        <w:t xml:space="preserve">whose </w:t>
      </w:r>
      <w:r w:rsidRPr="00E57102" w:rsidR="00E57102">
        <w:rPr>
          <w:szCs w:val="22"/>
        </w:rPr>
        <w:t>pilot</w:t>
      </w:r>
      <w:r w:rsidRPr="00E57102" w:rsidR="00424EE5">
        <w:rPr>
          <w:szCs w:val="22"/>
        </w:rPr>
        <w:t xml:space="preserve"> projects </w:t>
      </w:r>
      <w:r w:rsidR="000C5A65">
        <w:rPr>
          <w:szCs w:val="22"/>
        </w:rPr>
        <w:t xml:space="preserve">are selected to participate in the program also must seek </w:t>
      </w:r>
      <w:r w:rsidRPr="00E57102" w:rsidR="00424EE5">
        <w:rPr>
          <w:szCs w:val="22"/>
        </w:rPr>
        <w:t>competitive bid</w:t>
      </w:r>
      <w:r w:rsidR="000C5A65">
        <w:rPr>
          <w:szCs w:val="22"/>
        </w:rPr>
        <w:t>s</w:t>
      </w:r>
      <w:r w:rsidRPr="00E57102" w:rsidR="00424EE5">
        <w:rPr>
          <w:szCs w:val="22"/>
        </w:rPr>
        <w:t xml:space="preserve"> for the eligible </w:t>
      </w:r>
      <w:r w:rsidRPr="00E57102" w:rsidR="00D01281">
        <w:rPr>
          <w:szCs w:val="22"/>
        </w:rPr>
        <w:t xml:space="preserve">services </w:t>
      </w:r>
      <w:r w:rsidRPr="00E57102" w:rsidR="00424EE5">
        <w:rPr>
          <w:szCs w:val="22"/>
        </w:rPr>
        <w:t>for which they intend to seek Pilot Program support.</w:t>
      </w:r>
      <w:r>
        <w:rPr>
          <w:rStyle w:val="FootnoteReference"/>
          <w:szCs w:val="22"/>
        </w:rPr>
        <w:footnoteReference w:id="6"/>
      </w:r>
    </w:p>
    <w:p w:rsidR="00424EE5" w:rsidRPr="00631D07" w:rsidP="000D29F3" w14:paraId="3352B01F" w14:textId="0286BA42">
      <w:pPr>
        <w:spacing w:before="120" w:after="120"/>
        <w:ind w:firstLine="720"/>
        <w:rPr>
          <w:szCs w:val="22"/>
        </w:rPr>
      </w:pPr>
      <w:r w:rsidRPr="00C64F87">
        <w:rPr>
          <w:b/>
          <w:bCs/>
          <w:u w:val="single"/>
        </w:rPr>
        <w:t>Process for Submitting Pilot Program Applications</w:t>
      </w:r>
    </w:p>
    <w:p w:rsidR="00631D07" w:rsidP="007A0F99" w14:paraId="109C7643" w14:textId="77777777">
      <w:pPr>
        <w:spacing w:before="120" w:after="120"/>
        <w:rPr>
          <w:snapToGrid/>
          <w:kern w:val="0"/>
          <w:szCs w:val="22"/>
        </w:rPr>
      </w:pPr>
      <w:r>
        <w:rPr>
          <w:snapToGrid/>
          <w:kern w:val="0"/>
          <w:szCs w:val="22"/>
        </w:rPr>
        <w:tab/>
      </w:r>
      <w:r w:rsidRPr="7CBB81DA">
        <w:rPr>
          <w:snapToGrid/>
          <w:kern w:val="0"/>
        </w:rPr>
        <w:t xml:space="preserve">To be considered for the Pilot Program, eligible health care providers must timely and properly </w:t>
      </w:r>
      <w:r w:rsidRPr="7CBB81DA">
        <w:rPr>
          <w:snapToGrid/>
          <w:kern w:val="0"/>
        </w:rPr>
        <w:t xml:space="preserve">submit an </w:t>
      </w:r>
      <w:r w:rsidRPr="7CBB81DA" w:rsidR="00B17FDB">
        <w:rPr>
          <w:snapToGrid/>
          <w:kern w:val="0"/>
        </w:rPr>
        <w:t>application</w:t>
      </w:r>
      <w:r w:rsidRPr="7CBB81DA" w:rsidR="00B17FDB">
        <w:rPr>
          <w:snapToGrid/>
          <w:kern w:val="0"/>
        </w:rPr>
        <w:t xml:space="preserve"> </w:t>
      </w:r>
      <w:r w:rsidRPr="7CBB81DA" w:rsidR="000A72B0">
        <w:rPr>
          <w:snapToGrid/>
          <w:kern w:val="0"/>
        </w:rPr>
        <w:t>in compliance</w:t>
      </w:r>
      <w:r w:rsidRPr="7CBB81DA">
        <w:rPr>
          <w:snapToGrid/>
          <w:kern w:val="0"/>
        </w:rPr>
        <w:t xml:space="preserve"> with the application procedures and the Pilot Program rules and </w:t>
      </w:r>
      <w:r w:rsidRPr="7CBB81DA">
        <w:rPr>
          <w:snapToGrid/>
          <w:kern w:val="0"/>
        </w:rPr>
        <w:t xml:space="preserve">requirements.  The </w:t>
      </w:r>
      <w:r w:rsidRPr="7CBB81DA">
        <w:rPr>
          <w:i/>
          <w:iCs/>
          <w:snapToGrid/>
          <w:kern w:val="0"/>
        </w:rPr>
        <w:t>Report and Order</w:t>
      </w:r>
      <w:r>
        <w:rPr>
          <w:rStyle w:val="FootnoteReference"/>
          <w:snapToGrid/>
          <w:kern w:val="0"/>
        </w:rPr>
        <w:footnoteReference w:id="7"/>
      </w:r>
      <w:r w:rsidRPr="00E61EDE">
        <w:rPr>
          <w:snapToGrid/>
          <w:kern w:val="0"/>
          <w:szCs w:val="22"/>
        </w:rPr>
        <w:t xml:space="preserve"> </w:t>
      </w:r>
      <w:r w:rsidRPr="7CBB81DA">
        <w:rPr>
          <w:snapToGrid/>
          <w:kern w:val="0"/>
        </w:rPr>
        <w:t xml:space="preserve">and the </w:t>
      </w:r>
      <w:r w:rsidRPr="7CBB81DA">
        <w:rPr>
          <w:i/>
          <w:iCs/>
          <w:snapToGrid/>
          <w:kern w:val="0"/>
        </w:rPr>
        <w:t>September Public Notice</w:t>
      </w:r>
      <w:r>
        <w:rPr>
          <w:rStyle w:val="FootnoteReference"/>
          <w:snapToGrid/>
          <w:kern w:val="0"/>
        </w:rPr>
        <w:footnoteReference w:id="8"/>
      </w:r>
      <w:r w:rsidRPr="7CBB81DA">
        <w:rPr>
          <w:snapToGrid/>
          <w:kern w:val="0"/>
        </w:rPr>
        <w:t xml:space="preserve"> outline the </w:t>
      </w:r>
      <w:r w:rsidR="003D0C36">
        <w:rPr>
          <w:snapToGrid/>
          <w:kern w:val="0"/>
        </w:rPr>
        <w:t xml:space="preserve">specific </w:t>
      </w:r>
      <w:r w:rsidRPr="7CBB81DA">
        <w:rPr>
          <w:snapToGrid/>
          <w:kern w:val="0"/>
        </w:rPr>
        <w:t>informa</w:t>
      </w:r>
      <w:bookmarkStart w:id="3" w:name="_GoBack"/>
      <w:bookmarkEnd w:id="3"/>
      <w:r w:rsidRPr="7CBB81DA">
        <w:rPr>
          <w:snapToGrid/>
          <w:kern w:val="0"/>
        </w:rPr>
        <w:t xml:space="preserve">tion that applicants </w:t>
      </w:r>
      <w:r w:rsidR="003D0C36">
        <w:rPr>
          <w:snapToGrid/>
          <w:kern w:val="0"/>
        </w:rPr>
        <w:t xml:space="preserve">must </w:t>
      </w:r>
      <w:r w:rsidRPr="7CBB81DA">
        <w:rPr>
          <w:snapToGrid/>
          <w:kern w:val="0"/>
        </w:rPr>
        <w:t>provide in their applications.</w:t>
      </w:r>
      <w:r>
        <w:rPr>
          <w:rStyle w:val="FootnoteReference"/>
          <w:snapToGrid/>
          <w:kern w:val="0"/>
        </w:rPr>
        <w:footnoteReference w:id="9"/>
      </w:r>
      <w:r w:rsidRPr="7CBB81DA">
        <w:rPr>
          <w:snapToGrid/>
          <w:kern w:val="0"/>
        </w:rPr>
        <w:t xml:space="preserve">  </w:t>
      </w:r>
      <w:r w:rsidR="006257F1">
        <w:rPr>
          <w:snapToGrid/>
          <w:kern w:val="0"/>
          <w:szCs w:val="22"/>
        </w:rPr>
        <w:t>Applicants are strongly encouraged to submit applications as soon as possible after the window opens</w:t>
      </w:r>
      <w:r w:rsidR="002E5902">
        <w:rPr>
          <w:snapToGrid/>
          <w:kern w:val="0"/>
          <w:szCs w:val="22"/>
        </w:rPr>
        <w:t>, to ensure</w:t>
      </w:r>
      <w:r w:rsidR="009041F7">
        <w:rPr>
          <w:snapToGrid/>
          <w:kern w:val="0"/>
          <w:szCs w:val="22"/>
        </w:rPr>
        <w:t xml:space="preserve"> complete and accurate applications before the close of the application </w:t>
      </w:r>
      <w:r w:rsidR="003D0C36">
        <w:rPr>
          <w:snapToGrid/>
          <w:kern w:val="0"/>
          <w:szCs w:val="22"/>
        </w:rPr>
        <w:t xml:space="preserve">filing </w:t>
      </w:r>
      <w:r w:rsidR="009041F7">
        <w:rPr>
          <w:snapToGrid/>
          <w:kern w:val="0"/>
          <w:szCs w:val="22"/>
        </w:rPr>
        <w:t xml:space="preserve">window; applicants bear full responsibility for complete, accurate and </w:t>
      </w:r>
      <w:r w:rsidRPr="00EA70AA" w:rsidR="009041F7">
        <w:rPr>
          <w:i/>
          <w:iCs/>
          <w:snapToGrid/>
          <w:kern w:val="0"/>
          <w:szCs w:val="22"/>
        </w:rPr>
        <w:t>timely filed</w:t>
      </w:r>
      <w:r w:rsidR="009041F7">
        <w:rPr>
          <w:snapToGrid/>
          <w:kern w:val="0"/>
          <w:szCs w:val="22"/>
        </w:rPr>
        <w:t xml:space="preserve"> applications</w:t>
      </w:r>
      <w:r w:rsidR="006257F1">
        <w:rPr>
          <w:snapToGrid/>
          <w:kern w:val="0"/>
          <w:szCs w:val="22"/>
        </w:rPr>
        <w:t xml:space="preserve">.  </w:t>
      </w:r>
    </w:p>
    <w:p w:rsidR="00631D07" w:rsidP="007A0F99" w14:paraId="5F48A112" w14:textId="77777777">
      <w:pPr>
        <w:spacing w:before="120" w:after="120"/>
        <w:ind w:firstLine="720"/>
        <w:rPr>
          <w:snapToGrid/>
          <w:kern w:val="0"/>
          <w:szCs w:val="22"/>
        </w:rPr>
      </w:pPr>
      <w:r w:rsidRPr="02EE882A">
        <w:rPr>
          <w:snapToGrid/>
          <w:kern w:val="0"/>
        </w:rPr>
        <w:t xml:space="preserve">The Commission </w:t>
      </w:r>
      <w:r w:rsidRPr="02EE882A" w:rsidR="001D136A">
        <w:rPr>
          <w:snapToGrid/>
          <w:kern w:val="0"/>
        </w:rPr>
        <w:t xml:space="preserve">will </w:t>
      </w:r>
      <w:r w:rsidRPr="02EE882A">
        <w:rPr>
          <w:snapToGrid/>
          <w:kern w:val="0"/>
        </w:rPr>
        <w:t xml:space="preserve">accept applications for the Pilot Program through an online application system </w:t>
      </w:r>
      <w:r w:rsidRPr="02EE882A" w:rsidR="001C600D">
        <w:rPr>
          <w:snapToGrid/>
          <w:kern w:val="0"/>
        </w:rPr>
        <w:t xml:space="preserve">available </w:t>
      </w:r>
      <w:bookmarkStart w:id="4" w:name="_Hlt55307524"/>
      <w:bookmarkStart w:id="5" w:name="_Hlt55307525"/>
      <w:hyperlink r:id="rId5" w:history="1"/>
      <w:bookmarkEnd w:id="4"/>
      <w:bookmarkEnd w:id="5"/>
      <w:r w:rsidRPr="02EE882A" w:rsidR="001C600D">
        <w:rPr>
          <w:snapToGrid/>
          <w:kern w:val="0"/>
        </w:rPr>
        <w:t xml:space="preserve">on </w:t>
      </w:r>
      <w:r w:rsidRPr="02EE882A" w:rsidR="00BD355C">
        <w:rPr>
          <w:snapToGrid/>
          <w:kern w:val="0"/>
        </w:rPr>
        <w:t>the Universal Service Administrative Company’s (USAC) website</w:t>
      </w:r>
      <w:r w:rsidRPr="02EE882A" w:rsidR="00363335">
        <w:rPr>
          <w:snapToGrid/>
          <w:kern w:val="0"/>
        </w:rPr>
        <w:t xml:space="preserve"> beginning </w:t>
      </w:r>
      <w:r w:rsidRPr="007B6DD4" w:rsidR="00363335">
        <w:rPr>
          <w:snapToGrid/>
          <w:kern w:val="0"/>
        </w:rPr>
        <w:t>Friday, November 6</w:t>
      </w:r>
      <w:r w:rsidRPr="02EE882A" w:rsidR="00363335">
        <w:rPr>
          <w:snapToGrid/>
          <w:kern w:val="0"/>
        </w:rPr>
        <w:t>, 2020 at 12:00 PM</w:t>
      </w:r>
      <w:r w:rsidR="00EE5CB5">
        <w:rPr>
          <w:snapToGrid/>
          <w:kern w:val="0"/>
        </w:rPr>
        <w:t xml:space="preserve"> ET</w:t>
      </w:r>
      <w:r w:rsidR="00EA70AA">
        <w:rPr>
          <w:snapToGrid/>
          <w:kern w:val="0"/>
          <w:szCs w:val="22"/>
        </w:rPr>
        <w:t>.</w:t>
      </w:r>
      <w:r>
        <w:rPr>
          <w:rStyle w:val="FootnoteReference"/>
          <w:snapToGrid/>
          <w:kern w:val="0"/>
          <w:szCs w:val="22"/>
        </w:rPr>
        <w:footnoteReference w:id="10"/>
      </w:r>
      <w:r w:rsidR="009041F7">
        <w:rPr>
          <w:snapToGrid/>
          <w:kern w:val="0"/>
          <w:szCs w:val="22"/>
        </w:rPr>
        <w:t xml:space="preserve">  </w:t>
      </w:r>
      <w:r w:rsidRPr="02EE882A">
        <w:t>After the close of the application window</w:t>
      </w:r>
      <w:r w:rsidRPr="00363335" w:rsidR="00363335">
        <w:t xml:space="preserve"> </w:t>
      </w:r>
      <w:r w:rsidR="00363335">
        <w:t xml:space="preserve">on </w:t>
      </w:r>
      <w:r w:rsidRPr="007B6DD4" w:rsidR="00363335">
        <w:t>Monday, December 7</w:t>
      </w:r>
      <w:r w:rsidRPr="02EE882A" w:rsidR="00363335">
        <w:t>, 2020 at 11:59 PM ET</w:t>
      </w:r>
      <w:r w:rsidRPr="02EE882A">
        <w:t xml:space="preserve">, the Commission will make </w:t>
      </w:r>
      <w:r w:rsidRPr="02EE882A" w:rsidR="009041F7">
        <w:t xml:space="preserve">timely filed </w:t>
      </w:r>
      <w:r w:rsidRPr="02EE882A">
        <w:t xml:space="preserve">applications available in </w:t>
      </w:r>
      <w:r w:rsidRPr="02EE882A" w:rsidR="009A651B">
        <w:t xml:space="preserve">the </w:t>
      </w:r>
      <w:r w:rsidRPr="02EE882A" w:rsidR="000C5A65">
        <w:t xml:space="preserve">Commission’s </w:t>
      </w:r>
      <w:r w:rsidRPr="02EE882A" w:rsidR="009A651B">
        <w:t>Electronic Comment Filing System (</w:t>
      </w:r>
      <w:r w:rsidRPr="02EE882A">
        <w:t>ECFS</w:t>
      </w:r>
      <w:r w:rsidR="009A651B">
        <w:rPr>
          <w:szCs w:val="22"/>
        </w:rPr>
        <w:t>)</w:t>
      </w:r>
      <w:r>
        <w:rPr>
          <w:szCs w:val="22"/>
        </w:rPr>
        <w:t xml:space="preserve"> </w:t>
      </w:r>
      <w:r w:rsidRPr="02EE882A">
        <w:t>under Docket No. WC 18-213.</w:t>
      </w:r>
      <w:r>
        <w:rPr>
          <w:rStyle w:val="FootnoteReference"/>
          <w:snapToGrid/>
          <w:kern w:val="0"/>
        </w:rPr>
        <w:footnoteReference w:id="11"/>
      </w:r>
      <w:r w:rsidR="00B33D99">
        <w:rPr>
          <w:snapToGrid/>
          <w:kern w:val="0"/>
          <w:szCs w:val="22"/>
        </w:rPr>
        <w:t xml:space="preserve"> </w:t>
      </w:r>
      <w:r w:rsidRPr="00A946B8">
        <w:rPr>
          <w:szCs w:val="22"/>
        </w:rPr>
        <w:t xml:space="preserve">  </w:t>
      </w:r>
    </w:p>
    <w:p w:rsidR="00424EE5" w:rsidRPr="00631D07" w:rsidP="007A0F99" w14:paraId="2B602AEA" w14:textId="6CBB0F58">
      <w:pPr>
        <w:spacing w:before="120" w:after="120"/>
        <w:ind w:firstLine="720"/>
        <w:rPr>
          <w:snapToGrid/>
          <w:kern w:val="0"/>
          <w:szCs w:val="22"/>
        </w:rPr>
      </w:pPr>
      <w:r w:rsidRPr="00C64F87">
        <w:rPr>
          <w:b/>
          <w:bCs/>
          <w:snapToGrid/>
          <w:kern w:val="0"/>
          <w:szCs w:val="22"/>
          <w:u w:val="single"/>
        </w:rPr>
        <w:t>Approved FCC Form 460 Required to Access Application System</w:t>
      </w:r>
    </w:p>
    <w:p w:rsidR="00424EE5" w:rsidP="007A0F99" w14:paraId="77B561F7" w14:textId="6146D218">
      <w:pPr>
        <w:spacing w:before="120" w:after="120"/>
        <w:ind w:firstLine="720"/>
        <w:rPr>
          <w:szCs w:val="22"/>
        </w:rPr>
      </w:pPr>
      <w:r>
        <w:rPr>
          <w:szCs w:val="22"/>
        </w:rPr>
        <w:t>To access the Pilot Program application, eligible health care providers will use their My</w:t>
      </w:r>
      <w:r w:rsidR="001F14AA">
        <w:rPr>
          <w:szCs w:val="22"/>
        </w:rPr>
        <w:t xml:space="preserve"> </w:t>
      </w:r>
      <w:r>
        <w:rPr>
          <w:szCs w:val="22"/>
        </w:rPr>
        <w:t xml:space="preserve">Portal login credentials that were provided when their FCC Form 460 </w:t>
      </w:r>
      <w:r w:rsidRPr="006F0993" w:rsidR="006F0993">
        <w:rPr>
          <w:szCs w:val="22"/>
        </w:rPr>
        <w:t xml:space="preserve">(Eligibility and Registration Form) </w:t>
      </w:r>
      <w:r>
        <w:rPr>
          <w:szCs w:val="22"/>
        </w:rPr>
        <w:t xml:space="preserve">was approved for their eligible site.  </w:t>
      </w:r>
      <w:r w:rsidRPr="00E57102">
        <w:rPr>
          <w:b/>
          <w:bCs/>
          <w:szCs w:val="22"/>
        </w:rPr>
        <w:t>Prospective applicants must have an approved FCC Form 460 to access the application.</w:t>
      </w:r>
      <w:r>
        <w:rPr>
          <w:rStyle w:val="FootnoteReference"/>
          <w:b/>
          <w:bCs/>
          <w:szCs w:val="22"/>
        </w:rPr>
        <w:footnoteReference w:id="12"/>
      </w:r>
      <w:r>
        <w:rPr>
          <w:szCs w:val="22"/>
        </w:rPr>
        <w:t xml:space="preserve">  </w:t>
      </w:r>
    </w:p>
    <w:p w:rsidR="00631D07" w:rsidP="007A0F99" w14:paraId="11446FAD" w14:textId="77777777">
      <w:pPr>
        <w:spacing w:before="120" w:after="120"/>
        <w:ind w:firstLine="720"/>
        <w:rPr>
          <w:snapToGrid/>
          <w:kern w:val="0"/>
          <w:szCs w:val="22"/>
        </w:rPr>
      </w:pPr>
      <w:r>
        <w:rPr>
          <w:szCs w:val="22"/>
        </w:rPr>
        <w:t xml:space="preserve">In </w:t>
      </w:r>
      <w:r w:rsidR="00C24BFF">
        <w:rPr>
          <w:szCs w:val="22"/>
        </w:rPr>
        <w:t xml:space="preserve">the </w:t>
      </w:r>
      <w:r w:rsidR="00C24BFF">
        <w:rPr>
          <w:i/>
          <w:iCs/>
          <w:szCs w:val="22"/>
        </w:rPr>
        <w:t>September Public Notice</w:t>
      </w:r>
      <w:r w:rsidR="00C24BFF">
        <w:rPr>
          <w:szCs w:val="22"/>
        </w:rPr>
        <w:t xml:space="preserve">, </w:t>
      </w:r>
      <w:r w:rsidR="000C510A">
        <w:rPr>
          <w:szCs w:val="22"/>
        </w:rPr>
        <w:t xml:space="preserve">we </w:t>
      </w:r>
      <w:r w:rsidR="00FB7E2A">
        <w:rPr>
          <w:szCs w:val="22"/>
        </w:rPr>
        <w:t>encouraged</w:t>
      </w:r>
      <w:r w:rsidR="000C510A">
        <w:rPr>
          <w:szCs w:val="22"/>
        </w:rPr>
        <w:t xml:space="preserve"> prospective </w:t>
      </w:r>
      <w:r w:rsidR="00035193">
        <w:rPr>
          <w:szCs w:val="22"/>
        </w:rPr>
        <w:t>P</w:t>
      </w:r>
      <w:r w:rsidR="00424EE5">
        <w:rPr>
          <w:szCs w:val="22"/>
        </w:rPr>
        <w:t xml:space="preserve">ilot </w:t>
      </w:r>
      <w:r w:rsidR="00035193">
        <w:rPr>
          <w:szCs w:val="22"/>
        </w:rPr>
        <w:t>P</w:t>
      </w:r>
      <w:r w:rsidR="00424EE5">
        <w:rPr>
          <w:szCs w:val="22"/>
        </w:rPr>
        <w:t xml:space="preserve">rogram applicants that have not already requested or obtained an eligibility determination </w:t>
      </w:r>
      <w:r w:rsidR="00C24BFF">
        <w:rPr>
          <w:szCs w:val="22"/>
        </w:rPr>
        <w:t xml:space="preserve">to immediately </w:t>
      </w:r>
      <w:r w:rsidR="00424EE5">
        <w:rPr>
          <w:szCs w:val="22"/>
        </w:rPr>
        <w:t xml:space="preserve">file </w:t>
      </w:r>
      <w:r w:rsidR="009A14B3">
        <w:rPr>
          <w:szCs w:val="22"/>
        </w:rPr>
        <w:t xml:space="preserve">an </w:t>
      </w:r>
      <w:r w:rsidR="00424EE5">
        <w:rPr>
          <w:szCs w:val="22"/>
        </w:rPr>
        <w:t>FCC Form 460 to initiate the eligibility determination process.</w:t>
      </w:r>
      <w:r>
        <w:rPr>
          <w:rStyle w:val="FootnoteReference"/>
          <w:szCs w:val="22"/>
        </w:rPr>
        <w:footnoteReference w:id="13"/>
      </w:r>
      <w:r w:rsidR="00424EE5">
        <w:rPr>
          <w:szCs w:val="22"/>
        </w:rPr>
        <w:t xml:space="preserve">  The Bureau reminds applicants that all sites included in a Pilot Program application must be approved as eligible.  For example, a single health care system or organization with multiple locations (sites) must </w:t>
      </w:r>
      <w:r w:rsidR="005B0658">
        <w:rPr>
          <w:szCs w:val="22"/>
        </w:rPr>
        <w:t xml:space="preserve">have an approved </w:t>
      </w:r>
      <w:r w:rsidR="00424EE5">
        <w:rPr>
          <w:szCs w:val="22"/>
        </w:rPr>
        <w:t xml:space="preserve">eligibility determination for each location (site) that will be included in the Pilot Program application.  </w:t>
      </w:r>
      <w:bookmarkStart w:id="6" w:name="_Hlk54602017"/>
      <w:r w:rsidR="00077414">
        <w:rPr>
          <w:szCs w:val="22"/>
        </w:rPr>
        <w:t xml:space="preserve">  </w:t>
      </w:r>
      <w:bookmarkEnd w:id="6"/>
    </w:p>
    <w:p w:rsidR="00631D07" w:rsidP="007A0F99" w14:paraId="5B4B6121" w14:textId="31EF0108">
      <w:pPr>
        <w:spacing w:before="120" w:after="120"/>
        <w:ind w:firstLine="720"/>
        <w:rPr>
          <w:snapToGrid/>
          <w:kern w:val="0"/>
          <w:szCs w:val="22"/>
        </w:rPr>
      </w:pPr>
      <w:r w:rsidRPr="009A39DE">
        <w:rPr>
          <w:szCs w:val="22"/>
        </w:rPr>
        <w:t xml:space="preserve">Health care provider sites that USAC has already </w:t>
      </w:r>
      <w:r w:rsidR="00060F1B">
        <w:rPr>
          <w:szCs w:val="22"/>
        </w:rPr>
        <w:t>determined are eligible</w:t>
      </w:r>
      <w:r w:rsidR="00787649">
        <w:rPr>
          <w:szCs w:val="22"/>
        </w:rPr>
        <w:t xml:space="preserve"> to participate in</w:t>
      </w:r>
      <w:r w:rsidRPr="009A39DE">
        <w:rPr>
          <w:szCs w:val="22"/>
        </w:rPr>
        <w:t xml:space="preserve"> the </w:t>
      </w:r>
      <w:r w:rsidR="00B64208">
        <w:rPr>
          <w:szCs w:val="22"/>
        </w:rPr>
        <w:t xml:space="preserve">Commission’s </w:t>
      </w:r>
      <w:r w:rsidRPr="009A39DE">
        <w:rPr>
          <w:szCs w:val="22"/>
        </w:rPr>
        <w:t xml:space="preserve">Rural Health Care Program or the COVID-19 Telehealth Program </w:t>
      </w:r>
      <w:r w:rsidR="00417C8C">
        <w:rPr>
          <w:szCs w:val="22"/>
        </w:rPr>
        <w:t xml:space="preserve">are </w:t>
      </w:r>
      <w:r w:rsidR="00FB7E2A">
        <w:rPr>
          <w:szCs w:val="22"/>
        </w:rPr>
        <w:t xml:space="preserve">already </w:t>
      </w:r>
      <w:r w:rsidR="00751A03">
        <w:rPr>
          <w:szCs w:val="22"/>
        </w:rPr>
        <w:t xml:space="preserve">eligible to participate in the Connected Care Pilot and </w:t>
      </w:r>
      <w:r w:rsidR="005F40AA">
        <w:rPr>
          <w:szCs w:val="22"/>
        </w:rPr>
        <w:t>need not file an additional</w:t>
      </w:r>
      <w:r w:rsidR="00751A03">
        <w:rPr>
          <w:szCs w:val="22"/>
        </w:rPr>
        <w:t xml:space="preserve"> FCC Form 460 for an</w:t>
      </w:r>
      <w:r w:rsidRPr="009A39DE">
        <w:rPr>
          <w:szCs w:val="22"/>
        </w:rPr>
        <w:t xml:space="preserve"> eligibility determination for the Pilot Program.</w:t>
      </w:r>
      <w:r>
        <w:rPr>
          <w:rStyle w:val="FootnoteReference"/>
          <w:szCs w:val="22"/>
        </w:rPr>
        <w:footnoteReference w:id="14"/>
      </w:r>
      <w:r w:rsidRPr="009A39DE">
        <w:rPr>
          <w:snapToGrid/>
          <w:kern w:val="0"/>
          <w:szCs w:val="22"/>
        </w:rPr>
        <w:t xml:space="preserve">  </w:t>
      </w:r>
      <w:r w:rsidRPr="009A39DE">
        <w:rPr>
          <w:szCs w:val="22"/>
        </w:rPr>
        <w:t>Prospective applicants should contact USAC if the</w:t>
      </w:r>
      <w:r w:rsidRPr="00A946B8">
        <w:rPr>
          <w:szCs w:val="22"/>
        </w:rPr>
        <w:t xml:space="preserve">y intend to apply on behalf of </w:t>
      </w:r>
      <w:r w:rsidR="001C0D02">
        <w:rPr>
          <w:szCs w:val="22"/>
        </w:rPr>
        <w:t>health care</w:t>
      </w:r>
      <w:r w:rsidR="00060F1B">
        <w:rPr>
          <w:szCs w:val="22"/>
        </w:rPr>
        <w:t xml:space="preserve"> provider</w:t>
      </w:r>
      <w:r w:rsidRPr="00A946B8" w:rsidR="001C0D02">
        <w:rPr>
          <w:szCs w:val="22"/>
        </w:rPr>
        <w:t xml:space="preserve"> </w:t>
      </w:r>
      <w:r w:rsidRPr="00A946B8">
        <w:rPr>
          <w:szCs w:val="22"/>
        </w:rPr>
        <w:t>sites</w:t>
      </w:r>
      <w:r w:rsidRPr="009A39DE">
        <w:rPr>
          <w:szCs w:val="22"/>
        </w:rPr>
        <w:t xml:space="preserve"> </w:t>
      </w:r>
      <w:r w:rsidRPr="00A946B8">
        <w:rPr>
          <w:szCs w:val="22"/>
        </w:rPr>
        <w:t xml:space="preserve">that </w:t>
      </w:r>
      <w:r w:rsidRPr="009A39DE">
        <w:rPr>
          <w:szCs w:val="22"/>
        </w:rPr>
        <w:t xml:space="preserve">were deemed eligible through an FCC Form 465 only, or if they </w:t>
      </w:r>
      <w:r w:rsidRPr="00A946B8">
        <w:rPr>
          <w:szCs w:val="22"/>
        </w:rPr>
        <w:t xml:space="preserve">have </w:t>
      </w:r>
      <w:r w:rsidRPr="009A39DE">
        <w:rPr>
          <w:szCs w:val="22"/>
        </w:rPr>
        <w:t xml:space="preserve">multiple </w:t>
      </w:r>
      <w:r w:rsidRPr="00A946B8">
        <w:rPr>
          <w:szCs w:val="22"/>
        </w:rPr>
        <w:t xml:space="preserve">eligible </w:t>
      </w:r>
      <w:r w:rsidRPr="009A39DE">
        <w:rPr>
          <w:szCs w:val="22"/>
        </w:rPr>
        <w:t xml:space="preserve">sites </w:t>
      </w:r>
      <w:r w:rsidRPr="00A946B8">
        <w:rPr>
          <w:szCs w:val="22"/>
        </w:rPr>
        <w:t xml:space="preserve">(whether part of the same organization or health system, or separate </w:t>
      </w:r>
      <w:r w:rsidRPr="00A946B8">
        <w:rPr>
          <w:szCs w:val="22"/>
        </w:rPr>
        <w:t xml:space="preserve">entities) </w:t>
      </w:r>
      <w:r w:rsidRPr="009A39DE">
        <w:rPr>
          <w:szCs w:val="22"/>
        </w:rPr>
        <w:t xml:space="preserve">that </w:t>
      </w:r>
      <w:r>
        <w:rPr>
          <w:szCs w:val="22"/>
        </w:rPr>
        <w:t xml:space="preserve">should </w:t>
      </w:r>
      <w:r w:rsidRPr="00A946B8">
        <w:rPr>
          <w:szCs w:val="22"/>
        </w:rPr>
        <w:t>be associated as a consortium</w:t>
      </w:r>
      <w:r w:rsidRPr="009A39DE">
        <w:rPr>
          <w:szCs w:val="22"/>
        </w:rPr>
        <w:t>.</w:t>
      </w:r>
      <w:r w:rsidR="00722F28">
        <w:rPr>
          <w:szCs w:val="22"/>
        </w:rPr>
        <w:t xml:space="preserve">  </w:t>
      </w:r>
      <w:r w:rsidRPr="0015012F" w:rsidR="0015012F">
        <w:t xml:space="preserve">Interested health care providers can contact USAC for specific questions about eligibility and </w:t>
      </w:r>
      <w:r w:rsidRPr="00441EA7" w:rsidR="0015012F">
        <w:t xml:space="preserve">completing the eligibility form (FCC Form 460) via telephone at (800) 453-1546 or via email at </w:t>
      </w:r>
      <w:hyperlink r:id="rId6" w:history="1">
        <w:r w:rsidRPr="004B5F66">
          <w:rPr>
            <w:rStyle w:val="Hyperlink"/>
          </w:rPr>
          <w:t>RHCAssist@usac.org</w:t>
        </w:r>
      </w:hyperlink>
      <w:r w:rsidRPr="00441EA7" w:rsidR="0015012F">
        <w:t>.</w:t>
      </w:r>
    </w:p>
    <w:p w:rsidR="00424EE5" w:rsidRPr="00631D07" w:rsidP="007A0F99" w14:paraId="31B80326" w14:textId="1CF0C1E6">
      <w:pPr>
        <w:spacing w:before="120" w:after="120"/>
        <w:ind w:firstLine="720"/>
        <w:rPr>
          <w:snapToGrid/>
          <w:kern w:val="0"/>
          <w:szCs w:val="22"/>
        </w:rPr>
      </w:pPr>
      <w:r>
        <w:rPr>
          <w:b/>
          <w:bCs/>
          <w:u w:val="single"/>
        </w:rPr>
        <w:t xml:space="preserve">Additional Information on </w:t>
      </w:r>
      <w:r w:rsidRPr="00C64F87">
        <w:rPr>
          <w:b/>
          <w:bCs/>
          <w:u w:val="single"/>
        </w:rPr>
        <w:t>Eligible Services</w:t>
      </w:r>
    </w:p>
    <w:p w:rsidR="00424EE5" w:rsidP="007A0F99" w14:paraId="4E7830AE" w14:textId="214BB570">
      <w:pPr>
        <w:spacing w:before="120" w:after="120"/>
        <w:ind w:firstLine="720"/>
        <w:rPr>
          <w:szCs w:val="22"/>
        </w:rPr>
      </w:pPr>
      <w:r w:rsidRPr="7CBB81DA">
        <w:t>The Pilot Program will provide selected pilot projects 85% funding for</w:t>
      </w:r>
      <w:r w:rsidR="001D136A">
        <w:t xml:space="preserve"> </w:t>
      </w:r>
      <w:r w:rsidRPr="7CBB81DA" w:rsidR="00207479">
        <w:t>eligible services</w:t>
      </w:r>
      <w:r w:rsidRPr="7CBB81DA">
        <w:t xml:space="preserve"> to provide connected care services as part of the Pilot Program</w:t>
      </w:r>
      <w:r w:rsidR="00B60381">
        <w:rPr>
          <w:szCs w:val="22"/>
        </w:rPr>
        <w:t>,</w:t>
      </w:r>
      <w:r w:rsidRPr="7CBB81DA" w:rsidR="00E57E78">
        <w:t xml:space="preserve"> which </w:t>
      </w:r>
      <w:r w:rsidRPr="7CBB81DA" w:rsidR="00223627">
        <w:t xml:space="preserve">fall under the following categories: </w:t>
      </w:r>
      <w:r>
        <w:rPr>
          <w:szCs w:val="22"/>
        </w:rPr>
        <w:t xml:space="preserve"> </w:t>
      </w:r>
      <w:r w:rsidR="00C415B8">
        <w:rPr>
          <w:szCs w:val="22"/>
        </w:rPr>
        <w:t>(</w:t>
      </w:r>
      <w:r w:rsidRPr="7CBB81DA">
        <w:t xml:space="preserve">1) </w:t>
      </w:r>
      <w:r w:rsidR="001B1164">
        <w:t>patient broadband Internet access services</w:t>
      </w:r>
      <w:r w:rsidRPr="7CBB81DA">
        <w:t xml:space="preserve">; </w:t>
      </w:r>
      <w:r w:rsidR="00C415B8">
        <w:rPr>
          <w:szCs w:val="22"/>
        </w:rPr>
        <w:t>(</w:t>
      </w:r>
      <w:r w:rsidRPr="7CBB81DA">
        <w:t>2) health care provider broadband data connections</w:t>
      </w:r>
      <w:r w:rsidR="00E9278A">
        <w:rPr>
          <w:szCs w:val="22"/>
        </w:rPr>
        <w:t>;</w:t>
      </w:r>
      <w:r>
        <w:rPr>
          <w:szCs w:val="22"/>
        </w:rPr>
        <w:t xml:space="preserve"> </w:t>
      </w:r>
      <w:r w:rsidR="00C415B8">
        <w:rPr>
          <w:szCs w:val="22"/>
        </w:rPr>
        <w:t>(</w:t>
      </w:r>
      <w:r w:rsidRPr="7CBB81DA">
        <w:t>3</w:t>
      </w:r>
      <w:r w:rsidRPr="00AD406F">
        <w:rPr>
          <w:szCs w:val="22"/>
        </w:rPr>
        <w:t xml:space="preserve">) </w:t>
      </w:r>
      <w:r w:rsidRPr="7CBB81DA" w:rsidR="00C415B8">
        <w:t>connected care information services</w:t>
      </w:r>
      <w:r w:rsidR="00E9278A">
        <w:t xml:space="preserve">; </w:t>
      </w:r>
      <w:r w:rsidRPr="7CBB81DA">
        <w:t xml:space="preserve">and </w:t>
      </w:r>
      <w:r w:rsidR="00C415B8">
        <w:rPr>
          <w:szCs w:val="22"/>
        </w:rPr>
        <w:t>(</w:t>
      </w:r>
      <w:r w:rsidRPr="7CBB81DA">
        <w:t xml:space="preserve">4) </w:t>
      </w:r>
      <w:r w:rsidRPr="7CBB81DA" w:rsidR="00C415B8">
        <w:t>certain network equipment (</w:t>
      </w:r>
      <w:r w:rsidR="00035193">
        <w:t>i.e.,</w:t>
      </w:r>
      <w:r w:rsidRPr="7CBB81DA" w:rsidR="00C415B8">
        <w:t xml:space="preserve"> network equipment necessary to make a supported broadband service functional)</w:t>
      </w:r>
      <w:r>
        <w:rPr>
          <w:szCs w:val="22"/>
        </w:rPr>
        <w:t>.</w:t>
      </w:r>
      <w:r>
        <w:rPr>
          <w:rStyle w:val="FootnoteReference"/>
        </w:rPr>
        <w:footnoteReference w:id="15"/>
      </w:r>
      <w:r>
        <w:rPr>
          <w:szCs w:val="22"/>
        </w:rPr>
        <w:t xml:space="preserve"> </w:t>
      </w:r>
      <w:r w:rsidRPr="7CBB81DA">
        <w:t xml:space="preserve"> The Pilot Program will not fund devices, including end-user connected devices (</w:t>
      </w:r>
      <w:r w:rsidR="00035193">
        <w:t>e.g.</w:t>
      </w:r>
      <w:r w:rsidRPr="7CBB81DA">
        <w:t>, tablets,  smart phones</w:t>
      </w:r>
      <w:r w:rsidR="00885C52">
        <w:rPr>
          <w:szCs w:val="22"/>
        </w:rPr>
        <w:t>,</w:t>
      </w:r>
      <w:r w:rsidRPr="7CBB81DA">
        <w:t xml:space="preserve"> or remote patient monitoring equipment), medical equipment, health care provider administrative costs, personnel costs (including, but not limited to medical professional costs), or other miscellaneous expenses.</w:t>
      </w:r>
      <w:r>
        <w:rPr>
          <w:vertAlign w:val="superscript"/>
        </w:rPr>
        <w:footnoteReference w:id="16"/>
      </w:r>
      <w:r w:rsidRPr="7CBB81DA">
        <w:t xml:space="preserve">  The Pilot Program also will not fund network deployment, the construction of networks between health care providers, or connectivity services between health care provider sites.</w:t>
      </w:r>
      <w:r>
        <w:rPr>
          <w:vertAlign w:val="superscript"/>
        </w:rPr>
        <w:footnoteReference w:id="17"/>
      </w:r>
      <w:r w:rsidRPr="7CBB81DA" w:rsidR="00577CF3">
        <w:t xml:space="preserve">  Health care providers participating in the Pilot Program must cost allocate all ineligible services and/or equipment that are included in bundles, packages, or suites of services used in Pilot Program projects.</w:t>
      </w:r>
      <w:r>
        <w:rPr>
          <w:rStyle w:val="FootnoteReference"/>
        </w:rPr>
        <w:footnoteReference w:id="18"/>
      </w:r>
      <w:r w:rsidR="00577CF3">
        <w:rPr>
          <w:szCs w:val="22"/>
        </w:rPr>
        <w:t xml:space="preserve">  </w:t>
      </w:r>
      <w:r w:rsidR="001D136A">
        <w:rPr>
          <w:szCs w:val="22"/>
        </w:rPr>
        <w:t>Funding for selected pilot projects is limited to three years.</w:t>
      </w:r>
      <w:r>
        <w:rPr>
          <w:rStyle w:val="FootnoteReference"/>
          <w:szCs w:val="22"/>
        </w:rPr>
        <w:footnoteReference w:id="19"/>
      </w:r>
      <w:r w:rsidR="001D136A">
        <w:rPr>
          <w:szCs w:val="22"/>
        </w:rPr>
        <w:t xml:space="preserve">  </w:t>
      </w:r>
    </w:p>
    <w:p w:rsidR="00424EE5" w:rsidP="007A0F99" w14:paraId="65CFDD2C" w14:textId="0809E196">
      <w:pPr>
        <w:spacing w:before="120" w:after="120"/>
        <w:ind w:firstLine="720"/>
      </w:pPr>
      <w:r>
        <w:rPr>
          <w:szCs w:val="22"/>
        </w:rPr>
        <w:t>The f</w:t>
      </w:r>
      <w:r>
        <w:rPr>
          <w:szCs w:val="22"/>
        </w:rPr>
        <w:t>ollowing are illustrative examples of the types</w:t>
      </w:r>
      <w:r>
        <w:rPr>
          <w:szCs w:val="22"/>
        </w:rPr>
        <w:t xml:space="preserve"> of</w:t>
      </w:r>
      <w:r>
        <w:rPr>
          <w:szCs w:val="22"/>
        </w:rPr>
        <w:t xml:space="preserve"> items that are eligible for support through the Pilot Program</w:t>
      </w:r>
      <w:r w:rsidR="00E15153">
        <w:rPr>
          <w:szCs w:val="22"/>
        </w:rPr>
        <w:t xml:space="preserve">.  These illustrative examples </w:t>
      </w:r>
      <w:r w:rsidR="002F7724">
        <w:rPr>
          <w:szCs w:val="22"/>
        </w:rPr>
        <w:t xml:space="preserve">fall within the categories of services designated as eligible for Connected Care Pilot Program support in the </w:t>
      </w:r>
      <w:r w:rsidRPr="007C7C28" w:rsidR="002F7724">
        <w:rPr>
          <w:i/>
          <w:iCs/>
          <w:szCs w:val="22"/>
        </w:rPr>
        <w:t>Report and Order</w:t>
      </w:r>
      <w:r w:rsidR="002F7724">
        <w:rPr>
          <w:szCs w:val="22"/>
        </w:rPr>
        <w:t>.</w:t>
      </w:r>
      <w:r>
        <w:rPr>
          <w:rStyle w:val="FootnoteReference"/>
          <w:szCs w:val="22"/>
        </w:rPr>
        <w:footnoteReference w:id="20"/>
      </w:r>
      <w:r w:rsidR="002F7724">
        <w:rPr>
          <w:szCs w:val="22"/>
        </w:rPr>
        <w:t xml:space="preserve">  </w:t>
      </w:r>
    </w:p>
    <w:p w:rsidR="00885C52" w:rsidP="00D453ED" w14:paraId="2D0842C5" w14:textId="7E1FFC1F">
      <w:pPr>
        <w:ind w:left="720"/>
        <w:rPr>
          <w:b/>
          <w:bCs/>
          <w:i/>
          <w:iCs/>
          <w:szCs w:val="22"/>
        </w:rPr>
      </w:pPr>
      <w:r>
        <w:rPr>
          <w:b/>
          <w:bCs/>
          <w:i/>
          <w:iCs/>
          <w:szCs w:val="22"/>
        </w:rPr>
        <w:t>Patient Broadband Internet Access Services/Health Care Provider Broadband Data Connections</w:t>
      </w:r>
    </w:p>
    <w:p w:rsidR="00885C52" w:rsidRPr="000F25A3" w:rsidP="00885C52" w14:paraId="597825E7" w14:textId="77777777">
      <w:pPr>
        <w:pStyle w:val="ListParagraph"/>
        <w:widowControl/>
        <w:numPr>
          <w:ilvl w:val="0"/>
          <w:numId w:val="7"/>
        </w:numPr>
        <w:spacing w:after="160" w:line="259" w:lineRule="auto"/>
        <w:rPr>
          <w:b/>
          <w:bCs/>
        </w:rPr>
      </w:pPr>
      <w:r>
        <w:t>New or upgraded broadband connections (whether for health care provider or participating patients) necessary for connected care services for the Pilot Program.</w:t>
      </w:r>
    </w:p>
    <w:p w:rsidR="00885C52" w:rsidRPr="000F25A3" w:rsidP="00885C52" w14:paraId="71530753" w14:textId="02DBD456">
      <w:pPr>
        <w:pStyle w:val="ListParagraph"/>
        <w:widowControl/>
        <w:numPr>
          <w:ilvl w:val="1"/>
          <w:numId w:val="7"/>
        </w:numPr>
        <w:spacing w:after="160" w:line="259" w:lineRule="auto"/>
        <w:rPr>
          <w:b/>
          <w:bCs/>
        </w:rPr>
      </w:pPr>
      <w:r>
        <w:t xml:space="preserve">Examples of the Types of </w:t>
      </w:r>
      <w:r>
        <w:t xml:space="preserve">Broadband </w:t>
      </w:r>
      <w:r w:rsidR="00AE1CC2">
        <w:t xml:space="preserve">Eligible for Pilot Program Support </w:t>
      </w:r>
      <w:r w:rsidR="007C7C28">
        <w:t>i</w:t>
      </w:r>
      <w:r>
        <w:t>nclude:</w:t>
      </w:r>
    </w:p>
    <w:p w:rsidR="00885C52" w:rsidRPr="000F25A3" w:rsidP="00885C52" w14:paraId="194CF763" w14:textId="77777777">
      <w:pPr>
        <w:pStyle w:val="ListParagraph"/>
        <w:widowControl/>
        <w:numPr>
          <w:ilvl w:val="2"/>
          <w:numId w:val="7"/>
        </w:numPr>
        <w:spacing w:after="160" w:line="259" w:lineRule="auto"/>
        <w:rPr>
          <w:b/>
          <w:bCs/>
        </w:rPr>
      </w:pPr>
      <w:r>
        <w:t>Digital Subscriber Line</w:t>
      </w:r>
    </w:p>
    <w:p w:rsidR="0026023E" w:rsidRPr="00061FB7" w:rsidP="0026023E" w14:paraId="38BB4ABC" w14:textId="77777777">
      <w:pPr>
        <w:pStyle w:val="ListParagraph"/>
        <w:widowControl/>
        <w:numPr>
          <w:ilvl w:val="2"/>
          <w:numId w:val="7"/>
        </w:numPr>
        <w:spacing w:after="160" w:line="259" w:lineRule="auto"/>
      </w:pPr>
      <w:r>
        <w:t>Cable Modem</w:t>
      </w:r>
    </w:p>
    <w:p w:rsidR="000672EB" w:rsidRPr="000F25A3" w:rsidP="00885C52" w14:paraId="4C2441B1" w14:textId="7E1A5675">
      <w:pPr>
        <w:pStyle w:val="ListParagraph"/>
        <w:widowControl/>
        <w:numPr>
          <w:ilvl w:val="2"/>
          <w:numId w:val="7"/>
        </w:numPr>
        <w:spacing w:after="160" w:line="259" w:lineRule="auto"/>
        <w:rPr>
          <w:b/>
          <w:bCs/>
        </w:rPr>
      </w:pPr>
      <w:r>
        <w:t>Other Copper Wireline</w:t>
      </w:r>
    </w:p>
    <w:p w:rsidR="00885C52" w:rsidRPr="000F25A3" w:rsidP="00885C52" w14:paraId="042EE9DD" w14:textId="4D575586">
      <w:pPr>
        <w:pStyle w:val="ListParagraph"/>
        <w:widowControl/>
        <w:numPr>
          <w:ilvl w:val="2"/>
          <w:numId w:val="7"/>
        </w:numPr>
        <w:spacing w:after="160" w:line="259" w:lineRule="auto"/>
        <w:rPr>
          <w:b/>
          <w:bCs/>
        </w:rPr>
      </w:pPr>
      <w:r>
        <w:t>Optical Carrier/</w:t>
      </w:r>
      <w:r>
        <w:t>Fiber</w:t>
      </w:r>
      <w:r>
        <w:t xml:space="preserve"> to the End-User</w:t>
      </w:r>
    </w:p>
    <w:p w:rsidR="00885C52" w:rsidRPr="000F25A3" w:rsidP="00885C52" w14:paraId="16CE756A" w14:textId="42EE5CDD">
      <w:pPr>
        <w:pStyle w:val="ListParagraph"/>
        <w:widowControl/>
        <w:numPr>
          <w:ilvl w:val="2"/>
          <w:numId w:val="7"/>
        </w:numPr>
        <w:spacing w:after="160" w:line="259" w:lineRule="auto"/>
        <w:rPr>
          <w:b/>
          <w:bCs/>
        </w:rPr>
      </w:pPr>
      <w:r>
        <w:t xml:space="preserve">Terrestrial </w:t>
      </w:r>
      <w:r>
        <w:t>Fixed Wireless</w:t>
      </w:r>
    </w:p>
    <w:p w:rsidR="00885C52" w:rsidRPr="007C7C28" w:rsidP="00885C52" w14:paraId="097B2AD8" w14:textId="7A0D30BF">
      <w:pPr>
        <w:pStyle w:val="ListParagraph"/>
        <w:widowControl/>
        <w:numPr>
          <w:ilvl w:val="2"/>
          <w:numId w:val="7"/>
        </w:numPr>
        <w:spacing w:after="160" w:line="259" w:lineRule="auto"/>
        <w:rPr>
          <w:b/>
          <w:lang w:val="nb-NO"/>
        </w:rPr>
      </w:pPr>
      <w:r w:rsidRPr="007C7C28">
        <w:rPr>
          <w:lang w:val="nb-NO"/>
        </w:rPr>
        <w:t>Mobile Wireless (</w:t>
      </w:r>
      <w:r w:rsidRPr="007C7C28" w:rsidR="00F478B5">
        <w:rPr>
          <w:lang w:val="nb-NO"/>
        </w:rPr>
        <w:t xml:space="preserve">e.g., 3G, LTE, </w:t>
      </w:r>
      <w:r w:rsidRPr="007C7C28">
        <w:rPr>
          <w:lang w:val="nb-NO"/>
        </w:rPr>
        <w:t>4G, 5G)</w:t>
      </w:r>
    </w:p>
    <w:p w:rsidR="00885C52" w:rsidRPr="000F25A3" w:rsidP="00885C52" w14:paraId="552750F2" w14:textId="77777777">
      <w:pPr>
        <w:pStyle w:val="ListParagraph"/>
        <w:widowControl/>
        <w:numPr>
          <w:ilvl w:val="2"/>
          <w:numId w:val="7"/>
        </w:numPr>
        <w:spacing w:after="160" w:line="259" w:lineRule="auto"/>
        <w:rPr>
          <w:b/>
          <w:bCs/>
        </w:rPr>
      </w:pPr>
      <w:r>
        <w:t xml:space="preserve">Satellite </w:t>
      </w:r>
    </w:p>
    <w:p w:rsidR="00885C52" w:rsidRPr="009C43DA" w:rsidP="00885C52" w14:paraId="605941C2" w14:textId="77777777">
      <w:pPr>
        <w:pStyle w:val="ListParagraph"/>
        <w:widowControl/>
        <w:numPr>
          <w:ilvl w:val="2"/>
          <w:numId w:val="7"/>
        </w:numPr>
        <w:spacing w:after="160" w:line="259" w:lineRule="auto"/>
        <w:rPr>
          <w:b/>
          <w:bCs/>
        </w:rPr>
      </w:pPr>
      <w:r>
        <w:t xml:space="preserve">Broadband over Powerline </w:t>
      </w:r>
    </w:p>
    <w:p w:rsidR="00885C52" w:rsidRPr="00275C6B" w:rsidP="00D453ED" w14:paraId="2EA78874" w14:textId="5D19D628">
      <w:pPr>
        <w:pStyle w:val="ListParagraph"/>
        <w:numPr>
          <w:ilvl w:val="0"/>
          <w:numId w:val="7"/>
        </w:numPr>
        <w:spacing w:before="120" w:after="120"/>
        <w:contextualSpacing w:val="0"/>
        <w:rPr>
          <w:szCs w:val="22"/>
        </w:rPr>
      </w:pPr>
      <w:r>
        <w:t>Health care providers requesting support for broadband services can also receive support for costs of internet security firewall services typically provided by the broadband service provider that are necessary to protect personally identifiable information (PII) and other sensitive patient information within the confines of the Pilot Program.</w:t>
      </w:r>
    </w:p>
    <w:p w:rsidR="00D453ED" w:rsidP="00D453ED" w14:paraId="447E8102" w14:textId="77777777">
      <w:pPr>
        <w:spacing w:before="120" w:after="120"/>
        <w:rPr>
          <w:b/>
          <w:bCs/>
          <w:i/>
          <w:iCs/>
          <w:szCs w:val="22"/>
        </w:rPr>
      </w:pPr>
    </w:p>
    <w:p w:rsidR="00D453ED" w:rsidP="00D453ED" w14:paraId="509BC6A3" w14:textId="77777777">
      <w:pPr>
        <w:spacing w:before="120" w:after="120"/>
        <w:rPr>
          <w:b/>
          <w:bCs/>
          <w:i/>
          <w:iCs/>
          <w:szCs w:val="22"/>
        </w:rPr>
      </w:pPr>
    </w:p>
    <w:p w:rsidR="00275C6B" w:rsidP="00D453ED" w14:paraId="2C220D92" w14:textId="44281433">
      <w:pPr>
        <w:rPr>
          <w:b/>
          <w:bCs/>
          <w:i/>
          <w:iCs/>
          <w:szCs w:val="22"/>
        </w:rPr>
      </w:pPr>
      <w:r w:rsidRPr="00E47726">
        <w:rPr>
          <w:b/>
          <w:bCs/>
          <w:i/>
          <w:iCs/>
          <w:szCs w:val="22"/>
        </w:rPr>
        <w:t xml:space="preserve">Other </w:t>
      </w:r>
      <w:r w:rsidRPr="00E47726">
        <w:rPr>
          <w:b/>
          <w:bCs/>
          <w:i/>
          <w:iCs/>
          <w:szCs w:val="22"/>
        </w:rPr>
        <w:t xml:space="preserve">Connected Care Information Services </w:t>
      </w:r>
    </w:p>
    <w:p w:rsidR="00275C6B" w:rsidP="00D453ED" w14:paraId="1792087C" w14:textId="77777777">
      <w:pPr>
        <w:pStyle w:val="ListParagraph"/>
        <w:widowControl/>
        <w:numPr>
          <w:ilvl w:val="0"/>
          <w:numId w:val="9"/>
        </w:numPr>
        <w:spacing w:line="259" w:lineRule="auto"/>
        <w:contextualSpacing w:val="0"/>
      </w:pPr>
      <w:r>
        <w:t>Services for connected care that capture, transmit (including video visits), and store health care data for connected care.  This includes information services with “store-and-forward” technology, patient reported outcome platforms, and remote patient monitoring platforms and other telehealth platforms used to provide connected care services.</w:t>
      </w:r>
    </w:p>
    <w:p w:rsidR="00275C6B" w:rsidP="00275C6B" w14:paraId="5CAC0063" w14:textId="7BDCDAB9">
      <w:pPr>
        <w:pStyle w:val="ListParagraph"/>
        <w:numPr>
          <w:ilvl w:val="1"/>
          <w:numId w:val="9"/>
        </w:numPr>
        <w:rPr>
          <w:szCs w:val="22"/>
        </w:rPr>
      </w:pPr>
      <w:r>
        <w:rPr>
          <w:szCs w:val="22"/>
        </w:rPr>
        <w:t>Examples include, but are not limited to:</w:t>
      </w:r>
    </w:p>
    <w:p w:rsidR="00275C6B" w:rsidP="00275C6B" w14:paraId="6423370D" w14:textId="77777777">
      <w:pPr>
        <w:pStyle w:val="ListParagraph"/>
        <w:widowControl/>
        <w:numPr>
          <w:ilvl w:val="2"/>
          <w:numId w:val="9"/>
        </w:numPr>
        <w:spacing w:after="160" w:line="259" w:lineRule="auto"/>
      </w:pPr>
      <w:r>
        <w:t xml:space="preserve">HIPAA compliant (or requirement waived) telehealth solutions, packages, platforms, or suites of services that facilitate the capturing, storing, and transmitting of health care data between health care provider and patient for purposes of connected care services.   </w:t>
      </w:r>
    </w:p>
    <w:p w:rsidR="00275C6B" w:rsidP="00275C6B" w14:paraId="1358AA93" w14:textId="4FAC790F">
      <w:pPr>
        <w:pStyle w:val="ListParagraph"/>
        <w:widowControl/>
        <w:numPr>
          <w:ilvl w:val="2"/>
          <w:numId w:val="9"/>
        </w:numPr>
        <w:spacing w:after="160" w:line="259" w:lineRule="auto"/>
      </w:pPr>
      <w:r>
        <w:t>HIPAA compliant (or requirement waived) telehealth video services that transmit health care data between health care provider and patients</w:t>
      </w:r>
      <w:r w:rsidR="00613BD6">
        <w:t xml:space="preserve"> for purposes of connected care services</w:t>
      </w:r>
      <w:r>
        <w:t xml:space="preserve">.  </w:t>
      </w:r>
    </w:p>
    <w:p w:rsidR="00275C6B" w:rsidP="00C64F87" w14:paraId="50B86B2A" w14:textId="2BBA68CF">
      <w:pPr>
        <w:pStyle w:val="ListParagraph"/>
        <w:widowControl/>
        <w:numPr>
          <w:ilvl w:val="2"/>
          <w:numId w:val="9"/>
        </w:numPr>
        <w:spacing w:after="160" w:line="259" w:lineRule="auto"/>
      </w:pPr>
      <w:r>
        <w:t>One-time, annual or recurring monthly costs for telehealth information services necessary to provide connected care</w:t>
      </w:r>
      <w:r w:rsidR="00007030">
        <w:t>.</w:t>
      </w:r>
      <w:r>
        <w:t xml:space="preserve">  </w:t>
      </w:r>
    </w:p>
    <w:p w:rsidR="00275C6B" w:rsidRPr="00275C6B" w:rsidP="00275C6B" w14:paraId="62BFF7EC" w14:textId="43D496B3">
      <w:pPr>
        <w:pStyle w:val="ListParagraph"/>
        <w:numPr>
          <w:ilvl w:val="2"/>
          <w:numId w:val="9"/>
        </w:numPr>
        <w:rPr>
          <w:szCs w:val="22"/>
        </w:rPr>
      </w:pPr>
      <w:r>
        <w:t xml:space="preserve">Licenses, subscriptions, or recurring charges necessary for health care providers to access or use eligible connected care information services </w:t>
      </w:r>
      <w:r w:rsidR="00613BD6">
        <w:t>that</w:t>
      </w:r>
      <w:r>
        <w:t xml:space="preserve"> capture, transmit (including video visits), </w:t>
      </w:r>
      <w:r w:rsidR="009A3A49">
        <w:t xml:space="preserve">or </w:t>
      </w:r>
      <w:r>
        <w:t>store health care data for connected care.</w:t>
      </w:r>
    </w:p>
    <w:p w:rsidR="00275C6B" w:rsidP="00C64F87" w14:paraId="6BB3D73D" w14:textId="40E55CE7">
      <w:pPr>
        <w:pStyle w:val="ListParagraph"/>
        <w:widowControl/>
        <w:numPr>
          <w:ilvl w:val="2"/>
          <w:numId w:val="9"/>
        </w:numPr>
        <w:spacing w:after="160" w:line="259" w:lineRule="auto"/>
      </w:pPr>
      <w:r>
        <w:t xml:space="preserve">Implementation and integration costs necessary to integrate Pilot Program eligible services </w:t>
      </w:r>
      <w:r w:rsidRPr="00AF57F9">
        <w:t xml:space="preserve">used to provide connected care services through the Pilot Program.  </w:t>
      </w:r>
      <w:r>
        <w:t xml:space="preserve">This includes costs necessary to integrate existing electronic health records or electronic medical records systems </w:t>
      </w:r>
      <w:r w:rsidRPr="00AF57F9">
        <w:t xml:space="preserve">with Pilot-supported </w:t>
      </w:r>
      <w:r>
        <w:t xml:space="preserve">information </w:t>
      </w:r>
      <w:r w:rsidRPr="00AF57F9">
        <w:t>services.</w:t>
      </w:r>
      <w:r>
        <w:t xml:space="preserve">  </w:t>
      </w:r>
    </w:p>
    <w:p w:rsidR="009A3A49" w:rsidP="00275C6B" w14:paraId="7D3C3B02" w14:textId="77777777">
      <w:pPr>
        <w:ind w:left="720"/>
        <w:rPr>
          <w:b/>
          <w:bCs/>
          <w:i/>
          <w:iCs/>
          <w:szCs w:val="22"/>
        </w:rPr>
      </w:pPr>
    </w:p>
    <w:p w:rsidR="00275C6B" w:rsidP="00275C6B" w14:paraId="55F2FBD2" w14:textId="7660DE47">
      <w:pPr>
        <w:ind w:left="720"/>
        <w:rPr>
          <w:b/>
          <w:bCs/>
          <w:i/>
          <w:iCs/>
          <w:szCs w:val="22"/>
        </w:rPr>
      </w:pPr>
      <w:r w:rsidRPr="00C64F87">
        <w:rPr>
          <w:b/>
          <w:bCs/>
          <w:i/>
          <w:iCs/>
          <w:szCs w:val="22"/>
        </w:rPr>
        <w:t xml:space="preserve">Network Equipment </w:t>
      </w:r>
    </w:p>
    <w:p w:rsidR="00613BD6" w:rsidRPr="00AF57F9" w:rsidP="00C64F87" w14:paraId="10EAE204" w14:textId="30C8119B">
      <w:pPr>
        <w:pStyle w:val="ListParagraph"/>
        <w:widowControl/>
        <w:numPr>
          <w:ilvl w:val="0"/>
          <w:numId w:val="9"/>
        </w:numPr>
        <w:spacing w:after="160" w:line="259" w:lineRule="auto"/>
      </w:pPr>
      <w:r>
        <w:rPr>
          <w:szCs w:val="22"/>
        </w:rPr>
        <w:t xml:space="preserve">Certain </w:t>
      </w:r>
      <w:r>
        <w:t>n</w:t>
      </w:r>
      <w:r w:rsidRPr="00AF57F9">
        <w:t xml:space="preserve">etwork equipment necessary to make newly acquired or upgraded Internet service for the </w:t>
      </w:r>
      <w:r>
        <w:t xml:space="preserve">patient or health care provider </w:t>
      </w:r>
      <w:r w:rsidRPr="00AF57F9">
        <w:t>for the Pilot Program functional (e.g., routers) or necessary to manage, control, or operate a supported broadband service</w:t>
      </w:r>
      <w:r>
        <w:t xml:space="preserve">. </w:t>
      </w:r>
    </w:p>
    <w:p w:rsidR="00613BD6" w:rsidP="00613BD6" w14:paraId="468EF62F" w14:textId="289BD9F1">
      <w:pPr>
        <w:pStyle w:val="ListParagraph"/>
        <w:numPr>
          <w:ilvl w:val="1"/>
          <w:numId w:val="9"/>
        </w:numPr>
        <w:rPr>
          <w:szCs w:val="22"/>
        </w:rPr>
      </w:pPr>
      <w:r>
        <w:rPr>
          <w:szCs w:val="22"/>
        </w:rPr>
        <w:t>Examples include, but are not limited to:</w:t>
      </w:r>
    </w:p>
    <w:p w:rsidR="00613BD6" w:rsidRPr="00AF57F9" w:rsidP="00613BD6" w14:paraId="4EFAA71B" w14:textId="73DC3DC5">
      <w:pPr>
        <w:pStyle w:val="ListParagraph"/>
        <w:widowControl/>
        <w:numPr>
          <w:ilvl w:val="2"/>
          <w:numId w:val="9"/>
        </w:numPr>
        <w:spacing w:after="160" w:line="259" w:lineRule="auto"/>
      </w:pPr>
      <w:r w:rsidRPr="00AF57F9">
        <w:rPr>
          <w:shd w:val="clear" w:color="auto" w:fill="FFFFFF"/>
        </w:rPr>
        <w:t>Equipment that terminates a carrier</w:t>
      </w:r>
      <w:r w:rsidR="00C006D4">
        <w:rPr>
          <w:shd w:val="clear" w:color="auto" w:fill="FFFFFF"/>
        </w:rPr>
        <w:t>’</w:t>
      </w:r>
      <w:r w:rsidRPr="00AF57F9">
        <w:rPr>
          <w:shd w:val="clear" w:color="auto" w:fill="FFFFFF"/>
        </w:rPr>
        <w:t>s or other provider</w:t>
      </w:r>
      <w:r w:rsidR="00C006D4">
        <w:rPr>
          <w:shd w:val="clear" w:color="auto" w:fill="FFFFFF"/>
        </w:rPr>
        <w:t>’</w:t>
      </w:r>
      <w:r w:rsidRPr="00AF57F9">
        <w:rPr>
          <w:shd w:val="clear" w:color="auto" w:fill="FFFFFF"/>
        </w:rPr>
        <w:t xml:space="preserve">s transmission facility and any router/switch that is directly connected to either the facility or the terminating equipment.   This includes routers </w:t>
      </w:r>
      <w:r>
        <w:rPr>
          <w:shd w:val="clear" w:color="auto" w:fill="FFFFFF"/>
        </w:rPr>
        <w:t xml:space="preserve">at the health care provider premises or routers </w:t>
      </w:r>
      <w:r w:rsidRPr="00AF57F9">
        <w:rPr>
          <w:shd w:val="clear" w:color="auto" w:fill="FFFFFF"/>
        </w:rPr>
        <w:t xml:space="preserve">for use at participating patient residences. </w:t>
      </w:r>
    </w:p>
    <w:p w:rsidR="00613BD6" w:rsidRPr="00AF57F9" w:rsidP="00613BD6" w14:paraId="10B9DE91" w14:textId="0AB0A741">
      <w:pPr>
        <w:pStyle w:val="ListParagraph"/>
        <w:widowControl/>
        <w:numPr>
          <w:ilvl w:val="2"/>
          <w:numId w:val="9"/>
        </w:numPr>
        <w:spacing w:after="160" w:line="259" w:lineRule="auto"/>
      </w:pPr>
      <w:r w:rsidRPr="00AF57F9">
        <w:rPr>
          <w:shd w:val="clear" w:color="auto" w:fill="FFFFFF"/>
        </w:rPr>
        <w:t>Costs of engineering, furnishing (</w:t>
      </w:r>
      <w:r w:rsidRPr="00AF57F9">
        <w:rPr>
          <w:rStyle w:val="et03"/>
          <w:shd w:val="clear" w:color="auto" w:fill="FFFFFF"/>
        </w:rPr>
        <w:t>i.e.,</w:t>
      </w:r>
      <w:r w:rsidRPr="00AF57F9">
        <w:rPr>
          <w:shd w:val="clear" w:color="auto" w:fill="FFFFFF"/>
        </w:rPr>
        <w:t> as delivered from the manufacturer), and installing eligible network equipment</w:t>
      </w:r>
      <w:r w:rsidR="009A3A49">
        <w:rPr>
          <w:shd w:val="clear" w:color="auto" w:fill="FFFFFF"/>
        </w:rPr>
        <w:t>.</w:t>
      </w:r>
    </w:p>
    <w:p w:rsidR="00613BD6" w:rsidRPr="000E7AB9" w:rsidP="000E7AB9" w14:paraId="46CF3F8D" w14:textId="360D0EE7">
      <w:pPr>
        <w:pStyle w:val="ListParagraph"/>
        <w:numPr>
          <w:ilvl w:val="2"/>
          <w:numId w:val="9"/>
        </w:numPr>
      </w:pPr>
      <w:r>
        <w:t>Servers</w:t>
      </w:r>
      <w:r w:rsidR="000E7AB9">
        <w:t xml:space="preserve"> </w:t>
      </w:r>
      <w:r w:rsidRPr="000E7AB9" w:rsidR="000E7AB9">
        <w:t>used exclusively for eligible broadband services</w:t>
      </w:r>
      <w:r w:rsidR="009A3A49">
        <w:t>.</w:t>
      </w:r>
    </w:p>
    <w:p w:rsidR="008F6D85" w:rsidRPr="008F6D85" w:rsidP="008F6D85" w14:paraId="25A94537" w14:textId="679C5B4E">
      <w:pPr>
        <w:pStyle w:val="ListParagraph"/>
        <w:numPr>
          <w:ilvl w:val="2"/>
          <w:numId w:val="9"/>
        </w:numPr>
      </w:pPr>
      <w:r>
        <w:t xml:space="preserve">Routers </w:t>
      </w:r>
      <w:r w:rsidRPr="008F6D85">
        <w:t>(including at patient’s home)</w:t>
      </w:r>
      <w:r w:rsidR="009A3A49">
        <w:t>.</w:t>
      </w:r>
      <w:r w:rsidRPr="008F6D85">
        <w:t xml:space="preserve"> </w:t>
      </w:r>
    </w:p>
    <w:p w:rsidR="008F6D85" w:rsidRPr="00613BD6" w:rsidP="00613BD6" w14:paraId="25F42379" w14:textId="45C69B6B">
      <w:pPr>
        <w:pStyle w:val="ListParagraph"/>
        <w:numPr>
          <w:ilvl w:val="2"/>
          <w:numId w:val="9"/>
        </w:numPr>
        <w:rPr>
          <w:szCs w:val="22"/>
        </w:rPr>
      </w:pPr>
      <w:r>
        <w:t>Switches</w:t>
      </w:r>
      <w:r w:rsidR="009A3A49">
        <w:t>.</w:t>
      </w:r>
    </w:p>
    <w:p w:rsidR="00613BD6" w:rsidP="00613BD6" w14:paraId="270332BD" w14:textId="1F7255F7">
      <w:pPr>
        <w:rPr>
          <w:szCs w:val="22"/>
        </w:rPr>
      </w:pPr>
    </w:p>
    <w:p w:rsidR="00613BD6" w:rsidP="00613BD6" w14:paraId="0058AF10" w14:textId="29F02FF1">
      <w:pPr>
        <w:ind w:firstLine="720"/>
        <w:rPr>
          <w:b/>
          <w:bCs/>
          <w:i/>
          <w:iCs/>
          <w:szCs w:val="22"/>
        </w:rPr>
      </w:pPr>
      <w:r w:rsidRPr="00C64F87">
        <w:rPr>
          <w:b/>
          <w:bCs/>
          <w:i/>
          <w:iCs/>
          <w:szCs w:val="22"/>
        </w:rPr>
        <w:t>Miscellaneous Costs</w:t>
      </w:r>
    </w:p>
    <w:p w:rsidR="00613BD6" w:rsidP="00613BD6" w14:paraId="7E6BEB24" w14:textId="7BD04F8B">
      <w:pPr>
        <w:pStyle w:val="ListParagraph"/>
        <w:numPr>
          <w:ilvl w:val="0"/>
          <w:numId w:val="9"/>
        </w:numPr>
        <w:rPr>
          <w:szCs w:val="22"/>
        </w:rPr>
      </w:pPr>
      <w:r w:rsidRPr="00613BD6">
        <w:rPr>
          <w:szCs w:val="22"/>
        </w:rPr>
        <w:t xml:space="preserve">Various miscellaneous costs associated with eligible services listed above may be eligible for support.  Applicants should request eligible miscellaneous services in the same category as the associated service being obtained or installed.  </w:t>
      </w:r>
    </w:p>
    <w:p w:rsidR="00613BD6" w:rsidP="00613BD6" w14:paraId="018872DF" w14:textId="18984F38">
      <w:pPr>
        <w:pStyle w:val="ListParagraph"/>
        <w:numPr>
          <w:ilvl w:val="1"/>
          <w:numId w:val="9"/>
        </w:numPr>
        <w:rPr>
          <w:szCs w:val="22"/>
        </w:rPr>
      </w:pPr>
      <w:r>
        <w:rPr>
          <w:szCs w:val="22"/>
        </w:rPr>
        <w:t>Examples include, but are not limited to:</w:t>
      </w:r>
    </w:p>
    <w:p w:rsidR="00613BD6" w:rsidP="00613BD6" w14:paraId="4E6C6346" w14:textId="20E9FF19">
      <w:pPr>
        <w:pStyle w:val="ListParagraph"/>
        <w:numPr>
          <w:ilvl w:val="2"/>
          <w:numId w:val="9"/>
        </w:numPr>
      </w:pPr>
      <w:r>
        <w:t xml:space="preserve">Installation, Activation, and Initial Configuration. </w:t>
      </w:r>
    </w:p>
    <w:p w:rsidR="00D453ED" w:rsidP="00D453ED" w14:paraId="6DE0D050" w14:textId="77777777">
      <w:pPr>
        <w:pStyle w:val="ListParagraph"/>
        <w:numPr>
          <w:ilvl w:val="2"/>
          <w:numId w:val="9"/>
        </w:numPr>
        <w:rPr>
          <w:szCs w:val="22"/>
        </w:rPr>
      </w:pPr>
      <w:r w:rsidRPr="00C006D4">
        <w:rPr>
          <w:szCs w:val="22"/>
        </w:rPr>
        <w:t>Fees and charges that are a necessary component of an eligible service</w:t>
      </w:r>
      <w:r>
        <w:rPr>
          <w:szCs w:val="22"/>
        </w:rPr>
        <w:t xml:space="preserve">, such as shipping charges, taxes, surcharges, </w:t>
      </w:r>
      <w:r w:rsidRPr="00C006D4" w:rsidR="00613BD6">
        <w:rPr>
          <w:szCs w:val="22"/>
        </w:rPr>
        <w:t>and other reasonable charges incurred in obtaining an eligible product or service</w:t>
      </w:r>
      <w:r>
        <w:rPr>
          <w:szCs w:val="22"/>
        </w:rPr>
        <w:t>.</w:t>
      </w:r>
    </w:p>
    <w:p w:rsidR="00170EDA" w:rsidRPr="00D453ED" w:rsidP="00D453ED" w14:paraId="43578A12" w14:textId="648F70A2">
      <w:pPr>
        <w:ind w:left="720"/>
        <w:rPr>
          <w:szCs w:val="22"/>
        </w:rPr>
      </w:pPr>
      <w:r w:rsidRPr="00D453ED">
        <w:rPr>
          <w:b/>
          <w:bCs/>
          <w:snapToGrid/>
          <w:kern w:val="0"/>
          <w:szCs w:val="22"/>
          <w:u w:val="single"/>
        </w:rPr>
        <w:t>Applicant Duty to Understand Rules and Requirements and Submit Accurate</w:t>
      </w:r>
      <w:r w:rsidRPr="00D453ED" w:rsidR="003D0C36">
        <w:rPr>
          <w:b/>
          <w:bCs/>
          <w:snapToGrid/>
          <w:kern w:val="0"/>
          <w:szCs w:val="22"/>
          <w:u w:val="single"/>
        </w:rPr>
        <w:t>,</w:t>
      </w:r>
      <w:r w:rsidRPr="00D453ED">
        <w:rPr>
          <w:b/>
          <w:bCs/>
          <w:snapToGrid/>
          <w:kern w:val="0"/>
          <w:szCs w:val="22"/>
          <w:u w:val="single"/>
        </w:rPr>
        <w:t xml:space="preserve"> Complete</w:t>
      </w:r>
      <w:r w:rsidRPr="00D453ED" w:rsidR="003D0C36">
        <w:rPr>
          <w:b/>
          <w:bCs/>
          <w:snapToGrid/>
          <w:kern w:val="0"/>
          <w:szCs w:val="22"/>
          <w:u w:val="single"/>
        </w:rPr>
        <w:t xml:space="preserve"> and Timely Filed</w:t>
      </w:r>
      <w:r w:rsidRPr="00D453ED">
        <w:rPr>
          <w:b/>
          <w:bCs/>
          <w:snapToGrid/>
          <w:kern w:val="0"/>
          <w:szCs w:val="22"/>
          <w:u w:val="single"/>
        </w:rPr>
        <w:t xml:space="preserve"> Application Forms</w:t>
      </w:r>
    </w:p>
    <w:p w:rsidR="00170EDA" w:rsidP="007A0F99" w14:paraId="348B57E5" w14:textId="31DEBCB2">
      <w:pPr>
        <w:widowControl/>
        <w:autoSpaceDE w:val="0"/>
        <w:autoSpaceDN w:val="0"/>
        <w:adjustRightInd w:val="0"/>
        <w:spacing w:before="120" w:after="120"/>
      </w:pPr>
      <w:r>
        <w:tab/>
        <w:t xml:space="preserve">Pilot Program applicants should carefully review the sections of the </w:t>
      </w:r>
      <w:r w:rsidRPr="00393A2C">
        <w:rPr>
          <w:i/>
          <w:iCs/>
        </w:rPr>
        <w:t>Report and Order</w:t>
      </w:r>
      <w:r>
        <w:rPr>
          <w:i/>
          <w:iCs/>
        </w:rPr>
        <w:t xml:space="preserve"> </w:t>
      </w:r>
      <w:r>
        <w:t>concerning the Pilot Program,</w:t>
      </w:r>
      <w:r>
        <w:rPr>
          <w:rStyle w:val="FootnoteReference"/>
        </w:rPr>
        <w:footnoteReference w:id="21"/>
      </w:r>
      <w:r>
        <w:rPr>
          <w:i/>
          <w:iCs/>
        </w:rPr>
        <w:t xml:space="preserve"> </w:t>
      </w:r>
      <w:r>
        <w:t xml:space="preserve">and all subsequent Public Notices related to the Pilot Program, including the </w:t>
      </w:r>
      <w:r w:rsidRPr="00EE5C64">
        <w:rPr>
          <w:i/>
          <w:iCs/>
        </w:rPr>
        <w:t>September Public Notice</w:t>
      </w:r>
      <w:r>
        <w:t xml:space="preserve"> to familiarize themselves with the Pilot Program rules and requirements.  Prospective applicants should also review the additional guidance materials concerning the Pilot Program on the FCC’s website at </w:t>
      </w:r>
      <w:hyperlink r:id="rId7" w:history="1">
        <w:r>
          <w:rPr>
            <w:rStyle w:val="Hyperlink"/>
          </w:rPr>
          <w:t>https://www.fcc.gov/wireline-competition/telecommunications-access-policy-division/connected-care-pilot-program</w:t>
        </w:r>
      </w:hyperlink>
      <w:r>
        <w:t xml:space="preserve">.  Applicants bear full responsibility for submitting an accurate, complete, and timely application for the Pilot Program and ensuring their compliance with Pilot Program rules and requirements.  </w:t>
      </w:r>
    </w:p>
    <w:p w:rsidR="00631D07" w:rsidP="007A0F99" w14:paraId="3DB943A3" w14:textId="77777777">
      <w:pPr>
        <w:spacing w:before="120" w:after="120"/>
        <w:ind w:firstLine="720"/>
        <w:rPr>
          <w:color w:val="1F497D"/>
        </w:rPr>
      </w:pPr>
      <w:r>
        <w:rPr>
          <w:snapToGrid/>
          <w:kern w:val="0"/>
          <w:szCs w:val="22"/>
        </w:rPr>
        <w:t>Applications filed after the close of the filing window will not be considered.  Thus, a</w:t>
      </w:r>
      <w:r w:rsidR="006257F1">
        <w:rPr>
          <w:snapToGrid/>
          <w:kern w:val="0"/>
          <w:szCs w:val="22"/>
        </w:rPr>
        <w:t>pplicants are strongly encouraged to submit applications as s</w:t>
      </w:r>
      <w:r w:rsidR="004458FA">
        <w:rPr>
          <w:snapToGrid/>
          <w:kern w:val="0"/>
          <w:szCs w:val="22"/>
        </w:rPr>
        <w:t>o</w:t>
      </w:r>
      <w:r w:rsidR="006257F1">
        <w:rPr>
          <w:snapToGrid/>
          <w:kern w:val="0"/>
          <w:szCs w:val="22"/>
        </w:rPr>
        <w:t>on as</w:t>
      </w:r>
      <w:r w:rsidR="004458FA">
        <w:rPr>
          <w:snapToGrid/>
          <w:kern w:val="0"/>
          <w:szCs w:val="22"/>
        </w:rPr>
        <w:t xml:space="preserve"> </w:t>
      </w:r>
      <w:r w:rsidR="006257F1">
        <w:rPr>
          <w:snapToGrid/>
          <w:kern w:val="0"/>
          <w:szCs w:val="22"/>
        </w:rPr>
        <w:t>possible after the window opens</w:t>
      </w:r>
      <w:r>
        <w:rPr>
          <w:snapToGrid/>
          <w:kern w:val="0"/>
          <w:szCs w:val="22"/>
        </w:rPr>
        <w:t xml:space="preserve"> to ensure completeness and accuracy</w:t>
      </w:r>
      <w:r w:rsidR="006257F1">
        <w:rPr>
          <w:snapToGrid/>
          <w:kern w:val="0"/>
          <w:szCs w:val="22"/>
        </w:rPr>
        <w:t xml:space="preserve">.  </w:t>
      </w:r>
      <w:r w:rsidRPr="006257F1" w:rsidR="006257F1">
        <w:rPr>
          <w:snapToGrid/>
          <w:kern w:val="0"/>
          <w:szCs w:val="22"/>
        </w:rPr>
        <w:t xml:space="preserve">Applications will be reviewed </w:t>
      </w:r>
      <w:r w:rsidR="006257F1">
        <w:rPr>
          <w:snapToGrid/>
          <w:kern w:val="0"/>
          <w:szCs w:val="22"/>
        </w:rPr>
        <w:t xml:space="preserve">after they are received. </w:t>
      </w:r>
      <w:r>
        <w:rPr>
          <w:snapToGrid/>
          <w:kern w:val="0"/>
          <w:szCs w:val="22"/>
        </w:rPr>
        <w:t xml:space="preserve"> </w:t>
      </w:r>
      <w:r w:rsidR="0070335B">
        <w:t xml:space="preserve">During the filing window, an applicant will be allowed to make any necessary modifications to its Application Form until the application submission deadline.   </w:t>
      </w:r>
      <w:r w:rsidR="00170EDA">
        <w:t>Pursuant to section 1.65 of the Commission’s rules, each applicant has a continuing obligation to maintain the accuracy and completeness of information furnished in a pending application, including a pending application to participate in the Pilot Program.</w:t>
      </w:r>
      <w:r>
        <w:rPr>
          <w:rStyle w:val="FootnoteReference"/>
        </w:rPr>
        <w:footnoteReference w:id="22"/>
      </w:r>
      <w:r w:rsidR="00170EDA">
        <w:t xml:space="preserve">  An applicant is obligated to amend its pending application even if a reported change may result in the dismissal of the application because it is subsequently deemed ineligible.  If, at any time, an applicant needs to make changes to maintain the accuracy and completeness of its application pursuant to section 1.65 of the Commission’s rules, it must do so via the application in the portal system.</w:t>
      </w:r>
      <w:r w:rsidR="00170EDA">
        <w:rPr>
          <w:color w:val="1F497D"/>
        </w:rPr>
        <w:t xml:space="preserve"> </w:t>
      </w:r>
    </w:p>
    <w:p w:rsidR="00424EE5" w:rsidRPr="00631D07" w:rsidP="007A0F99" w14:paraId="1DE9FC1E" w14:textId="3FC32D9A">
      <w:pPr>
        <w:spacing w:before="120" w:after="120"/>
        <w:ind w:firstLine="720"/>
        <w:rPr>
          <w:color w:val="1F497D"/>
        </w:rPr>
      </w:pPr>
      <w:r w:rsidRPr="00C64F87">
        <w:rPr>
          <w:b/>
          <w:bCs/>
          <w:u w:val="single"/>
        </w:rPr>
        <w:t>Additional Information</w:t>
      </w:r>
    </w:p>
    <w:p w:rsidR="00424EE5" w:rsidP="007A0F99" w14:paraId="42578332" w14:textId="00E2D8E0">
      <w:pPr>
        <w:spacing w:before="120" w:after="120"/>
        <w:ind w:firstLine="720"/>
      </w:pPr>
      <w:r>
        <w:t xml:space="preserve">For further information regarding this Public Notice, please contact India McGee, Attorney-Advisor, Telecommunications Access Policy Division, Wireline Competition Bureau, </w:t>
      </w:r>
      <w:r w:rsidRPr="00EE5C64">
        <w:rPr>
          <w:rStyle w:val="Hyperlink"/>
          <w:szCs w:val="22"/>
        </w:rPr>
        <w:t>India.McGee@fcc.gov</w:t>
      </w:r>
      <w:r>
        <w:t xml:space="preserve"> or Clinton Highfill, Attorney-Advisor, Telecommunications Access Policy Division, Wireline Competition Bureau, </w:t>
      </w:r>
      <w:hyperlink r:id="rId8" w:history="1">
        <w:r w:rsidRPr="006421C4" w:rsidR="00981021">
          <w:rPr>
            <w:rStyle w:val="Hyperlink"/>
            <w:szCs w:val="22"/>
          </w:rPr>
          <w:t>Clinton.Highfill@fcc.gov</w:t>
        </w:r>
      </w:hyperlink>
      <w:r>
        <w:t>.</w:t>
      </w:r>
      <w:r w:rsidR="00981021">
        <w:t xml:space="preserve">  </w:t>
      </w:r>
      <w:r w:rsidRPr="00182EAD">
        <w:rPr>
          <w:szCs w:val="22"/>
        </w:rPr>
        <w:t xml:space="preserve">Additional information concerning the Pilot Program will be posted at:  </w:t>
      </w:r>
      <w:hyperlink r:id="rId7" w:history="1">
        <w:r w:rsidRPr="00182EAD">
          <w:rPr>
            <w:rStyle w:val="Hyperlink"/>
            <w:szCs w:val="22"/>
          </w:rPr>
          <w:t>https://www.fcc.gov/wireline-competition/telecommunications-access-policy-division/connected-care-pilot-program</w:t>
        </w:r>
      </w:hyperlink>
      <w:r>
        <w:t xml:space="preserve">.  Prospective applicants can also submit questions concerning the Pilot Program to the FCC at </w:t>
      </w:r>
      <w:hyperlink r:id="rId9" w:history="1">
        <w:r w:rsidRPr="00143967" w:rsidR="00143967">
          <w:rPr>
            <w:rStyle w:val="Hyperlink"/>
          </w:rPr>
          <w:t>ConnectedCare@fcc.gov</w:t>
        </w:r>
      </w:hyperlink>
      <w:r>
        <w:t xml:space="preserve">. </w:t>
      </w:r>
    </w:p>
    <w:p w:rsidR="007A0F99" w:rsidRPr="007A0F99" w:rsidP="007A0F99" w14:paraId="19A6BE6D" w14:textId="132566EB">
      <w:pPr>
        <w:spacing w:before="120" w:after="120"/>
        <w:jc w:val="center"/>
        <w:rPr>
          <w:b/>
          <w:bCs/>
        </w:rPr>
      </w:pPr>
      <w:r w:rsidRPr="007A0F99">
        <w:rPr>
          <w:b/>
          <w:bCs/>
        </w:rPr>
        <w:t>- FCC -</w:t>
      </w:r>
    </w:p>
    <w:p w:rsidR="005008B2" w14:paraId="37C56908" w14:textId="2B5B20BD">
      <w:pPr>
        <w:widowControl/>
      </w:pPr>
      <w:r>
        <w:br w:type="page"/>
      </w:r>
    </w:p>
    <w:p w:rsidR="00C574BE" w:rsidRPr="007A0F99" w:rsidP="00631D07" w14:paraId="099BA773" w14:textId="0E183C32">
      <w:pPr>
        <w:jc w:val="center"/>
        <w:rPr>
          <w:b/>
          <w:bCs/>
          <w:szCs w:val="22"/>
        </w:rPr>
      </w:pPr>
      <w:r w:rsidRPr="007A0F99">
        <w:rPr>
          <w:b/>
          <w:bCs/>
          <w:szCs w:val="22"/>
        </w:rPr>
        <w:t>APPENDIX</w:t>
      </w:r>
    </w:p>
    <w:p w:rsidR="00C574BE" w:rsidRPr="007A0F99" w:rsidP="7CBB81DA" w14:paraId="3373A831" w14:textId="77777777">
      <w:pPr>
        <w:jc w:val="center"/>
        <w:rPr>
          <w:b/>
          <w:bCs/>
          <w:szCs w:val="22"/>
        </w:rPr>
      </w:pPr>
      <w:r w:rsidRPr="007A0F99">
        <w:rPr>
          <w:b/>
          <w:bCs/>
          <w:szCs w:val="22"/>
        </w:rPr>
        <w:t>Connected Care Eligible Services Chart</w:t>
      </w:r>
    </w:p>
    <w:tbl>
      <w:tblPr>
        <w:tblStyle w:val="TableGrid"/>
        <w:tblpPr w:leftFromText="180" w:rightFromText="180" w:vertAnchor="page" w:horzAnchor="margin" w:tblpXSpec="center" w:tblpY="2416"/>
        <w:tblW w:w="10075" w:type="dxa"/>
        <w:tblLook w:val="04A0"/>
      </w:tblPr>
      <w:tblGrid>
        <w:gridCol w:w="1975"/>
        <w:gridCol w:w="3150"/>
        <w:gridCol w:w="4950"/>
      </w:tblGrid>
      <w:tr w14:paraId="5FA4556B" w14:textId="77777777" w:rsidTr="007A0F99">
        <w:tblPrEx>
          <w:tblW w:w="10075" w:type="dxa"/>
          <w:tblLook w:val="04A0"/>
        </w:tblPrEx>
        <w:tc>
          <w:tcPr>
            <w:tcW w:w="1975" w:type="dxa"/>
            <w:shd w:val="clear" w:color="auto" w:fill="F2F2F2" w:themeFill="background1" w:themeFillShade="F2"/>
          </w:tcPr>
          <w:p w:rsidR="00934E60" w:rsidRPr="00CD5F41" w:rsidP="00934E60" w14:paraId="6EFC4AD5" w14:textId="77777777">
            <w:pPr>
              <w:tabs>
                <w:tab w:val="left" w:pos="2190"/>
              </w:tabs>
              <w:jc w:val="center"/>
              <w:rPr>
                <w:rFonts w:ascii="Times New Roman" w:hAnsi="Times New Roman" w:cs="Times New Roman"/>
                <w:b/>
                <w:bCs/>
                <w:sz w:val="20"/>
                <w:szCs w:val="20"/>
              </w:rPr>
            </w:pPr>
            <w:r w:rsidRPr="00CD5F41">
              <w:rPr>
                <w:rFonts w:ascii="Times New Roman" w:hAnsi="Times New Roman" w:cs="Times New Roman"/>
                <w:b/>
                <w:bCs/>
                <w:sz w:val="20"/>
                <w:szCs w:val="20"/>
              </w:rPr>
              <w:t>Category</w:t>
            </w:r>
          </w:p>
        </w:tc>
        <w:tc>
          <w:tcPr>
            <w:tcW w:w="3150" w:type="dxa"/>
            <w:shd w:val="clear" w:color="auto" w:fill="F2F2F2" w:themeFill="background1" w:themeFillShade="F2"/>
          </w:tcPr>
          <w:p w:rsidR="00934E60" w:rsidRPr="00CD5F41" w:rsidP="00934E60" w14:paraId="5FCFC9AF" w14:textId="77777777">
            <w:pPr>
              <w:jc w:val="center"/>
              <w:rPr>
                <w:rFonts w:ascii="Times New Roman" w:hAnsi="Times New Roman" w:cs="Times New Roman"/>
                <w:b/>
                <w:bCs/>
                <w:sz w:val="20"/>
                <w:szCs w:val="20"/>
              </w:rPr>
            </w:pPr>
            <w:r w:rsidRPr="00CD5F41">
              <w:rPr>
                <w:rFonts w:ascii="Times New Roman" w:hAnsi="Times New Roman" w:cs="Times New Roman"/>
                <w:b/>
                <w:bCs/>
                <w:sz w:val="20"/>
                <w:szCs w:val="20"/>
              </w:rPr>
              <w:t>Eligible Services</w:t>
            </w:r>
          </w:p>
        </w:tc>
        <w:tc>
          <w:tcPr>
            <w:tcW w:w="4950" w:type="dxa"/>
            <w:shd w:val="clear" w:color="auto" w:fill="F2F2F2" w:themeFill="background1" w:themeFillShade="F2"/>
          </w:tcPr>
          <w:p w:rsidR="00934E60" w:rsidRPr="00CD5F41" w:rsidP="00934E60" w14:paraId="4179259A" w14:textId="77777777">
            <w:pPr>
              <w:jc w:val="center"/>
              <w:rPr>
                <w:rFonts w:ascii="Times New Roman" w:hAnsi="Times New Roman" w:cs="Times New Roman"/>
                <w:b/>
                <w:bCs/>
                <w:sz w:val="20"/>
                <w:szCs w:val="20"/>
              </w:rPr>
            </w:pPr>
            <w:r w:rsidRPr="00CD5F41">
              <w:rPr>
                <w:rFonts w:ascii="Times New Roman" w:hAnsi="Times New Roman" w:cs="Times New Roman"/>
                <w:b/>
                <w:bCs/>
                <w:sz w:val="20"/>
                <w:szCs w:val="20"/>
              </w:rPr>
              <w:t>Examples</w:t>
            </w:r>
          </w:p>
        </w:tc>
      </w:tr>
      <w:tr w14:paraId="5D1FF98A" w14:textId="77777777" w:rsidTr="007A0F99">
        <w:tblPrEx>
          <w:tblW w:w="10075" w:type="dxa"/>
          <w:tblLook w:val="04A0"/>
        </w:tblPrEx>
        <w:tc>
          <w:tcPr>
            <w:tcW w:w="1975" w:type="dxa"/>
            <w:shd w:val="clear" w:color="auto" w:fill="FBD5B5" w:themeFill="accent6" w:themeFillTint="66"/>
            <w:vAlign w:val="center"/>
          </w:tcPr>
          <w:p w:rsidR="00934E60" w:rsidRPr="00CD5F41" w:rsidP="00CD5F41" w14:paraId="3E6DC6DC" w14:textId="6713FC8E">
            <w:pPr>
              <w:jc w:val="center"/>
              <w:rPr>
                <w:rFonts w:ascii="Times New Roman" w:hAnsi="Times New Roman" w:cs="Times New Roman"/>
                <w:b/>
                <w:bCs/>
                <w:sz w:val="20"/>
                <w:szCs w:val="20"/>
              </w:rPr>
            </w:pPr>
            <w:r w:rsidRPr="00CD5F41">
              <w:rPr>
                <w:rFonts w:ascii="Times New Roman" w:hAnsi="Times New Roman" w:cs="Times New Roman"/>
                <w:b/>
                <w:bCs/>
                <w:sz w:val="20"/>
                <w:szCs w:val="20"/>
              </w:rPr>
              <w:t>Patient Broadband Internet Access Services/Health Care Provider Broadband Data Connections</w:t>
            </w:r>
          </w:p>
        </w:tc>
        <w:tc>
          <w:tcPr>
            <w:tcW w:w="3150" w:type="dxa"/>
            <w:shd w:val="clear" w:color="auto" w:fill="FDEADA" w:themeFill="accent6" w:themeFillTint="33"/>
            <w:vAlign w:val="center"/>
          </w:tcPr>
          <w:p w:rsidR="00934E60" w:rsidRPr="00CD5F41" w:rsidP="00934E60" w14:paraId="1472A95C" w14:textId="77777777">
            <w:pPr>
              <w:rPr>
                <w:rFonts w:ascii="Times New Roman" w:hAnsi="Times New Roman" w:cs="Times New Roman"/>
                <w:sz w:val="20"/>
                <w:szCs w:val="20"/>
              </w:rPr>
            </w:pPr>
            <w:r w:rsidRPr="00CD5F41">
              <w:rPr>
                <w:rFonts w:ascii="Times New Roman" w:hAnsi="Times New Roman" w:cs="Times New Roman"/>
                <w:sz w:val="20"/>
                <w:szCs w:val="20"/>
              </w:rPr>
              <w:t>New or upgraded broadband connections (whether for health care provider or participating patients) necessary for connected care services for the Pilot Program.</w:t>
            </w:r>
          </w:p>
          <w:p w:rsidR="00934E60" w:rsidRPr="00CD5F41" w:rsidP="00934E60" w14:paraId="0DD7F42F" w14:textId="77777777">
            <w:pPr>
              <w:rPr>
                <w:rFonts w:ascii="Times New Roman" w:hAnsi="Times New Roman" w:cs="Times New Roman"/>
                <w:sz w:val="20"/>
                <w:szCs w:val="20"/>
              </w:rPr>
            </w:pPr>
          </w:p>
        </w:tc>
        <w:tc>
          <w:tcPr>
            <w:tcW w:w="4950" w:type="dxa"/>
            <w:shd w:val="clear" w:color="auto" w:fill="FDEADA" w:themeFill="accent6" w:themeFillTint="33"/>
          </w:tcPr>
          <w:p w:rsidR="00934E60" w:rsidRPr="00CD5F41" w:rsidP="00934E60" w14:paraId="30BF66AC" w14:textId="77777777">
            <w:pPr>
              <w:pStyle w:val="ListParagraph"/>
              <w:widowControl/>
              <w:numPr>
                <w:ilvl w:val="0"/>
                <w:numId w:val="13"/>
              </w:numPr>
              <w:rPr>
                <w:rFonts w:ascii="Times New Roman" w:hAnsi="Times New Roman" w:cs="Times New Roman"/>
                <w:sz w:val="20"/>
                <w:szCs w:val="20"/>
              </w:rPr>
            </w:pPr>
            <w:r w:rsidRPr="00CD5F41">
              <w:rPr>
                <w:rFonts w:ascii="Times New Roman" w:hAnsi="Times New Roman" w:cs="Times New Roman"/>
                <w:sz w:val="20"/>
                <w:szCs w:val="20"/>
              </w:rPr>
              <w:t>Broadband Connections</w:t>
            </w:r>
          </w:p>
          <w:p w:rsidR="00934E60" w:rsidRPr="00CD5F41" w:rsidP="00934E60" w14:paraId="39D2A5C8" w14:textId="77777777">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Digital Subscriber Line</w:t>
            </w:r>
          </w:p>
          <w:p w:rsidR="00934E60" w:rsidRPr="00CD5F41" w:rsidP="00934E60" w14:paraId="612EC691" w14:textId="77777777">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Cable Modem</w:t>
            </w:r>
          </w:p>
          <w:p w:rsidR="007E4152" w:rsidRPr="00CD5F41" w:rsidP="00934E60" w14:paraId="69F38C77" w14:textId="28513505">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Other Copper Wireline</w:t>
            </w:r>
          </w:p>
          <w:p w:rsidR="00934E60" w:rsidRPr="00CD5F41" w:rsidP="00934E60" w14:paraId="5A848B81" w14:textId="4D7A0C15">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Optical Carrier/</w:t>
            </w:r>
            <w:r w:rsidRPr="00CD5F41">
              <w:rPr>
                <w:rFonts w:ascii="Times New Roman" w:hAnsi="Times New Roman" w:cs="Times New Roman"/>
                <w:sz w:val="20"/>
                <w:szCs w:val="20"/>
              </w:rPr>
              <w:t>Fiber</w:t>
            </w:r>
            <w:r w:rsidRPr="00CD5F41">
              <w:rPr>
                <w:rFonts w:ascii="Times New Roman" w:hAnsi="Times New Roman" w:cs="Times New Roman"/>
                <w:sz w:val="20"/>
                <w:szCs w:val="20"/>
              </w:rPr>
              <w:t xml:space="preserve"> to the End-User</w:t>
            </w:r>
          </w:p>
          <w:p w:rsidR="00934E60" w:rsidRPr="00CD5F41" w:rsidP="00934E60" w14:paraId="29E8C41C" w14:textId="2EDD5F5C">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 xml:space="preserve">Terrestrial </w:t>
            </w:r>
            <w:r w:rsidRPr="00CD5F41">
              <w:rPr>
                <w:rFonts w:ascii="Times New Roman" w:hAnsi="Times New Roman" w:cs="Times New Roman"/>
                <w:sz w:val="20"/>
                <w:szCs w:val="20"/>
              </w:rPr>
              <w:t>Fixed Wireless</w:t>
            </w:r>
          </w:p>
          <w:p w:rsidR="00934E60" w:rsidRPr="00CD5F41" w:rsidP="00934E60" w14:paraId="61B81D64" w14:textId="04CCC674">
            <w:pPr>
              <w:pStyle w:val="ListParagraph"/>
              <w:widowControl/>
              <w:numPr>
                <w:ilvl w:val="1"/>
                <w:numId w:val="13"/>
              </w:numPr>
              <w:rPr>
                <w:rFonts w:ascii="Times New Roman" w:hAnsi="Times New Roman" w:cs="Times New Roman"/>
                <w:sz w:val="20"/>
                <w:szCs w:val="20"/>
                <w:lang w:val="nb-NO"/>
              </w:rPr>
            </w:pPr>
            <w:r w:rsidRPr="00CD5F41">
              <w:rPr>
                <w:rFonts w:ascii="Times New Roman" w:hAnsi="Times New Roman" w:cs="Times New Roman"/>
                <w:sz w:val="20"/>
                <w:szCs w:val="20"/>
                <w:lang w:val="nb-NO"/>
              </w:rPr>
              <w:t>Mobile Wireless (</w:t>
            </w:r>
            <w:r w:rsidRPr="00CD5F41" w:rsidR="00D912FF">
              <w:rPr>
                <w:rFonts w:ascii="Times New Roman" w:hAnsi="Times New Roman" w:cs="Times New Roman"/>
                <w:sz w:val="20"/>
                <w:szCs w:val="20"/>
                <w:lang w:val="nb-NO"/>
              </w:rPr>
              <w:t>e.g., 3G</w:t>
            </w:r>
            <w:r w:rsidRPr="00CD5F41" w:rsidR="00955350">
              <w:rPr>
                <w:rFonts w:ascii="Times New Roman" w:hAnsi="Times New Roman" w:cs="Times New Roman"/>
                <w:sz w:val="20"/>
                <w:szCs w:val="20"/>
                <w:lang w:val="nb-NO"/>
              </w:rPr>
              <w:t xml:space="preserve">, LTE, </w:t>
            </w:r>
            <w:r w:rsidRPr="00CD5F41">
              <w:rPr>
                <w:rFonts w:ascii="Times New Roman" w:hAnsi="Times New Roman" w:cs="Times New Roman"/>
                <w:sz w:val="20"/>
                <w:szCs w:val="20"/>
                <w:lang w:val="nb-NO"/>
              </w:rPr>
              <w:t>4G, 5G)</w:t>
            </w:r>
          </w:p>
          <w:p w:rsidR="00934E60" w:rsidRPr="00CD5F41" w:rsidP="00934E60" w14:paraId="6F4C8082" w14:textId="77777777">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 xml:space="preserve">Satellite </w:t>
            </w:r>
          </w:p>
          <w:p w:rsidR="00934E60" w:rsidRPr="00CD5F41" w:rsidP="00934E60" w14:paraId="64EAECBE" w14:textId="77777777">
            <w:pPr>
              <w:pStyle w:val="ListParagraph"/>
              <w:widowControl/>
              <w:numPr>
                <w:ilvl w:val="1"/>
                <w:numId w:val="13"/>
              </w:numPr>
              <w:rPr>
                <w:rFonts w:ascii="Times New Roman" w:hAnsi="Times New Roman" w:cs="Times New Roman"/>
                <w:sz w:val="20"/>
                <w:szCs w:val="20"/>
              </w:rPr>
            </w:pPr>
            <w:r w:rsidRPr="00CD5F41">
              <w:rPr>
                <w:rFonts w:ascii="Times New Roman" w:hAnsi="Times New Roman" w:cs="Times New Roman"/>
                <w:sz w:val="20"/>
                <w:szCs w:val="20"/>
              </w:rPr>
              <w:t>Broadband over Powerline</w:t>
            </w:r>
          </w:p>
          <w:p w:rsidR="00934E60" w:rsidRPr="00CD5F41" w:rsidP="00934E60" w14:paraId="2389160F" w14:textId="77777777">
            <w:pPr>
              <w:pStyle w:val="ListParagraph"/>
              <w:widowControl/>
              <w:numPr>
                <w:ilvl w:val="0"/>
                <w:numId w:val="13"/>
              </w:numPr>
              <w:rPr>
                <w:rFonts w:ascii="Times New Roman" w:hAnsi="Times New Roman" w:cs="Times New Roman"/>
                <w:sz w:val="20"/>
                <w:szCs w:val="20"/>
              </w:rPr>
            </w:pPr>
            <w:r w:rsidRPr="00CD5F41">
              <w:rPr>
                <w:rFonts w:ascii="Times New Roman" w:hAnsi="Times New Roman" w:cs="Times New Roman"/>
                <w:sz w:val="20"/>
                <w:szCs w:val="20"/>
              </w:rPr>
              <w:t xml:space="preserve">Firewall Service </w:t>
            </w:r>
          </w:p>
        </w:tc>
      </w:tr>
      <w:tr w14:paraId="602D338A" w14:textId="77777777" w:rsidTr="007A0F99">
        <w:tblPrEx>
          <w:tblW w:w="10075" w:type="dxa"/>
          <w:tblLook w:val="04A0"/>
        </w:tblPrEx>
        <w:tc>
          <w:tcPr>
            <w:tcW w:w="1975" w:type="dxa"/>
            <w:shd w:val="clear" w:color="auto" w:fill="B6DDE8" w:themeFill="accent5" w:themeFillTint="66"/>
            <w:vAlign w:val="center"/>
          </w:tcPr>
          <w:p w:rsidR="00934E60" w:rsidRPr="00CD5F41" w:rsidP="00934E60" w14:paraId="2EB516E6" w14:textId="0CDBA541">
            <w:pPr>
              <w:jc w:val="center"/>
              <w:rPr>
                <w:rFonts w:ascii="Times New Roman" w:hAnsi="Times New Roman" w:cs="Times New Roman"/>
                <w:b/>
                <w:bCs/>
                <w:sz w:val="20"/>
                <w:szCs w:val="20"/>
              </w:rPr>
            </w:pPr>
            <w:r w:rsidRPr="00CD5F41">
              <w:rPr>
                <w:rFonts w:ascii="Times New Roman" w:hAnsi="Times New Roman" w:cs="Times New Roman"/>
                <w:b/>
                <w:bCs/>
                <w:sz w:val="20"/>
                <w:szCs w:val="20"/>
              </w:rPr>
              <w:t xml:space="preserve">Other </w:t>
            </w:r>
            <w:r w:rsidRPr="00CD5F41">
              <w:rPr>
                <w:rFonts w:ascii="Times New Roman" w:hAnsi="Times New Roman" w:cs="Times New Roman"/>
                <w:b/>
                <w:bCs/>
                <w:sz w:val="20"/>
                <w:szCs w:val="20"/>
              </w:rPr>
              <w:t>Connected Care Information Services</w:t>
            </w:r>
          </w:p>
        </w:tc>
        <w:tc>
          <w:tcPr>
            <w:tcW w:w="3150" w:type="dxa"/>
            <w:shd w:val="clear" w:color="auto" w:fill="DBEEF3" w:themeFill="accent5" w:themeFillTint="33"/>
            <w:vAlign w:val="center"/>
          </w:tcPr>
          <w:p w:rsidR="00934E60" w:rsidRPr="00CD5F41" w:rsidP="00934E60" w14:paraId="743C4161" w14:textId="77777777">
            <w:pPr>
              <w:rPr>
                <w:rFonts w:ascii="Times New Roman" w:hAnsi="Times New Roman" w:cs="Times New Roman"/>
                <w:sz w:val="20"/>
                <w:szCs w:val="20"/>
              </w:rPr>
            </w:pPr>
            <w:r w:rsidRPr="00CD5F41">
              <w:rPr>
                <w:rFonts w:ascii="Times New Roman" w:hAnsi="Times New Roman" w:cs="Times New Roman"/>
                <w:sz w:val="20"/>
                <w:szCs w:val="20"/>
              </w:rPr>
              <w:t>Services for connected care that capture, generate, acquire, transmit (including video visits), retrieve, and store health care data for connected care.  This includes information services with “store-and-forward” technology, patient reported outcome platforms, and remote patient monitoring capabilities to monitor patients.</w:t>
            </w:r>
          </w:p>
          <w:p w:rsidR="00934E60" w:rsidRPr="00CD5F41" w:rsidP="00934E60" w14:paraId="46A51F8C" w14:textId="77777777">
            <w:pPr>
              <w:ind w:firstLine="720"/>
              <w:rPr>
                <w:rFonts w:ascii="Times New Roman" w:hAnsi="Times New Roman" w:cs="Times New Roman"/>
                <w:sz w:val="20"/>
                <w:szCs w:val="20"/>
              </w:rPr>
            </w:pPr>
          </w:p>
        </w:tc>
        <w:tc>
          <w:tcPr>
            <w:tcW w:w="4950" w:type="dxa"/>
            <w:shd w:val="clear" w:color="auto" w:fill="DBEEF3" w:themeFill="accent5" w:themeFillTint="33"/>
          </w:tcPr>
          <w:p w:rsidR="00934E60" w:rsidRPr="00CD5F41" w:rsidP="00934E60" w14:paraId="47B81AB2"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HIPAA compliant (or requirement waived) video services</w:t>
            </w:r>
          </w:p>
          <w:p w:rsidR="00934E60" w:rsidRPr="00CD5F41" w:rsidP="00934E60" w14:paraId="7CE4FA86"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 xml:space="preserve">HIPAA compliant (or requirement waived) telehealth solutions/packages/platforms, suites of services. </w:t>
            </w:r>
          </w:p>
          <w:p w:rsidR="00934E60" w:rsidRPr="00CD5F41" w:rsidP="00934E60" w14:paraId="776BDB0A"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One-time, annual, recurring monthly costs for information service</w:t>
            </w:r>
          </w:p>
          <w:p w:rsidR="00934E60" w:rsidRPr="00CD5F41" w:rsidP="00934E60" w14:paraId="7FBF1247"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 xml:space="preserve">Licenses, subscriptions, or recurring charges necessary for providers to access or use eligible information service. </w:t>
            </w:r>
          </w:p>
        </w:tc>
      </w:tr>
      <w:tr w14:paraId="2D98332B" w14:textId="77777777" w:rsidTr="007A0F99">
        <w:tblPrEx>
          <w:tblW w:w="10075" w:type="dxa"/>
          <w:tblLook w:val="04A0"/>
        </w:tblPrEx>
        <w:tc>
          <w:tcPr>
            <w:tcW w:w="1975" w:type="dxa"/>
            <w:shd w:val="clear" w:color="auto" w:fill="D6E3BC" w:themeFill="accent3" w:themeFillTint="66"/>
            <w:vAlign w:val="center"/>
          </w:tcPr>
          <w:p w:rsidR="00934E60" w:rsidRPr="00CD5F41" w:rsidP="00934E60" w14:paraId="411F17D0" w14:textId="77777777">
            <w:pPr>
              <w:jc w:val="center"/>
              <w:rPr>
                <w:rFonts w:ascii="Times New Roman" w:hAnsi="Times New Roman" w:cs="Times New Roman"/>
                <w:sz w:val="20"/>
                <w:szCs w:val="20"/>
              </w:rPr>
            </w:pPr>
            <w:r w:rsidRPr="00CD5F41">
              <w:rPr>
                <w:rFonts w:ascii="Times New Roman" w:hAnsi="Times New Roman" w:cs="Times New Roman"/>
                <w:b/>
                <w:bCs/>
                <w:sz w:val="20"/>
                <w:szCs w:val="20"/>
              </w:rPr>
              <w:t>Network Equipment</w:t>
            </w:r>
          </w:p>
        </w:tc>
        <w:tc>
          <w:tcPr>
            <w:tcW w:w="3150" w:type="dxa"/>
            <w:shd w:val="clear" w:color="auto" w:fill="EBF1DD" w:themeFill="accent3" w:themeFillTint="33"/>
            <w:vAlign w:val="center"/>
          </w:tcPr>
          <w:p w:rsidR="00934E60" w:rsidRPr="00CD5F41" w:rsidP="00934E60" w14:paraId="60E168DE" w14:textId="77777777">
            <w:pPr>
              <w:rPr>
                <w:rFonts w:ascii="Times New Roman" w:hAnsi="Times New Roman" w:cs="Times New Roman"/>
                <w:sz w:val="20"/>
                <w:szCs w:val="20"/>
              </w:rPr>
            </w:pPr>
            <w:r w:rsidRPr="00CD5F41">
              <w:rPr>
                <w:rFonts w:ascii="Times New Roman" w:hAnsi="Times New Roman" w:cs="Times New Roman"/>
                <w:sz w:val="20"/>
                <w:szCs w:val="20"/>
              </w:rPr>
              <w:t xml:space="preserve">Certain network equipment necessary to make newly acquired or upgraded Internet service for the HCP/Patient for the Pilot Program functional (e.g., routers) or necessary to manage, control, or operate a supported broadband service. </w:t>
            </w:r>
          </w:p>
          <w:p w:rsidR="00934E60" w:rsidRPr="00CD5F41" w:rsidP="00934E60" w14:paraId="4280F27A" w14:textId="77777777">
            <w:pPr>
              <w:rPr>
                <w:rFonts w:ascii="Times New Roman" w:hAnsi="Times New Roman" w:cs="Times New Roman"/>
                <w:sz w:val="20"/>
                <w:szCs w:val="20"/>
              </w:rPr>
            </w:pPr>
          </w:p>
        </w:tc>
        <w:tc>
          <w:tcPr>
            <w:tcW w:w="4950" w:type="dxa"/>
            <w:shd w:val="clear" w:color="auto" w:fill="EBF1DD" w:themeFill="accent3" w:themeFillTint="33"/>
          </w:tcPr>
          <w:p w:rsidR="00934E60" w:rsidRPr="00CD5F41" w:rsidP="00934E60" w14:paraId="67E30663"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Equipment that terminates a carrier’s or other provider’s transmission facility and any router/switch that is directly connected to either the terminating equipment. </w:t>
            </w:r>
          </w:p>
          <w:p w:rsidR="00934E60" w:rsidRPr="00CD5F41" w:rsidP="00934E60" w14:paraId="0B78FC87"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Network equipment that helps manage, control, or operate a supported broadband service (consortia applicants only)</w:t>
            </w:r>
          </w:p>
          <w:p w:rsidR="00934E60" w:rsidRPr="00CD5F41" w:rsidP="00934E60" w14:paraId="3B7C847C"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Servers used exclusively for eligible broadband services</w:t>
            </w:r>
          </w:p>
          <w:p w:rsidR="00934E60" w:rsidRPr="00CD5F41" w:rsidP="00934E60" w14:paraId="32F360CA"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 xml:space="preserve">Routers (including at patient’s home) </w:t>
            </w:r>
          </w:p>
          <w:p w:rsidR="00934E60" w:rsidRPr="00CD5F41" w:rsidP="00934E60" w14:paraId="3DD4F3C2"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 xml:space="preserve">Switches </w:t>
            </w:r>
          </w:p>
        </w:tc>
      </w:tr>
      <w:tr w14:paraId="591404A3" w14:textId="77777777" w:rsidTr="007A0F99">
        <w:tblPrEx>
          <w:tblW w:w="10075" w:type="dxa"/>
          <w:tblLook w:val="04A0"/>
        </w:tblPrEx>
        <w:tc>
          <w:tcPr>
            <w:tcW w:w="1975" w:type="dxa"/>
            <w:shd w:val="clear" w:color="auto" w:fill="CCC0D9" w:themeFill="accent4" w:themeFillTint="66"/>
            <w:vAlign w:val="center"/>
          </w:tcPr>
          <w:p w:rsidR="00934E60" w:rsidRPr="00CD5F41" w:rsidP="00934E60" w14:paraId="42EFBC5B" w14:textId="77777777">
            <w:pPr>
              <w:jc w:val="center"/>
              <w:rPr>
                <w:rFonts w:ascii="Times New Roman" w:hAnsi="Times New Roman" w:cs="Times New Roman"/>
                <w:sz w:val="20"/>
                <w:szCs w:val="20"/>
              </w:rPr>
            </w:pPr>
            <w:r w:rsidRPr="00CD5F41">
              <w:rPr>
                <w:rFonts w:ascii="Times New Roman" w:hAnsi="Times New Roman" w:cs="Times New Roman"/>
                <w:b/>
                <w:bCs/>
                <w:sz w:val="20"/>
                <w:szCs w:val="20"/>
              </w:rPr>
              <w:t>Miscellaneous</w:t>
            </w:r>
          </w:p>
        </w:tc>
        <w:tc>
          <w:tcPr>
            <w:tcW w:w="3150" w:type="dxa"/>
            <w:shd w:val="clear" w:color="auto" w:fill="E5E0EC" w:themeFill="accent4" w:themeFillTint="33"/>
            <w:vAlign w:val="center"/>
          </w:tcPr>
          <w:p w:rsidR="00934E60" w:rsidRPr="00CD5F41" w:rsidP="00934E60" w14:paraId="0219D0B2" w14:textId="77777777">
            <w:pPr>
              <w:rPr>
                <w:rFonts w:ascii="Times New Roman" w:hAnsi="Times New Roman" w:cs="Times New Roman"/>
                <w:sz w:val="20"/>
                <w:szCs w:val="20"/>
              </w:rPr>
            </w:pPr>
            <w:r w:rsidRPr="00CD5F41">
              <w:rPr>
                <w:rFonts w:ascii="Times New Roman" w:hAnsi="Times New Roman" w:cs="Times New Roman"/>
                <w:sz w:val="20"/>
                <w:szCs w:val="20"/>
              </w:rPr>
              <w:t xml:space="preserve">Various miscellaneous costs associated with eligible services listed above may be eligible for support.  Applicants should request eligible miscellaneous services in the same category as the associated service being obtained or installed.  </w:t>
            </w:r>
          </w:p>
        </w:tc>
        <w:tc>
          <w:tcPr>
            <w:tcW w:w="4950" w:type="dxa"/>
            <w:shd w:val="clear" w:color="auto" w:fill="E5E0EC" w:themeFill="accent4" w:themeFillTint="33"/>
          </w:tcPr>
          <w:p w:rsidR="00934E60" w:rsidRPr="00CD5F41" w:rsidP="00934E60" w14:paraId="3367E3C7" w14:textId="1518628B">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 xml:space="preserve">Installation, Activation, and Initial Configuration (including implementation and integration costs necessary to integrate eligible information services with existing systems). </w:t>
            </w:r>
          </w:p>
          <w:p w:rsidR="00934E60" w:rsidRPr="00CD5F41" w:rsidP="00934E60" w14:paraId="339A1C18" w14:textId="77777777">
            <w:pPr>
              <w:pStyle w:val="ListParagraph"/>
              <w:widowControl/>
              <w:numPr>
                <w:ilvl w:val="0"/>
                <w:numId w:val="12"/>
              </w:numPr>
              <w:rPr>
                <w:rFonts w:ascii="Times New Roman" w:hAnsi="Times New Roman" w:cs="Times New Roman"/>
                <w:sz w:val="20"/>
                <w:szCs w:val="20"/>
              </w:rPr>
            </w:pPr>
            <w:r w:rsidRPr="00CD5F41">
              <w:rPr>
                <w:rFonts w:ascii="Times New Roman" w:hAnsi="Times New Roman" w:cs="Times New Roman"/>
                <w:sz w:val="20"/>
                <w:szCs w:val="20"/>
              </w:rPr>
              <w:t>Fees and charges that are a necessary component of an eligible service:</w:t>
            </w:r>
          </w:p>
          <w:p w:rsidR="00934E60" w:rsidRPr="00CD5F41" w:rsidP="00934E60" w14:paraId="3A34842F" w14:textId="77777777">
            <w:pPr>
              <w:pStyle w:val="ListParagraph"/>
              <w:widowControl/>
              <w:numPr>
                <w:ilvl w:val="1"/>
                <w:numId w:val="12"/>
              </w:numPr>
              <w:rPr>
                <w:rFonts w:ascii="Times New Roman" w:hAnsi="Times New Roman" w:cs="Times New Roman"/>
                <w:sz w:val="20"/>
                <w:szCs w:val="20"/>
              </w:rPr>
            </w:pPr>
            <w:r w:rsidRPr="00CD5F41">
              <w:rPr>
                <w:rFonts w:ascii="Times New Roman" w:hAnsi="Times New Roman" w:cs="Times New Roman"/>
                <w:sz w:val="20"/>
                <w:szCs w:val="20"/>
              </w:rPr>
              <w:t>Shipping charges</w:t>
            </w:r>
          </w:p>
          <w:p w:rsidR="00934E60" w:rsidRPr="00CD5F41" w:rsidP="00934E60" w14:paraId="0BBFD326" w14:textId="77777777">
            <w:pPr>
              <w:pStyle w:val="ListParagraph"/>
              <w:widowControl/>
              <w:numPr>
                <w:ilvl w:val="1"/>
                <w:numId w:val="12"/>
              </w:numPr>
              <w:rPr>
                <w:rFonts w:ascii="Times New Roman" w:hAnsi="Times New Roman" w:cs="Times New Roman"/>
                <w:sz w:val="20"/>
                <w:szCs w:val="20"/>
              </w:rPr>
            </w:pPr>
            <w:r w:rsidRPr="00CD5F41">
              <w:rPr>
                <w:rFonts w:ascii="Times New Roman" w:hAnsi="Times New Roman" w:cs="Times New Roman"/>
                <w:sz w:val="20"/>
                <w:szCs w:val="20"/>
              </w:rPr>
              <w:t>Taxes, surcharges, and other reasonable charges incurred in obtaining an eligible product or service.</w:t>
            </w:r>
          </w:p>
        </w:tc>
      </w:tr>
    </w:tbl>
    <w:p w:rsidR="001F2391" w:rsidP="00C574BE" w14:paraId="0404BC90" w14:textId="44C28AE0">
      <w:pPr>
        <w:rPr>
          <w:b/>
          <w:bCs/>
          <w:sz w:val="24"/>
        </w:rPr>
      </w:pPr>
    </w:p>
    <w:tbl>
      <w:tblPr>
        <w:tblStyle w:val="TableGrid"/>
        <w:tblW w:w="10080" w:type="dxa"/>
        <w:jc w:val="center"/>
        <w:tblLook w:val="04A0"/>
      </w:tblPr>
      <w:tblGrid>
        <w:gridCol w:w="3139"/>
        <w:gridCol w:w="3139"/>
        <w:gridCol w:w="3802"/>
      </w:tblGrid>
      <w:tr w14:paraId="5B0F7B3F" w14:textId="77777777" w:rsidTr="007A0F99">
        <w:tblPrEx>
          <w:tblW w:w="10080" w:type="dxa"/>
          <w:jc w:val="center"/>
          <w:tblLook w:val="04A0"/>
        </w:tblPrEx>
        <w:trPr>
          <w:jc w:val="center"/>
        </w:trPr>
        <w:tc>
          <w:tcPr>
            <w:tcW w:w="10080" w:type="dxa"/>
            <w:gridSpan w:val="3"/>
            <w:shd w:val="clear" w:color="auto" w:fill="E5B9B7" w:themeFill="accent2" w:themeFillTint="66"/>
          </w:tcPr>
          <w:p w:rsidR="00F25F75" w:rsidRPr="00F25F75" w:rsidP="003C3BA5" w14:paraId="695E2071" w14:textId="77777777">
            <w:pPr>
              <w:jc w:val="center"/>
              <w:rPr>
                <w:rFonts w:ascii="Times New Roman" w:hAnsi="Times New Roman" w:cs="Times New Roman"/>
                <w:b/>
                <w:bCs/>
                <w:sz w:val="20"/>
                <w:szCs w:val="20"/>
              </w:rPr>
            </w:pPr>
            <w:r w:rsidRPr="00F25F75">
              <w:rPr>
                <w:rFonts w:ascii="Times New Roman" w:hAnsi="Times New Roman" w:cs="Times New Roman"/>
                <w:b/>
                <w:bCs/>
                <w:sz w:val="20"/>
                <w:szCs w:val="20"/>
              </w:rPr>
              <w:t>Ineligible Services</w:t>
            </w:r>
          </w:p>
        </w:tc>
      </w:tr>
      <w:tr w14:paraId="66E2F83E" w14:textId="77777777" w:rsidTr="007A0F99">
        <w:tblPrEx>
          <w:tblW w:w="10080" w:type="dxa"/>
          <w:jc w:val="center"/>
          <w:tblLook w:val="04A0"/>
        </w:tblPrEx>
        <w:trPr>
          <w:jc w:val="center"/>
        </w:trPr>
        <w:tc>
          <w:tcPr>
            <w:tcW w:w="3139" w:type="dxa"/>
            <w:tcBorders>
              <w:right w:val="nil"/>
            </w:tcBorders>
            <w:shd w:val="clear" w:color="auto" w:fill="F2DBDB" w:themeFill="accent2" w:themeFillTint="33"/>
            <w:vAlign w:val="center"/>
          </w:tcPr>
          <w:p w:rsidR="00F25F75" w:rsidRPr="00F25F75" w:rsidP="00F25F75" w14:paraId="7BF804D0"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End-user devices</w:t>
            </w:r>
          </w:p>
          <w:p w:rsidR="00F25F75" w:rsidRPr="00F25F75" w:rsidP="00F25F75" w14:paraId="74DD9319"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 xml:space="preserve">Medical supplies </w:t>
            </w:r>
          </w:p>
          <w:p w:rsidR="00F25F75" w:rsidRPr="00F25F75" w:rsidP="00F25F75" w14:paraId="736129E1"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Provider (Doctor’s) Fees</w:t>
            </w:r>
          </w:p>
          <w:p w:rsidR="00F25F75" w:rsidRPr="00F25F75" w:rsidP="00F25F75" w14:paraId="71908A0E"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Administrative and Personnel costs</w:t>
            </w:r>
          </w:p>
          <w:p w:rsidR="00F25F75" w:rsidRPr="00F25F75" w:rsidP="00F25F75" w14:paraId="510D3BE3"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Live Translation Services</w:t>
            </w:r>
          </w:p>
          <w:p w:rsidR="00F25F75" w:rsidRPr="00F25F75" w:rsidP="00F25F75" w14:paraId="03BF5699"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Internal Connections between Provider Sites</w:t>
            </w:r>
          </w:p>
        </w:tc>
        <w:tc>
          <w:tcPr>
            <w:tcW w:w="3139" w:type="dxa"/>
            <w:tcBorders>
              <w:left w:val="nil"/>
              <w:right w:val="nil"/>
            </w:tcBorders>
            <w:shd w:val="clear" w:color="auto" w:fill="F2DBDB" w:themeFill="accent2" w:themeFillTint="33"/>
            <w:vAlign w:val="center"/>
          </w:tcPr>
          <w:p w:rsidR="00F25F75" w:rsidRPr="00F25F75" w:rsidP="00F25F75" w14:paraId="5E69EAF8"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Storage Devices</w:t>
            </w:r>
          </w:p>
          <w:p w:rsidR="00F25F75" w:rsidRPr="00F25F75" w:rsidP="00F25F75" w14:paraId="558F8744"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IT support</w:t>
            </w:r>
          </w:p>
          <w:p w:rsidR="00F25F75" w:rsidRPr="00F25F75" w:rsidP="00F25F75" w14:paraId="7E451F21"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Maintenance costs</w:t>
            </w:r>
          </w:p>
          <w:p w:rsidR="00F25F75" w:rsidRPr="00F25F75" w:rsidP="00F25F75" w14:paraId="3CC8369D"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 xml:space="preserve">DocuSign </w:t>
            </w:r>
          </w:p>
          <w:p w:rsidR="00F25F75" w:rsidRPr="00F25F75" w:rsidP="00F25F75" w14:paraId="67E4082A"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VPN Solutions</w:t>
            </w:r>
          </w:p>
          <w:p w:rsidR="00F25F75" w:rsidRPr="009E462E" w:rsidP="009E462E" w14:paraId="2E3E5531" w14:textId="77F4A129">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 xml:space="preserve">Special Construction/Network Builds </w:t>
            </w:r>
          </w:p>
        </w:tc>
        <w:tc>
          <w:tcPr>
            <w:tcW w:w="3802" w:type="dxa"/>
            <w:tcBorders>
              <w:left w:val="nil"/>
            </w:tcBorders>
            <w:shd w:val="clear" w:color="auto" w:fill="F2DBDB" w:themeFill="accent2" w:themeFillTint="33"/>
            <w:vAlign w:val="center"/>
          </w:tcPr>
          <w:p w:rsidR="00F25F75" w:rsidRPr="00F25F75" w:rsidP="00F25F75" w14:paraId="28570F1F"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Applications not purchased as part of connected care information service</w:t>
            </w:r>
          </w:p>
          <w:p w:rsidR="00F25F75" w:rsidRPr="00F25F75" w:rsidP="00F25F75" w14:paraId="2EEBD554"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Standalone Voice, including VoIP</w:t>
            </w:r>
          </w:p>
          <w:p w:rsidR="00F25F75" w:rsidRPr="00F25F75" w:rsidP="00F25F75" w14:paraId="2863D2C8"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Standalone messaging services</w:t>
            </w:r>
          </w:p>
          <w:p w:rsidR="00F25F75" w:rsidRPr="00F25F75" w:rsidP="00F25F75" w14:paraId="1899FF47" w14:textId="77777777">
            <w:pPr>
              <w:pStyle w:val="ListParagraph"/>
              <w:widowControl/>
              <w:numPr>
                <w:ilvl w:val="0"/>
                <w:numId w:val="14"/>
              </w:numPr>
              <w:rPr>
                <w:rFonts w:ascii="Times New Roman" w:hAnsi="Times New Roman" w:cs="Times New Roman"/>
                <w:sz w:val="20"/>
                <w:szCs w:val="20"/>
              </w:rPr>
            </w:pPr>
            <w:r w:rsidRPr="00F25F75">
              <w:rPr>
                <w:rFonts w:ascii="Times New Roman" w:hAnsi="Times New Roman" w:cs="Times New Roman"/>
                <w:sz w:val="20"/>
                <w:szCs w:val="20"/>
              </w:rPr>
              <w:t xml:space="preserve">Network Equipment not necessary to make broadband functional or manage, control or operate a supported broadband service. </w:t>
            </w:r>
          </w:p>
        </w:tc>
      </w:tr>
    </w:tbl>
    <w:p w:rsidR="001F2391" w:rsidRPr="007A0F99" w14:paraId="76567B19" w14:textId="1C93D420">
      <w:pPr>
        <w:rPr>
          <w:b/>
          <w:bCs/>
          <w:szCs w:val="18"/>
        </w:rPr>
      </w:pPr>
    </w:p>
    <w:p w:rsidR="00456C41" w:rsidRPr="007A0F99" w:rsidP="007C7C28" w14:paraId="6E3D7EAD" w14:textId="30116A74">
      <w:pPr>
        <w:jc w:val="center"/>
        <w:rPr>
          <w:i/>
          <w:iCs/>
          <w:szCs w:val="18"/>
        </w:rPr>
      </w:pPr>
      <w:bookmarkStart w:id="8" w:name="_Hlk54950591"/>
      <w:r w:rsidRPr="007A0F99">
        <w:rPr>
          <w:i/>
          <w:iCs/>
          <w:szCs w:val="18"/>
        </w:rPr>
        <w:t>Note:  This eligible services chart is illustrative and is not intended to be exhaustive.</w:t>
      </w:r>
      <w:bookmarkEnd w:id="8"/>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6C93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657A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0F22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BE44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3DD5" w14:paraId="5A24A4A8" w14:textId="77777777">
      <w:r>
        <w:separator/>
      </w:r>
    </w:p>
  </w:footnote>
  <w:footnote w:type="continuationSeparator" w:id="1">
    <w:p w:rsidR="00243DD5" w14:paraId="4C597315" w14:textId="77777777">
      <w:pPr>
        <w:rPr>
          <w:sz w:val="20"/>
        </w:rPr>
      </w:pPr>
      <w:r>
        <w:rPr>
          <w:sz w:val="20"/>
        </w:rPr>
        <w:t xml:space="preserve">(Continued from previous page)  </w:t>
      </w:r>
      <w:r>
        <w:rPr>
          <w:sz w:val="20"/>
        </w:rPr>
        <w:separator/>
      </w:r>
    </w:p>
  </w:footnote>
  <w:footnote w:type="continuationNotice" w:id="2">
    <w:p w:rsidR="00243DD5" w:rsidP="00910F12" w14:paraId="16D9D310" w14:textId="77777777">
      <w:pPr>
        <w:jc w:val="right"/>
        <w:rPr>
          <w:sz w:val="20"/>
        </w:rPr>
      </w:pPr>
      <w:r>
        <w:rPr>
          <w:sz w:val="20"/>
        </w:rPr>
        <w:t>(continued….)</w:t>
      </w:r>
    </w:p>
  </w:footnote>
  <w:footnote w:id="3">
    <w:p w:rsidR="00424EE5" w:rsidRPr="00456C41" w:rsidP="7CBB81DA" w14:paraId="4466E667" w14:textId="0379ED5C">
      <w:pPr>
        <w:widowControl/>
        <w:autoSpaceDE w:val="0"/>
        <w:autoSpaceDN w:val="0"/>
        <w:adjustRightInd w:val="0"/>
        <w:spacing w:after="120"/>
        <w:rPr>
          <w:snapToGrid/>
          <w:kern w:val="0"/>
          <w:sz w:val="20"/>
        </w:rPr>
      </w:pPr>
      <w:r>
        <w:rPr>
          <w:rStyle w:val="FootnoteReference"/>
        </w:rPr>
        <w:footnoteRef/>
      </w:r>
      <w:r>
        <w:t xml:space="preserve"> </w:t>
      </w:r>
      <w:r w:rsidRPr="00456C41">
        <w:rPr>
          <w:i/>
          <w:iCs/>
          <w:sz w:val="20"/>
        </w:rPr>
        <w:t xml:space="preserve">See </w:t>
      </w:r>
      <w:r w:rsidRPr="00456C41">
        <w:rPr>
          <w:i/>
          <w:iCs/>
          <w:snapToGrid/>
          <w:kern w:val="0"/>
          <w:sz w:val="20"/>
        </w:rPr>
        <w:t>Promoting Telehealth for Low-Income Consumers</w:t>
      </w:r>
      <w:r w:rsidRPr="00456C41">
        <w:rPr>
          <w:snapToGrid/>
          <w:kern w:val="0"/>
          <w:sz w:val="20"/>
        </w:rPr>
        <w:t xml:space="preserve">; </w:t>
      </w:r>
      <w:r w:rsidRPr="00456C41">
        <w:rPr>
          <w:i/>
          <w:iCs/>
          <w:snapToGrid/>
          <w:kern w:val="0"/>
          <w:sz w:val="20"/>
        </w:rPr>
        <w:t>COVID-19 Telehealth Program</w:t>
      </w:r>
      <w:r w:rsidRPr="00456C41">
        <w:rPr>
          <w:snapToGrid/>
          <w:kern w:val="0"/>
          <w:sz w:val="20"/>
        </w:rPr>
        <w:t>, Report and Order, 35 FCC Rcd 3366, 3369</w:t>
      </w:r>
      <w:r w:rsidRPr="00456C41" w:rsidR="00B37E99">
        <w:rPr>
          <w:snapToGrid/>
          <w:kern w:val="0"/>
          <w:sz w:val="20"/>
        </w:rPr>
        <w:t>-97</w:t>
      </w:r>
      <w:r w:rsidRPr="00456C41">
        <w:rPr>
          <w:snapToGrid/>
          <w:kern w:val="0"/>
          <w:sz w:val="20"/>
        </w:rPr>
        <w:t>, para</w:t>
      </w:r>
      <w:r w:rsidRPr="00456C41" w:rsidR="00B37E99">
        <w:rPr>
          <w:snapToGrid/>
          <w:kern w:val="0"/>
          <w:sz w:val="20"/>
        </w:rPr>
        <w:t>s</w:t>
      </w:r>
      <w:r w:rsidRPr="00456C41">
        <w:rPr>
          <w:snapToGrid/>
          <w:kern w:val="0"/>
          <w:sz w:val="20"/>
        </w:rPr>
        <w:t>. 5</w:t>
      </w:r>
      <w:r w:rsidRPr="00456C41" w:rsidR="00B37E99">
        <w:rPr>
          <w:snapToGrid/>
          <w:kern w:val="0"/>
          <w:sz w:val="20"/>
        </w:rPr>
        <w:t>, 55</w:t>
      </w:r>
      <w:r w:rsidRPr="00456C41">
        <w:rPr>
          <w:snapToGrid/>
          <w:kern w:val="0"/>
          <w:sz w:val="20"/>
        </w:rPr>
        <w:t xml:space="preserve"> (2020) (</w:t>
      </w:r>
      <w:r w:rsidRPr="00456C41">
        <w:rPr>
          <w:i/>
          <w:iCs/>
          <w:snapToGrid/>
          <w:kern w:val="0"/>
          <w:sz w:val="20"/>
        </w:rPr>
        <w:t>Report and Order</w:t>
      </w:r>
      <w:r w:rsidRPr="00456C41">
        <w:rPr>
          <w:snapToGrid/>
          <w:kern w:val="0"/>
          <w:sz w:val="20"/>
        </w:rPr>
        <w:t>).</w:t>
      </w:r>
    </w:p>
  </w:footnote>
  <w:footnote w:id="4">
    <w:p w:rsidR="00424EE5" w:rsidRPr="006E1873" w:rsidP="000F4C29" w14:paraId="3AA1D888" w14:textId="2DA0D188">
      <w:pPr>
        <w:pStyle w:val="FootnoteText"/>
      </w:pPr>
      <w:r>
        <w:rPr>
          <w:rStyle w:val="FootnoteReference"/>
        </w:rPr>
        <w:footnoteRef/>
      </w:r>
      <w:r>
        <w:t xml:space="preserve"> </w:t>
      </w:r>
      <w:r>
        <w:rPr>
          <w:i/>
          <w:iCs/>
        </w:rPr>
        <w:t>See</w:t>
      </w:r>
      <w:r w:rsidR="001F14AA">
        <w:rPr>
          <w:i/>
          <w:iCs/>
        </w:rPr>
        <w:t xml:space="preserve"> </w:t>
      </w:r>
      <w:r w:rsidR="00363335">
        <w:rPr>
          <w:i/>
        </w:rPr>
        <w:t>id.</w:t>
      </w:r>
      <w:r>
        <w:rPr>
          <w:i/>
          <w:iCs/>
        </w:rPr>
        <w:t xml:space="preserve"> </w:t>
      </w:r>
      <w:r>
        <w:t>at 33</w:t>
      </w:r>
      <w:r w:rsidR="001F14AA">
        <w:t>68-69,</w:t>
      </w:r>
      <w:r>
        <w:t xml:space="preserve"> para. 55 (noting that t</w:t>
      </w:r>
      <w:r w:rsidRPr="00FB6C1A">
        <w:t xml:space="preserve">he categories of eligible nonprofit and public health care providers are: </w:t>
      </w:r>
      <w:r w:rsidR="003D0C36">
        <w:t>(</w:t>
      </w:r>
      <w:r w:rsidRPr="00FB6C1A">
        <w:rPr>
          <w:rFonts w:eastAsia="Calibri"/>
        </w:rPr>
        <w:t>1) post-secondary educational institutions offering health care instruction</w:t>
      </w:r>
      <w:r>
        <w:rPr>
          <w:rFonts w:eastAsia="Calibri"/>
        </w:rPr>
        <w:t>;</w:t>
      </w:r>
      <w:r w:rsidRPr="00FB6C1A">
        <w:rPr>
          <w:rFonts w:eastAsia="Calibri"/>
        </w:rPr>
        <w:t xml:space="preserve"> teaching hospitals, and medical schools; </w:t>
      </w:r>
      <w:r w:rsidR="003D0C36">
        <w:rPr>
          <w:rFonts w:eastAsia="Calibri"/>
        </w:rPr>
        <w:t>(</w:t>
      </w:r>
      <w:r w:rsidRPr="00FB6C1A">
        <w:rPr>
          <w:rFonts w:eastAsia="Calibri"/>
        </w:rPr>
        <w:t xml:space="preserve">2) community health centers or health centers providing health care to migrants; </w:t>
      </w:r>
      <w:r w:rsidR="003D0C36">
        <w:rPr>
          <w:rFonts w:eastAsia="Calibri"/>
        </w:rPr>
        <w:t>(</w:t>
      </w:r>
      <w:r w:rsidRPr="00FB6C1A">
        <w:rPr>
          <w:rFonts w:eastAsia="Calibri"/>
        </w:rPr>
        <w:t xml:space="preserve">3) local health departments or agencies; </w:t>
      </w:r>
      <w:r w:rsidR="003D0C36">
        <w:rPr>
          <w:rFonts w:eastAsia="Calibri"/>
        </w:rPr>
        <w:t>(</w:t>
      </w:r>
      <w:r w:rsidRPr="00FB6C1A">
        <w:rPr>
          <w:rFonts w:eastAsia="Calibri"/>
        </w:rPr>
        <w:t xml:space="preserve">4) community mental health centers; </w:t>
      </w:r>
      <w:r w:rsidR="003D0C36">
        <w:rPr>
          <w:rFonts w:eastAsia="Calibri"/>
        </w:rPr>
        <w:t>(</w:t>
      </w:r>
      <w:r w:rsidRPr="00FB6C1A">
        <w:rPr>
          <w:rFonts w:eastAsia="Calibri"/>
        </w:rPr>
        <w:t xml:space="preserve">5) not-for-profit hospitals; </w:t>
      </w:r>
      <w:r w:rsidR="003D0C36">
        <w:rPr>
          <w:rFonts w:eastAsia="Calibri"/>
        </w:rPr>
        <w:t>(</w:t>
      </w:r>
      <w:r w:rsidRPr="00FB6C1A">
        <w:rPr>
          <w:rFonts w:eastAsia="Calibri"/>
        </w:rPr>
        <w:t xml:space="preserve">6) rural health clinics; </w:t>
      </w:r>
      <w:r w:rsidR="003D0C36">
        <w:rPr>
          <w:rFonts w:eastAsia="Calibri"/>
        </w:rPr>
        <w:t>(</w:t>
      </w:r>
      <w:r w:rsidRPr="00FB6C1A">
        <w:rPr>
          <w:rFonts w:eastAsia="Calibri"/>
        </w:rPr>
        <w:t xml:space="preserve">7) skilled nursing facilities; </w:t>
      </w:r>
      <w:r>
        <w:rPr>
          <w:rFonts w:eastAsia="Calibri"/>
        </w:rPr>
        <w:t>and</w:t>
      </w:r>
      <w:r w:rsidRPr="00FB6C1A">
        <w:rPr>
          <w:rFonts w:eastAsia="Calibri"/>
        </w:rPr>
        <w:t xml:space="preserve"> </w:t>
      </w:r>
      <w:r w:rsidR="003D0C36">
        <w:rPr>
          <w:rFonts w:eastAsia="Calibri"/>
        </w:rPr>
        <w:t>(</w:t>
      </w:r>
      <w:r w:rsidRPr="00FB6C1A">
        <w:rPr>
          <w:rFonts w:eastAsia="Calibri"/>
        </w:rPr>
        <w:t>8) consortia of health care providers from one of the preceding seven categories</w:t>
      </w:r>
      <w:r>
        <w:rPr>
          <w:rFonts w:eastAsia="Calibri"/>
        </w:rPr>
        <w:t>).</w:t>
      </w:r>
      <w:r w:rsidRPr="00A946B8">
        <w:t xml:space="preserve">  47 U.S.C. § 254(h)(7)(B).</w:t>
      </w:r>
      <w:r w:rsidR="00FC457A">
        <w:t xml:space="preserve"> </w:t>
      </w:r>
      <w:r w:rsidR="006E1873">
        <w:t xml:space="preserve"> </w:t>
      </w:r>
      <w:r w:rsidR="006E1873">
        <w:rPr>
          <w:i/>
          <w:iCs/>
        </w:rPr>
        <w:t xml:space="preserve">See also id. </w:t>
      </w:r>
      <w:r w:rsidR="006E1873">
        <w:t xml:space="preserve">at 3393, para. 51 (describing the Pilot Program’s focus on low-income and veteran patients). </w:t>
      </w:r>
    </w:p>
  </w:footnote>
  <w:footnote w:id="5">
    <w:p w:rsidR="00424EE5" w:rsidRPr="007C7C28" w:rsidP="000F4C29" w14:paraId="6DFCAE73" w14:textId="63EAF085">
      <w:pPr>
        <w:pStyle w:val="FootnoteText"/>
        <w:rPr>
          <w:lang w:val="da-DK"/>
        </w:rPr>
      </w:pPr>
      <w:r>
        <w:rPr>
          <w:rStyle w:val="FootnoteReference"/>
        </w:rPr>
        <w:footnoteRef/>
      </w:r>
      <w:r w:rsidRPr="007C7C28">
        <w:rPr>
          <w:lang w:val="da-DK"/>
        </w:rPr>
        <w:t xml:space="preserve"> </w:t>
      </w:r>
      <w:r w:rsidRPr="007C7C28">
        <w:rPr>
          <w:i/>
          <w:lang w:val="da-DK"/>
        </w:rPr>
        <w:t>See</w:t>
      </w:r>
      <w:r w:rsidRPr="007C7C28">
        <w:rPr>
          <w:lang w:val="da-DK"/>
        </w:rPr>
        <w:t xml:space="preserve"> </w:t>
      </w:r>
      <w:r w:rsidRPr="007C7C28" w:rsidR="001F14AA">
        <w:rPr>
          <w:i/>
          <w:lang w:val="da-DK"/>
        </w:rPr>
        <w:t xml:space="preserve">id. </w:t>
      </w:r>
      <w:r w:rsidRPr="007C7C28">
        <w:rPr>
          <w:lang w:val="da-DK"/>
        </w:rPr>
        <w:t>at 338</w:t>
      </w:r>
      <w:r w:rsidRPr="007C7C28" w:rsidR="001F14AA">
        <w:rPr>
          <w:lang w:val="da-DK"/>
        </w:rPr>
        <w:t>4</w:t>
      </w:r>
      <w:r w:rsidRPr="007C7C28">
        <w:rPr>
          <w:lang w:val="da-DK"/>
        </w:rPr>
        <w:t>, para. 38.</w:t>
      </w:r>
    </w:p>
  </w:footnote>
  <w:footnote w:id="6">
    <w:p w:rsidR="00424EE5" w:rsidRPr="007C7C28" w:rsidP="000F4C29" w14:paraId="11BD51D7" w14:textId="77777777">
      <w:pPr>
        <w:pStyle w:val="FootnoteText"/>
        <w:rPr>
          <w:lang w:val="da-DK"/>
        </w:rPr>
      </w:pPr>
      <w:r w:rsidRPr="00326F08">
        <w:rPr>
          <w:rStyle w:val="FootnoteReference"/>
        </w:rPr>
        <w:footnoteRef/>
      </w:r>
      <w:r w:rsidRPr="007C7C28">
        <w:rPr>
          <w:lang w:val="da-DK"/>
        </w:rPr>
        <w:t xml:space="preserve"> </w:t>
      </w:r>
      <w:r w:rsidRPr="007C7C28">
        <w:rPr>
          <w:i/>
          <w:lang w:val="da-DK"/>
        </w:rPr>
        <w:t xml:space="preserve">Id. </w:t>
      </w:r>
      <w:r w:rsidRPr="007C7C28">
        <w:rPr>
          <w:lang w:val="da-DK"/>
        </w:rPr>
        <w:t>at 3412-13, paras. 75-76.</w:t>
      </w:r>
    </w:p>
  </w:footnote>
  <w:footnote w:id="7">
    <w:p w:rsidR="00424EE5" w:rsidRPr="00E61EDE" w:rsidP="000F4C29" w14:paraId="26F9537D" w14:textId="660446A2">
      <w:pPr>
        <w:pStyle w:val="FootnoteText"/>
      </w:pPr>
      <w:r w:rsidRPr="005841CD">
        <w:rPr>
          <w:rStyle w:val="FootnoteReference"/>
        </w:rPr>
        <w:footnoteRef/>
      </w:r>
      <w:r w:rsidRPr="007C7C28">
        <w:rPr>
          <w:lang w:val="da-DK"/>
        </w:rPr>
        <w:t xml:space="preserve"> </w:t>
      </w:r>
      <w:r w:rsidRPr="007C7C28">
        <w:rPr>
          <w:i/>
          <w:lang w:val="da-DK"/>
        </w:rPr>
        <w:t xml:space="preserve">Id. </w:t>
      </w:r>
      <w:r w:rsidRPr="007C7C28">
        <w:rPr>
          <w:lang w:val="da-DK"/>
        </w:rPr>
        <w:t xml:space="preserve">at </w:t>
      </w:r>
      <w:r w:rsidRPr="007C7C28" w:rsidR="005841CD">
        <w:rPr>
          <w:lang w:val="da-DK"/>
        </w:rPr>
        <w:t>3397</w:t>
      </w:r>
      <w:r w:rsidRPr="007C7C28" w:rsidR="00722F28">
        <w:rPr>
          <w:lang w:val="da-DK"/>
        </w:rPr>
        <w:t>,</w:t>
      </w:r>
      <w:r w:rsidRPr="007C7C28" w:rsidR="005841CD">
        <w:rPr>
          <w:lang w:val="da-DK"/>
        </w:rPr>
        <w:t xml:space="preserve"> para. </w:t>
      </w:r>
      <w:r w:rsidR="005841CD">
        <w:t xml:space="preserve">5. </w:t>
      </w:r>
    </w:p>
  </w:footnote>
  <w:footnote w:id="8">
    <w:p w:rsidR="00424EE5" w:rsidP="000F4C29" w14:paraId="4604A698" w14:textId="719CE862">
      <w:pPr>
        <w:pStyle w:val="FootnoteText"/>
      </w:pPr>
      <w:r>
        <w:rPr>
          <w:rStyle w:val="FootnoteReference"/>
        </w:rPr>
        <w:footnoteRef/>
      </w:r>
      <w:r>
        <w:t xml:space="preserve"> </w:t>
      </w:r>
      <w:r w:rsidRPr="00D35793">
        <w:rPr>
          <w:i/>
        </w:rPr>
        <w:t>See</w:t>
      </w:r>
      <w:r>
        <w:t xml:space="preserve"> </w:t>
      </w:r>
      <w:r>
        <w:rPr>
          <w:i/>
          <w:iCs/>
        </w:rPr>
        <w:t>Wireline Competition Bureau Provides Additional Information Concerning the Connected Care Pilot Program</w:t>
      </w:r>
      <w:r>
        <w:t>, Public Notice, DA-20-1019 (WCB Sep</w:t>
      </w:r>
      <w:r w:rsidR="002E5902">
        <w:t>t</w:t>
      </w:r>
      <w:r>
        <w:t>. 3, 2020) (</w:t>
      </w:r>
      <w:r>
        <w:rPr>
          <w:i/>
          <w:iCs/>
        </w:rPr>
        <w:t xml:space="preserve">September </w:t>
      </w:r>
      <w:r w:rsidRPr="00393A2C">
        <w:rPr>
          <w:i/>
          <w:iCs/>
        </w:rPr>
        <w:t>Public Notice</w:t>
      </w:r>
      <w:r>
        <w:t>)</w:t>
      </w:r>
      <w:r w:rsidRPr="00326F08">
        <w:t>.</w:t>
      </w:r>
    </w:p>
  </w:footnote>
  <w:footnote w:id="9">
    <w:p w:rsidR="005432E1" w:rsidRPr="00922C5B" w14:paraId="374EE5F6" w14:textId="1A750801">
      <w:pPr>
        <w:pStyle w:val="FootnoteText"/>
      </w:pPr>
      <w:r>
        <w:rPr>
          <w:rStyle w:val="FootnoteReference"/>
        </w:rPr>
        <w:footnoteRef/>
      </w:r>
      <w:r>
        <w:t xml:space="preserve"> </w:t>
      </w:r>
      <w:r>
        <w:rPr>
          <w:i/>
          <w:iCs/>
        </w:rPr>
        <w:t xml:space="preserve">See </w:t>
      </w:r>
      <w:r w:rsidR="006E1873">
        <w:rPr>
          <w:i/>
          <w:iCs/>
        </w:rPr>
        <w:t xml:space="preserve">Report and Order, </w:t>
      </w:r>
      <w:r w:rsidR="006E1873">
        <w:t xml:space="preserve">35 FCC Rcd at </w:t>
      </w:r>
      <w:r w:rsidR="00922C5B">
        <w:t xml:space="preserve">3404-3408, </w:t>
      </w:r>
      <w:r w:rsidR="006E1873">
        <w:t>paras. 67-69</w:t>
      </w:r>
      <w:r w:rsidR="00922C5B">
        <w:t xml:space="preserve">; </w:t>
      </w:r>
      <w:r>
        <w:rPr>
          <w:i/>
          <w:iCs/>
        </w:rPr>
        <w:t xml:space="preserve">September Public Notice </w:t>
      </w:r>
      <w:r w:rsidRPr="006E1873">
        <w:t>at</w:t>
      </w:r>
      <w:r>
        <w:rPr>
          <w:i/>
          <w:iCs/>
        </w:rPr>
        <w:t xml:space="preserve"> </w:t>
      </w:r>
      <w:r w:rsidR="006E1873">
        <w:t>3-6</w:t>
      </w:r>
      <w:r w:rsidR="00922C5B">
        <w:t>.</w:t>
      </w:r>
    </w:p>
  </w:footnote>
  <w:footnote w:id="10">
    <w:p w:rsidR="00985621" w14:paraId="2DC4CC50" w14:textId="52F20500">
      <w:pPr>
        <w:pStyle w:val="FootnoteText"/>
      </w:pPr>
      <w:r>
        <w:rPr>
          <w:rStyle w:val="FootnoteReference"/>
        </w:rPr>
        <w:footnoteRef/>
      </w:r>
      <w:r>
        <w:t xml:space="preserve"> Applications can be access</w:t>
      </w:r>
      <w:r w:rsidR="00C4534B">
        <w:t xml:space="preserve">ed while the application filing window is open at: </w:t>
      </w:r>
      <w:hyperlink r:id="rId1" w:history="1">
        <w:r w:rsidRPr="002479B6" w:rsidR="000B248F">
          <w:rPr>
            <w:rStyle w:val="Hyperlink"/>
          </w:rPr>
          <w:t>https://forms.universalservice.org/portal/login</w:t>
        </w:r>
      </w:hyperlink>
      <w:r w:rsidR="000B248F">
        <w:t xml:space="preserve">.  </w:t>
      </w:r>
    </w:p>
  </w:footnote>
  <w:footnote w:id="11">
    <w:p w:rsidR="00B33D99" w:rsidRPr="00F52543" w:rsidP="009C4ADC" w14:paraId="18142B9B" w14:textId="6DDEABC5">
      <w:pPr>
        <w:pStyle w:val="FootnoteText"/>
      </w:pPr>
      <w:r>
        <w:rPr>
          <w:rStyle w:val="FootnoteReference"/>
        </w:rPr>
        <w:footnoteRef/>
      </w:r>
      <w:r>
        <w:t xml:space="preserve"> </w:t>
      </w:r>
      <w:r>
        <w:rPr>
          <w:i/>
          <w:iCs/>
        </w:rPr>
        <w:t>Report and Order</w:t>
      </w:r>
      <w:r>
        <w:t xml:space="preserve">, </w:t>
      </w:r>
      <w:r>
        <w:rPr>
          <w:iCs/>
        </w:rPr>
        <w:t>35 FCC Rcd</w:t>
      </w:r>
      <w:r>
        <w:rPr>
          <w:i/>
          <w:iCs/>
        </w:rPr>
        <w:t xml:space="preserve"> </w:t>
      </w:r>
      <w:r>
        <w:t>at 3412, para. 70</w:t>
      </w:r>
      <w:r w:rsidR="00B3065B">
        <w:t xml:space="preserve"> (“</w:t>
      </w:r>
      <w:r w:rsidR="009C4ADC">
        <w:t xml:space="preserve">To promote transparency, applications for the Pilot Program must be submitted through the Commission’s Electronic Comment Filing System….”).  </w:t>
      </w:r>
    </w:p>
  </w:footnote>
  <w:footnote w:id="12">
    <w:p w:rsidR="00363335" w:rsidRPr="00363335" w14:paraId="795E0874" w14:textId="6C3A838C">
      <w:pPr>
        <w:pStyle w:val="FootnoteText"/>
      </w:pPr>
      <w:r>
        <w:rPr>
          <w:rStyle w:val="FootnoteReference"/>
        </w:rPr>
        <w:footnoteRef/>
      </w:r>
      <w:r>
        <w:t xml:space="preserve"> </w:t>
      </w:r>
      <w:r>
        <w:rPr>
          <w:i/>
          <w:iCs/>
        </w:rPr>
        <w:t>See</w:t>
      </w:r>
      <w:r w:rsidR="000C7D92">
        <w:rPr>
          <w:i/>
          <w:iCs/>
        </w:rPr>
        <w:t xml:space="preserve"> Report and Order, </w:t>
      </w:r>
      <w:r w:rsidR="000C7D92">
        <w:t>35 FCC Rcd at 3404, para. 67 (</w:t>
      </w:r>
      <w:r w:rsidR="00514EBE">
        <w:t xml:space="preserve">stating that </w:t>
      </w:r>
      <w:r w:rsidR="00116127">
        <w:t>prospective Pilot Program applicants “</w:t>
      </w:r>
      <w:r w:rsidR="000C7D92">
        <w:t xml:space="preserve">must first obtain an eligibility determination from USAC by submitting an FCC Form 460 (Eligibility and Registration Form) along with supporting documentation to USAC to verify its eligibility to participate in the Pilot Program.”); </w:t>
      </w:r>
      <w:r>
        <w:rPr>
          <w:i/>
          <w:iCs/>
        </w:rPr>
        <w:t>September Public Notice</w:t>
      </w:r>
      <w:r>
        <w:t xml:space="preserve"> at 2 (stating that an eligibility determination is required for each health care provider site that will be included in a Pilot Program application and providing instructions on filing an FCC Form 460</w:t>
      </w:r>
      <w:r w:rsidR="00170EDA">
        <w:t xml:space="preserve"> to obtain an eligibility determination). </w:t>
      </w:r>
    </w:p>
  </w:footnote>
  <w:footnote w:id="13">
    <w:p w:rsidR="006B1F56" w:rsidRPr="00615974" w14:paraId="669D6AAD" w14:textId="3E54F41D">
      <w:pPr>
        <w:pStyle w:val="FootnoteText"/>
      </w:pPr>
      <w:r>
        <w:rPr>
          <w:rStyle w:val="FootnoteReference"/>
        </w:rPr>
        <w:footnoteRef/>
      </w:r>
      <w:r>
        <w:t xml:space="preserve"> </w:t>
      </w:r>
      <w:r w:rsidR="00615974">
        <w:rPr>
          <w:i/>
          <w:iCs/>
        </w:rPr>
        <w:t xml:space="preserve">See </w:t>
      </w:r>
      <w:r w:rsidR="00615974">
        <w:t xml:space="preserve">Universal Service Administration Company, </w:t>
      </w:r>
      <w:r w:rsidR="00615974">
        <w:rPr>
          <w:i/>
          <w:iCs/>
        </w:rPr>
        <w:t>Forms</w:t>
      </w:r>
      <w:r w:rsidR="00615974">
        <w:t xml:space="preserve">, </w:t>
      </w:r>
      <w:hyperlink r:id="rId2" w:history="1">
        <w:r w:rsidR="00615974">
          <w:rPr>
            <w:rStyle w:val="Hyperlink"/>
          </w:rPr>
          <w:t>https://www.usac.org/rural-health-care/resources/forms/</w:t>
        </w:r>
      </w:hyperlink>
      <w:r w:rsidR="00615974">
        <w:t xml:space="preserve"> </w:t>
      </w:r>
      <w:r w:rsidR="007A49CF">
        <w:t xml:space="preserve">(last visited </w:t>
      </w:r>
      <w:r w:rsidR="007C4A58">
        <w:t>Nov. 5</w:t>
      </w:r>
      <w:r w:rsidR="007A49CF">
        <w:t xml:space="preserve">, 2020). </w:t>
      </w:r>
      <w:r w:rsidR="00615974">
        <w:t xml:space="preserve"> </w:t>
      </w:r>
    </w:p>
  </w:footnote>
  <w:footnote w:id="14">
    <w:p w:rsidR="00424EE5" w:rsidP="00441EA7" w14:paraId="04CA10BA" w14:textId="10874126">
      <w:pPr>
        <w:pStyle w:val="FootnoteText"/>
      </w:pPr>
      <w:r>
        <w:rPr>
          <w:rStyle w:val="FootnoteReference"/>
        </w:rPr>
        <w:footnoteRef/>
      </w:r>
      <w:r>
        <w:t xml:space="preserve"> </w:t>
      </w:r>
      <w:r>
        <w:rPr>
          <w:i/>
        </w:rPr>
        <w:t>September Public Notice</w:t>
      </w:r>
      <w:r>
        <w:t xml:space="preserve"> at 2.  To check whether a site has an existing </w:t>
      </w:r>
      <w:r w:rsidR="00060F1B">
        <w:t xml:space="preserve">health care provider </w:t>
      </w:r>
      <w:r>
        <w:t xml:space="preserve">number, see the USAC guide at </w:t>
      </w:r>
      <w:r w:rsidRPr="00A946B8">
        <w:rPr>
          <w:rStyle w:val="Hyperlink"/>
          <w:snapToGrid w:val="0"/>
          <w:kern w:val="28"/>
        </w:rPr>
        <w:t>https://www.usac.org/wp-content/uploads/rural-health-care/documents/handouts/How-to-Check-for-an-Existing-HCP-Guide.pdf</w:t>
      </w:r>
      <w:r w:rsidR="00A807B6">
        <w:rPr>
          <w:rStyle w:val="Hyperlink"/>
          <w:snapToGrid w:val="0"/>
          <w:kern w:val="28"/>
        </w:rPr>
        <w:t>.</w:t>
      </w:r>
    </w:p>
  </w:footnote>
  <w:footnote w:id="15">
    <w:p w:rsidR="00981021" w:rsidP="00441EA7" w14:paraId="18092307" w14:textId="32690D5C">
      <w:pPr>
        <w:pStyle w:val="FootnoteText"/>
      </w:pPr>
      <w:r>
        <w:rPr>
          <w:rStyle w:val="FootnoteReference"/>
        </w:rPr>
        <w:footnoteRef/>
      </w:r>
      <w:r>
        <w:t xml:space="preserve"> </w:t>
      </w:r>
      <w:bookmarkStart w:id="7" w:name="_Hlk55297440"/>
      <w:r w:rsidRPr="00FB0C77">
        <w:rPr>
          <w:i/>
          <w:iCs/>
        </w:rPr>
        <w:t>See</w:t>
      </w:r>
      <w:r w:rsidRPr="00BD7FC4">
        <w:rPr>
          <w:iCs/>
        </w:rPr>
        <w:t xml:space="preserve"> </w:t>
      </w:r>
      <w:r w:rsidRPr="00326F08">
        <w:rPr>
          <w:i/>
          <w:iCs/>
        </w:rPr>
        <w:t>Report and Order</w:t>
      </w:r>
      <w:r w:rsidRPr="00326F08">
        <w:t xml:space="preserve">, </w:t>
      </w:r>
      <w:r w:rsidR="008E4917">
        <w:rPr>
          <w:iCs/>
        </w:rPr>
        <w:t>35 FCC Rcd</w:t>
      </w:r>
      <w:r w:rsidR="008E4917">
        <w:rPr>
          <w:i/>
          <w:iCs/>
        </w:rPr>
        <w:t xml:space="preserve"> </w:t>
      </w:r>
      <w:r>
        <w:t>at 3397, para. 55</w:t>
      </w:r>
      <w:r w:rsidRPr="00326F08">
        <w:t>.</w:t>
      </w:r>
      <w:bookmarkEnd w:id="7"/>
      <w:r w:rsidR="00FB4F69">
        <w:t xml:space="preserve">  The Report and Order does not impose minimum bandwidths for </w:t>
      </w:r>
      <w:r w:rsidR="00636D63">
        <w:t xml:space="preserve">eligible connections.  </w:t>
      </w:r>
    </w:p>
  </w:footnote>
  <w:footnote w:id="16">
    <w:p w:rsidR="00424EE5" w:rsidRPr="00456C41" w:rsidP="7CBB81DA" w14:paraId="220BB44C" w14:textId="4E1E67EC">
      <w:pPr>
        <w:widowControl/>
        <w:autoSpaceDE w:val="0"/>
        <w:autoSpaceDN w:val="0"/>
        <w:adjustRightInd w:val="0"/>
        <w:spacing w:after="120"/>
        <w:rPr>
          <w:snapToGrid/>
          <w:kern w:val="0"/>
          <w:sz w:val="20"/>
        </w:rPr>
      </w:pPr>
      <w:r w:rsidRPr="00326F08">
        <w:rPr>
          <w:rStyle w:val="FootnoteReference"/>
        </w:rPr>
        <w:footnoteRef/>
      </w:r>
      <w:r w:rsidRPr="00326F08">
        <w:t xml:space="preserve"> </w:t>
      </w:r>
      <w:r w:rsidRPr="00456C41">
        <w:rPr>
          <w:i/>
          <w:iCs/>
          <w:sz w:val="20"/>
        </w:rPr>
        <w:t>See</w:t>
      </w:r>
      <w:r w:rsidRPr="00456C41" w:rsidR="00981021">
        <w:rPr>
          <w:i/>
          <w:iCs/>
          <w:snapToGrid/>
          <w:kern w:val="0"/>
          <w:sz w:val="20"/>
        </w:rPr>
        <w:t xml:space="preserve"> id.</w:t>
      </w:r>
      <w:r w:rsidRPr="00456C41">
        <w:rPr>
          <w:snapToGrid/>
          <w:kern w:val="0"/>
          <w:sz w:val="20"/>
        </w:rPr>
        <w:t xml:space="preserve"> at 3402-04, paras. 65-66.</w:t>
      </w:r>
    </w:p>
  </w:footnote>
  <w:footnote w:id="17">
    <w:p w:rsidR="00424EE5" w:rsidRPr="00326F08" w:rsidP="00441EA7" w14:paraId="36107DDC" w14:textId="77777777">
      <w:pPr>
        <w:pStyle w:val="FootnoteText"/>
      </w:pPr>
      <w:r w:rsidRPr="00326F08">
        <w:rPr>
          <w:rStyle w:val="FootnoteReference"/>
        </w:rPr>
        <w:footnoteRef/>
      </w:r>
      <w:r w:rsidRPr="00326F08">
        <w:t xml:space="preserve"> </w:t>
      </w:r>
      <w:r w:rsidRPr="00BD7FC4">
        <w:rPr>
          <w:i/>
        </w:rPr>
        <w:t>Id.</w:t>
      </w:r>
      <w:r>
        <w:t xml:space="preserve"> at 3399-40, 3403, paras. 60, 65. </w:t>
      </w:r>
    </w:p>
  </w:footnote>
  <w:footnote w:id="18">
    <w:p w:rsidR="00577CF3" w:rsidRPr="00577CF3" w14:paraId="08908395" w14:textId="2EC92EDF">
      <w:pPr>
        <w:pStyle w:val="FootnoteText"/>
      </w:pPr>
      <w:r>
        <w:rPr>
          <w:rStyle w:val="FootnoteReference"/>
        </w:rPr>
        <w:footnoteRef/>
      </w:r>
      <w:r>
        <w:t xml:space="preserve"> </w:t>
      </w:r>
      <w:r>
        <w:rPr>
          <w:i/>
          <w:iCs/>
        </w:rPr>
        <w:t xml:space="preserve">See id. </w:t>
      </w:r>
      <w:r>
        <w:t>at 3397, n.131.</w:t>
      </w:r>
    </w:p>
  </w:footnote>
  <w:footnote w:id="19">
    <w:p w:rsidR="001D136A" w:rsidRPr="001D136A" w14:paraId="28B980F2" w14:textId="297E8396">
      <w:pPr>
        <w:pStyle w:val="FootnoteText"/>
      </w:pPr>
      <w:r>
        <w:rPr>
          <w:rStyle w:val="FootnoteReference"/>
        </w:rPr>
        <w:footnoteRef/>
      </w:r>
      <w:r>
        <w:t xml:space="preserve"> </w:t>
      </w:r>
      <w:r>
        <w:rPr>
          <w:i/>
          <w:iCs/>
        </w:rPr>
        <w:t xml:space="preserve">See id. </w:t>
      </w:r>
      <w:r>
        <w:t xml:space="preserve">at 3389, para. 46. </w:t>
      </w:r>
    </w:p>
  </w:footnote>
  <w:footnote w:id="20">
    <w:p w:rsidR="002F7724" w14:paraId="61326DF5" w14:textId="3DABF518">
      <w:pPr>
        <w:pStyle w:val="FootnoteText"/>
      </w:pPr>
      <w:r>
        <w:rPr>
          <w:rStyle w:val="FootnoteReference"/>
        </w:rPr>
        <w:footnoteRef/>
      </w:r>
      <w:r>
        <w:t xml:space="preserve"> </w:t>
      </w:r>
      <w:r w:rsidRPr="00FB0C77">
        <w:rPr>
          <w:i/>
          <w:iCs/>
        </w:rPr>
        <w:t>See</w:t>
      </w:r>
      <w:r w:rsidRPr="00BD7FC4">
        <w:rPr>
          <w:iCs/>
        </w:rPr>
        <w:t xml:space="preserve"> </w:t>
      </w:r>
      <w:r>
        <w:rPr>
          <w:i/>
          <w:iCs/>
        </w:rPr>
        <w:t xml:space="preserve">id. </w:t>
      </w:r>
      <w:r>
        <w:t>at 3397, para. 55</w:t>
      </w:r>
      <w:r w:rsidRPr="00326F08">
        <w:t>.</w:t>
      </w:r>
    </w:p>
  </w:footnote>
  <w:footnote w:id="21">
    <w:p w:rsidR="00170EDA" w:rsidRPr="00C95F0F" w:rsidP="00170EDA" w14:paraId="559644F6" w14:textId="77777777">
      <w:pPr>
        <w:pStyle w:val="FootnoteText"/>
      </w:pPr>
      <w:r w:rsidRPr="00326F08">
        <w:rPr>
          <w:rStyle w:val="FootnoteReference"/>
        </w:rPr>
        <w:footnoteRef/>
      </w:r>
      <w:r w:rsidRPr="00326F08">
        <w:t xml:space="preserve"> </w:t>
      </w:r>
      <w:r>
        <w:rPr>
          <w:i/>
          <w:iCs/>
        </w:rPr>
        <w:t>See Report and Order</w:t>
      </w:r>
      <w:r w:rsidRPr="00C64F87">
        <w:t>,</w:t>
      </w:r>
      <w:r>
        <w:rPr>
          <w:i/>
          <w:iCs/>
        </w:rPr>
        <w:t xml:space="preserve"> </w:t>
      </w:r>
      <w:r>
        <w:rPr>
          <w:iCs/>
        </w:rPr>
        <w:t>35 FCC Rcd</w:t>
      </w:r>
      <w:r>
        <w:rPr>
          <w:i/>
          <w:iCs/>
        </w:rPr>
        <w:t xml:space="preserve"> </w:t>
      </w:r>
      <w:r>
        <w:t>at 3384-3411, paras. 37-86.</w:t>
      </w:r>
    </w:p>
  </w:footnote>
  <w:footnote w:id="22">
    <w:p w:rsidR="00170EDA" w:rsidRPr="00326F08" w:rsidP="00170EDA" w14:paraId="00E083DD" w14:textId="77777777">
      <w:pPr>
        <w:pStyle w:val="FootnoteText"/>
      </w:pPr>
      <w:r w:rsidRPr="00326F08">
        <w:rPr>
          <w:rStyle w:val="FootnoteReference"/>
        </w:rPr>
        <w:footnoteRef/>
      </w:r>
      <w:r w:rsidRPr="00326F08">
        <w:t xml:space="preserve"> </w:t>
      </w:r>
      <w:r w:rsidRPr="00326F08">
        <w:rPr>
          <w:i/>
          <w:iCs/>
        </w:rPr>
        <w:t>See</w:t>
      </w:r>
      <w:r w:rsidRPr="00326F08">
        <w:t xml:space="preserve"> 47 CFR § 1.65. </w:t>
      </w:r>
      <w:r>
        <w:t xml:space="preserve"> </w:t>
      </w:r>
      <w:r w:rsidRPr="00326F08">
        <w:t xml:space="preserve">For purposes of section 1.65 of the Commission’s rules, </w:t>
      </w:r>
      <w:r>
        <w:t>Pilot Program a</w:t>
      </w:r>
      <w:r w:rsidRPr="00326F08">
        <w:t>pplication and associated attachments will remain pending until the announc</w:t>
      </w:r>
      <w:r>
        <w:t xml:space="preserve">ement of </w:t>
      </w:r>
      <w:r w:rsidRPr="00326F08">
        <w:t xml:space="preserve">the </w:t>
      </w:r>
      <w:r>
        <w:t xml:space="preserve">pilot projects selected for the </w:t>
      </w:r>
      <w:r w:rsidRPr="00326F08">
        <w:t xml:space="preserve">Pilot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DFC6EF7" w14:textId="78CE4F89">
    <w:pPr>
      <w:tabs>
        <w:tab w:val="center" w:pos="4680"/>
        <w:tab w:val="right" w:pos="9360"/>
      </w:tabs>
    </w:pPr>
    <w:r w:rsidRPr="009838BC">
      <w:rPr>
        <w:b/>
      </w:rPr>
      <w:tab/>
      <w:t>Federal Communications Commission</w:t>
    </w:r>
    <w:r w:rsidRPr="009838BC">
      <w:rPr>
        <w:b/>
      </w:rPr>
      <w:tab/>
    </w:r>
    <w:r w:rsidR="00414BFD">
      <w:rPr>
        <w:b/>
      </w:rPr>
      <w:t>DA 20-1315</w:t>
    </w:r>
  </w:p>
  <w:p w:rsidR="009838BC" w:rsidRPr="009838BC" w:rsidP="009838BC" w14:paraId="0839DBBE" w14:textId="25647CC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EAFAB9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03BDB36" w14:textId="7650F46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5D47470">
                          <w:pPr>
                            <w:rPr>
                              <w:rFonts w:ascii="Arial" w:hAnsi="Arial"/>
                              <w:b/>
                            </w:rPr>
                          </w:pPr>
                          <w:r>
                            <w:rPr>
                              <w:rFonts w:ascii="Arial" w:hAnsi="Arial"/>
                              <w:b/>
                            </w:rPr>
                            <w:t>45 L Street NE</w:t>
                          </w:r>
                        </w:p>
                        <w:p w:rsidR="009838BC" w:rsidP="009838BC" w14:textId="1683424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73BBD1B" w14:textId="77777777">
                    <w:pPr>
                      <w:rPr>
                        <w:rFonts w:ascii="Arial" w:hAnsi="Arial"/>
                        <w:b/>
                      </w:rPr>
                    </w:pPr>
                    <w:r>
                      <w:rPr>
                        <w:rFonts w:ascii="Arial" w:hAnsi="Arial"/>
                        <w:b/>
                      </w:rPr>
                      <w:t>Federal Communications Commission</w:t>
                    </w:r>
                  </w:p>
                  <w:p w:rsidR="009838BC" w:rsidP="009838BC" w14:paraId="39D26A88" w14:textId="45D47470">
                    <w:pPr>
                      <w:rPr>
                        <w:rFonts w:ascii="Arial" w:hAnsi="Arial"/>
                        <w:b/>
                      </w:rPr>
                    </w:pPr>
                    <w:r>
                      <w:rPr>
                        <w:rFonts w:ascii="Arial" w:hAnsi="Arial"/>
                        <w:b/>
                      </w:rPr>
                      <w:t>45 L Street NE</w:t>
                    </w:r>
                  </w:p>
                  <w:p w:rsidR="009838BC" w:rsidP="009838BC" w14:paraId="584DC64F" w14:textId="16834246">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842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2EE882A">
      <w:rPr>
        <w:rFonts w:ascii="Arial" w:hAnsi="Arial" w:cs="Arial"/>
        <w:b/>
        <w:sz w:val="96"/>
        <w:szCs w:val="96"/>
      </w:rPr>
      <w:t>PUBLIC NOTICE</w:t>
    </w:r>
  </w:p>
  <w:p w:rsidR="009838BC" w:rsidRPr="00357D50" w:rsidP="009838BC" w14:paraId="135562CA" w14:textId="7F4B919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BDEB31D" w14:textId="77777777">
                    <w:pPr>
                      <w:spacing w:before="40"/>
                      <w:jc w:val="right"/>
                      <w:rPr>
                        <w:rFonts w:ascii="Arial" w:hAnsi="Arial"/>
                        <w:b/>
                        <w:sz w:val="16"/>
                      </w:rPr>
                    </w:pPr>
                    <w:r>
                      <w:rPr>
                        <w:rFonts w:ascii="Arial" w:hAnsi="Arial"/>
                        <w:b/>
                        <w:sz w:val="16"/>
                      </w:rPr>
                      <w:t>News Media Information 202 / 418-0500</w:t>
                    </w:r>
                  </w:p>
                  <w:p w:rsidR="009838BC" w:rsidP="009838BC" w14:paraId="498A0E5D"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5055F3C7" w14:textId="77777777">
                    <w:pPr>
                      <w:jc w:val="right"/>
                    </w:pPr>
                    <w:r>
                      <w:rPr>
                        <w:rFonts w:ascii="Arial" w:hAnsi="Arial"/>
                        <w:b/>
                        <w:sz w:val="16"/>
                      </w:rPr>
                      <w:t>TTY: 1-888-835-5322</w:t>
                    </w:r>
                  </w:p>
                </w:txbxContent>
              </v:textbox>
            </v:shape>
          </w:pict>
        </mc:Fallback>
      </mc:AlternateContent>
    </w:r>
  </w:p>
  <w:p w:rsidR="006F7393" w:rsidRPr="009838BC" w:rsidP="009838BC" w14:paraId="4DBB8D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91681"/>
    <w:multiLevelType w:val="hybridMultilevel"/>
    <w:tmpl w:val="387EBB04"/>
    <w:lvl w:ilvl="0">
      <w:start w:val="1"/>
      <w:numFmt w:val="bullet"/>
      <w:lvlText w:val=""/>
      <w:lvlJc w:val="left"/>
      <w:pPr>
        <w:ind w:left="216" w:hanging="216"/>
      </w:pPr>
      <w:rPr>
        <w:rFonts w:ascii="Symbol" w:hAnsi="Symbol" w:hint="default"/>
      </w:rPr>
    </w:lvl>
    <w:lvl w:ilvl="1">
      <w:start w:val="1"/>
      <w:numFmt w:val="bullet"/>
      <w:lvlText w:val="o"/>
      <w:lvlJc w:val="left"/>
      <w:pPr>
        <w:ind w:left="576" w:hanging="216"/>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3CC1CA1"/>
    <w:multiLevelType w:val="hybridMultilevel"/>
    <w:tmpl w:val="D32AA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975339"/>
    <w:multiLevelType w:val="hybridMultilevel"/>
    <w:tmpl w:val="3EF0E5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BA0DCB"/>
    <w:multiLevelType w:val="hybridMultilevel"/>
    <w:tmpl w:val="A36E4B48"/>
    <w:lvl w:ilvl="0">
      <w:start w:val="1"/>
      <w:numFmt w:val="bullet"/>
      <w:lvlText w:val=""/>
      <w:lvlJc w:val="left"/>
      <w:pPr>
        <w:ind w:left="216" w:hanging="216"/>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5C577BA"/>
    <w:multiLevelType w:val="hybridMultilevel"/>
    <w:tmpl w:val="1BC6C22E"/>
    <w:lvl w:ilvl="0">
      <w:start w:val="1"/>
      <w:numFmt w:val="bullet"/>
      <w:lvlText w:val=""/>
      <w:lvlJc w:val="left"/>
      <w:pPr>
        <w:ind w:left="216" w:hanging="216"/>
      </w:pPr>
      <w:rPr>
        <w:rFonts w:ascii="Symbol" w:hAnsi="Symbol" w:hint="default"/>
      </w:rPr>
    </w:lvl>
    <w:lvl w:ilvl="1">
      <w:start w:val="1"/>
      <w:numFmt w:val="bullet"/>
      <w:lvlText w:val="o"/>
      <w:lvlJc w:val="left"/>
      <w:pPr>
        <w:ind w:left="576" w:hanging="216"/>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C293663"/>
    <w:multiLevelType w:val="hybridMultilevel"/>
    <w:tmpl w:val="5F3C0F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16045D4"/>
    <w:multiLevelType w:val="hybridMultilevel"/>
    <w:tmpl w:val="D83E85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18F5534"/>
    <w:multiLevelType w:val="hybridMultilevel"/>
    <w:tmpl w:val="0D30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11"/>
  </w:num>
  <w:num w:numId="8">
    <w:abstractNumId w:val="13"/>
  </w:num>
  <w:num w:numId="9">
    <w:abstractNumId w:val="6"/>
  </w:num>
  <w:num w:numId="10">
    <w:abstractNumId w:val="5"/>
  </w:num>
  <w:num w:numId="11">
    <w:abstractNumId w:val="12"/>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5"/>
    <w:rsid w:val="00005322"/>
    <w:rsid w:val="00007030"/>
    <w:rsid w:val="000072CE"/>
    <w:rsid w:val="00013A8B"/>
    <w:rsid w:val="000142BC"/>
    <w:rsid w:val="00015E29"/>
    <w:rsid w:val="00020F50"/>
    <w:rsid w:val="00021445"/>
    <w:rsid w:val="0002403E"/>
    <w:rsid w:val="00024337"/>
    <w:rsid w:val="0002548A"/>
    <w:rsid w:val="00035193"/>
    <w:rsid w:val="00036039"/>
    <w:rsid w:val="00036F94"/>
    <w:rsid w:val="00037F90"/>
    <w:rsid w:val="000427FF"/>
    <w:rsid w:val="00057CB0"/>
    <w:rsid w:val="00060F1B"/>
    <w:rsid w:val="00061FB7"/>
    <w:rsid w:val="000672EB"/>
    <w:rsid w:val="00073C9D"/>
    <w:rsid w:val="000770CD"/>
    <w:rsid w:val="00077414"/>
    <w:rsid w:val="00081C9E"/>
    <w:rsid w:val="00085309"/>
    <w:rsid w:val="0008658E"/>
    <w:rsid w:val="000875BF"/>
    <w:rsid w:val="0009172A"/>
    <w:rsid w:val="00096D8C"/>
    <w:rsid w:val="000A72B0"/>
    <w:rsid w:val="000B14B9"/>
    <w:rsid w:val="000B248F"/>
    <w:rsid w:val="000B67D4"/>
    <w:rsid w:val="000C0B65"/>
    <w:rsid w:val="000C1446"/>
    <w:rsid w:val="000C4B4E"/>
    <w:rsid w:val="000C510A"/>
    <w:rsid w:val="000C5A65"/>
    <w:rsid w:val="000C7CD9"/>
    <w:rsid w:val="000C7D92"/>
    <w:rsid w:val="000D29F3"/>
    <w:rsid w:val="000D6BC9"/>
    <w:rsid w:val="000E0C57"/>
    <w:rsid w:val="000E1793"/>
    <w:rsid w:val="000E23CF"/>
    <w:rsid w:val="000E3D42"/>
    <w:rsid w:val="000E5884"/>
    <w:rsid w:val="000E7AB9"/>
    <w:rsid w:val="000F25A3"/>
    <w:rsid w:val="000F4C29"/>
    <w:rsid w:val="000F5CCC"/>
    <w:rsid w:val="001069C7"/>
    <w:rsid w:val="00114FC8"/>
    <w:rsid w:val="00116127"/>
    <w:rsid w:val="00122BD5"/>
    <w:rsid w:val="00127817"/>
    <w:rsid w:val="00133F8C"/>
    <w:rsid w:val="00143569"/>
    <w:rsid w:val="00143967"/>
    <w:rsid w:val="0014684B"/>
    <w:rsid w:val="0015012F"/>
    <w:rsid w:val="00154ECB"/>
    <w:rsid w:val="00163291"/>
    <w:rsid w:val="00170EDA"/>
    <w:rsid w:val="00171F80"/>
    <w:rsid w:val="00172EDC"/>
    <w:rsid w:val="00173257"/>
    <w:rsid w:val="00176B85"/>
    <w:rsid w:val="00182EAD"/>
    <w:rsid w:val="00190FBC"/>
    <w:rsid w:val="001979D9"/>
    <w:rsid w:val="001A483B"/>
    <w:rsid w:val="001A49A4"/>
    <w:rsid w:val="001B1164"/>
    <w:rsid w:val="001B35E9"/>
    <w:rsid w:val="001C0D02"/>
    <w:rsid w:val="001C600D"/>
    <w:rsid w:val="001C73AD"/>
    <w:rsid w:val="001D136A"/>
    <w:rsid w:val="001D489F"/>
    <w:rsid w:val="001D4C01"/>
    <w:rsid w:val="001D6BCF"/>
    <w:rsid w:val="001E01CA"/>
    <w:rsid w:val="001E0E20"/>
    <w:rsid w:val="001E5DD4"/>
    <w:rsid w:val="001F14AA"/>
    <w:rsid w:val="001F2391"/>
    <w:rsid w:val="0020255D"/>
    <w:rsid w:val="00204911"/>
    <w:rsid w:val="0020590F"/>
    <w:rsid w:val="002060D9"/>
    <w:rsid w:val="00207479"/>
    <w:rsid w:val="00223627"/>
    <w:rsid w:val="00226822"/>
    <w:rsid w:val="00243DD5"/>
    <w:rsid w:val="002479B6"/>
    <w:rsid w:val="0026023E"/>
    <w:rsid w:val="00260594"/>
    <w:rsid w:val="00271020"/>
    <w:rsid w:val="00273FB0"/>
    <w:rsid w:val="00275A8C"/>
    <w:rsid w:val="00275C6B"/>
    <w:rsid w:val="00285017"/>
    <w:rsid w:val="00287687"/>
    <w:rsid w:val="0029287B"/>
    <w:rsid w:val="00292EA5"/>
    <w:rsid w:val="00297576"/>
    <w:rsid w:val="002A2D2E"/>
    <w:rsid w:val="002B7F36"/>
    <w:rsid w:val="002E3731"/>
    <w:rsid w:val="002E5902"/>
    <w:rsid w:val="002F0A8E"/>
    <w:rsid w:val="002F574C"/>
    <w:rsid w:val="002F7724"/>
    <w:rsid w:val="00312CB8"/>
    <w:rsid w:val="00326F08"/>
    <w:rsid w:val="00343749"/>
    <w:rsid w:val="00345BE1"/>
    <w:rsid w:val="003501F8"/>
    <w:rsid w:val="00355EA2"/>
    <w:rsid w:val="00357D50"/>
    <w:rsid w:val="0036216D"/>
    <w:rsid w:val="00363335"/>
    <w:rsid w:val="00373372"/>
    <w:rsid w:val="00374A57"/>
    <w:rsid w:val="00376CDA"/>
    <w:rsid w:val="003925DC"/>
    <w:rsid w:val="00393A2C"/>
    <w:rsid w:val="00394F39"/>
    <w:rsid w:val="003A3973"/>
    <w:rsid w:val="003B0550"/>
    <w:rsid w:val="003B25FE"/>
    <w:rsid w:val="003B694F"/>
    <w:rsid w:val="003C379E"/>
    <w:rsid w:val="003C3BA5"/>
    <w:rsid w:val="003C5E0A"/>
    <w:rsid w:val="003C67A4"/>
    <w:rsid w:val="003D0C36"/>
    <w:rsid w:val="003D1DC5"/>
    <w:rsid w:val="003F171C"/>
    <w:rsid w:val="00411174"/>
    <w:rsid w:val="00412FC5"/>
    <w:rsid w:val="00414BFD"/>
    <w:rsid w:val="00417C8C"/>
    <w:rsid w:val="0042123C"/>
    <w:rsid w:val="00422276"/>
    <w:rsid w:val="004242F1"/>
    <w:rsid w:val="00424EE5"/>
    <w:rsid w:val="00437F26"/>
    <w:rsid w:val="00441EA7"/>
    <w:rsid w:val="004458FA"/>
    <w:rsid w:val="00445A00"/>
    <w:rsid w:val="00451B0F"/>
    <w:rsid w:val="00456C41"/>
    <w:rsid w:val="00457A92"/>
    <w:rsid w:val="00460AE6"/>
    <w:rsid w:val="0046125F"/>
    <w:rsid w:val="00474293"/>
    <w:rsid w:val="00482ADA"/>
    <w:rsid w:val="00484188"/>
    <w:rsid w:val="00487524"/>
    <w:rsid w:val="00496106"/>
    <w:rsid w:val="004A0D23"/>
    <w:rsid w:val="004B36F1"/>
    <w:rsid w:val="004B58E5"/>
    <w:rsid w:val="004B5F66"/>
    <w:rsid w:val="004C12D0"/>
    <w:rsid w:val="004C2EE3"/>
    <w:rsid w:val="004C7771"/>
    <w:rsid w:val="004D29F7"/>
    <w:rsid w:val="004D755E"/>
    <w:rsid w:val="004E1C0A"/>
    <w:rsid w:val="004E4A22"/>
    <w:rsid w:val="004E4FBB"/>
    <w:rsid w:val="004F39F0"/>
    <w:rsid w:val="004F52D4"/>
    <w:rsid w:val="005008B2"/>
    <w:rsid w:val="0050481B"/>
    <w:rsid w:val="00511968"/>
    <w:rsid w:val="00514EBE"/>
    <w:rsid w:val="005168AC"/>
    <w:rsid w:val="00525B25"/>
    <w:rsid w:val="005347D9"/>
    <w:rsid w:val="005432E1"/>
    <w:rsid w:val="00547447"/>
    <w:rsid w:val="0055614C"/>
    <w:rsid w:val="00556580"/>
    <w:rsid w:val="00557628"/>
    <w:rsid w:val="0055786D"/>
    <w:rsid w:val="00565FFF"/>
    <w:rsid w:val="00576B8A"/>
    <w:rsid w:val="00577CF3"/>
    <w:rsid w:val="005841CD"/>
    <w:rsid w:val="0058431D"/>
    <w:rsid w:val="005924CB"/>
    <w:rsid w:val="005936B0"/>
    <w:rsid w:val="005B05CD"/>
    <w:rsid w:val="005B0658"/>
    <w:rsid w:val="005B1B9C"/>
    <w:rsid w:val="005B6434"/>
    <w:rsid w:val="005C643F"/>
    <w:rsid w:val="005D5AA2"/>
    <w:rsid w:val="005E1127"/>
    <w:rsid w:val="005F40AA"/>
    <w:rsid w:val="005F7BA0"/>
    <w:rsid w:val="00600C6C"/>
    <w:rsid w:val="00601B84"/>
    <w:rsid w:val="00607BA5"/>
    <w:rsid w:val="006133CA"/>
    <w:rsid w:val="00613419"/>
    <w:rsid w:val="00613BD6"/>
    <w:rsid w:val="00615974"/>
    <w:rsid w:val="006257F1"/>
    <w:rsid w:val="00626EB6"/>
    <w:rsid w:val="00631D07"/>
    <w:rsid w:val="006353A3"/>
    <w:rsid w:val="006361A9"/>
    <w:rsid w:val="00636D63"/>
    <w:rsid w:val="00641A96"/>
    <w:rsid w:val="006421C4"/>
    <w:rsid w:val="0065272A"/>
    <w:rsid w:val="00655D03"/>
    <w:rsid w:val="00657A05"/>
    <w:rsid w:val="00660B97"/>
    <w:rsid w:val="00677253"/>
    <w:rsid w:val="00683F84"/>
    <w:rsid w:val="006854C2"/>
    <w:rsid w:val="006A47DF"/>
    <w:rsid w:val="006A6A81"/>
    <w:rsid w:val="006B1F56"/>
    <w:rsid w:val="006B5BEA"/>
    <w:rsid w:val="006D29D3"/>
    <w:rsid w:val="006E1379"/>
    <w:rsid w:val="006E1873"/>
    <w:rsid w:val="006E26AF"/>
    <w:rsid w:val="006F0993"/>
    <w:rsid w:val="006F188E"/>
    <w:rsid w:val="006F7393"/>
    <w:rsid w:val="0070224F"/>
    <w:rsid w:val="0070335B"/>
    <w:rsid w:val="007115F7"/>
    <w:rsid w:val="007116F5"/>
    <w:rsid w:val="007127BD"/>
    <w:rsid w:val="0071282B"/>
    <w:rsid w:val="00722F28"/>
    <w:rsid w:val="00731884"/>
    <w:rsid w:val="00751A03"/>
    <w:rsid w:val="007602B4"/>
    <w:rsid w:val="007623DC"/>
    <w:rsid w:val="0076243A"/>
    <w:rsid w:val="00764DE5"/>
    <w:rsid w:val="0077031D"/>
    <w:rsid w:val="007733D7"/>
    <w:rsid w:val="00782188"/>
    <w:rsid w:val="00782341"/>
    <w:rsid w:val="00785689"/>
    <w:rsid w:val="00786BD6"/>
    <w:rsid w:val="00787649"/>
    <w:rsid w:val="00790D1C"/>
    <w:rsid w:val="0079754B"/>
    <w:rsid w:val="007A0F99"/>
    <w:rsid w:val="007A1E6D"/>
    <w:rsid w:val="007A49CF"/>
    <w:rsid w:val="007B5854"/>
    <w:rsid w:val="007B6DD4"/>
    <w:rsid w:val="007C4A58"/>
    <w:rsid w:val="007C7C28"/>
    <w:rsid w:val="007E4152"/>
    <w:rsid w:val="007E65AF"/>
    <w:rsid w:val="008055C1"/>
    <w:rsid w:val="00811CA3"/>
    <w:rsid w:val="00816C46"/>
    <w:rsid w:val="00822CE0"/>
    <w:rsid w:val="00837C62"/>
    <w:rsid w:val="00841AB1"/>
    <w:rsid w:val="00843D4D"/>
    <w:rsid w:val="00857C85"/>
    <w:rsid w:val="0086005F"/>
    <w:rsid w:val="00880FAD"/>
    <w:rsid w:val="00885C52"/>
    <w:rsid w:val="00891E9A"/>
    <w:rsid w:val="008939B5"/>
    <w:rsid w:val="008A28C1"/>
    <w:rsid w:val="008A37AF"/>
    <w:rsid w:val="008A470C"/>
    <w:rsid w:val="008C22FD"/>
    <w:rsid w:val="008C3F3E"/>
    <w:rsid w:val="008C5AA1"/>
    <w:rsid w:val="008E4917"/>
    <w:rsid w:val="008F134F"/>
    <w:rsid w:val="008F6D85"/>
    <w:rsid w:val="00901C8B"/>
    <w:rsid w:val="009041F7"/>
    <w:rsid w:val="00910F12"/>
    <w:rsid w:val="009139CB"/>
    <w:rsid w:val="0092261D"/>
    <w:rsid w:val="00922C5B"/>
    <w:rsid w:val="00926503"/>
    <w:rsid w:val="00930ECF"/>
    <w:rsid w:val="00934E60"/>
    <w:rsid w:val="00944430"/>
    <w:rsid w:val="00945F28"/>
    <w:rsid w:val="00951256"/>
    <w:rsid w:val="00955350"/>
    <w:rsid w:val="0096112C"/>
    <w:rsid w:val="009677EB"/>
    <w:rsid w:val="009765F9"/>
    <w:rsid w:val="00981021"/>
    <w:rsid w:val="009838BC"/>
    <w:rsid w:val="00985621"/>
    <w:rsid w:val="00993BC7"/>
    <w:rsid w:val="009A14B3"/>
    <w:rsid w:val="009A39DE"/>
    <w:rsid w:val="009A3A49"/>
    <w:rsid w:val="009A651B"/>
    <w:rsid w:val="009C43DA"/>
    <w:rsid w:val="009C4ADC"/>
    <w:rsid w:val="009C545E"/>
    <w:rsid w:val="009C5A14"/>
    <w:rsid w:val="009C60D1"/>
    <w:rsid w:val="009E462E"/>
    <w:rsid w:val="00A42DE7"/>
    <w:rsid w:val="00A45F4F"/>
    <w:rsid w:val="00A47661"/>
    <w:rsid w:val="00A52482"/>
    <w:rsid w:val="00A54523"/>
    <w:rsid w:val="00A600A9"/>
    <w:rsid w:val="00A64A31"/>
    <w:rsid w:val="00A807B6"/>
    <w:rsid w:val="00A83D3C"/>
    <w:rsid w:val="00A866AC"/>
    <w:rsid w:val="00A91361"/>
    <w:rsid w:val="00A946B8"/>
    <w:rsid w:val="00A96A4A"/>
    <w:rsid w:val="00AA3D21"/>
    <w:rsid w:val="00AA55B7"/>
    <w:rsid w:val="00AA5B9E"/>
    <w:rsid w:val="00AB03A8"/>
    <w:rsid w:val="00AB2407"/>
    <w:rsid w:val="00AB2F9C"/>
    <w:rsid w:val="00AB53DF"/>
    <w:rsid w:val="00AC3A5E"/>
    <w:rsid w:val="00AD406F"/>
    <w:rsid w:val="00AD4446"/>
    <w:rsid w:val="00AE1CC2"/>
    <w:rsid w:val="00AF57F9"/>
    <w:rsid w:val="00B07E5C"/>
    <w:rsid w:val="00B13E80"/>
    <w:rsid w:val="00B17FDB"/>
    <w:rsid w:val="00B20363"/>
    <w:rsid w:val="00B23A25"/>
    <w:rsid w:val="00B255AE"/>
    <w:rsid w:val="00B3065B"/>
    <w:rsid w:val="00B311ED"/>
    <w:rsid w:val="00B326E3"/>
    <w:rsid w:val="00B33D99"/>
    <w:rsid w:val="00B37E99"/>
    <w:rsid w:val="00B4377B"/>
    <w:rsid w:val="00B60381"/>
    <w:rsid w:val="00B64208"/>
    <w:rsid w:val="00B67795"/>
    <w:rsid w:val="00B76EA7"/>
    <w:rsid w:val="00B811F7"/>
    <w:rsid w:val="00B81CEF"/>
    <w:rsid w:val="00B93748"/>
    <w:rsid w:val="00BA5DC6"/>
    <w:rsid w:val="00BA6196"/>
    <w:rsid w:val="00BB3BE7"/>
    <w:rsid w:val="00BC6D8C"/>
    <w:rsid w:val="00BD355C"/>
    <w:rsid w:val="00BD6D1B"/>
    <w:rsid w:val="00BD7FC4"/>
    <w:rsid w:val="00BE0592"/>
    <w:rsid w:val="00BF042E"/>
    <w:rsid w:val="00BF0DDC"/>
    <w:rsid w:val="00BF445F"/>
    <w:rsid w:val="00C006D4"/>
    <w:rsid w:val="00C039D3"/>
    <w:rsid w:val="00C103D9"/>
    <w:rsid w:val="00C10BF1"/>
    <w:rsid w:val="00C16AF2"/>
    <w:rsid w:val="00C17A6C"/>
    <w:rsid w:val="00C21A63"/>
    <w:rsid w:val="00C24BFF"/>
    <w:rsid w:val="00C2724D"/>
    <w:rsid w:val="00C34006"/>
    <w:rsid w:val="00C415B8"/>
    <w:rsid w:val="00C426B1"/>
    <w:rsid w:val="00C4534B"/>
    <w:rsid w:val="00C574BE"/>
    <w:rsid w:val="00C63CF9"/>
    <w:rsid w:val="00C64F87"/>
    <w:rsid w:val="00C66E0D"/>
    <w:rsid w:val="00C825A8"/>
    <w:rsid w:val="00C82B6B"/>
    <w:rsid w:val="00C83E91"/>
    <w:rsid w:val="00C90D6A"/>
    <w:rsid w:val="00C9420C"/>
    <w:rsid w:val="00C95F0F"/>
    <w:rsid w:val="00C97909"/>
    <w:rsid w:val="00CB18A9"/>
    <w:rsid w:val="00CC3BE9"/>
    <w:rsid w:val="00CC588E"/>
    <w:rsid w:val="00CC72B6"/>
    <w:rsid w:val="00CD5F41"/>
    <w:rsid w:val="00CD7FA5"/>
    <w:rsid w:val="00CE12DB"/>
    <w:rsid w:val="00CE3807"/>
    <w:rsid w:val="00D01281"/>
    <w:rsid w:val="00D0218D"/>
    <w:rsid w:val="00D02EAA"/>
    <w:rsid w:val="00D14411"/>
    <w:rsid w:val="00D20177"/>
    <w:rsid w:val="00D216CD"/>
    <w:rsid w:val="00D274C1"/>
    <w:rsid w:val="00D3143D"/>
    <w:rsid w:val="00D32364"/>
    <w:rsid w:val="00D35793"/>
    <w:rsid w:val="00D36CE3"/>
    <w:rsid w:val="00D44A86"/>
    <w:rsid w:val="00D44AAD"/>
    <w:rsid w:val="00D453ED"/>
    <w:rsid w:val="00D50CEE"/>
    <w:rsid w:val="00D522A0"/>
    <w:rsid w:val="00D56CE0"/>
    <w:rsid w:val="00D66F62"/>
    <w:rsid w:val="00D71285"/>
    <w:rsid w:val="00D912FF"/>
    <w:rsid w:val="00D93FA4"/>
    <w:rsid w:val="00D96728"/>
    <w:rsid w:val="00DA06AE"/>
    <w:rsid w:val="00DA2529"/>
    <w:rsid w:val="00DA48EA"/>
    <w:rsid w:val="00DB130A"/>
    <w:rsid w:val="00DB344A"/>
    <w:rsid w:val="00DB6CDB"/>
    <w:rsid w:val="00DC10A1"/>
    <w:rsid w:val="00DC2F25"/>
    <w:rsid w:val="00DC655F"/>
    <w:rsid w:val="00DC7EA4"/>
    <w:rsid w:val="00DD00D0"/>
    <w:rsid w:val="00DD7EBD"/>
    <w:rsid w:val="00DE79D9"/>
    <w:rsid w:val="00DF0773"/>
    <w:rsid w:val="00DF37D0"/>
    <w:rsid w:val="00DF500A"/>
    <w:rsid w:val="00DF62B6"/>
    <w:rsid w:val="00E07225"/>
    <w:rsid w:val="00E15153"/>
    <w:rsid w:val="00E155B7"/>
    <w:rsid w:val="00E24BE3"/>
    <w:rsid w:val="00E24F90"/>
    <w:rsid w:val="00E32013"/>
    <w:rsid w:val="00E43EB9"/>
    <w:rsid w:val="00E47726"/>
    <w:rsid w:val="00E5409F"/>
    <w:rsid w:val="00E56029"/>
    <w:rsid w:val="00E57102"/>
    <w:rsid w:val="00E57E78"/>
    <w:rsid w:val="00E61EDE"/>
    <w:rsid w:val="00E64C3B"/>
    <w:rsid w:val="00E67B26"/>
    <w:rsid w:val="00E8456E"/>
    <w:rsid w:val="00E9278A"/>
    <w:rsid w:val="00E94FB2"/>
    <w:rsid w:val="00EA70AA"/>
    <w:rsid w:val="00EB1C49"/>
    <w:rsid w:val="00EB4C2B"/>
    <w:rsid w:val="00EC0185"/>
    <w:rsid w:val="00EC5F1E"/>
    <w:rsid w:val="00ED70E6"/>
    <w:rsid w:val="00EE0E84"/>
    <w:rsid w:val="00EE5C64"/>
    <w:rsid w:val="00EE5CB5"/>
    <w:rsid w:val="00EE5DEF"/>
    <w:rsid w:val="00EF18EF"/>
    <w:rsid w:val="00EF1AE0"/>
    <w:rsid w:val="00EF1C72"/>
    <w:rsid w:val="00EF593E"/>
    <w:rsid w:val="00F021FA"/>
    <w:rsid w:val="00F07AC5"/>
    <w:rsid w:val="00F13B32"/>
    <w:rsid w:val="00F22885"/>
    <w:rsid w:val="00F25085"/>
    <w:rsid w:val="00F25855"/>
    <w:rsid w:val="00F25F75"/>
    <w:rsid w:val="00F4074A"/>
    <w:rsid w:val="00F478B5"/>
    <w:rsid w:val="00F52543"/>
    <w:rsid w:val="00F57ACA"/>
    <w:rsid w:val="00F62E97"/>
    <w:rsid w:val="00F64209"/>
    <w:rsid w:val="00F8501C"/>
    <w:rsid w:val="00F86538"/>
    <w:rsid w:val="00F86FF4"/>
    <w:rsid w:val="00F93BF5"/>
    <w:rsid w:val="00F94B7A"/>
    <w:rsid w:val="00F94D74"/>
    <w:rsid w:val="00F96F63"/>
    <w:rsid w:val="00FB0C77"/>
    <w:rsid w:val="00FB2770"/>
    <w:rsid w:val="00FB45C3"/>
    <w:rsid w:val="00FB4F69"/>
    <w:rsid w:val="00FB6C1A"/>
    <w:rsid w:val="00FB7E2A"/>
    <w:rsid w:val="00FC457A"/>
    <w:rsid w:val="00FD08E2"/>
    <w:rsid w:val="00FD6FB4"/>
    <w:rsid w:val="00FF02E7"/>
    <w:rsid w:val="00FF1A7B"/>
    <w:rsid w:val="00FF1DC4"/>
    <w:rsid w:val="00FF1EEA"/>
    <w:rsid w:val="00FF2792"/>
    <w:rsid w:val="02EE882A"/>
    <w:rsid w:val="5F41C55E"/>
    <w:rsid w:val="5FCCDDB3"/>
    <w:rsid w:val="7CBB8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D42FA4-1065-49BC-8830-C8C11CC5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28"/>
    <w:pPr>
      <w:widowControl w:val="0"/>
    </w:pPr>
    <w:rPr>
      <w:snapToGrid w:val="0"/>
      <w:kern w:val="28"/>
      <w:sz w:val="22"/>
    </w:rPr>
  </w:style>
  <w:style w:type="paragraph" w:styleId="Heading1">
    <w:name w:val="heading 1"/>
    <w:basedOn w:val="Normal"/>
    <w:next w:val="ParaNum"/>
    <w:qFormat/>
    <w:rsid w:val="00945F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5F28"/>
    <w:pPr>
      <w:keepNext/>
      <w:numPr>
        <w:ilvl w:val="1"/>
        <w:numId w:val="3"/>
      </w:numPr>
      <w:spacing w:after="120"/>
      <w:outlineLvl w:val="1"/>
    </w:pPr>
    <w:rPr>
      <w:b/>
    </w:rPr>
  </w:style>
  <w:style w:type="paragraph" w:styleId="Heading3">
    <w:name w:val="heading 3"/>
    <w:basedOn w:val="Normal"/>
    <w:next w:val="ParaNum"/>
    <w:qFormat/>
    <w:rsid w:val="00945F28"/>
    <w:pPr>
      <w:keepNext/>
      <w:numPr>
        <w:ilvl w:val="2"/>
        <w:numId w:val="3"/>
      </w:numPr>
      <w:tabs>
        <w:tab w:val="left" w:pos="2160"/>
      </w:tabs>
      <w:spacing w:after="120"/>
      <w:outlineLvl w:val="2"/>
    </w:pPr>
    <w:rPr>
      <w:b/>
    </w:rPr>
  </w:style>
  <w:style w:type="paragraph" w:styleId="Heading4">
    <w:name w:val="heading 4"/>
    <w:basedOn w:val="Normal"/>
    <w:next w:val="ParaNum"/>
    <w:qFormat/>
    <w:rsid w:val="00945F28"/>
    <w:pPr>
      <w:keepNext/>
      <w:numPr>
        <w:ilvl w:val="3"/>
        <w:numId w:val="3"/>
      </w:numPr>
      <w:tabs>
        <w:tab w:val="left" w:pos="2880"/>
      </w:tabs>
      <w:spacing w:after="120"/>
      <w:outlineLvl w:val="3"/>
    </w:pPr>
    <w:rPr>
      <w:b/>
    </w:rPr>
  </w:style>
  <w:style w:type="paragraph" w:styleId="Heading5">
    <w:name w:val="heading 5"/>
    <w:basedOn w:val="Normal"/>
    <w:next w:val="ParaNum"/>
    <w:qFormat/>
    <w:rsid w:val="00945F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5F28"/>
    <w:pPr>
      <w:numPr>
        <w:ilvl w:val="5"/>
        <w:numId w:val="3"/>
      </w:numPr>
      <w:tabs>
        <w:tab w:val="left" w:pos="4320"/>
      </w:tabs>
      <w:spacing w:after="120"/>
      <w:outlineLvl w:val="5"/>
    </w:pPr>
    <w:rPr>
      <w:b/>
    </w:rPr>
  </w:style>
  <w:style w:type="paragraph" w:styleId="Heading7">
    <w:name w:val="heading 7"/>
    <w:basedOn w:val="Normal"/>
    <w:next w:val="ParaNum"/>
    <w:qFormat/>
    <w:rsid w:val="00945F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5F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5F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45F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45F28"/>
  </w:style>
  <w:style w:type="paragraph" w:customStyle="1" w:styleId="ParaNum">
    <w:name w:val="ParaNum"/>
    <w:basedOn w:val="Normal"/>
    <w:rsid w:val="00945F28"/>
    <w:pPr>
      <w:numPr>
        <w:numId w:val="2"/>
      </w:numPr>
      <w:tabs>
        <w:tab w:val="clear" w:pos="1080"/>
        <w:tab w:val="num" w:pos="1440"/>
      </w:tabs>
      <w:spacing w:after="120"/>
    </w:pPr>
  </w:style>
  <w:style w:type="paragraph" w:styleId="EndnoteText">
    <w:name w:val="endnote text"/>
    <w:basedOn w:val="Normal"/>
    <w:semiHidden/>
    <w:rsid w:val="00945F28"/>
    <w:rPr>
      <w:sz w:val="20"/>
    </w:rPr>
  </w:style>
  <w:style w:type="character" w:styleId="EndnoteReference">
    <w:name w:val="endnote reference"/>
    <w:semiHidden/>
    <w:rsid w:val="00945F28"/>
    <w:rPr>
      <w:vertAlign w:val="superscript"/>
    </w:rPr>
  </w:style>
  <w:style w:type="paragraph" w:styleId="FootnoteText">
    <w:name w:val="footnote text"/>
    <w:rsid w:val="00945F28"/>
    <w:pPr>
      <w:spacing w:after="120"/>
    </w:pPr>
  </w:style>
  <w:style w:type="character" w:styleId="FootnoteReference">
    <w:name w:val="footnote reference"/>
    <w:rsid w:val="00945F28"/>
    <w:rPr>
      <w:rFonts w:ascii="Times New Roman" w:hAnsi="Times New Roman"/>
      <w:dstrike w:val="0"/>
      <w:color w:val="auto"/>
      <w:sz w:val="22"/>
      <w:vertAlign w:val="superscript"/>
    </w:rPr>
  </w:style>
  <w:style w:type="paragraph" w:styleId="TOC1">
    <w:name w:val="toc 1"/>
    <w:basedOn w:val="Normal"/>
    <w:next w:val="Normal"/>
    <w:uiPriority w:val="39"/>
    <w:rsid w:val="00945F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5F28"/>
    <w:pPr>
      <w:tabs>
        <w:tab w:val="left" w:pos="720"/>
        <w:tab w:val="right" w:leader="dot" w:pos="9360"/>
      </w:tabs>
      <w:suppressAutoHyphens/>
      <w:ind w:left="720" w:right="720" w:hanging="360"/>
    </w:pPr>
    <w:rPr>
      <w:noProof/>
    </w:rPr>
  </w:style>
  <w:style w:type="paragraph" w:styleId="TOC3">
    <w:name w:val="toc 3"/>
    <w:basedOn w:val="Normal"/>
    <w:next w:val="Normal"/>
    <w:semiHidden/>
    <w:rsid w:val="00945F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5F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5F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5F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5F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5F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5F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5F28"/>
    <w:pPr>
      <w:tabs>
        <w:tab w:val="right" w:pos="9360"/>
      </w:tabs>
      <w:suppressAutoHyphens/>
    </w:pPr>
  </w:style>
  <w:style w:type="character" w:customStyle="1" w:styleId="EquationCaption">
    <w:name w:val="_Equation Caption"/>
    <w:rsid w:val="00945F28"/>
  </w:style>
  <w:style w:type="paragraph" w:styleId="Header">
    <w:name w:val="header"/>
    <w:basedOn w:val="Normal"/>
    <w:autoRedefine/>
    <w:rsid w:val="00945F2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45F28"/>
    <w:pPr>
      <w:tabs>
        <w:tab w:val="center" w:pos="4320"/>
        <w:tab w:val="right" w:pos="8640"/>
      </w:tabs>
    </w:pPr>
  </w:style>
  <w:style w:type="character" w:styleId="PageNumber">
    <w:name w:val="page number"/>
    <w:basedOn w:val="DefaultParagraphFont"/>
    <w:rsid w:val="00945F28"/>
  </w:style>
  <w:style w:type="paragraph" w:styleId="BlockText">
    <w:name w:val="Block Text"/>
    <w:basedOn w:val="Normal"/>
    <w:rsid w:val="00945F28"/>
    <w:pPr>
      <w:spacing w:after="240"/>
      <w:ind w:left="1440" w:right="1440"/>
    </w:pPr>
  </w:style>
  <w:style w:type="paragraph" w:customStyle="1" w:styleId="Paratitle">
    <w:name w:val="Para title"/>
    <w:basedOn w:val="Normal"/>
    <w:rsid w:val="00945F28"/>
    <w:pPr>
      <w:tabs>
        <w:tab w:val="center" w:pos="9270"/>
      </w:tabs>
      <w:spacing w:after="240"/>
    </w:pPr>
    <w:rPr>
      <w:spacing w:val="-2"/>
    </w:rPr>
  </w:style>
  <w:style w:type="paragraph" w:customStyle="1" w:styleId="Bullet">
    <w:name w:val="Bullet"/>
    <w:basedOn w:val="Normal"/>
    <w:rsid w:val="00945F28"/>
    <w:pPr>
      <w:numPr>
        <w:numId w:val="1"/>
      </w:numPr>
      <w:tabs>
        <w:tab w:val="clear" w:pos="360"/>
        <w:tab w:val="left" w:pos="2160"/>
      </w:tabs>
      <w:spacing w:after="220"/>
      <w:ind w:left="2160" w:hanging="720"/>
    </w:pPr>
  </w:style>
  <w:style w:type="paragraph" w:customStyle="1" w:styleId="TableFormat">
    <w:name w:val="TableFormat"/>
    <w:basedOn w:val="Bullet"/>
    <w:rsid w:val="00945F28"/>
    <w:pPr>
      <w:numPr>
        <w:numId w:val="0"/>
      </w:numPr>
      <w:tabs>
        <w:tab w:val="clear" w:pos="2160"/>
        <w:tab w:val="left" w:pos="5040"/>
      </w:tabs>
      <w:ind w:left="5040" w:hanging="3600"/>
    </w:pPr>
  </w:style>
  <w:style w:type="paragraph" w:customStyle="1" w:styleId="TOCTitle">
    <w:name w:val="TOC Title"/>
    <w:basedOn w:val="Normal"/>
    <w:rsid w:val="00945F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5F28"/>
    <w:pPr>
      <w:jc w:val="center"/>
    </w:pPr>
    <w:rPr>
      <w:rFonts w:ascii="Times New Roman Bold" w:hAnsi="Times New Roman Bold"/>
      <w:b/>
      <w:bCs/>
      <w:caps/>
      <w:szCs w:val="22"/>
    </w:rPr>
  </w:style>
  <w:style w:type="character" w:styleId="Hyperlink">
    <w:name w:val="Hyperlink"/>
    <w:rsid w:val="00945F28"/>
    <w:rPr>
      <w:color w:val="0000FF"/>
      <w:u w:val="single"/>
    </w:rPr>
  </w:style>
  <w:style w:type="character" w:customStyle="1" w:styleId="FooterChar">
    <w:name w:val="Footer Char"/>
    <w:link w:val="Footer"/>
    <w:uiPriority w:val="99"/>
    <w:rsid w:val="00945F28"/>
    <w:rPr>
      <w:snapToGrid w:val="0"/>
      <w:kern w:val="28"/>
      <w:sz w:val="22"/>
    </w:rPr>
  </w:style>
  <w:style w:type="character" w:styleId="CommentReference">
    <w:name w:val="annotation reference"/>
    <w:uiPriority w:val="99"/>
    <w:rsid w:val="00424EE5"/>
    <w:rPr>
      <w:sz w:val="16"/>
      <w:szCs w:val="16"/>
    </w:rPr>
  </w:style>
  <w:style w:type="paragraph" w:styleId="CommentText">
    <w:name w:val="annotation text"/>
    <w:basedOn w:val="Normal"/>
    <w:link w:val="CommentTextChar"/>
    <w:uiPriority w:val="99"/>
    <w:rsid w:val="00424EE5"/>
    <w:rPr>
      <w:sz w:val="20"/>
    </w:rPr>
  </w:style>
  <w:style w:type="character" w:customStyle="1" w:styleId="CommentTextChar">
    <w:name w:val="Comment Text Char"/>
    <w:basedOn w:val="DefaultParagraphFont"/>
    <w:link w:val="CommentText"/>
    <w:uiPriority w:val="99"/>
    <w:rsid w:val="00424EE5"/>
    <w:rPr>
      <w:snapToGrid w:val="0"/>
      <w:kern w:val="28"/>
    </w:rPr>
  </w:style>
  <w:style w:type="paragraph" w:styleId="ListParagraph">
    <w:name w:val="List Paragraph"/>
    <w:basedOn w:val="Normal"/>
    <w:uiPriority w:val="34"/>
    <w:qFormat/>
    <w:rsid w:val="00424EE5"/>
    <w:pPr>
      <w:ind w:left="720"/>
      <w:contextualSpacing/>
    </w:pPr>
  </w:style>
  <w:style w:type="paragraph" w:styleId="BalloonText">
    <w:name w:val="Balloon Text"/>
    <w:basedOn w:val="Normal"/>
    <w:link w:val="BalloonTextChar"/>
    <w:uiPriority w:val="99"/>
    <w:semiHidden/>
    <w:unhideWhenUsed/>
    <w:rsid w:val="00FC4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7A"/>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C457A"/>
    <w:rPr>
      <w:b/>
      <w:bCs/>
    </w:rPr>
  </w:style>
  <w:style w:type="character" w:customStyle="1" w:styleId="CommentSubjectChar">
    <w:name w:val="Comment Subject Char"/>
    <w:basedOn w:val="CommentTextChar"/>
    <w:link w:val="CommentSubject"/>
    <w:uiPriority w:val="99"/>
    <w:semiHidden/>
    <w:rsid w:val="00FC457A"/>
    <w:rPr>
      <w:b/>
      <w:bCs/>
      <w:snapToGrid w:val="0"/>
      <w:kern w:val="28"/>
    </w:rPr>
  </w:style>
  <w:style w:type="character" w:styleId="FollowedHyperlink">
    <w:name w:val="FollowedHyperlink"/>
    <w:basedOn w:val="DefaultParagraphFont"/>
    <w:uiPriority w:val="99"/>
    <w:semiHidden/>
    <w:unhideWhenUsed/>
    <w:rsid w:val="00CC588E"/>
    <w:rPr>
      <w:color w:val="800080" w:themeColor="followedHyperlink"/>
      <w:u w:val="single"/>
    </w:rPr>
  </w:style>
  <w:style w:type="character" w:customStyle="1" w:styleId="UnresolvedMention">
    <w:name w:val="Unresolved Mention"/>
    <w:basedOn w:val="DefaultParagraphFont"/>
    <w:uiPriority w:val="99"/>
    <w:semiHidden/>
    <w:unhideWhenUsed/>
    <w:rsid w:val="00CC588E"/>
    <w:rPr>
      <w:color w:val="605E5C"/>
      <w:shd w:val="clear" w:color="auto" w:fill="E1DFDD"/>
    </w:rPr>
  </w:style>
  <w:style w:type="character" w:customStyle="1" w:styleId="et03">
    <w:name w:val="et03"/>
    <w:basedOn w:val="DefaultParagraphFont"/>
    <w:rsid w:val="00613BD6"/>
  </w:style>
  <w:style w:type="table" w:styleId="TableGrid">
    <w:name w:val="Table Grid"/>
    <w:basedOn w:val="TableNormal"/>
    <w:uiPriority w:val="39"/>
    <w:rsid w:val="001F23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6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orms.universalservice.org/portal/login" TargetMode="External" /><Relationship Id="rId6" Type="http://schemas.openxmlformats.org/officeDocument/2006/relationships/hyperlink" Target="mailto:RHCAssist@usac.org" TargetMode="External" /><Relationship Id="rId7" Type="http://schemas.openxmlformats.org/officeDocument/2006/relationships/hyperlink" Target="https://www.fcc.gov/wireline-competition/telecommunications-access-policy-division/connected-care-pilot-program" TargetMode="External" /><Relationship Id="rId8" Type="http://schemas.openxmlformats.org/officeDocument/2006/relationships/hyperlink" Target="mailto:Clinton.Highfill@fcc.gov" TargetMode="External" /><Relationship Id="rId9" Type="http://schemas.openxmlformats.org/officeDocument/2006/relationships/hyperlink" Target="mailto:ConnectedCar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forms.universalservice.org/portal/login" TargetMode="External" /><Relationship Id="rId2" Type="http://schemas.openxmlformats.org/officeDocument/2006/relationships/hyperlink" Target="https://www.usac.org/rural-health-care/resources/form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