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737167" w14:paraId="6AAFF574" w14:textId="7A129BC9">
      <w:pPr>
        <w:jc w:val="right"/>
        <w:rPr>
          <w:b/>
          <w:sz w:val="24"/>
        </w:rPr>
      </w:pPr>
      <w:r>
        <w:rPr>
          <w:b/>
          <w:sz w:val="24"/>
        </w:rPr>
        <w:t>DA 20-</w:t>
      </w:r>
      <w:r w:rsidR="00655326">
        <w:rPr>
          <w:b/>
          <w:sz w:val="24"/>
        </w:rPr>
        <w:t>1082</w:t>
      </w:r>
    </w:p>
    <w:p w:rsidR="00013A8B" w:rsidRPr="00B20363" w:rsidP="00013A8B" w14:paraId="7B684418" w14:textId="14A36800">
      <w:pPr>
        <w:spacing w:before="60"/>
        <w:jc w:val="right"/>
        <w:rPr>
          <w:b/>
          <w:sz w:val="24"/>
        </w:rPr>
      </w:pPr>
      <w:r>
        <w:rPr>
          <w:b/>
          <w:sz w:val="24"/>
        </w:rPr>
        <w:t xml:space="preserve">Released:  </w:t>
      </w:r>
      <w:r w:rsidR="00F34191">
        <w:rPr>
          <w:b/>
          <w:sz w:val="24"/>
        </w:rPr>
        <w:t xml:space="preserve">September </w:t>
      </w:r>
      <w:r w:rsidR="00655326">
        <w:rPr>
          <w:b/>
          <w:sz w:val="24"/>
        </w:rPr>
        <w:t>15</w:t>
      </w:r>
      <w:r w:rsidR="00F34191">
        <w:rPr>
          <w:b/>
          <w:sz w:val="24"/>
        </w:rPr>
        <w:t>, 2020</w:t>
      </w:r>
    </w:p>
    <w:p w:rsidR="00013A8B" w:rsidP="00013A8B" w14:paraId="6A094E91" w14:textId="77777777">
      <w:pPr>
        <w:jc w:val="right"/>
        <w:rPr>
          <w:sz w:val="24"/>
        </w:rPr>
      </w:pPr>
    </w:p>
    <w:p w:rsidR="00013A8B" w:rsidRPr="00B20363" w:rsidP="00013A8B" w14:paraId="021808A4" w14:textId="45D4AEB4">
      <w:pPr>
        <w:spacing w:after="240"/>
        <w:jc w:val="center"/>
        <w:rPr>
          <w:rFonts w:ascii="Times New Roman Bold" w:hAnsi="Times New Roman Bold"/>
          <w:b/>
          <w:caps/>
          <w:sz w:val="24"/>
        </w:rPr>
      </w:pPr>
      <w:r>
        <w:rPr>
          <w:rFonts w:ascii="Times New Roman Bold" w:hAnsi="Times New Roman Bold"/>
          <w:b/>
          <w:caps/>
          <w:sz w:val="24"/>
        </w:rPr>
        <w:t xml:space="preserve">WIRELINE COMPETITION BUREAU AUTHORIZES STAGE 2 MOBILE SUPPORT FOR </w:t>
      </w:r>
      <w:r w:rsidR="00E33FF3">
        <w:rPr>
          <w:rFonts w:ascii="Times New Roman Bold" w:hAnsi="Times New Roman Bold"/>
          <w:b/>
          <w:caps/>
          <w:sz w:val="24"/>
        </w:rPr>
        <w:t>T-MOBILE</w:t>
      </w:r>
      <w:r>
        <w:rPr>
          <w:rFonts w:ascii="Times New Roman Bold" w:hAnsi="Times New Roman Bold"/>
          <w:b/>
          <w:caps/>
          <w:sz w:val="24"/>
        </w:rPr>
        <w:t xml:space="preserve"> </w:t>
      </w:r>
      <w:r w:rsidR="007B7ACD">
        <w:rPr>
          <w:rFonts w:ascii="Times New Roman Bold" w:hAnsi="Times New Roman Bold"/>
          <w:b/>
          <w:caps/>
          <w:sz w:val="24"/>
        </w:rPr>
        <w:t>in</w:t>
      </w:r>
      <w:r w:rsidR="007157F2">
        <w:rPr>
          <w:rFonts w:ascii="Times New Roman Bold" w:hAnsi="Times New Roman Bold"/>
          <w:b/>
          <w:caps/>
          <w:sz w:val="24"/>
        </w:rPr>
        <w:t xml:space="preserve"> </w:t>
      </w:r>
      <w:r>
        <w:rPr>
          <w:rFonts w:ascii="Times New Roman Bold" w:hAnsi="Times New Roman Bold"/>
          <w:b/>
          <w:caps/>
          <w:sz w:val="24"/>
        </w:rPr>
        <w:t>PUERTO RICO</w:t>
      </w:r>
    </w:p>
    <w:p w:rsidR="00F34191" w:rsidP="00F34191" w14:paraId="0678B14E" w14:textId="1D1399EA">
      <w:pPr>
        <w:jc w:val="center"/>
        <w:rPr>
          <w:b/>
          <w:sz w:val="24"/>
        </w:rPr>
      </w:pPr>
      <w:r>
        <w:rPr>
          <w:b/>
          <w:sz w:val="24"/>
        </w:rPr>
        <w:t>WC Docket Nos. 18-143, 10-90</w:t>
      </w:r>
    </w:p>
    <w:p w:rsidR="00F96F63" w:rsidP="00F96F63" w14:paraId="53BA8B19" w14:textId="77777777">
      <w:pPr>
        <w:rPr>
          <w:sz w:val="24"/>
        </w:rPr>
      </w:pPr>
    </w:p>
    <w:p w:rsidR="005210D2" w:rsidRPr="00C94739" w:rsidP="00C94739" w14:paraId="1AE61EA2" w14:textId="348DC8F2">
      <w:pPr>
        <w:spacing w:after="240"/>
        <w:ind w:firstLine="720"/>
        <w:rPr>
          <w:szCs w:val="22"/>
        </w:rPr>
      </w:pPr>
      <w:r w:rsidRPr="00C94739">
        <w:rPr>
          <w:szCs w:val="22"/>
        </w:rPr>
        <w:t>In this Public Notice, the Wireline Competition Bureau (Bureau</w:t>
      </w:r>
      <w:r w:rsidRPr="00C94739" w:rsidR="00A773F2">
        <w:rPr>
          <w:szCs w:val="22"/>
        </w:rPr>
        <w:t xml:space="preserve">) authorizes high-cost mobile support funding for </w:t>
      </w:r>
      <w:r w:rsidRPr="00C94739" w:rsidR="00426B09">
        <w:rPr>
          <w:szCs w:val="22"/>
        </w:rPr>
        <w:t>T-Mobile USA, Inc./PR Wireless PR, LLC</w:t>
      </w:r>
      <w:r w:rsidRPr="00C94739" w:rsidR="00193810">
        <w:rPr>
          <w:szCs w:val="22"/>
        </w:rPr>
        <w:t>,</w:t>
      </w:r>
      <w:r>
        <w:rPr>
          <w:rStyle w:val="FootnoteReference"/>
          <w:szCs w:val="22"/>
        </w:rPr>
        <w:footnoteReference w:id="3"/>
      </w:r>
      <w:r w:rsidRPr="00C94739" w:rsidR="00193810">
        <w:rPr>
          <w:szCs w:val="22"/>
        </w:rPr>
        <w:t xml:space="preserve"> </w:t>
      </w:r>
      <w:r w:rsidR="00736ED2">
        <w:rPr>
          <w:szCs w:val="22"/>
        </w:rPr>
        <w:t xml:space="preserve">(hereinafter T-Mobile), </w:t>
      </w:r>
      <w:r w:rsidRPr="00C94739" w:rsidR="00193810">
        <w:rPr>
          <w:szCs w:val="22"/>
        </w:rPr>
        <w:t xml:space="preserve">an </w:t>
      </w:r>
      <w:r w:rsidRPr="00C94739" w:rsidR="00A773F2">
        <w:rPr>
          <w:szCs w:val="22"/>
        </w:rPr>
        <w:t xml:space="preserve">eligible facilities-based mobile provider </w:t>
      </w:r>
      <w:r w:rsidRPr="00C94739" w:rsidR="00A3231F">
        <w:rPr>
          <w:szCs w:val="22"/>
        </w:rPr>
        <w:t>participating</w:t>
      </w:r>
      <w:r w:rsidRPr="00C94739">
        <w:rPr>
          <w:szCs w:val="22"/>
        </w:rPr>
        <w:t xml:space="preserve"> in Stage 2 of the </w:t>
      </w:r>
      <w:r w:rsidRPr="00C94739">
        <w:rPr>
          <w:szCs w:val="22"/>
        </w:rPr>
        <w:t>Uniendo</w:t>
      </w:r>
      <w:r w:rsidRPr="00C94739">
        <w:rPr>
          <w:szCs w:val="22"/>
        </w:rPr>
        <w:t xml:space="preserve"> a Puerto Rico Fund</w:t>
      </w:r>
      <w:r w:rsidRPr="00C94739" w:rsidR="00A3231F">
        <w:rPr>
          <w:szCs w:val="22"/>
        </w:rPr>
        <w:t>.</w:t>
      </w:r>
      <w:r>
        <w:rPr>
          <w:szCs w:val="22"/>
          <w:vertAlign w:val="superscript"/>
        </w:rPr>
        <w:footnoteReference w:id="4"/>
      </w:r>
    </w:p>
    <w:p w:rsidR="002D48A3" w:rsidRPr="00C94739" w:rsidP="005D18CF" w14:paraId="134912BC" w14:textId="65ACD972">
      <w:pPr>
        <w:spacing w:after="240"/>
        <w:ind w:firstLine="720"/>
        <w:rPr>
          <w:szCs w:val="22"/>
        </w:rPr>
      </w:pPr>
      <w:r w:rsidRPr="00C94739">
        <w:rPr>
          <w:szCs w:val="22"/>
        </w:rPr>
        <w:t xml:space="preserve">In the </w:t>
      </w:r>
      <w:r w:rsidRPr="00C94739">
        <w:rPr>
          <w:i/>
          <w:szCs w:val="22"/>
        </w:rPr>
        <w:t>PR-USVI Stage 2 Order</w:t>
      </w:r>
      <w:r w:rsidRPr="00C94739">
        <w:rPr>
          <w:szCs w:val="22"/>
        </w:rPr>
        <w:t>, the Commission made available $258.8 million in Stage 2 high-cost support over a three-year period to mobile providers in Puerto Rico and the U.S. Virgin Islands to restore, harden, and expand 4G LTE and 5G technology for voice and broadband service in the aftermath of Hurricane Irma and Hurricane Maria.</w:t>
      </w:r>
      <w:r>
        <w:rPr>
          <w:szCs w:val="22"/>
          <w:vertAlign w:val="superscript"/>
        </w:rPr>
        <w:footnoteReference w:id="5"/>
      </w:r>
      <w:r w:rsidRPr="00C94739">
        <w:rPr>
          <w:szCs w:val="22"/>
        </w:rPr>
        <w:t xml:space="preserve">  For the three-year </w:t>
      </w:r>
      <w:r w:rsidRPr="00C94739" w:rsidR="00455A8C">
        <w:rPr>
          <w:szCs w:val="22"/>
        </w:rPr>
        <w:t>period</w:t>
      </w:r>
      <w:r w:rsidRPr="00C94739">
        <w:rPr>
          <w:szCs w:val="22"/>
        </w:rPr>
        <w:t>, the Commission allocated budgets of $254.4 million to Puerto Rico and $4.4 million to the U.S. Virgin Islands</w:t>
      </w:r>
      <w:r>
        <w:rPr>
          <w:rStyle w:val="FootnoteReference"/>
          <w:szCs w:val="22"/>
        </w:rPr>
        <w:footnoteReference w:id="6"/>
      </w:r>
      <w:r w:rsidRPr="00C94739">
        <w:rPr>
          <w:szCs w:val="22"/>
        </w:rPr>
        <w:t xml:space="preserve"> and provided eligible facilities-based mobile providers with a one-time opportunity to elect to receive a pro-rata share of Stage 2 mobile support based on the number of subscribers served as of June 30, 2017.</w:t>
      </w:r>
      <w:r>
        <w:rPr>
          <w:szCs w:val="22"/>
          <w:vertAlign w:val="superscript"/>
        </w:rPr>
        <w:footnoteReference w:id="7"/>
      </w:r>
      <w:r w:rsidRPr="00C94739">
        <w:rPr>
          <w:szCs w:val="22"/>
        </w:rPr>
        <w:t xml:space="preserve">  Each eligible mobile provider could elect to receive up to 75% of its pro-rata share of support for use towards the restoration, hardening, upgrading, and expansion of networks capable of providing 4G LTE or better services and up to 25% of its available pro-rata share of support for use towards the deployment of 5G network technology as set forth in the </w:t>
      </w:r>
      <w:r w:rsidRPr="00C94739">
        <w:rPr>
          <w:i/>
          <w:szCs w:val="22"/>
        </w:rPr>
        <w:t>Order</w:t>
      </w:r>
      <w:r w:rsidRPr="00C94739">
        <w:rPr>
          <w:szCs w:val="22"/>
        </w:rPr>
        <w:t>.</w:t>
      </w:r>
      <w:r>
        <w:rPr>
          <w:rStyle w:val="FootnoteReference"/>
          <w:szCs w:val="22"/>
        </w:rPr>
        <w:footnoteReference w:id="8"/>
      </w:r>
      <w:r w:rsidRPr="00C94739">
        <w:rPr>
          <w:szCs w:val="22"/>
        </w:rPr>
        <w:t xml:space="preserve">  On October 18, 2019, the Bureau released a </w:t>
      </w:r>
      <w:r w:rsidRPr="00C94739">
        <w:rPr>
          <w:i/>
          <w:iCs/>
          <w:szCs w:val="22"/>
        </w:rPr>
        <w:t>Public Notice</w:t>
      </w:r>
      <w:r w:rsidRPr="00C94739">
        <w:rPr>
          <w:szCs w:val="22"/>
        </w:rPr>
        <w:t xml:space="preserve"> announcing November 18, 2019, as the deadline for mobile providers to submit their elections to receive Stage 2 support for the Territories.</w:t>
      </w:r>
      <w:r>
        <w:rPr>
          <w:szCs w:val="22"/>
          <w:vertAlign w:val="superscript"/>
        </w:rPr>
        <w:footnoteReference w:id="9"/>
      </w:r>
    </w:p>
    <w:p w:rsidR="00FD6A27" w:rsidRPr="00C94739" w:rsidP="00C60ACD" w14:paraId="1CC1A6CF" w14:textId="65CD1CC6">
      <w:pPr>
        <w:spacing w:after="120"/>
        <w:ind w:firstLine="720"/>
        <w:rPr>
          <w:szCs w:val="22"/>
        </w:rPr>
      </w:pPr>
      <w:r w:rsidRPr="00C94739">
        <w:rPr>
          <w:szCs w:val="22"/>
        </w:rPr>
        <w:t xml:space="preserve">Pursuant to the direction in the </w:t>
      </w:r>
      <w:r w:rsidRPr="00C94739">
        <w:rPr>
          <w:i/>
          <w:szCs w:val="22"/>
        </w:rPr>
        <w:t>PR-USVI Stage 2 Order</w:t>
      </w:r>
      <w:r w:rsidRPr="00C94739">
        <w:rPr>
          <w:szCs w:val="22"/>
        </w:rPr>
        <w:t>, a total of six mobile providers ele</w:t>
      </w:r>
      <w:bookmarkStart w:id="0" w:name="_GoBack"/>
      <w:bookmarkEnd w:id="0"/>
      <w:r w:rsidRPr="00C94739">
        <w:rPr>
          <w:szCs w:val="22"/>
        </w:rPr>
        <w:t>cted to receive Stage 2 funding in the Territories</w:t>
      </w:r>
      <w:r w:rsidR="00BF43A2">
        <w:rPr>
          <w:szCs w:val="22"/>
        </w:rPr>
        <w:t>,</w:t>
      </w:r>
      <w:r w:rsidRPr="00C94739" w:rsidR="006A1E45">
        <w:rPr>
          <w:szCs w:val="22"/>
        </w:rPr>
        <w:t xml:space="preserve"> four in </w:t>
      </w:r>
      <w:r w:rsidRPr="00C94739">
        <w:rPr>
          <w:szCs w:val="22"/>
        </w:rPr>
        <w:t xml:space="preserve">Puerto Rico </w:t>
      </w:r>
      <w:r w:rsidRPr="00C94739" w:rsidR="006A1E45">
        <w:rPr>
          <w:szCs w:val="22"/>
        </w:rPr>
        <w:t xml:space="preserve">and three in </w:t>
      </w:r>
      <w:r w:rsidRPr="00C94739">
        <w:rPr>
          <w:szCs w:val="22"/>
        </w:rPr>
        <w:t xml:space="preserve">the </w:t>
      </w:r>
      <w:r w:rsidRPr="00C94739" w:rsidR="00C60ACD">
        <w:rPr>
          <w:szCs w:val="22"/>
        </w:rPr>
        <w:t>U.S. Virgin Islands</w:t>
      </w:r>
      <w:r w:rsidRPr="00C94739">
        <w:rPr>
          <w:szCs w:val="22"/>
        </w:rPr>
        <w:t>.</w:t>
      </w:r>
      <w:r>
        <w:rPr>
          <w:rStyle w:val="FootnoteReference"/>
          <w:szCs w:val="22"/>
        </w:rPr>
        <w:footnoteReference w:id="10"/>
      </w:r>
      <w:r w:rsidRPr="00C94739">
        <w:rPr>
          <w:szCs w:val="22"/>
        </w:rPr>
        <w:t xml:space="preserve"> </w:t>
      </w:r>
      <w:r w:rsidR="00C669C3">
        <w:rPr>
          <w:szCs w:val="22"/>
        </w:rPr>
        <w:t xml:space="preserve"> </w:t>
      </w:r>
      <w:r w:rsidRPr="00C94739">
        <w:rPr>
          <w:szCs w:val="22"/>
        </w:rPr>
        <w:t>In addition to their elections, mobile providers were required to submit Disaster Preparation and Response Plans for the Bureau’s approval prior to receiving authorization for Stage 2 support.</w:t>
      </w:r>
      <w:r>
        <w:rPr>
          <w:rStyle w:val="FootnoteReference"/>
          <w:szCs w:val="22"/>
        </w:rPr>
        <w:footnoteReference w:id="11"/>
      </w:r>
      <w:r w:rsidRPr="00C94739">
        <w:rPr>
          <w:szCs w:val="22"/>
        </w:rPr>
        <w:t xml:space="preserve">  The Commission required applicants to describe in detail in their Disaster Preparation and Response Plans how they will meet five criteria: (1) Strengthening Infrastructure; (2) Ensuring Network Diversity; (3) Ensuring Backup Power; (4) Network Monitoring; and (5) Emergency Preparedness </w:t>
      </w:r>
      <w:r w:rsidRPr="00C94739" w:rsidR="00C60ACD">
        <w:rPr>
          <w:szCs w:val="22"/>
        </w:rPr>
        <w:t xml:space="preserve">and </w:t>
      </w:r>
      <w:r w:rsidRPr="00C94739">
        <w:rPr>
          <w:szCs w:val="22"/>
        </w:rPr>
        <w:t>to document their methods and processes for achieving each of these goals.</w:t>
      </w:r>
      <w:r>
        <w:rPr>
          <w:rStyle w:val="FootnoteReference"/>
          <w:szCs w:val="22"/>
        </w:rPr>
        <w:footnoteReference w:id="12"/>
      </w:r>
      <w:r w:rsidRPr="00C94739">
        <w:rPr>
          <w:szCs w:val="22"/>
        </w:rPr>
        <w:t xml:space="preserve">  </w:t>
      </w:r>
      <w:r w:rsidRPr="00C94739" w:rsidR="001F561C">
        <w:rPr>
          <w:szCs w:val="22"/>
        </w:rPr>
        <w:t xml:space="preserve">Support recipients </w:t>
      </w:r>
      <w:r w:rsidRPr="00C94739" w:rsidR="00C60ACD">
        <w:rPr>
          <w:szCs w:val="22"/>
        </w:rPr>
        <w:t xml:space="preserve">were also </w:t>
      </w:r>
      <w:r w:rsidRPr="00C94739" w:rsidR="001F561C">
        <w:rPr>
          <w:szCs w:val="22"/>
        </w:rPr>
        <w:t xml:space="preserve">required to update their Disaster Preparation and Response Plan when </w:t>
      </w:r>
      <w:r w:rsidRPr="00C94739" w:rsidR="00C60ACD">
        <w:rPr>
          <w:szCs w:val="22"/>
        </w:rPr>
        <w:t xml:space="preserve">making </w:t>
      </w:r>
      <w:r w:rsidRPr="00C94739" w:rsidR="001F561C">
        <w:rPr>
          <w:szCs w:val="22"/>
        </w:rPr>
        <w:t xml:space="preserve">material changes to internal processes or responsible staff and </w:t>
      </w:r>
      <w:r w:rsidRPr="00C94739" w:rsidR="005E4285">
        <w:rPr>
          <w:szCs w:val="22"/>
        </w:rPr>
        <w:t xml:space="preserve">to </w:t>
      </w:r>
      <w:r w:rsidRPr="00C94739" w:rsidR="001F561C">
        <w:rPr>
          <w:szCs w:val="22"/>
        </w:rPr>
        <w:t>share the updated Disaster Preparation and Response Plan with the Bureau within 10 business days.</w:t>
      </w:r>
      <w:r>
        <w:rPr>
          <w:rStyle w:val="FootnoteReference"/>
          <w:szCs w:val="22"/>
        </w:rPr>
        <w:footnoteReference w:id="13"/>
      </w:r>
    </w:p>
    <w:p w:rsidR="00FD6A27" w:rsidRPr="00C94739" w:rsidP="00C85C21" w14:paraId="5D81A60D" w14:textId="774DA505">
      <w:pPr>
        <w:spacing w:after="200"/>
        <w:ind w:firstLine="720"/>
        <w:rPr>
          <w:szCs w:val="22"/>
        </w:rPr>
      </w:pPr>
      <w:r w:rsidRPr="00C94739">
        <w:rPr>
          <w:szCs w:val="22"/>
        </w:rPr>
        <w:t>F</w:t>
      </w:r>
      <w:r w:rsidRPr="00C94739">
        <w:rPr>
          <w:szCs w:val="22"/>
        </w:rPr>
        <w:t xml:space="preserve">ollowing review and evaluation, the Bureau approves the </w:t>
      </w:r>
      <w:r w:rsidRPr="00C94739" w:rsidR="005E4285">
        <w:rPr>
          <w:szCs w:val="22"/>
        </w:rPr>
        <w:t xml:space="preserve">Disaster Preparation and Response Plan </w:t>
      </w:r>
      <w:r w:rsidRPr="00C94739">
        <w:rPr>
          <w:szCs w:val="22"/>
        </w:rPr>
        <w:t xml:space="preserve">for </w:t>
      </w:r>
      <w:r w:rsidRPr="00C94739" w:rsidR="00C85C21">
        <w:rPr>
          <w:szCs w:val="22"/>
        </w:rPr>
        <w:t>T</w:t>
      </w:r>
      <w:r w:rsidR="00956B45">
        <w:rPr>
          <w:szCs w:val="22"/>
        </w:rPr>
        <w:t>-</w:t>
      </w:r>
      <w:r w:rsidRPr="00C94739" w:rsidR="00C85C21">
        <w:rPr>
          <w:szCs w:val="22"/>
        </w:rPr>
        <w:t>Mobile</w:t>
      </w:r>
      <w:r w:rsidR="00736ED2">
        <w:rPr>
          <w:szCs w:val="22"/>
        </w:rPr>
        <w:t xml:space="preserve"> </w:t>
      </w:r>
      <w:r w:rsidRPr="00C94739">
        <w:rPr>
          <w:szCs w:val="22"/>
        </w:rPr>
        <w:t xml:space="preserve">based on the criteria set forth </w:t>
      </w:r>
      <w:r w:rsidRPr="00C94739" w:rsidR="00C85C21">
        <w:rPr>
          <w:szCs w:val="22"/>
        </w:rPr>
        <w:t xml:space="preserve">in </w:t>
      </w:r>
      <w:r w:rsidRPr="00C94739">
        <w:rPr>
          <w:szCs w:val="22"/>
        </w:rPr>
        <w:t xml:space="preserve">the </w:t>
      </w:r>
      <w:r w:rsidRPr="00C94739">
        <w:rPr>
          <w:i/>
          <w:szCs w:val="22"/>
        </w:rPr>
        <w:t>PR-USVI Stage 2 Order</w:t>
      </w:r>
      <w:r w:rsidRPr="00C94739">
        <w:rPr>
          <w:szCs w:val="22"/>
        </w:rPr>
        <w:t xml:space="preserve">.  </w:t>
      </w:r>
      <w:r w:rsidRPr="00C94739" w:rsidR="00C85C21">
        <w:rPr>
          <w:szCs w:val="22"/>
        </w:rPr>
        <w:t xml:space="preserve">The </w:t>
      </w:r>
      <w:r w:rsidRPr="00C94739">
        <w:rPr>
          <w:szCs w:val="22"/>
        </w:rPr>
        <w:t xml:space="preserve">Stage 2 mobile support allocations announced in Attachment A </w:t>
      </w:r>
      <w:r w:rsidRPr="00C94739" w:rsidR="00C85C21">
        <w:rPr>
          <w:szCs w:val="22"/>
        </w:rPr>
        <w:t xml:space="preserve">to this Public Notice </w:t>
      </w:r>
      <w:r w:rsidRPr="00C94739">
        <w:rPr>
          <w:szCs w:val="22"/>
        </w:rPr>
        <w:t xml:space="preserve">are based on the subscriber counts certified by </w:t>
      </w:r>
      <w:r w:rsidRPr="00C94739" w:rsidR="00C85C21">
        <w:rPr>
          <w:szCs w:val="22"/>
        </w:rPr>
        <w:t>T</w:t>
      </w:r>
      <w:r w:rsidR="00956B45">
        <w:rPr>
          <w:szCs w:val="22"/>
        </w:rPr>
        <w:t>-</w:t>
      </w:r>
      <w:r w:rsidRPr="00C94739" w:rsidR="00C85C21">
        <w:rPr>
          <w:szCs w:val="22"/>
        </w:rPr>
        <w:t xml:space="preserve">Mobile, </w:t>
      </w:r>
      <w:r w:rsidR="00487599">
        <w:rPr>
          <w:szCs w:val="22"/>
        </w:rPr>
        <w:t>Puerto Rico’s</w:t>
      </w:r>
      <w:r w:rsidRPr="00C94739" w:rsidR="00C85C21">
        <w:rPr>
          <w:szCs w:val="22"/>
        </w:rPr>
        <w:t xml:space="preserve"> allocated Stage 2 budget, </w:t>
      </w:r>
      <w:r w:rsidRPr="00C94739">
        <w:rPr>
          <w:szCs w:val="22"/>
        </w:rPr>
        <w:t xml:space="preserve">and our approval of </w:t>
      </w:r>
      <w:r w:rsidRPr="00C94739" w:rsidR="00C85C21">
        <w:rPr>
          <w:szCs w:val="22"/>
        </w:rPr>
        <w:t xml:space="preserve">the </w:t>
      </w:r>
      <w:r w:rsidRPr="00C94739">
        <w:rPr>
          <w:szCs w:val="22"/>
        </w:rPr>
        <w:t>Disaster Preparation and Response Plan.</w:t>
      </w:r>
      <w:r>
        <w:rPr>
          <w:rStyle w:val="FootnoteReference"/>
          <w:szCs w:val="22"/>
        </w:rPr>
        <w:footnoteReference w:id="14"/>
      </w:r>
      <w:r w:rsidR="0003338B">
        <w:rPr>
          <w:szCs w:val="22"/>
        </w:rPr>
        <w:t xml:space="preserve">  </w:t>
      </w:r>
      <w:r w:rsidRPr="00C94739">
        <w:rPr>
          <w:szCs w:val="22"/>
        </w:rPr>
        <w:t xml:space="preserve">We direct the Universal Service Administrative Company to disburse the allocated funding in Attachment A consistent with the </w:t>
      </w:r>
      <w:r w:rsidRPr="00C94739">
        <w:rPr>
          <w:i/>
          <w:szCs w:val="22"/>
        </w:rPr>
        <w:t>PR-USVI Stage 2 Order</w:t>
      </w:r>
      <w:r w:rsidRPr="00C94739">
        <w:rPr>
          <w:szCs w:val="22"/>
        </w:rPr>
        <w:t xml:space="preserve">.    </w:t>
      </w:r>
    </w:p>
    <w:p w:rsidR="00FD6A27" w:rsidRPr="00C94739" w:rsidP="00FD6A27" w14:paraId="51CC323D" w14:textId="1BB72DFF">
      <w:pPr>
        <w:spacing w:after="200"/>
        <w:ind w:firstLine="720"/>
        <w:rPr>
          <w:szCs w:val="22"/>
        </w:rPr>
      </w:pPr>
      <w:r w:rsidRPr="00C94739">
        <w:rPr>
          <w:szCs w:val="22"/>
        </w:rPr>
        <w:t>W</w:t>
      </w:r>
      <w:r w:rsidRPr="00C94739">
        <w:rPr>
          <w:szCs w:val="22"/>
        </w:rPr>
        <w:t>e remind all ETCs that carriers receiving federal universal service support “shall use that support only for the provision, maintenance, and upgrading of facilities and services for which the support is intended.”</w:t>
      </w:r>
      <w:r>
        <w:rPr>
          <w:szCs w:val="22"/>
          <w:vertAlign w:val="superscript"/>
        </w:rPr>
        <w:footnoteReference w:id="15"/>
      </w:r>
      <w:r w:rsidRPr="00C94739">
        <w:rPr>
          <w:szCs w:val="22"/>
        </w:rPr>
        <w:t xml:space="preserve">  As such, </w:t>
      </w:r>
      <w:r w:rsidRPr="00C94739">
        <w:rPr>
          <w:szCs w:val="22"/>
        </w:rPr>
        <w:t xml:space="preserve">ETCs </w:t>
      </w:r>
      <w:r w:rsidRPr="00C94739">
        <w:rPr>
          <w:szCs w:val="22"/>
        </w:rPr>
        <w:t xml:space="preserve">must use this funding to help restore and improve coverage and service quality to pre-hurricane levels and to help safeguard their equipment against future natural disasters, as described in the </w:t>
      </w:r>
      <w:r w:rsidRPr="00C94739">
        <w:rPr>
          <w:i/>
          <w:szCs w:val="22"/>
        </w:rPr>
        <w:t>PR-USVI Fund Order</w:t>
      </w:r>
      <w:r w:rsidRPr="00C94739">
        <w:rPr>
          <w:szCs w:val="22"/>
        </w:rPr>
        <w:t>.</w:t>
      </w:r>
      <w:r>
        <w:rPr>
          <w:szCs w:val="22"/>
          <w:vertAlign w:val="superscript"/>
        </w:rPr>
        <w:footnoteReference w:id="16"/>
      </w:r>
      <w:r w:rsidRPr="00C94739">
        <w:rPr>
          <w:szCs w:val="22"/>
        </w:rPr>
        <w:t xml:space="preserve">  </w:t>
      </w:r>
      <w:r w:rsidRPr="00C94739">
        <w:rPr>
          <w:szCs w:val="22"/>
        </w:rPr>
        <w:t>Finally, a</w:t>
      </w:r>
      <w:r w:rsidRPr="00C94739">
        <w:rPr>
          <w:szCs w:val="22"/>
        </w:rPr>
        <w:t xml:space="preserve">s provided in the </w:t>
      </w:r>
      <w:r w:rsidRPr="00C94739">
        <w:rPr>
          <w:i/>
          <w:szCs w:val="22"/>
        </w:rPr>
        <w:t>PR-USVI Stage 2 Order</w:t>
      </w:r>
      <w:r w:rsidRPr="00C94739">
        <w:rPr>
          <w:iCs/>
          <w:szCs w:val="22"/>
        </w:rPr>
        <w:t>,</w:t>
      </w:r>
      <w:r w:rsidRPr="00C94739">
        <w:rPr>
          <w:szCs w:val="22"/>
        </w:rPr>
        <w:t xml:space="preserve"> all ETCs receiving Stage 2 mobile support are subject to ongoing oversight and must comply with annual reporting and certification requirements.</w:t>
      </w:r>
      <w:r>
        <w:rPr>
          <w:rStyle w:val="FootnoteReference"/>
          <w:szCs w:val="22"/>
        </w:rPr>
        <w:footnoteReference w:id="17"/>
      </w:r>
      <w:r w:rsidRPr="00C94739" w:rsidR="00282818">
        <w:rPr>
          <w:szCs w:val="22"/>
        </w:rPr>
        <w:t xml:space="preserve">  </w:t>
      </w:r>
    </w:p>
    <w:p w:rsidR="00FD6A27" w:rsidRPr="00C94739" w:rsidP="00FD6A27" w14:paraId="21B02F1F" w14:textId="3942E15D">
      <w:pPr>
        <w:spacing w:after="200"/>
        <w:ind w:firstLine="720"/>
        <w:rPr>
          <w:b/>
          <w:szCs w:val="22"/>
        </w:rPr>
      </w:pPr>
      <w:r w:rsidRPr="00C94739">
        <w:rPr>
          <w:szCs w:val="22"/>
        </w:rPr>
        <w:t>For additional information on this proceeding, contact Dangkhoa Nguyen (</w:t>
      </w:r>
      <w:hyperlink r:id="rId5" w:history="1">
        <w:r w:rsidRPr="00C94739">
          <w:rPr>
            <w:rStyle w:val="Hyperlink"/>
            <w:szCs w:val="22"/>
          </w:rPr>
          <w:t>Dangkhoa.Nguyen@fcc.gov</w:t>
        </w:r>
      </w:hyperlink>
      <w:r w:rsidRPr="00C94739">
        <w:rPr>
          <w:szCs w:val="22"/>
        </w:rPr>
        <w:t>) of the Wireline Competition Bureau, Telecommunications Access Policy Division.</w:t>
      </w:r>
    </w:p>
    <w:p w:rsidR="00FD6A27" w:rsidRPr="00684E4F" w:rsidP="00FD6A27" w14:paraId="7F0C6D62" w14:textId="77777777">
      <w:pPr>
        <w:jc w:val="center"/>
        <w:rPr>
          <w:sz w:val="24"/>
          <w:szCs w:val="24"/>
        </w:rPr>
      </w:pPr>
      <w:r w:rsidRPr="00684E4F">
        <w:rPr>
          <w:b/>
          <w:sz w:val="24"/>
          <w:szCs w:val="24"/>
        </w:rPr>
        <w:t>- FCC -</w:t>
      </w:r>
    </w:p>
    <w:p w:rsidR="00FC0970" w:rsidRPr="00335F61" w:rsidP="00335F61" w14:paraId="24659765" w14:textId="68370897">
      <w:pPr>
        <w:spacing w:after="240"/>
        <w:jc w:val="center"/>
        <w:rPr>
          <w:sz w:val="24"/>
          <w:szCs w:val="24"/>
        </w:rPr>
      </w:pPr>
      <w:r>
        <w:rPr>
          <w:sz w:val="24"/>
          <w:szCs w:val="24"/>
        </w:rPr>
        <w:br w:type="page"/>
      </w:r>
      <w:r w:rsidRPr="00F11F77">
        <w:rPr>
          <w:b/>
          <w:bCs/>
          <w:szCs w:val="22"/>
        </w:rPr>
        <w:t>ATTACHMENT A</w:t>
      </w:r>
    </w:p>
    <w:p w:rsidR="00FC0970" w:rsidRPr="00F11F77" w:rsidP="00FC0970" w14:paraId="686DC013" w14:textId="6006775F">
      <w:pPr>
        <w:jc w:val="center"/>
        <w:rPr>
          <w:b/>
          <w:bCs/>
          <w:szCs w:val="22"/>
        </w:rPr>
      </w:pPr>
      <w:r w:rsidRPr="00F11F77">
        <w:rPr>
          <w:b/>
          <w:bCs/>
          <w:szCs w:val="22"/>
        </w:rPr>
        <w:t>Uniendo</w:t>
      </w:r>
      <w:r w:rsidRPr="00F11F77">
        <w:rPr>
          <w:b/>
          <w:bCs/>
          <w:szCs w:val="22"/>
        </w:rPr>
        <w:t xml:space="preserve"> a Puerto Rico Fund</w:t>
      </w:r>
    </w:p>
    <w:p w:rsidR="00FC0970" w:rsidRPr="000D57E6" w:rsidP="00FC0970" w14:paraId="556E968E" w14:textId="302C4661">
      <w:pPr>
        <w:jc w:val="center"/>
        <w:rPr>
          <w:szCs w:val="22"/>
        </w:rPr>
      </w:pPr>
      <w:r w:rsidRPr="00F11F77">
        <w:rPr>
          <w:b/>
          <w:bCs/>
          <w:szCs w:val="22"/>
        </w:rPr>
        <w:t>Stage 2 Mobile Support A</w:t>
      </w:r>
      <w:r w:rsidR="0054417E">
        <w:rPr>
          <w:b/>
          <w:bCs/>
          <w:szCs w:val="22"/>
        </w:rPr>
        <w:t>uthorization</w:t>
      </w:r>
    </w:p>
    <w:p w:rsidR="00FC0970" w:rsidRPr="000D57E6" w:rsidP="00FC0970" w14:paraId="0E92B6E1" w14:textId="77777777">
      <w:pPr>
        <w:rPr>
          <w:szCs w:val="22"/>
        </w:rPr>
      </w:pPr>
    </w:p>
    <w:p w:rsidR="00715FC4" w:rsidRPr="000D57E6" w:rsidP="00715FC4" w14:paraId="6809C8E2" w14:textId="77777777">
      <w:pPr>
        <w:rPr>
          <w:szCs w:val="22"/>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591"/>
        <w:gridCol w:w="1481"/>
        <w:gridCol w:w="1912"/>
        <w:gridCol w:w="1530"/>
        <w:gridCol w:w="1620"/>
      </w:tblGrid>
      <w:tr w14:paraId="29C01D3E" w14:textId="77777777" w:rsidTr="00D67258">
        <w:tblPrEx>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95"/>
        </w:trPr>
        <w:tc>
          <w:tcPr>
            <w:tcW w:w="2448" w:type="dxa"/>
            <w:shd w:val="clear" w:color="auto" w:fill="auto"/>
            <w:hideMark/>
          </w:tcPr>
          <w:p w:rsidR="00715FC4" w:rsidRPr="00C94739" w:rsidP="00CA0FE8" w14:paraId="5A6C7299" w14:textId="77777777">
            <w:pPr>
              <w:rPr>
                <w:b/>
                <w:bCs/>
                <w:szCs w:val="22"/>
              </w:rPr>
            </w:pPr>
            <w:r w:rsidRPr="00C94739">
              <w:rPr>
                <w:b/>
                <w:bCs/>
                <w:szCs w:val="22"/>
              </w:rPr>
              <w:t>Provider</w:t>
            </w:r>
          </w:p>
        </w:tc>
        <w:tc>
          <w:tcPr>
            <w:tcW w:w="325" w:type="dxa"/>
            <w:shd w:val="clear" w:color="auto" w:fill="auto"/>
            <w:hideMark/>
          </w:tcPr>
          <w:p w:rsidR="00715FC4" w:rsidRPr="00C94739" w:rsidP="00CA0FE8" w14:paraId="0D753206" w14:textId="77777777">
            <w:pPr>
              <w:rPr>
                <w:b/>
                <w:bCs/>
                <w:szCs w:val="22"/>
              </w:rPr>
            </w:pPr>
            <w:r w:rsidRPr="00C94739">
              <w:rPr>
                <w:b/>
                <w:bCs/>
                <w:szCs w:val="22"/>
              </w:rPr>
              <w:t>Funding Allocation (4G LTE or Better)</w:t>
            </w:r>
          </w:p>
        </w:tc>
        <w:tc>
          <w:tcPr>
            <w:tcW w:w="1481" w:type="dxa"/>
            <w:shd w:val="clear" w:color="auto" w:fill="auto"/>
            <w:hideMark/>
          </w:tcPr>
          <w:p w:rsidR="00715FC4" w:rsidRPr="00C94739" w:rsidP="00CA0FE8" w14:paraId="640CCCDF" w14:textId="77777777">
            <w:pPr>
              <w:rPr>
                <w:b/>
                <w:bCs/>
                <w:szCs w:val="22"/>
              </w:rPr>
            </w:pPr>
            <w:r w:rsidRPr="00C94739">
              <w:rPr>
                <w:b/>
                <w:bCs/>
                <w:szCs w:val="22"/>
              </w:rPr>
              <w:t>Funding Allocation (5G)</w:t>
            </w:r>
          </w:p>
        </w:tc>
        <w:tc>
          <w:tcPr>
            <w:tcW w:w="2409" w:type="dxa"/>
            <w:shd w:val="clear" w:color="auto" w:fill="auto"/>
            <w:hideMark/>
          </w:tcPr>
          <w:p w:rsidR="00715FC4" w:rsidRPr="00C94739" w:rsidP="00CA0FE8" w14:paraId="5A1C65CB" w14:textId="77777777">
            <w:pPr>
              <w:rPr>
                <w:b/>
                <w:bCs/>
                <w:szCs w:val="22"/>
              </w:rPr>
            </w:pPr>
            <w:r w:rsidRPr="00C94739">
              <w:rPr>
                <w:b/>
                <w:bCs/>
                <w:szCs w:val="22"/>
              </w:rPr>
              <w:t>Total 3 Year Mobile Support</w:t>
            </w:r>
          </w:p>
        </w:tc>
        <w:tc>
          <w:tcPr>
            <w:tcW w:w="1530" w:type="dxa"/>
            <w:shd w:val="clear" w:color="auto" w:fill="auto"/>
            <w:hideMark/>
          </w:tcPr>
          <w:p w:rsidR="00715FC4" w:rsidRPr="00C94739" w:rsidP="00CA0FE8" w14:paraId="0E7A1456" w14:textId="77777777">
            <w:pPr>
              <w:rPr>
                <w:b/>
                <w:bCs/>
                <w:szCs w:val="22"/>
              </w:rPr>
            </w:pPr>
            <w:r w:rsidRPr="00C94739">
              <w:rPr>
                <w:b/>
                <w:bCs/>
                <w:szCs w:val="22"/>
              </w:rPr>
              <w:t>Total Support per Year</w:t>
            </w:r>
          </w:p>
        </w:tc>
        <w:tc>
          <w:tcPr>
            <w:tcW w:w="1620" w:type="dxa"/>
            <w:shd w:val="clear" w:color="auto" w:fill="auto"/>
            <w:hideMark/>
          </w:tcPr>
          <w:p w:rsidR="00715FC4" w:rsidRPr="0089609A" w:rsidP="00CA0FE8" w14:paraId="7C6AD6D1" w14:textId="77777777">
            <w:pPr>
              <w:rPr>
                <w:b/>
                <w:bCs/>
                <w:szCs w:val="22"/>
              </w:rPr>
            </w:pPr>
            <w:r w:rsidRPr="00C94739">
              <w:rPr>
                <w:b/>
                <w:bCs/>
                <w:szCs w:val="22"/>
              </w:rPr>
              <w:t>Total Monthly Support</w:t>
            </w:r>
          </w:p>
        </w:tc>
      </w:tr>
      <w:tr w14:paraId="2E58B53E" w14:textId="77777777" w:rsidTr="00D67258">
        <w:tblPrEx>
          <w:tblW w:w="9813" w:type="dxa"/>
          <w:tblLook w:val="04A0"/>
        </w:tblPrEx>
        <w:trPr>
          <w:trHeight w:val="300"/>
        </w:trPr>
        <w:tc>
          <w:tcPr>
            <w:tcW w:w="2448" w:type="dxa"/>
            <w:shd w:val="clear" w:color="auto" w:fill="auto"/>
            <w:vAlign w:val="bottom"/>
            <w:hideMark/>
          </w:tcPr>
          <w:p w:rsidR="00715FC4" w:rsidRPr="00C94739" w:rsidP="004D651F" w14:paraId="4A2E9D2D" w14:textId="4E1D1C23">
            <w:pPr>
              <w:rPr>
                <w:szCs w:val="22"/>
              </w:rPr>
            </w:pPr>
            <w:r w:rsidRPr="00C94739">
              <w:rPr>
                <w:szCs w:val="22"/>
              </w:rPr>
              <w:t>T-Mobile/</w:t>
            </w:r>
            <w:r w:rsidRPr="00C94739">
              <w:rPr>
                <w:szCs w:val="22"/>
              </w:rPr>
              <w:t>PR Wireless</w:t>
            </w:r>
          </w:p>
        </w:tc>
        <w:tc>
          <w:tcPr>
            <w:tcW w:w="325" w:type="dxa"/>
            <w:shd w:val="clear" w:color="auto" w:fill="auto"/>
            <w:vAlign w:val="bottom"/>
            <w:hideMark/>
          </w:tcPr>
          <w:p w:rsidR="00715FC4" w:rsidRPr="00C94739" w:rsidP="004D651F" w14:paraId="7950B663" w14:textId="77777777">
            <w:pPr>
              <w:rPr>
                <w:szCs w:val="22"/>
              </w:rPr>
            </w:pPr>
            <w:r w:rsidRPr="00C94739">
              <w:rPr>
                <w:color w:val="000000"/>
                <w:szCs w:val="22"/>
              </w:rPr>
              <w:t xml:space="preserve"> $15,339,118.25 </w:t>
            </w:r>
          </w:p>
        </w:tc>
        <w:tc>
          <w:tcPr>
            <w:tcW w:w="1481" w:type="dxa"/>
            <w:shd w:val="clear" w:color="auto" w:fill="auto"/>
            <w:vAlign w:val="bottom"/>
            <w:hideMark/>
          </w:tcPr>
          <w:p w:rsidR="00715FC4" w:rsidRPr="00C94739" w:rsidP="004D651F" w14:paraId="2871FB83" w14:textId="280F1024">
            <w:pPr>
              <w:rPr>
                <w:szCs w:val="22"/>
              </w:rPr>
            </w:pPr>
            <w:r w:rsidRPr="00C94739">
              <w:rPr>
                <w:color w:val="000000"/>
                <w:szCs w:val="22"/>
              </w:rPr>
              <w:t xml:space="preserve"> $5,113,039.4</w:t>
            </w:r>
            <w:r w:rsidR="007636F9">
              <w:rPr>
                <w:color w:val="000000"/>
                <w:szCs w:val="22"/>
              </w:rPr>
              <w:t>1</w:t>
            </w:r>
            <w:r w:rsidRPr="00C94739">
              <w:rPr>
                <w:color w:val="000000"/>
                <w:szCs w:val="22"/>
              </w:rPr>
              <w:t xml:space="preserve"> </w:t>
            </w:r>
          </w:p>
        </w:tc>
        <w:tc>
          <w:tcPr>
            <w:tcW w:w="2409" w:type="dxa"/>
            <w:shd w:val="clear" w:color="auto" w:fill="auto"/>
            <w:vAlign w:val="bottom"/>
            <w:hideMark/>
          </w:tcPr>
          <w:p w:rsidR="00715FC4" w:rsidRPr="00C94739" w:rsidP="004D651F" w14:paraId="37CA9AB2" w14:textId="77777777">
            <w:pPr>
              <w:rPr>
                <w:szCs w:val="22"/>
              </w:rPr>
            </w:pPr>
            <w:r w:rsidRPr="00C94739">
              <w:rPr>
                <w:color w:val="000000"/>
                <w:szCs w:val="22"/>
              </w:rPr>
              <w:t xml:space="preserve"> $20,452,157.66 </w:t>
            </w:r>
          </w:p>
        </w:tc>
        <w:tc>
          <w:tcPr>
            <w:tcW w:w="1530" w:type="dxa"/>
            <w:shd w:val="clear" w:color="auto" w:fill="auto"/>
            <w:noWrap/>
            <w:vAlign w:val="bottom"/>
            <w:hideMark/>
          </w:tcPr>
          <w:p w:rsidR="00715FC4" w:rsidRPr="00C94739" w:rsidP="004D651F" w14:paraId="729D6ACA" w14:textId="5B40B59A">
            <w:pPr>
              <w:rPr>
                <w:szCs w:val="22"/>
              </w:rPr>
            </w:pPr>
            <w:r w:rsidRPr="00C94739">
              <w:rPr>
                <w:color w:val="000000"/>
                <w:szCs w:val="22"/>
              </w:rPr>
              <w:t xml:space="preserve"> $6,817,385.8</w:t>
            </w:r>
            <w:r w:rsidR="0055258D">
              <w:rPr>
                <w:color w:val="000000"/>
                <w:szCs w:val="22"/>
              </w:rPr>
              <w:t>8</w:t>
            </w:r>
          </w:p>
        </w:tc>
        <w:tc>
          <w:tcPr>
            <w:tcW w:w="1620" w:type="dxa"/>
            <w:shd w:val="clear" w:color="auto" w:fill="auto"/>
            <w:noWrap/>
            <w:vAlign w:val="bottom"/>
            <w:hideMark/>
          </w:tcPr>
          <w:p w:rsidR="00715FC4" w:rsidRPr="0089609A" w:rsidP="004D651F" w14:paraId="1C16B634" w14:textId="1C08A4C6">
            <w:pPr>
              <w:rPr>
                <w:color w:val="000000"/>
                <w:szCs w:val="22"/>
              </w:rPr>
            </w:pPr>
            <w:r w:rsidRPr="00C94739">
              <w:rPr>
                <w:color w:val="000000"/>
                <w:szCs w:val="22"/>
              </w:rPr>
              <w:t>$568,115.49</w:t>
            </w:r>
          </w:p>
        </w:tc>
      </w:tr>
    </w:tbl>
    <w:p w:rsidR="00715FC4" w:rsidRPr="000D57E6" w:rsidP="00715FC4" w14:paraId="1C2DE8E3" w14:textId="77777777">
      <w:pPr>
        <w:rPr>
          <w:szCs w:val="22"/>
        </w:rPr>
      </w:pPr>
    </w:p>
    <w:p w:rsidR="00FC0970" w:rsidRPr="005D18CF" w:rsidP="00C9095E" w14:paraId="0EADDF04" w14:textId="77777777">
      <w:pPr>
        <w:spacing w:after="240"/>
        <w:rPr>
          <w:sz w:val="24"/>
          <w:szCs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06FAD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772A3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02A5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200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750E" w14:paraId="76718E98" w14:textId="77777777">
      <w:r>
        <w:separator/>
      </w:r>
    </w:p>
  </w:footnote>
  <w:footnote w:type="continuationSeparator" w:id="1">
    <w:p w:rsidR="0087750E" w14:paraId="0C90D666" w14:textId="77777777">
      <w:pPr>
        <w:rPr>
          <w:sz w:val="20"/>
        </w:rPr>
      </w:pPr>
      <w:r>
        <w:rPr>
          <w:sz w:val="20"/>
        </w:rPr>
        <w:t xml:space="preserve">(Continued from previous page)  </w:t>
      </w:r>
      <w:r>
        <w:rPr>
          <w:sz w:val="20"/>
        </w:rPr>
        <w:separator/>
      </w:r>
    </w:p>
  </w:footnote>
  <w:footnote w:type="continuationNotice" w:id="2">
    <w:p w:rsidR="0087750E" w:rsidP="00910F12" w14:paraId="1432A502" w14:textId="77777777">
      <w:pPr>
        <w:jc w:val="right"/>
        <w:rPr>
          <w:sz w:val="20"/>
        </w:rPr>
      </w:pPr>
      <w:r>
        <w:rPr>
          <w:sz w:val="20"/>
        </w:rPr>
        <w:t>(continued….)</w:t>
      </w:r>
    </w:p>
  </w:footnote>
  <w:footnote w:id="3">
    <w:p w:rsidR="00426B09" w:rsidRPr="00C94739" w:rsidP="00426B09" w14:paraId="6FD065BB" w14:textId="43E8FECE">
      <w:pPr>
        <w:pStyle w:val="FootnoteText"/>
      </w:pPr>
      <w:r w:rsidRPr="00C94739">
        <w:rPr>
          <w:rStyle w:val="FootnoteReference"/>
          <w:sz w:val="20"/>
        </w:rPr>
        <w:footnoteRef/>
      </w:r>
      <w:r w:rsidRPr="00C94739">
        <w:t xml:space="preserve"> </w:t>
      </w:r>
      <w:r w:rsidR="00C94739">
        <w:t>A</w:t>
      </w:r>
      <w:r w:rsidRPr="00C94739" w:rsidR="00C94739">
        <w:t>s part of its merger with Sprint Corp</w:t>
      </w:r>
      <w:r w:rsidR="00C94739">
        <w:t xml:space="preserve">., </w:t>
      </w:r>
      <w:r w:rsidRPr="00C94739">
        <w:t xml:space="preserve">T-Mobile USA, Inc. acquired PR Wireless PR, LLC, which previously elected to receive Stage 2 mobile support.  Letter from Olga de la Torre, Director, Legal Affairs, T-Mobile USA, Inc., to Marlene H. Dortch, Secretary, FCC, WC Docket Nos. 18-143 </w:t>
      </w:r>
      <w:r w:rsidRPr="00C94739">
        <w:rPr>
          <w:i/>
          <w:iCs/>
        </w:rPr>
        <w:t>et al</w:t>
      </w:r>
      <w:r w:rsidRPr="00C94739">
        <w:t xml:space="preserve">. (July 7, 2020); Renewal of Certification for Stage 2 Funding, PR Wireless PR, LLC, WC Docket Nos. 18-143 </w:t>
      </w:r>
      <w:r w:rsidRPr="00C94739">
        <w:rPr>
          <w:i/>
          <w:iCs/>
        </w:rPr>
        <w:t>et al</w:t>
      </w:r>
      <w:r w:rsidRPr="00C94739">
        <w:t>. (Dec. 9, 2019).</w:t>
      </w:r>
    </w:p>
  </w:footnote>
  <w:footnote w:id="4">
    <w:p w:rsidR="00950F46" w:rsidRPr="00C94739" w:rsidP="00950F46" w14:paraId="40C15299" w14:textId="591DE1E8">
      <w:pPr>
        <w:pStyle w:val="FootnoteText"/>
      </w:pPr>
      <w:r w:rsidRPr="00C94739">
        <w:rPr>
          <w:rStyle w:val="FootnoteReference"/>
          <w:sz w:val="20"/>
        </w:rPr>
        <w:footnoteRef/>
      </w:r>
      <w:r w:rsidRPr="00C94739">
        <w:t xml:space="preserve"> </w:t>
      </w:r>
      <w:r w:rsidRPr="00C94739">
        <w:rPr>
          <w:i/>
          <w:iCs/>
        </w:rPr>
        <w:t xml:space="preserve">The </w:t>
      </w:r>
      <w:r w:rsidRPr="00C94739">
        <w:rPr>
          <w:i/>
          <w:iCs/>
        </w:rPr>
        <w:t>Uniendo</w:t>
      </w:r>
      <w:r w:rsidRPr="00C94739">
        <w:rPr>
          <w:i/>
          <w:iCs/>
        </w:rPr>
        <w:t xml:space="preserve"> a Puerto Rico Fund and the Connect USVI Fund</w:t>
      </w:r>
      <w:r w:rsidRPr="00C94739">
        <w:t>, Order, 34 FCC Rcd 9109, 9164, para. 105 (Sept. 30, 2019) (</w:t>
      </w:r>
      <w:r w:rsidRPr="00C94739">
        <w:rPr>
          <w:i/>
        </w:rPr>
        <w:t>PR-USVI Stage 2 Order</w:t>
      </w:r>
      <w:r w:rsidRPr="00C94739">
        <w:t>).</w:t>
      </w:r>
      <w:r w:rsidRPr="00C94739" w:rsidR="003A16EA">
        <w:t xml:space="preserve">  The Bureau previously authorized </w:t>
      </w:r>
      <w:r w:rsidRPr="00C94739" w:rsidR="009D4783">
        <w:t>mobile support elections f</w:t>
      </w:r>
      <w:r w:rsidRPr="00C94739" w:rsidR="00426B09">
        <w:t>or</w:t>
      </w:r>
      <w:r w:rsidRPr="00C94739" w:rsidR="009D4783">
        <w:t xml:space="preserve"> other </w:t>
      </w:r>
      <w:r w:rsidRPr="00C94739" w:rsidR="006502ED">
        <w:t xml:space="preserve">mobile </w:t>
      </w:r>
      <w:r w:rsidRPr="00C94739" w:rsidR="009D4783">
        <w:t xml:space="preserve">providers in the Territories.  </w:t>
      </w:r>
      <w:r w:rsidRPr="00C94739" w:rsidR="009D4783">
        <w:rPr>
          <w:i/>
          <w:iCs/>
        </w:rPr>
        <w:t xml:space="preserve">Wireline Competition Bureau Authorizes Stage 2 Mobile Support for Certain Providers Participating in the </w:t>
      </w:r>
      <w:r w:rsidRPr="00C94739" w:rsidR="009D4783">
        <w:rPr>
          <w:i/>
          <w:iCs/>
        </w:rPr>
        <w:t>Uniendo</w:t>
      </w:r>
      <w:r w:rsidRPr="00C94739" w:rsidR="009D4783">
        <w:rPr>
          <w:i/>
          <w:iCs/>
        </w:rPr>
        <w:t xml:space="preserve"> a Puerto Rico Fund and the Connect USVI Fund</w:t>
      </w:r>
      <w:r w:rsidRPr="00C94739" w:rsidR="009D4783">
        <w:t>, Public Notice, 35 FCC Rcd 6321</w:t>
      </w:r>
      <w:r w:rsidR="00C94739">
        <w:t xml:space="preserve"> </w:t>
      </w:r>
      <w:r w:rsidRPr="00C94739" w:rsidR="009D4783">
        <w:t>(WCB 2020).</w:t>
      </w:r>
    </w:p>
  </w:footnote>
  <w:footnote w:id="5">
    <w:p w:rsidR="005D18CF" w:rsidRPr="001956D9" w:rsidP="005D18CF" w14:paraId="2200FED8" w14:textId="5F75AE17">
      <w:pPr>
        <w:pStyle w:val="FootnoteText"/>
      </w:pPr>
      <w:r w:rsidRPr="001956D9">
        <w:rPr>
          <w:rStyle w:val="FootnoteReference"/>
        </w:rPr>
        <w:footnoteRef/>
      </w:r>
      <w:r w:rsidRPr="001956D9">
        <w:t xml:space="preserve"> </w:t>
      </w:r>
      <w:r w:rsidR="006502ED">
        <w:rPr>
          <w:i/>
          <w:iCs/>
        </w:rPr>
        <w:t xml:space="preserve">PR-USVI Stage 2 </w:t>
      </w:r>
      <w:r w:rsidRPr="006502ED" w:rsidR="006502ED">
        <w:rPr>
          <w:i/>
          <w:iCs/>
        </w:rPr>
        <w:t>Order</w:t>
      </w:r>
      <w:r w:rsidR="006502ED">
        <w:t>, 34 FCC Rcd</w:t>
      </w:r>
      <w:r>
        <w:t xml:space="preserve"> at 9163, para. 102.</w:t>
      </w:r>
    </w:p>
  </w:footnote>
  <w:footnote w:id="6">
    <w:p w:rsidR="005D18CF" w:rsidP="005D18CF" w14:paraId="1B3D6AFB" w14:textId="77777777">
      <w:pPr>
        <w:pStyle w:val="FootnoteText"/>
      </w:pPr>
      <w:r>
        <w:rPr>
          <w:rStyle w:val="FootnoteReference"/>
        </w:rPr>
        <w:footnoteRef/>
      </w:r>
      <w:r>
        <w:t xml:space="preserve"> </w:t>
      </w:r>
      <w:r w:rsidRPr="00E31A80">
        <w:rPr>
          <w:i/>
        </w:rPr>
        <w:t>Id</w:t>
      </w:r>
      <w:r>
        <w:t>.</w:t>
      </w:r>
    </w:p>
  </w:footnote>
  <w:footnote w:id="7">
    <w:p w:rsidR="005D18CF" w:rsidRPr="001956D9" w:rsidP="005D18CF" w14:paraId="1E3DCFBD" w14:textId="77777777">
      <w:pPr>
        <w:pStyle w:val="FootnoteText"/>
      </w:pPr>
      <w:r w:rsidRPr="001956D9">
        <w:rPr>
          <w:rStyle w:val="FootnoteReference"/>
        </w:rPr>
        <w:footnoteRef/>
      </w:r>
      <w:r w:rsidRPr="001956D9">
        <w:t xml:space="preserve"> </w:t>
      </w:r>
      <w:r w:rsidRPr="001956D9">
        <w:rPr>
          <w:i/>
        </w:rPr>
        <w:t>Id</w:t>
      </w:r>
      <w:r w:rsidRPr="001956D9">
        <w:t xml:space="preserve">. at </w:t>
      </w:r>
      <w:r>
        <w:t xml:space="preserve">9163-64, </w:t>
      </w:r>
      <w:r w:rsidRPr="001956D9">
        <w:t xml:space="preserve">para. </w:t>
      </w:r>
      <w:r>
        <w:t>104</w:t>
      </w:r>
      <w:r w:rsidRPr="001956D9">
        <w:t>.</w:t>
      </w:r>
    </w:p>
  </w:footnote>
  <w:footnote w:id="8">
    <w:p w:rsidR="005D18CF" w:rsidRPr="00801C8A" w:rsidP="005D18CF" w14:paraId="4457541C" w14:textId="77777777">
      <w:pPr>
        <w:pStyle w:val="FootnoteText"/>
      </w:pPr>
      <w:r>
        <w:rPr>
          <w:rStyle w:val="FootnoteReference"/>
        </w:rPr>
        <w:footnoteRef/>
      </w:r>
      <w:r>
        <w:t xml:space="preserve"> </w:t>
      </w:r>
      <w:r w:rsidRPr="00E55F9C">
        <w:rPr>
          <w:i/>
        </w:rPr>
        <w:t>Id.</w:t>
      </w:r>
    </w:p>
  </w:footnote>
  <w:footnote w:id="9">
    <w:p w:rsidR="005D18CF" w:rsidRPr="008C68D5" w:rsidP="005D18CF" w14:paraId="654296D4" w14:textId="77777777">
      <w:pPr>
        <w:pStyle w:val="FootnoteText"/>
      </w:pPr>
      <w:r w:rsidRPr="001956D9">
        <w:rPr>
          <w:rStyle w:val="FootnoteReference"/>
        </w:rPr>
        <w:footnoteRef/>
      </w:r>
      <w:r w:rsidRPr="001956D9">
        <w:t xml:space="preserve"> </w:t>
      </w:r>
      <w:r>
        <w:rPr>
          <w:i/>
        </w:rPr>
        <w:t xml:space="preserve">Wireline Competition Bureau Announces Deadline for Election to Participate in Stage 2 Mobile Support for the </w:t>
      </w:r>
      <w:r>
        <w:rPr>
          <w:i/>
        </w:rPr>
        <w:t>Uniendo</w:t>
      </w:r>
      <w:r>
        <w:rPr>
          <w:i/>
        </w:rPr>
        <w:t xml:space="preserve"> a Puerto Rico Fund and the Connect USVI </w:t>
      </w:r>
      <w:r w:rsidRPr="00801C8A">
        <w:rPr>
          <w:i/>
        </w:rPr>
        <w:t>Fund</w:t>
      </w:r>
      <w:r>
        <w:t xml:space="preserve">, Public Notice, </w:t>
      </w:r>
      <w:r w:rsidRPr="00073324">
        <w:t>34 FCC Rcd 10360</w:t>
      </w:r>
      <w:r>
        <w:t xml:space="preserve"> (WCB 2019).  </w:t>
      </w:r>
    </w:p>
  </w:footnote>
  <w:footnote w:id="10">
    <w:p w:rsidR="00C85C21" w:rsidP="00C85C21" w14:paraId="362E20ED" w14:textId="77777777">
      <w:pPr>
        <w:pStyle w:val="FootnoteText"/>
      </w:pPr>
      <w:r>
        <w:rPr>
          <w:rStyle w:val="FootnoteReference"/>
        </w:rPr>
        <w:footnoteRef/>
      </w:r>
      <w:r>
        <w:t xml:space="preserve"> AT&amp;T elected to receive Stage 2 mobile support in both Puerto Rico and the U.S. Virgin Islands.</w:t>
      </w:r>
    </w:p>
  </w:footnote>
  <w:footnote w:id="11">
    <w:p w:rsidR="00FD6A27" w:rsidP="00FD6A27" w14:paraId="4F2FC6DD" w14:textId="77777777">
      <w:pPr>
        <w:pStyle w:val="FootnoteText"/>
      </w:pPr>
      <w:r>
        <w:rPr>
          <w:rStyle w:val="FootnoteReference"/>
        </w:rPr>
        <w:footnoteRef/>
      </w:r>
      <w:r>
        <w:t xml:space="preserve"> </w:t>
      </w:r>
      <w:r w:rsidRPr="001956D9">
        <w:rPr>
          <w:i/>
        </w:rPr>
        <w:t>PR-USVI</w:t>
      </w:r>
      <w:r>
        <w:rPr>
          <w:i/>
        </w:rPr>
        <w:t xml:space="preserve"> Stage 2 </w:t>
      </w:r>
      <w:r w:rsidRPr="001956D9">
        <w:rPr>
          <w:i/>
        </w:rPr>
        <w:t>Order</w:t>
      </w:r>
      <w:r>
        <w:t xml:space="preserve">, 34 FCC Rcd </w:t>
      </w:r>
      <w:r w:rsidRPr="00E55F9C">
        <w:t xml:space="preserve">at </w:t>
      </w:r>
      <w:r>
        <w:t xml:space="preserve">9175, </w:t>
      </w:r>
      <w:r w:rsidRPr="00E55F9C">
        <w:t>para. 1</w:t>
      </w:r>
      <w:r>
        <w:t>35; Appendix B (Disaster Preparation and Response Plan).</w:t>
      </w:r>
    </w:p>
  </w:footnote>
  <w:footnote w:id="12">
    <w:p w:rsidR="00FD6A27" w:rsidP="00FD6A27" w14:paraId="78C3D11D" w14:textId="77777777">
      <w:pPr>
        <w:pStyle w:val="FootnoteText"/>
      </w:pPr>
      <w:r>
        <w:rPr>
          <w:rStyle w:val="FootnoteReference"/>
        </w:rPr>
        <w:footnoteRef/>
      </w:r>
      <w:r>
        <w:t xml:space="preserve"> </w:t>
      </w:r>
      <w:r w:rsidRPr="001956D9">
        <w:rPr>
          <w:i/>
        </w:rPr>
        <w:t>PR-USVI</w:t>
      </w:r>
      <w:r>
        <w:rPr>
          <w:i/>
        </w:rPr>
        <w:t xml:space="preserve"> Stage 2 </w:t>
      </w:r>
      <w:r w:rsidRPr="001956D9">
        <w:rPr>
          <w:i/>
        </w:rPr>
        <w:t>Order</w:t>
      </w:r>
      <w:r w:rsidRPr="00E55F9C">
        <w:t xml:space="preserve"> at </w:t>
      </w:r>
      <w:r>
        <w:t xml:space="preserve">9174-75, </w:t>
      </w:r>
      <w:r w:rsidRPr="00E55F9C">
        <w:t>para. 1</w:t>
      </w:r>
      <w:r>
        <w:t>34; Appendix B (Disaster Preparation and Response Plan).</w:t>
      </w:r>
    </w:p>
  </w:footnote>
  <w:footnote w:id="13">
    <w:p w:rsidR="001F561C" w:rsidP="001F561C" w14:paraId="31D8E6D1" w14:textId="0BB335D7">
      <w:pPr>
        <w:pStyle w:val="FootnoteText"/>
      </w:pPr>
      <w:r>
        <w:rPr>
          <w:rStyle w:val="FootnoteReference"/>
        </w:rPr>
        <w:footnoteRef/>
      </w:r>
      <w:r>
        <w:t xml:space="preserve"> </w:t>
      </w:r>
      <w:r w:rsidRPr="001956D9" w:rsidR="004038AD">
        <w:rPr>
          <w:i/>
        </w:rPr>
        <w:t>PR-USVI</w:t>
      </w:r>
      <w:r w:rsidR="004038AD">
        <w:rPr>
          <w:i/>
        </w:rPr>
        <w:t xml:space="preserve"> Stage 2 </w:t>
      </w:r>
      <w:r w:rsidRPr="001956D9" w:rsidR="004038AD">
        <w:rPr>
          <w:i/>
        </w:rPr>
        <w:t>Order</w:t>
      </w:r>
      <w:r w:rsidRPr="00E55F9C" w:rsidR="004038AD">
        <w:t xml:space="preserve"> at</w:t>
      </w:r>
      <w:r w:rsidR="004038AD">
        <w:t xml:space="preserve"> </w:t>
      </w:r>
      <w:r>
        <w:t>9175, para. 136.</w:t>
      </w:r>
    </w:p>
  </w:footnote>
  <w:footnote w:id="14">
    <w:p w:rsidR="00FD6A27" w:rsidP="00FD6A27" w14:paraId="0B3A3EFF" w14:textId="0C106A0C">
      <w:pPr>
        <w:pStyle w:val="FootnoteText"/>
      </w:pPr>
      <w:r>
        <w:rPr>
          <w:rStyle w:val="FootnoteReference"/>
        </w:rPr>
        <w:footnoteRef/>
      </w:r>
      <w:r>
        <w:t xml:space="preserve"> </w:t>
      </w:r>
      <w:r w:rsidR="00C85C21">
        <w:rPr>
          <w:i/>
        </w:rPr>
        <w:t>S</w:t>
      </w:r>
      <w:r w:rsidRPr="001956D9" w:rsidR="00C85C21">
        <w:rPr>
          <w:i/>
        </w:rPr>
        <w:t>ee</w:t>
      </w:r>
      <w:r w:rsidRPr="001956D9" w:rsidR="00C85C21">
        <w:t xml:space="preserve"> Attachment A </w:t>
      </w:r>
      <w:r w:rsidR="00C85C21">
        <w:t>(</w:t>
      </w:r>
      <w:r w:rsidR="00C85C21">
        <w:t>Uniendo</w:t>
      </w:r>
      <w:r w:rsidR="00C85C21">
        <w:t xml:space="preserve"> a Puerto Rico and Connect USVI Fund - Stage 2 Mobile Allocations); </w:t>
      </w:r>
      <w:r w:rsidRPr="0038510C" w:rsidR="00C85C21">
        <w:rPr>
          <w:i/>
        </w:rPr>
        <w:t>see also</w:t>
      </w:r>
      <w:r w:rsidR="00C85C21">
        <w:t xml:space="preserve"> </w:t>
      </w:r>
      <w:r w:rsidRPr="001956D9" w:rsidR="00C85C21">
        <w:rPr>
          <w:i/>
        </w:rPr>
        <w:t xml:space="preserve">PR-USVI </w:t>
      </w:r>
      <w:r w:rsidR="00C85C21">
        <w:rPr>
          <w:i/>
        </w:rPr>
        <w:t xml:space="preserve">Stage 2 </w:t>
      </w:r>
      <w:r w:rsidRPr="001956D9" w:rsidR="00C85C21">
        <w:rPr>
          <w:i/>
        </w:rPr>
        <w:t>Order</w:t>
      </w:r>
      <w:r w:rsidR="00C85C21">
        <w:t>, 34 FCC Rcd at 9119,</w:t>
      </w:r>
      <w:r w:rsidRPr="001956D9" w:rsidR="00C85C21">
        <w:t xml:space="preserve"> para. 18.</w:t>
      </w:r>
      <w:r w:rsidR="00C85C21">
        <w:t xml:space="preserve"> </w:t>
      </w:r>
      <w:r w:rsidRPr="00237394">
        <w:t>The Bureau continues to review the Disaster Preparation and Response Plans received from the remaining eligible mobile providers that are not listed in Attachment A.</w:t>
      </w:r>
    </w:p>
  </w:footnote>
  <w:footnote w:id="15">
    <w:p w:rsidR="00FD6A27" w:rsidRPr="001956D9" w:rsidP="00FD6A27" w14:paraId="20567CFB" w14:textId="77777777">
      <w:pPr>
        <w:pStyle w:val="FootnoteText"/>
      </w:pPr>
      <w:r w:rsidRPr="001956D9">
        <w:rPr>
          <w:rStyle w:val="FootnoteReference"/>
        </w:rPr>
        <w:footnoteRef/>
      </w:r>
      <w:r w:rsidRPr="001956D9">
        <w:t xml:space="preserve"> 47 U.S.C. § 254(e); 47 CFR § 54.7(a).</w:t>
      </w:r>
    </w:p>
  </w:footnote>
  <w:footnote w:id="16">
    <w:p w:rsidR="00FD6A27" w:rsidRPr="001956D9" w:rsidP="00FD6A27" w14:paraId="310577EF" w14:textId="77777777">
      <w:pPr>
        <w:pStyle w:val="FootnoteText"/>
      </w:pPr>
      <w:r w:rsidRPr="001956D9">
        <w:rPr>
          <w:rStyle w:val="FootnoteReference"/>
        </w:rPr>
        <w:footnoteRef/>
      </w:r>
      <w:r w:rsidRPr="001956D9">
        <w:t xml:space="preserve"> </w:t>
      </w:r>
      <w:r w:rsidRPr="001956D9">
        <w:rPr>
          <w:i/>
        </w:rPr>
        <w:t xml:space="preserve">PR-USVI </w:t>
      </w:r>
      <w:r>
        <w:rPr>
          <w:i/>
        </w:rPr>
        <w:t xml:space="preserve">Stage 2 </w:t>
      </w:r>
      <w:r w:rsidRPr="001956D9">
        <w:rPr>
          <w:i/>
        </w:rPr>
        <w:t>Order</w:t>
      </w:r>
      <w:r>
        <w:rPr>
          <w:iCs/>
        </w:rPr>
        <w:t>,</w:t>
      </w:r>
      <w:r w:rsidRPr="001956D9">
        <w:t xml:space="preserve"> </w:t>
      </w:r>
      <w:r>
        <w:t xml:space="preserve">34 FCC Rcd at 9120, </w:t>
      </w:r>
      <w:r w:rsidRPr="001956D9">
        <w:t>para. 20.</w:t>
      </w:r>
    </w:p>
  </w:footnote>
  <w:footnote w:id="17">
    <w:p w:rsidR="00FD6A27" w:rsidRPr="00DC4A74" w:rsidP="00FD6A27" w14:paraId="39D6E1FE" w14:textId="77777777">
      <w:pPr>
        <w:pStyle w:val="FootnoteText"/>
      </w:pPr>
      <w:r>
        <w:rPr>
          <w:rStyle w:val="FootnoteReference"/>
        </w:rPr>
        <w:footnoteRef/>
      </w:r>
      <w:r>
        <w:t xml:space="preserve"> </w:t>
      </w:r>
      <w:r>
        <w:rPr>
          <w:i/>
        </w:rPr>
        <w:t>Id.</w:t>
      </w:r>
      <w:r>
        <w:t xml:space="preserve"> at 9172-75, paras. 126-32.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B4BEBF5" w14:textId="5E84C17E">
    <w:pPr>
      <w:tabs>
        <w:tab w:val="center" w:pos="4680"/>
        <w:tab w:val="right" w:pos="9360"/>
      </w:tabs>
    </w:pPr>
    <w:r w:rsidRPr="009838BC">
      <w:rPr>
        <w:b/>
      </w:rPr>
      <w:tab/>
      <w:t>Federal Communications Commission</w:t>
    </w:r>
    <w:r w:rsidRPr="009838BC">
      <w:rPr>
        <w:b/>
      </w:rPr>
      <w:tab/>
    </w:r>
    <w:r w:rsidR="00655326">
      <w:rPr>
        <w:b/>
      </w:rPr>
      <w:t>DA 20-1082</w:t>
    </w:r>
  </w:p>
  <w:p w:rsidR="009838BC" w:rsidRPr="009838BC" w:rsidP="009838BC" w14:paraId="4AA7D95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44AA9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8DE02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0951DCC" w14:textId="77777777">
                <w:pPr>
                  <w:rPr>
                    <w:rFonts w:ascii="Arial" w:hAnsi="Arial"/>
                    <w:b/>
                  </w:rPr>
                </w:pPr>
                <w:r>
                  <w:rPr>
                    <w:rFonts w:ascii="Arial" w:hAnsi="Arial"/>
                    <w:b/>
                  </w:rPr>
                  <w:t>Federal Communications Commission</w:t>
                </w:r>
              </w:p>
              <w:p w:rsidR="009838BC" w:rsidP="009838BC" w14:paraId="63A4E3D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7C67D6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1DBE9E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012.8pt,56.7pt" to="5480.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0156E1F" w14:textId="77777777">
                <w:pPr>
                  <w:spacing w:before="40"/>
                  <w:jc w:val="right"/>
                  <w:rPr>
                    <w:rFonts w:ascii="Arial" w:hAnsi="Arial"/>
                    <w:b/>
                    <w:sz w:val="16"/>
                  </w:rPr>
                </w:pPr>
                <w:r>
                  <w:rPr>
                    <w:rFonts w:ascii="Arial" w:hAnsi="Arial"/>
                    <w:b/>
                    <w:sz w:val="16"/>
                  </w:rPr>
                  <w:t>News Media Information 202 / 418-0500</w:t>
                </w:r>
              </w:p>
              <w:p w:rsidR="009838BC" w:rsidP="009838BC" w14:paraId="512E3DF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60B974D" w14:textId="77777777">
                <w:pPr>
                  <w:jc w:val="right"/>
                </w:pPr>
                <w:r>
                  <w:rPr>
                    <w:rFonts w:ascii="Arial" w:hAnsi="Arial"/>
                    <w:b/>
                    <w:sz w:val="16"/>
                  </w:rPr>
                  <w:t>TTY: 1-888-835-5322</w:t>
                </w:r>
              </w:p>
            </w:txbxContent>
          </v:textbox>
        </v:shape>
      </w:pict>
    </w:r>
  </w:p>
  <w:p w:rsidR="006F7393" w:rsidRPr="009838BC" w:rsidP="009838BC" w14:paraId="0CA8A7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1"/>
    <w:rsid w:val="000072CE"/>
    <w:rsid w:val="00013A7C"/>
    <w:rsid w:val="00013A8B"/>
    <w:rsid w:val="00021445"/>
    <w:rsid w:val="0003338B"/>
    <w:rsid w:val="00036039"/>
    <w:rsid w:val="000378DA"/>
    <w:rsid w:val="00037F90"/>
    <w:rsid w:val="00073324"/>
    <w:rsid w:val="000875BF"/>
    <w:rsid w:val="00096D8C"/>
    <w:rsid w:val="000C0B65"/>
    <w:rsid w:val="000C676E"/>
    <w:rsid w:val="000D57E6"/>
    <w:rsid w:val="000E3D42"/>
    <w:rsid w:val="000E5884"/>
    <w:rsid w:val="00122BD5"/>
    <w:rsid w:val="00165D8F"/>
    <w:rsid w:val="00184189"/>
    <w:rsid w:val="00193810"/>
    <w:rsid w:val="001956D9"/>
    <w:rsid w:val="001979D9"/>
    <w:rsid w:val="001D6BCF"/>
    <w:rsid w:val="001E01CA"/>
    <w:rsid w:val="001F561C"/>
    <w:rsid w:val="002060D9"/>
    <w:rsid w:val="00226822"/>
    <w:rsid w:val="00233FA4"/>
    <w:rsid w:val="00237394"/>
    <w:rsid w:val="00242C3C"/>
    <w:rsid w:val="00243DF7"/>
    <w:rsid w:val="002539DB"/>
    <w:rsid w:val="00260594"/>
    <w:rsid w:val="00266E48"/>
    <w:rsid w:val="00282818"/>
    <w:rsid w:val="00285017"/>
    <w:rsid w:val="002A2D2E"/>
    <w:rsid w:val="002C61AF"/>
    <w:rsid w:val="002D48A3"/>
    <w:rsid w:val="00300222"/>
    <w:rsid w:val="00335F61"/>
    <w:rsid w:val="00343749"/>
    <w:rsid w:val="00357D50"/>
    <w:rsid w:val="003677B3"/>
    <w:rsid w:val="0038510C"/>
    <w:rsid w:val="003925DC"/>
    <w:rsid w:val="00393DC4"/>
    <w:rsid w:val="00396A98"/>
    <w:rsid w:val="003A16EA"/>
    <w:rsid w:val="003B0550"/>
    <w:rsid w:val="003B4343"/>
    <w:rsid w:val="003B694F"/>
    <w:rsid w:val="003F171C"/>
    <w:rsid w:val="004038AD"/>
    <w:rsid w:val="00412FC5"/>
    <w:rsid w:val="004153F3"/>
    <w:rsid w:val="00422276"/>
    <w:rsid w:val="004242F1"/>
    <w:rsid w:val="00426B09"/>
    <w:rsid w:val="00445A00"/>
    <w:rsid w:val="00451B0F"/>
    <w:rsid w:val="00455A8C"/>
    <w:rsid w:val="0046125F"/>
    <w:rsid w:val="00487524"/>
    <w:rsid w:val="00487599"/>
    <w:rsid w:val="00496106"/>
    <w:rsid w:val="004C12D0"/>
    <w:rsid w:val="004C1D03"/>
    <w:rsid w:val="004C2EE3"/>
    <w:rsid w:val="004D651F"/>
    <w:rsid w:val="004E4A22"/>
    <w:rsid w:val="004E5CBD"/>
    <w:rsid w:val="00511968"/>
    <w:rsid w:val="005210D2"/>
    <w:rsid w:val="005311C2"/>
    <w:rsid w:val="0054417E"/>
    <w:rsid w:val="0055258D"/>
    <w:rsid w:val="0055614C"/>
    <w:rsid w:val="00572737"/>
    <w:rsid w:val="00586732"/>
    <w:rsid w:val="005D149C"/>
    <w:rsid w:val="005D18CF"/>
    <w:rsid w:val="005E4285"/>
    <w:rsid w:val="005F4FDB"/>
    <w:rsid w:val="00607BA5"/>
    <w:rsid w:val="00626EB6"/>
    <w:rsid w:val="006353A3"/>
    <w:rsid w:val="006502ED"/>
    <w:rsid w:val="00655326"/>
    <w:rsid w:val="00655D03"/>
    <w:rsid w:val="00683F84"/>
    <w:rsid w:val="00684E4F"/>
    <w:rsid w:val="006A1E45"/>
    <w:rsid w:val="006A6A81"/>
    <w:rsid w:val="006E26AF"/>
    <w:rsid w:val="006F49AB"/>
    <w:rsid w:val="006F7393"/>
    <w:rsid w:val="0070224F"/>
    <w:rsid w:val="007115F7"/>
    <w:rsid w:val="007157F2"/>
    <w:rsid w:val="00715FC4"/>
    <w:rsid w:val="00736ED2"/>
    <w:rsid w:val="00737167"/>
    <w:rsid w:val="007636F9"/>
    <w:rsid w:val="00785689"/>
    <w:rsid w:val="0079754B"/>
    <w:rsid w:val="007A1E6D"/>
    <w:rsid w:val="007B7ACD"/>
    <w:rsid w:val="00801C8A"/>
    <w:rsid w:val="008042E7"/>
    <w:rsid w:val="008102B5"/>
    <w:rsid w:val="00822CE0"/>
    <w:rsid w:val="0083694C"/>
    <w:rsid w:val="00837C62"/>
    <w:rsid w:val="00841AB1"/>
    <w:rsid w:val="008566FC"/>
    <w:rsid w:val="0087750E"/>
    <w:rsid w:val="0089609A"/>
    <w:rsid w:val="008B3092"/>
    <w:rsid w:val="008C22FD"/>
    <w:rsid w:val="008C68D5"/>
    <w:rsid w:val="008E30B3"/>
    <w:rsid w:val="00910F12"/>
    <w:rsid w:val="00926503"/>
    <w:rsid w:val="00930ECF"/>
    <w:rsid w:val="00950F46"/>
    <w:rsid w:val="00956B45"/>
    <w:rsid w:val="00966AC1"/>
    <w:rsid w:val="009838BC"/>
    <w:rsid w:val="009C126E"/>
    <w:rsid w:val="009D4783"/>
    <w:rsid w:val="00A05609"/>
    <w:rsid w:val="00A3231F"/>
    <w:rsid w:val="00A45F4F"/>
    <w:rsid w:val="00A600A9"/>
    <w:rsid w:val="00A773F2"/>
    <w:rsid w:val="00A866AC"/>
    <w:rsid w:val="00AA55B7"/>
    <w:rsid w:val="00AA5B9E"/>
    <w:rsid w:val="00AA72CE"/>
    <w:rsid w:val="00AB2407"/>
    <w:rsid w:val="00AB53DF"/>
    <w:rsid w:val="00AD781C"/>
    <w:rsid w:val="00B07E5C"/>
    <w:rsid w:val="00B20363"/>
    <w:rsid w:val="00B326E3"/>
    <w:rsid w:val="00B46C5A"/>
    <w:rsid w:val="00B811F7"/>
    <w:rsid w:val="00BA5DC6"/>
    <w:rsid w:val="00BA6196"/>
    <w:rsid w:val="00BC6D8C"/>
    <w:rsid w:val="00BF43A2"/>
    <w:rsid w:val="00C16AF2"/>
    <w:rsid w:val="00C333D8"/>
    <w:rsid w:val="00C34006"/>
    <w:rsid w:val="00C426B1"/>
    <w:rsid w:val="00C559E3"/>
    <w:rsid w:val="00C60ACD"/>
    <w:rsid w:val="00C669C3"/>
    <w:rsid w:val="00C82B6B"/>
    <w:rsid w:val="00C85C21"/>
    <w:rsid w:val="00C9095E"/>
    <w:rsid w:val="00C90D6A"/>
    <w:rsid w:val="00C94739"/>
    <w:rsid w:val="00CA0FE8"/>
    <w:rsid w:val="00CA51BC"/>
    <w:rsid w:val="00CC72B6"/>
    <w:rsid w:val="00CD681B"/>
    <w:rsid w:val="00CE4477"/>
    <w:rsid w:val="00D0218D"/>
    <w:rsid w:val="00D216CD"/>
    <w:rsid w:val="00D67258"/>
    <w:rsid w:val="00DA2529"/>
    <w:rsid w:val="00DB130A"/>
    <w:rsid w:val="00DC10A1"/>
    <w:rsid w:val="00DC4A74"/>
    <w:rsid w:val="00DC655F"/>
    <w:rsid w:val="00DD7EBD"/>
    <w:rsid w:val="00DE68C0"/>
    <w:rsid w:val="00DF62B6"/>
    <w:rsid w:val="00E04420"/>
    <w:rsid w:val="00E07225"/>
    <w:rsid w:val="00E14589"/>
    <w:rsid w:val="00E155B7"/>
    <w:rsid w:val="00E31A80"/>
    <w:rsid w:val="00E33FF3"/>
    <w:rsid w:val="00E43EF5"/>
    <w:rsid w:val="00E5409F"/>
    <w:rsid w:val="00E55F9C"/>
    <w:rsid w:val="00E73DC8"/>
    <w:rsid w:val="00EC0185"/>
    <w:rsid w:val="00F021FA"/>
    <w:rsid w:val="00F10416"/>
    <w:rsid w:val="00F11F77"/>
    <w:rsid w:val="00F21A73"/>
    <w:rsid w:val="00F34191"/>
    <w:rsid w:val="00F57ACA"/>
    <w:rsid w:val="00F62E97"/>
    <w:rsid w:val="00F64209"/>
    <w:rsid w:val="00F70D6D"/>
    <w:rsid w:val="00F8279A"/>
    <w:rsid w:val="00F93BF5"/>
    <w:rsid w:val="00F96F63"/>
    <w:rsid w:val="00FC0970"/>
    <w:rsid w:val="00FD6A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042388-AB39-47F7-89C7-0F73610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rsid w:val="00950F46"/>
  </w:style>
  <w:style w:type="paragraph" w:styleId="BalloonText">
    <w:name w:val="Balloon Text"/>
    <w:basedOn w:val="Normal"/>
    <w:link w:val="BalloonTextChar"/>
    <w:uiPriority w:val="99"/>
    <w:semiHidden/>
    <w:unhideWhenUsed/>
    <w:rsid w:val="003A16EA"/>
    <w:rPr>
      <w:rFonts w:ascii="Segoe UI" w:hAnsi="Segoe UI" w:cs="Segoe UI"/>
      <w:sz w:val="18"/>
      <w:szCs w:val="18"/>
    </w:rPr>
  </w:style>
  <w:style w:type="character" w:customStyle="1" w:styleId="BalloonTextChar">
    <w:name w:val="Balloon Text Char"/>
    <w:link w:val="BalloonText"/>
    <w:uiPriority w:val="99"/>
    <w:semiHidden/>
    <w:rsid w:val="003A16EA"/>
    <w:rPr>
      <w:rFonts w:ascii="Segoe UI" w:hAnsi="Segoe UI" w:cs="Segoe UI"/>
      <w:snapToGrid w:val="0"/>
      <w:kern w:val="28"/>
      <w:sz w:val="18"/>
      <w:szCs w:val="18"/>
    </w:rPr>
  </w:style>
  <w:style w:type="character" w:styleId="CommentReference">
    <w:name w:val="annotation reference"/>
    <w:uiPriority w:val="99"/>
    <w:semiHidden/>
    <w:unhideWhenUsed/>
    <w:rsid w:val="003A16EA"/>
    <w:rPr>
      <w:sz w:val="16"/>
      <w:szCs w:val="16"/>
    </w:rPr>
  </w:style>
  <w:style w:type="paragraph" w:styleId="CommentText">
    <w:name w:val="annotation text"/>
    <w:basedOn w:val="Normal"/>
    <w:link w:val="CommentTextChar"/>
    <w:uiPriority w:val="99"/>
    <w:semiHidden/>
    <w:unhideWhenUsed/>
    <w:rsid w:val="003A16EA"/>
    <w:rPr>
      <w:sz w:val="20"/>
    </w:rPr>
  </w:style>
  <w:style w:type="character" w:customStyle="1" w:styleId="CommentTextChar">
    <w:name w:val="Comment Text Char"/>
    <w:link w:val="CommentText"/>
    <w:uiPriority w:val="99"/>
    <w:semiHidden/>
    <w:rsid w:val="003A16EA"/>
    <w:rPr>
      <w:snapToGrid w:val="0"/>
      <w:kern w:val="28"/>
    </w:rPr>
  </w:style>
  <w:style w:type="paragraph" w:styleId="CommentSubject">
    <w:name w:val="annotation subject"/>
    <w:basedOn w:val="CommentText"/>
    <w:next w:val="CommentText"/>
    <w:link w:val="CommentSubjectChar"/>
    <w:uiPriority w:val="99"/>
    <w:semiHidden/>
    <w:unhideWhenUsed/>
    <w:rsid w:val="003A16EA"/>
    <w:rPr>
      <w:b/>
      <w:bCs/>
    </w:rPr>
  </w:style>
  <w:style w:type="character" w:customStyle="1" w:styleId="CommentSubjectChar">
    <w:name w:val="Comment Subject Char"/>
    <w:link w:val="CommentSubject"/>
    <w:uiPriority w:val="99"/>
    <w:semiHidden/>
    <w:rsid w:val="003A16E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