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5B1C44" w14:paraId="30983D14" w14:textId="3CBE33DD">
      <w:pPr>
        <w:jc w:val="right"/>
        <w:rPr>
          <w:b/>
          <w:sz w:val="24"/>
        </w:rPr>
      </w:pPr>
      <w:r>
        <w:rPr>
          <w:b/>
          <w:sz w:val="24"/>
        </w:rPr>
        <w:t>DA 20-1027</w:t>
      </w:r>
    </w:p>
    <w:p w:rsidR="00013A8B" w:rsidRPr="00B20363" w:rsidP="00013A8B" w14:paraId="5B6BE58E" w14:textId="06C89123">
      <w:pPr>
        <w:spacing w:before="60"/>
        <w:jc w:val="right"/>
        <w:rPr>
          <w:b/>
          <w:sz w:val="24"/>
        </w:rPr>
      </w:pPr>
      <w:r>
        <w:rPr>
          <w:b/>
          <w:sz w:val="24"/>
        </w:rPr>
        <w:t xml:space="preserve">Released:  </w:t>
      </w:r>
      <w:r w:rsidR="005B1C44">
        <w:rPr>
          <w:b/>
          <w:sz w:val="24"/>
        </w:rPr>
        <w:t>September 3, 2020</w:t>
      </w:r>
    </w:p>
    <w:p w:rsidR="005B1C44" w:rsidP="005B1C44" w14:paraId="628D0629" w14:textId="77777777">
      <w:pPr>
        <w:jc w:val="right"/>
        <w:rPr>
          <w:sz w:val="24"/>
        </w:rPr>
      </w:pPr>
      <w:bookmarkStart w:id="0" w:name="TOChere"/>
    </w:p>
    <w:p w:rsidR="005B1C44" w:rsidRPr="00B20363" w:rsidP="005B1C44" w14:paraId="573230EE" w14:textId="2F35A1CD">
      <w:pPr>
        <w:spacing w:after="240"/>
        <w:jc w:val="center"/>
        <w:rPr>
          <w:rFonts w:ascii="Times New Roman Bold" w:hAnsi="Times New Roman Bold"/>
          <w:b/>
          <w:caps/>
          <w:sz w:val="24"/>
        </w:rPr>
      </w:pPr>
      <w:r w:rsidRPr="726F759A">
        <w:rPr>
          <w:rFonts w:ascii="Times New Roman Bold" w:hAnsi="Times New Roman Bold"/>
          <w:b/>
          <w:bCs/>
          <w:caps/>
          <w:sz w:val="24"/>
          <w:szCs w:val="24"/>
        </w:rPr>
        <w:t>Wireline competition bur</w:t>
      </w:r>
      <w:r>
        <w:rPr>
          <w:rFonts w:ascii="Times New Roman Bold" w:hAnsi="Times New Roman Bold"/>
          <w:b/>
          <w:bCs/>
          <w:caps/>
          <w:sz w:val="24"/>
          <w:szCs w:val="24"/>
        </w:rPr>
        <w:t>EAU</w:t>
      </w:r>
      <w:r w:rsidRPr="726F759A">
        <w:rPr>
          <w:rFonts w:ascii="Times New Roman Bold" w:hAnsi="Times New Roman Bold"/>
          <w:b/>
          <w:bCs/>
          <w:caps/>
          <w:sz w:val="24"/>
          <w:szCs w:val="24"/>
        </w:rPr>
        <w:t xml:space="preserve"> reminds parties of deadlines for filing oppositions and replies regarding the bloomingdale telephone company application for review</w:t>
      </w:r>
    </w:p>
    <w:p w:rsidR="005B1C44" w:rsidP="005B1C44" w14:paraId="3B8BF2BA" w14:textId="77777777">
      <w:pPr>
        <w:jc w:val="center"/>
        <w:rPr>
          <w:b/>
          <w:sz w:val="24"/>
        </w:rPr>
      </w:pPr>
      <w:r w:rsidRPr="726F759A">
        <w:rPr>
          <w:b/>
          <w:bCs/>
          <w:sz w:val="24"/>
          <w:szCs w:val="24"/>
        </w:rPr>
        <w:t>WC Docket No. 14-58</w:t>
      </w:r>
    </w:p>
    <w:p w:rsidR="005B1C44" w:rsidRPr="00930ECF" w:rsidP="005B1C44" w14:paraId="02EBA25D" w14:textId="77777777">
      <w:pPr>
        <w:rPr>
          <w:sz w:val="24"/>
        </w:rPr>
      </w:pPr>
    </w:p>
    <w:p w:rsidR="005B1C44" w:rsidRPr="005B1C44" w:rsidP="005B1C44" w14:paraId="24C086A1" w14:textId="77777777">
      <w:pPr>
        <w:rPr>
          <w:b/>
          <w:bCs/>
          <w:szCs w:val="22"/>
        </w:rPr>
      </w:pPr>
      <w:r w:rsidRPr="005B1C44">
        <w:rPr>
          <w:b/>
          <w:bCs/>
          <w:szCs w:val="22"/>
        </w:rPr>
        <w:t>Oppositions Due: September 16, 2020</w:t>
      </w:r>
    </w:p>
    <w:p w:rsidR="005B1C44" w:rsidRPr="005B1C44" w:rsidP="005B1C44" w14:paraId="08F994DA" w14:textId="5328A34F">
      <w:pPr>
        <w:rPr>
          <w:b/>
          <w:bCs/>
          <w:szCs w:val="22"/>
        </w:rPr>
      </w:pPr>
      <w:r w:rsidRPr="005B1C44">
        <w:rPr>
          <w:b/>
          <w:bCs/>
          <w:szCs w:val="22"/>
        </w:rPr>
        <w:t>Replies to Oppositions Due: September 28, 2020</w:t>
      </w:r>
    </w:p>
    <w:p w:rsidR="005B1C44" w:rsidRPr="005B1C44" w:rsidP="005B1C44" w14:paraId="590DE151" w14:textId="0489D58B">
      <w:pPr>
        <w:rPr>
          <w:b/>
          <w:bCs/>
          <w:szCs w:val="22"/>
        </w:rPr>
      </w:pPr>
    </w:p>
    <w:p w:rsidR="00014C54" w:rsidP="00014C54" w14:paraId="0B46EB3D" w14:textId="77777777">
      <w:pPr>
        <w:spacing w:after="120"/>
        <w:ind w:firstLine="720"/>
        <w:rPr>
          <w:szCs w:val="22"/>
        </w:rPr>
      </w:pPr>
      <w:r w:rsidRPr="005B1C44">
        <w:rPr>
          <w:szCs w:val="22"/>
        </w:rPr>
        <w:t>The Wireline Competition Bureau (Bureau) seeks comment on an application for review filed by Bloomingdale Telephone Company (Bloomingdale).</w:t>
      </w:r>
      <w:r>
        <w:rPr>
          <w:rStyle w:val="FootnoteReference"/>
          <w:szCs w:val="22"/>
        </w:rPr>
        <w:footnoteReference w:id="3"/>
      </w:r>
      <w:r w:rsidRPr="005B1C44">
        <w:rPr>
          <w:szCs w:val="22"/>
        </w:rPr>
        <w:t xml:space="preserve">  On August 5, 2020, the Bureau released an Order denying two petitions for waiver of the March 1, 2019 deadline, including one from Bloomingdale,</w:t>
      </w:r>
      <w:r>
        <w:rPr>
          <w:rStyle w:val="FootnoteReference"/>
          <w:szCs w:val="22"/>
        </w:rPr>
        <w:footnoteReference w:id="4"/>
      </w:r>
      <w:r w:rsidRPr="005B1C44">
        <w:rPr>
          <w:szCs w:val="22"/>
        </w:rPr>
        <w:t xml:space="preserve"> to upload and certify geocoded location information data with the Universal Service Administrative Company through the High Cost Universal Broadband (HUBB) portal.</w:t>
      </w:r>
      <w:r>
        <w:rPr>
          <w:rStyle w:val="FootnoteReference"/>
          <w:szCs w:val="22"/>
        </w:rPr>
        <w:footnoteReference w:id="5"/>
      </w:r>
      <w:r w:rsidRPr="005B1C44">
        <w:rPr>
          <w:szCs w:val="22"/>
        </w:rPr>
        <w:t xml:space="preserve">  Bloomingdale seeks review of the Bureau’s decision to deny its petition for waiver.</w:t>
      </w:r>
      <w:r>
        <w:rPr>
          <w:rStyle w:val="FootnoteReference"/>
          <w:szCs w:val="22"/>
        </w:rPr>
        <w:footnoteReference w:id="6"/>
      </w:r>
      <w:r w:rsidRPr="005B1C44">
        <w:rPr>
          <w:szCs w:val="22"/>
        </w:rPr>
        <w:t xml:space="preserve"> </w:t>
      </w:r>
    </w:p>
    <w:p w:rsidR="00014C54" w:rsidRPr="00014C54" w:rsidP="00014C54" w14:paraId="0D1234EB" w14:textId="77777777">
      <w:pPr>
        <w:spacing w:after="120"/>
        <w:ind w:firstLine="720"/>
        <w:rPr>
          <w:szCs w:val="22"/>
        </w:rPr>
      </w:pPr>
      <w:r w:rsidRPr="00014C54">
        <w:rPr>
          <w:szCs w:val="22"/>
        </w:rPr>
        <w:t xml:space="preserve">In accordance with the Commission’s rules, oppositions to this Application for Review must be filed within 15 days after the application for review is filed, or </w:t>
      </w:r>
      <w:r w:rsidRPr="00014C54">
        <w:rPr>
          <w:b/>
          <w:bCs/>
          <w:szCs w:val="22"/>
        </w:rPr>
        <w:t>September 16, 2020.</w:t>
      </w:r>
      <w:r>
        <w:rPr>
          <w:rStyle w:val="FootnoteReference"/>
          <w:szCs w:val="22"/>
        </w:rPr>
        <w:footnoteReference w:id="7"/>
      </w:r>
      <w:r w:rsidRPr="00014C54">
        <w:rPr>
          <w:b/>
          <w:bCs/>
          <w:szCs w:val="22"/>
        </w:rPr>
        <w:t xml:space="preserve">  </w:t>
      </w:r>
      <w:r w:rsidRPr="00014C54">
        <w:rPr>
          <w:szCs w:val="22"/>
        </w:rPr>
        <w:t xml:space="preserve">Replies to oppositions must be filed within 10 days after the opposition is filed, no later than </w:t>
      </w:r>
      <w:r w:rsidRPr="00014C54">
        <w:rPr>
          <w:b/>
          <w:bCs/>
          <w:szCs w:val="22"/>
        </w:rPr>
        <w:t>September 28, 2020,</w:t>
      </w:r>
      <w:r w:rsidRPr="00014C54">
        <w:rPr>
          <w:szCs w:val="22"/>
        </w:rPr>
        <w:t xml:space="preserve"> and shall be limited to matters raised in the opposition.</w:t>
      </w:r>
      <w:r>
        <w:rPr>
          <w:rStyle w:val="FootnoteReference"/>
          <w:szCs w:val="22"/>
        </w:rPr>
        <w:footnoteReference w:id="8"/>
      </w:r>
      <w:r w:rsidRPr="00014C54">
        <w:rPr>
          <w:szCs w:val="22"/>
        </w:rPr>
        <w:t xml:space="preserve">  Oppositions to the application for review must be served on the party seeking review and on parties to the proceeding.</w:t>
      </w:r>
      <w:r>
        <w:rPr>
          <w:rStyle w:val="FootnoteReference"/>
          <w:szCs w:val="22"/>
        </w:rPr>
        <w:footnoteReference w:id="9"/>
      </w:r>
      <w:r w:rsidRPr="00014C54">
        <w:rPr>
          <w:szCs w:val="22"/>
        </w:rPr>
        <w:t xml:space="preserve">  Oppositions and replies to oppositions may be filed using the Commission’s Electronic Comment Filing System (</w:t>
      </w:r>
      <w:r w:rsidRPr="00014C54">
        <w:rPr>
          <w:szCs w:val="22"/>
        </w:rPr>
        <w:t>ECFS</w:t>
      </w:r>
      <w:r w:rsidRPr="00014C54">
        <w:rPr>
          <w:szCs w:val="22"/>
        </w:rPr>
        <w:t>).</w:t>
      </w:r>
      <w:r>
        <w:rPr>
          <w:rStyle w:val="FootnoteReference"/>
          <w:szCs w:val="22"/>
        </w:rPr>
        <w:footnoteReference w:id="10"/>
      </w:r>
    </w:p>
    <w:p w:rsidR="002067C3" w:rsidRPr="00014C54" w:rsidP="00014C54" w14:paraId="5AA5A1D4" w14:textId="72C17769">
      <w:pPr>
        <w:widowControl/>
        <w:numPr>
          <w:ilvl w:val="0"/>
          <w:numId w:val="8"/>
        </w:numPr>
        <w:spacing w:after="120"/>
        <w:rPr>
          <w:szCs w:val="22"/>
        </w:rPr>
      </w:pPr>
      <w:r w:rsidRPr="00014C54">
        <w:rPr>
          <w:szCs w:val="22"/>
        </w:rPr>
        <w:t xml:space="preserve">Electronic Filers:  </w:t>
      </w:r>
      <w:r w:rsidRPr="00014C54" w:rsidR="00530CC2">
        <w:rPr>
          <w:szCs w:val="22"/>
        </w:rPr>
        <w:t xml:space="preserve">Oppositions and replies </w:t>
      </w:r>
      <w:r w:rsidRPr="00014C54">
        <w:rPr>
          <w:szCs w:val="22"/>
        </w:rPr>
        <w:t xml:space="preserve">may be filed electronically using the Internet by accessing the </w:t>
      </w:r>
      <w:r w:rsidRPr="00014C54">
        <w:rPr>
          <w:szCs w:val="22"/>
        </w:rPr>
        <w:t>ECFS</w:t>
      </w:r>
      <w:r w:rsidRPr="00014C54">
        <w:rPr>
          <w:szCs w:val="22"/>
        </w:rPr>
        <w:t xml:space="preserve">:  http://apps.fcc.gov/ecfs/.  </w:t>
      </w:r>
      <w:r w:rsidR="00530CC2">
        <w:rPr>
          <w:szCs w:val="22"/>
        </w:rPr>
        <w:t xml:space="preserve">  </w:t>
      </w:r>
    </w:p>
    <w:p w:rsidR="002067C3" w:rsidRPr="00014C54" w:rsidP="00014C54" w14:paraId="65CD98E9" w14:textId="04195384">
      <w:pPr>
        <w:numPr>
          <w:ilvl w:val="0"/>
          <w:numId w:val="8"/>
        </w:numPr>
        <w:spacing w:after="120"/>
        <w:rPr>
          <w:szCs w:val="22"/>
        </w:rPr>
      </w:pPr>
      <w:r w:rsidRPr="00014C54">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sidRPr="00014C54">
        <w:rPr>
          <w:szCs w:val="22"/>
        </w:rPr>
        <w:t>.</w:t>
      </w:r>
    </w:p>
    <w:p w:rsidR="002067C3" w:rsidRPr="00014C54" w:rsidP="00014C54" w14:paraId="47579713" w14:textId="77777777">
      <w:pPr>
        <w:numPr>
          <w:ilvl w:val="0"/>
          <w:numId w:val="8"/>
        </w:numPr>
        <w:spacing w:after="120"/>
        <w:rPr>
          <w:szCs w:val="22"/>
        </w:rPr>
      </w:pPr>
      <w:r w:rsidRPr="00014C54">
        <w:rPr>
          <w:szCs w:val="22"/>
        </w:rPr>
        <w:t>Filings can be sent by commercial overnight courier, or by first-class or overnight U.S. Postal Service mail. All filings must be addressed to the Commission’s Secretary, Office of the Secretary, Federal Communications Commission.</w:t>
      </w:r>
    </w:p>
    <w:p w:rsidR="00014C54" w:rsidRPr="00014C54" w:rsidP="00014C54" w14:paraId="2D48CE4F" w14:textId="62633A52">
      <w:pPr>
        <w:numPr>
          <w:ilvl w:val="0"/>
          <w:numId w:val="8"/>
        </w:numPr>
        <w:spacing w:after="120"/>
        <w:rPr>
          <w:szCs w:val="22"/>
        </w:rPr>
      </w:pPr>
      <w:r w:rsidRPr="00014C54">
        <w:rPr>
          <w:szCs w:val="22"/>
        </w:rPr>
        <w:t>Commercial overnight mail (other than U.S. Postal Service Express Mail and Priority Mail) must be sent to 9050 Junction Drive, Annapolis Junction, MD 20701.</w:t>
      </w:r>
      <w:r>
        <w:rPr>
          <w:szCs w:val="22"/>
        </w:rPr>
        <w:t xml:space="preserve">  </w:t>
      </w:r>
      <w:r w:rsidRPr="00014C54">
        <w:rPr>
          <w:szCs w:val="22"/>
        </w:rPr>
        <w:t>U.S. Postal Service first-class, Express, and Priority mail must be addressed to 445 12th Street, SW, Washington DC  20554</w:t>
      </w:r>
    </w:p>
    <w:p w:rsidR="002067C3" w:rsidRPr="00014C54" w:rsidP="00014C54" w14:paraId="4BC5F043" w14:textId="5D1F6E69">
      <w:pPr>
        <w:numPr>
          <w:ilvl w:val="0"/>
          <w:numId w:val="8"/>
        </w:numPr>
        <w:spacing w:after="120"/>
        <w:rPr>
          <w:szCs w:val="22"/>
        </w:rPr>
      </w:pPr>
      <w:r w:rsidRPr="00014C5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1"/>
      </w:r>
      <w:r w:rsidRPr="00014C54">
        <w:rPr>
          <w:szCs w:val="22"/>
        </w:rPr>
        <w:t xml:space="preserve"> </w:t>
      </w:r>
    </w:p>
    <w:p w:rsidR="00014C54" w:rsidRPr="00014C54" w:rsidP="00014C54" w14:paraId="27F10BEF" w14:textId="030EFF12">
      <w:pPr>
        <w:spacing w:after="120"/>
        <w:ind w:firstLine="720"/>
        <w:rPr>
          <w:szCs w:val="22"/>
        </w:rPr>
      </w:pPr>
      <w:r w:rsidRPr="00014C54">
        <w:rPr>
          <w:szCs w:val="22"/>
        </w:rPr>
        <w:t xml:space="preserve">People with Disabilities:  To request materials in accessible formats for people with disabilities (braille, large print, electronic files, audio format), send an e-mail to </w:t>
      </w:r>
      <w:hyperlink r:id="rId5" w:history="1">
        <w:r w:rsidRPr="00014C54">
          <w:rPr>
            <w:rStyle w:val="Hyperlink"/>
            <w:szCs w:val="22"/>
          </w:rPr>
          <w:t>fcc504@fcc.gov</w:t>
        </w:r>
      </w:hyperlink>
      <w:r w:rsidRPr="00014C54">
        <w:rPr>
          <w:szCs w:val="22"/>
        </w:rPr>
        <w:t xml:space="preserve"> or call the Consumer &amp; Government Affairs Bureau at 202-418-0530 (voice, 202-418-0432 (</w:t>
      </w:r>
      <w:r w:rsidRPr="00014C54">
        <w:rPr>
          <w:szCs w:val="22"/>
        </w:rPr>
        <w:t>tty</w:t>
      </w:r>
      <w:r w:rsidRPr="00014C54">
        <w:rPr>
          <w:szCs w:val="22"/>
        </w:rPr>
        <w:t>)</w:t>
      </w:r>
      <w:r w:rsidR="00530CC2">
        <w:rPr>
          <w:szCs w:val="22"/>
        </w:rPr>
        <w:t>)</w:t>
      </w:r>
      <w:bookmarkStart w:id="1" w:name="_GoBack"/>
      <w:bookmarkEnd w:id="1"/>
      <w:r w:rsidRPr="00014C54">
        <w:rPr>
          <w:szCs w:val="22"/>
        </w:rPr>
        <w:t xml:space="preserve">. </w:t>
      </w:r>
    </w:p>
    <w:p w:rsidR="005B1C44" w:rsidRPr="005B1C44" w:rsidP="00014C54" w14:paraId="5362F18B" w14:textId="54E9C9D6">
      <w:pPr>
        <w:spacing w:after="120"/>
        <w:ind w:firstLine="720"/>
        <w:rPr>
          <w:szCs w:val="22"/>
        </w:rPr>
      </w:pPr>
      <w:r w:rsidRPr="005B1C44">
        <w:rPr>
          <w:szCs w:val="22"/>
        </w:rPr>
        <w:t xml:space="preserve">Pursuant to the Commission’s </w:t>
      </w:r>
      <w:r w:rsidRPr="005B1C44">
        <w:rPr>
          <w:i/>
          <w:iCs/>
          <w:szCs w:val="22"/>
        </w:rPr>
        <w:t xml:space="preserve">ex </w:t>
      </w:r>
      <w:r w:rsidRPr="005B1C44">
        <w:rPr>
          <w:i/>
          <w:iCs/>
          <w:szCs w:val="22"/>
        </w:rPr>
        <w:t>parte</w:t>
      </w:r>
      <w:r w:rsidRPr="005B1C44">
        <w:rPr>
          <w:szCs w:val="22"/>
        </w:rPr>
        <w:t xml:space="preserve"> rules,</w:t>
      </w:r>
      <w:r>
        <w:rPr>
          <w:rStyle w:val="FootnoteReference"/>
          <w:szCs w:val="22"/>
        </w:rPr>
        <w:footnoteReference w:id="12"/>
      </w:r>
      <w:r w:rsidRPr="005B1C44">
        <w:rPr>
          <w:szCs w:val="22"/>
        </w:rPr>
        <w:t xml:space="preserve"> this is a “restricted” proceeding, in which </w:t>
      </w:r>
      <w:r w:rsidRPr="005B1C44">
        <w:rPr>
          <w:i/>
          <w:iCs/>
          <w:szCs w:val="22"/>
        </w:rPr>
        <w:t xml:space="preserve">ex </w:t>
      </w:r>
      <w:r w:rsidRPr="005B1C44">
        <w:rPr>
          <w:i/>
          <w:iCs/>
          <w:szCs w:val="22"/>
        </w:rPr>
        <w:t>parte</w:t>
      </w:r>
      <w:r w:rsidRPr="005B1C44">
        <w:rPr>
          <w:szCs w:val="22"/>
        </w:rPr>
        <w:t xml:space="preserve"> presentations (other than those exempt under such rules) are prohibited.  An </w:t>
      </w:r>
      <w:r w:rsidRPr="005B1C44">
        <w:rPr>
          <w:i/>
          <w:iCs/>
          <w:szCs w:val="22"/>
        </w:rPr>
        <w:t xml:space="preserve">ex </w:t>
      </w:r>
      <w:r w:rsidRPr="005B1C44">
        <w:rPr>
          <w:i/>
          <w:iCs/>
          <w:szCs w:val="22"/>
        </w:rPr>
        <w:t>parte</w:t>
      </w:r>
      <w:r w:rsidRPr="005B1C44">
        <w:rPr>
          <w:szCs w:val="22"/>
        </w:rPr>
        <w:t xml:space="preserve"> presentation is any presentation which (1) if written, is not served on the parties to the proceeding; or (2) or if oral, is made without advance notice to the parties and without opportunity for them to be present.</w:t>
      </w:r>
      <w:r>
        <w:rPr>
          <w:rStyle w:val="FootnoteReference"/>
          <w:szCs w:val="22"/>
        </w:rPr>
        <w:footnoteReference w:id="13"/>
      </w:r>
      <w:r w:rsidRPr="005B1C44">
        <w:rPr>
          <w:szCs w:val="22"/>
        </w:rPr>
        <w:t xml:space="preserve">  Parties should familiarize themselves with the Commission’s </w:t>
      </w:r>
      <w:r w:rsidRPr="005B1C44">
        <w:rPr>
          <w:i/>
          <w:iCs/>
          <w:szCs w:val="22"/>
        </w:rPr>
        <w:t xml:space="preserve">ex </w:t>
      </w:r>
      <w:r w:rsidRPr="005B1C44">
        <w:rPr>
          <w:i/>
          <w:iCs/>
          <w:szCs w:val="22"/>
        </w:rPr>
        <w:t>parte</w:t>
      </w:r>
      <w:r w:rsidRPr="005B1C44">
        <w:rPr>
          <w:szCs w:val="22"/>
        </w:rPr>
        <w:t xml:space="preserve"> rules.</w:t>
      </w:r>
    </w:p>
    <w:p w:rsidR="005B1C44" w:rsidRPr="005B1C44" w:rsidP="005B1C44" w14:paraId="15D95377" w14:textId="77777777">
      <w:pPr>
        <w:spacing w:after="120"/>
        <w:ind w:firstLine="720"/>
        <w:rPr>
          <w:szCs w:val="22"/>
        </w:rPr>
      </w:pPr>
      <w:r w:rsidRPr="005B1C44">
        <w:rPr>
          <w:szCs w:val="22"/>
        </w:rPr>
        <w:t xml:space="preserve">For further information, please contact Brian Cruikshank, Attorney Advisor, Telecommunications Access Policy Division, Wireline Competition Bureau at (202) 418-3623 or </w:t>
      </w:r>
      <w:hyperlink r:id="rId6" w:history="1">
        <w:r w:rsidRPr="005B1C44">
          <w:rPr>
            <w:rStyle w:val="Hyperlink"/>
            <w:szCs w:val="22"/>
          </w:rPr>
          <w:t>brian.cruikshank@fcc.gov</w:t>
        </w:r>
      </w:hyperlink>
      <w:r w:rsidRPr="005B1C44">
        <w:rPr>
          <w:szCs w:val="22"/>
        </w:rPr>
        <w:t xml:space="preserve">. </w:t>
      </w:r>
    </w:p>
    <w:p w:rsidR="005B1C44" w:rsidRPr="005B1C44" w:rsidP="005B1C44" w14:paraId="4D63BA45" w14:textId="77777777">
      <w:pPr>
        <w:ind w:firstLine="720"/>
        <w:rPr>
          <w:szCs w:val="22"/>
        </w:rPr>
      </w:pPr>
    </w:p>
    <w:p w:rsidR="005B1C44" w:rsidRPr="005B1C44" w:rsidP="005B1C44" w14:paraId="05EDD232" w14:textId="77777777">
      <w:pPr>
        <w:jc w:val="center"/>
        <w:rPr>
          <w:b/>
          <w:bCs/>
          <w:szCs w:val="22"/>
        </w:rPr>
      </w:pPr>
      <w:r w:rsidRPr="005B1C44">
        <w:rPr>
          <w:b/>
          <w:bCs/>
          <w:szCs w:val="22"/>
        </w:rPr>
        <w:t>-FCC-</w:t>
      </w:r>
    </w:p>
    <w:p w:rsidR="005B1C44" w:rsidRPr="00FF5457" w:rsidP="005B1C44" w14:paraId="0FA57593" w14:textId="77777777">
      <w:pPr>
        <w:rPr>
          <w:sz w:val="24"/>
        </w:rPr>
      </w:pPr>
    </w:p>
    <w:p w:rsidR="005B1C44" w:rsidRPr="00FF5457" w:rsidP="005B1C44" w14:paraId="36D1E54D" w14:textId="77777777">
      <w:pPr>
        <w:rPr>
          <w:b/>
          <w:bCs/>
          <w:sz w:val="24"/>
          <w:szCs w:val="24"/>
        </w:rPr>
      </w:pPr>
    </w:p>
    <w:p w:rsidR="00F96F63" w:rsidRPr="00930ECF" w:rsidP="00F96F63" w14:paraId="5B0E28A5" w14:textId="77777777">
      <w:pPr>
        <w:rPr>
          <w:sz w:val="24"/>
        </w:rPr>
      </w:pPr>
    </w:p>
    <w:bookmarkEnd w:id="0"/>
    <w:p w:rsidR="00F96F63" w:rsidP="00F96F63" w14:paraId="493A3209" w14:textId="77777777">
      <w:pPr>
        <w:rPr>
          <w:sz w:val="24"/>
        </w:rPr>
      </w:pPr>
    </w:p>
    <w:p w:rsidR="00930ECF" w:rsidRPr="00930ECF" w:rsidP="00F96F63" w14:paraId="589E52EB"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1D691F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ABCB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BE53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474C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1C44" w14:paraId="4CDFDE6E" w14:textId="77777777">
      <w:r>
        <w:separator/>
      </w:r>
    </w:p>
  </w:footnote>
  <w:footnote w:type="continuationSeparator" w:id="1">
    <w:p w:rsidR="005B1C44" w14:paraId="178C5193" w14:textId="77777777">
      <w:pPr>
        <w:rPr>
          <w:sz w:val="20"/>
        </w:rPr>
      </w:pPr>
      <w:r>
        <w:rPr>
          <w:sz w:val="20"/>
        </w:rPr>
        <w:t xml:space="preserve">(Continued from previous page)  </w:t>
      </w:r>
      <w:r>
        <w:rPr>
          <w:sz w:val="20"/>
        </w:rPr>
        <w:separator/>
      </w:r>
    </w:p>
  </w:footnote>
  <w:footnote w:type="continuationNotice" w:id="2">
    <w:p w:rsidR="005B1C44" w:rsidP="00910F12" w14:paraId="230D2CA7" w14:textId="77777777">
      <w:pPr>
        <w:jc w:val="right"/>
        <w:rPr>
          <w:sz w:val="20"/>
        </w:rPr>
      </w:pPr>
      <w:r>
        <w:rPr>
          <w:sz w:val="20"/>
        </w:rPr>
        <w:t>(continued….)</w:t>
      </w:r>
    </w:p>
  </w:footnote>
  <w:footnote w:id="3">
    <w:p w:rsidR="005B1C44" w:rsidP="005B1C44" w14:paraId="599C3EB9" w14:textId="77777777">
      <w:pPr>
        <w:pStyle w:val="FootnoteText"/>
      </w:pPr>
      <w:r>
        <w:rPr>
          <w:rStyle w:val="FootnoteReference"/>
        </w:rPr>
        <w:footnoteRef/>
      </w:r>
      <w:r>
        <w:t xml:space="preserve"> Application for Review of Bloomingdale Telephone Company, WC Docket Nos. 10-90, et al., CC Docket No. 01-92 (filed Sep. 1, 2020) (Bloomingdale Application for Review).  </w:t>
      </w:r>
    </w:p>
  </w:footnote>
  <w:footnote w:id="4">
    <w:p w:rsidR="005B1C44" w:rsidP="005B1C44" w14:paraId="5A1F337F" w14:textId="77777777">
      <w:pPr>
        <w:pStyle w:val="FootnoteText"/>
      </w:pPr>
      <w:r>
        <w:rPr>
          <w:rStyle w:val="FootnoteReference"/>
        </w:rPr>
        <w:footnoteRef/>
      </w:r>
      <w:r>
        <w:t xml:space="preserve"> </w:t>
      </w:r>
      <w:r>
        <w:t>ComSouth</w:t>
      </w:r>
      <w:r>
        <w:t xml:space="preserve"> Corporation and Bloomingdale Telephone Company Emergency Request for Expedited Treatment Petition for Waiver, WC Docket Nos. 10-90, et al., CC Docket No. 01-92 (filed Apr. 21, 2020), </w:t>
      </w:r>
      <w:hyperlink r:id="rId1" w:history="1">
        <w:r w:rsidRPr="00DA0B90">
          <w:rPr>
            <w:rStyle w:val="Hyperlink"/>
          </w:rPr>
          <w:t>https://ecfsapi.fcc.gov/file/1042129184437/FINAL%20HUBB%20Waiver%20-%20ComSouth%20and%20</w:t>
        </w:r>
        <w:r w:rsidRPr="00DA0B90">
          <w:rPr>
            <w:rStyle w:val="Hyperlink"/>
          </w:rPr>
          <w:br/>
          <w:t>Bloomingdale.pdf</w:t>
        </w:r>
      </w:hyperlink>
      <w:r>
        <w:t xml:space="preserve">. </w:t>
      </w:r>
    </w:p>
  </w:footnote>
  <w:footnote w:id="5">
    <w:p w:rsidR="005B1C44" w:rsidRPr="0030770E" w:rsidP="005B1C44" w14:paraId="7A076560" w14:textId="77777777">
      <w:pPr>
        <w:pStyle w:val="FootnoteText"/>
      </w:pPr>
      <w:r>
        <w:rPr>
          <w:rStyle w:val="FootnoteReference"/>
        </w:rPr>
        <w:footnoteRef/>
      </w:r>
      <w:r>
        <w:t xml:space="preserve"> </w:t>
      </w:r>
      <w:r>
        <w:rPr>
          <w:i/>
          <w:iCs/>
        </w:rPr>
        <w:t>Connect America Fund, et al.</w:t>
      </w:r>
      <w:r>
        <w:t>, WC Docket Nos. 10-90, et al., CC Docket No. 01-92, Order, DA 20-837 (WCB 2020) (</w:t>
      </w:r>
      <w:r>
        <w:rPr>
          <w:i/>
          <w:iCs/>
        </w:rPr>
        <w:t>Denial Order</w:t>
      </w:r>
      <w:r>
        <w:t xml:space="preserve">).  </w:t>
      </w:r>
    </w:p>
  </w:footnote>
  <w:footnote w:id="6">
    <w:p w:rsidR="005B1C44" w:rsidRPr="0030770E" w:rsidP="005B1C44" w14:paraId="08C916B4" w14:textId="77777777">
      <w:pPr>
        <w:pStyle w:val="FootnoteText"/>
      </w:pPr>
      <w:r>
        <w:rPr>
          <w:rStyle w:val="FootnoteReference"/>
        </w:rPr>
        <w:footnoteRef/>
      </w:r>
      <w:r>
        <w:t xml:space="preserve"> </w:t>
      </w:r>
      <w:r>
        <w:rPr>
          <w:i/>
          <w:iCs/>
        </w:rPr>
        <w:t xml:space="preserve">See </w:t>
      </w:r>
      <w:r>
        <w:t xml:space="preserve">Bloomingdale Application for Review, 1.  </w:t>
      </w:r>
    </w:p>
  </w:footnote>
  <w:footnote w:id="7">
    <w:p w:rsidR="005B1C44" w:rsidP="005B1C44" w14:paraId="2578B090" w14:textId="77777777">
      <w:pPr>
        <w:pStyle w:val="FootnoteText"/>
      </w:pPr>
      <w:r>
        <w:rPr>
          <w:rStyle w:val="FootnoteReference"/>
        </w:rPr>
        <w:footnoteRef/>
      </w:r>
      <w:r>
        <w:t xml:space="preserve"> 47 CFR § 1.115(d). </w:t>
      </w:r>
    </w:p>
  </w:footnote>
  <w:footnote w:id="8">
    <w:p w:rsidR="005B1C44" w:rsidRPr="004B301F" w:rsidP="005B1C44" w14:paraId="221A4E7E" w14:textId="77777777">
      <w:pPr>
        <w:pStyle w:val="FootnoteText"/>
      </w:pPr>
      <w:r>
        <w:rPr>
          <w:rStyle w:val="FootnoteReference"/>
        </w:rPr>
        <w:footnoteRef/>
      </w:r>
      <w:r>
        <w:t xml:space="preserve"> </w:t>
      </w:r>
      <w:r>
        <w:rPr>
          <w:i/>
          <w:iCs/>
        </w:rPr>
        <w:t>Id.</w:t>
      </w:r>
    </w:p>
  </w:footnote>
  <w:footnote w:id="9">
    <w:p w:rsidR="005B1C44" w:rsidP="005B1C44" w14:paraId="66420ADE" w14:textId="77777777">
      <w:pPr>
        <w:pStyle w:val="FootnoteText"/>
      </w:pPr>
      <w:r>
        <w:rPr>
          <w:rStyle w:val="FootnoteReference"/>
        </w:rPr>
        <w:footnoteRef/>
      </w:r>
      <w:r>
        <w:t xml:space="preserve"> 47 CFR § 1.115(f). </w:t>
      </w:r>
    </w:p>
  </w:footnote>
  <w:footnote w:id="10">
    <w:p w:rsidR="005B1C44" w:rsidRPr="0030770E" w:rsidP="005B1C44" w14:paraId="0EA7D15A" w14:textId="77777777">
      <w:pPr>
        <w:pStyle w:val="FootnoteText"/>
      </w:pPr>
      <w:r>
        <w:rPr>
          <w:rStyle w:val="FootnoteReference"/>
        </w:rPr>
        <w:footnoteRef/>
      </w:r>
      <w:r>
        <w:t xml:space="preserve"> </w:t>
      </w:r>
      <w:r>
        <w:rPr>
          <w:i/>
          <w:iCs/>
        </w:rPr>
        <w:t>See Electronic Filing of Documents in Rulemaking Proceedings</w:t>
      </w:r>
      <w:r>
        <w:t xml:space="preserve">, GC Docket No. 97-113, Report and Order, 13 FCC Rcd 11355 (1998).  </w:t>
      </w:r>
    </w:p>
  </w:footnote>
  <w:footnote w:id="11">
    <w:p w:rsidR="00014C54" w14:paraId="19DB9773" w14:textId="2584B2F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35 FCC Rcd 2788 (Mar</w:t>
      </w:r>
      <w:r>
        <w:t>.</w:t>
      </w:r>
      <w:r w:rsidRPr="0026394F">
        <w:t xml:space="preserve"> 19, 2020).</w:t>
      </w:r>
    </w:p>
  </w:footnote>
  <w:footnote w:id="12">
    <w:p w:rsidR="005B1C44" w:rsidP="005B1C44" w14:paraId="57170FFC" w14:textId="77777777">
      <w:pPr>
        <w:pStyle w:val="FootnoteText"/>
      </w:pPr>
      <w:r>
        <w:rPr>
          <w:rStyle w:val="FootnoteReference"/>
        </w:rPr>
        <w:footnoteRef/>
      </w:r>
      <w:r>
        <w:t xml:space="preserve"> </w:t>
      </w:r>
      <w:r w:rsidRPr="0095667D">
        <w:t xml:space="preserve">47 CFR §§ 1.1200 </w:t>
      </w:r>
      <w:r w:rsidRPr="0040143E">
        <w:rPr>
          <w:i/>
          <w:iCs/>
        </w:rPr>
        <w:t>et seq</w:t>
      </w:r>
      <w:r w:rsidRPr="0095667D">
        <w:t>.</w:t>
      </w:r>
    </w:p>
  </w:footnote>
  <w:footnote w:id="13">
    <w:p w:rsidR="005B1C44" w:rsidP="005B1C44" w14:paraId="2ACD096B" w14:textId="77777777">
      <w:pPr>
        <w:pStyle w:val="FootnoteText"/>
      </w:pPr>
      <w:r>
        <w:rPr>
          <w:rStyle w:val="FootnoteReference"/>
        </w:rPr>
        <w:footnoteRef/>
      </w:r>
      <w:r>
        <w:t xml:space="preserve"> </w:t>
      </w:r>
      <w:r w:rsidRPr="0040143E">
        <w:rPr>
          <w:i/>
          <w:iCs/>
        </w:rPr>
        <w:t>Id.</w:t>
      </w:r>
      <w:r w:rsidRPr="0095667D">
        <w:t xml:space="preserve"> §§ 1.1202(a)-(b), 1.1208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587ABE9" w14:textId="24B007A2">
    <w:pPr>
      <w:tabs>
        <w:tab w:val="center" w:pos="4680"/>
        <w:tab w:val="right" w:pos="9360"/>
      </w:tabs>
    </w:pPr>
    <w:r w:rsidRPr="009838BC">
      <w:rPr>
        <w:b/>
      </w:rPr>
      <w:tab/>
      <w:t>Federal Communications Commission</w:t>
    </w:r>
    <w:r w:rsidRPr="009838BC">
      <w:rPr>
        <w:b/>
      </w:rPr>
      <w:tab/>
    </w:r>
    <w:r w:rsidR="00530CC2">
      <w:rPr>
        <w:b/>
      </w:rPr>
      <w:t>DA 20-1027</w:t>
    </w:r>
  </w:p>
  <w:p w:rsidR="009838BC" w:rsidRPr="009838BC" w:rsidP="009838BC" w14:paraId="00DAE11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7F9E1D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E28FF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38D79E76" w14:textId="77777777">
                <w:pPr>
                  <w:rPr>
                    <w:rFonts w:ascii="Arial" w:hAnsi="Arial"/>
                    <w:b/>
                  </w:rPr>
                </w:pPr>
                <w:r>
                  <w:rPr>
                    <w:rFonts w:ascii="Arial" w:hAnsi="Arial"/>
                    <w:b/>
                  </w:rPr>
                  <w:t>Federal Communications Commission</w:t>
                </w:r>
              </w:p>
              <w:p w:rsidR="009838BC" w:rsidP="009838BC" w14:paraId="42E6DCA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DABA69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BB8938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F84CC45" w14:textId="77777777">
                <w:pPr>
                  <w:spacing w:before="40"/>
                  <w:jc w:val="right"/>
                  <w:rPr>
                    <w:rFonts w:ascii="Arial" w:hAnsi="Arial"/>
                    <w:b/>
                    <w:sz w:val="16"/>
                  </w:rPr>
                </w:pPr>
                <w:r>
                  <w:rPr>
                    <w:rFonts w:ascii="Arial" w:hAnsi="Arial"/>
                    <w:b/>
                    <w:sz w:val="16"/>
                  </w:rPr>
                  <w:t>News Media Information 202 / 418-0500</w:t>
                </w:r>
              </w:p>
              <w:p w:rsidR="009838BC" w:rsidP="009838BC" w14:paraId="149D438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034E21E" w14:textId="77777777">
                <w:pPr>
                  <w:jc w:val="right"/>
                </w:pPr>
                <w:r>
                  <w:rPr>
                    <w:rFonts w:ascii="Arial" w:hAnsi="Arial"/>
                    <w:b/>
                    <w:sz w:val="16"/>
                  </w:rPr>
                  <w:t>TTY: 1-888-835-5322</w:t>
                </w:r>
              </w:p>
            </w:txbxContent>
          </v:textbox>
        </v:shape>
      </w:pict>
    </w:r>
  </w:p>
  <w:p w:rsidR="006F7393" w:rsidRPr="009838BC" w:rsidP="009838BC" w14:paraId="230145E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00600C"/>
    <w:multiLevelType w:val="hybridMultilevel"/>
    <w:tmpl w:val="1D083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44"/>
    <w:rsid w:val="000072CE"/>
    <w:rsid w:val="00013A8B"/>
    <w:rsid w:val="00014C54"/>
    <w:rsid w:val="00021445"/>
    <w:rsid w:val="00036039"/>
    <w:rsid w:val="00037F90"/>
    <w:rsid w:val="000875BF"/>
    <w:rsid w:val="00096D8C"/>
    <w:rsid w:val="000C0B65"/>
    <w:rsid w:val="000E3D42"/>
    <w:rsid w:val="000E5884"/>
    <w:rsid w:val="00122BD5"/>
    <w:rsid w:val="001979D9"/>
    <w:rsid w:val="001D6BCF"/>
    <w:rsid w:val="001E01CA"/>
    <w:rsid w:val="002060D9"/>
    <w:rsid w:val="002067C3"/>
    <w:rsid w:val="00226822"/>
    <w:rsid w:val="00260594"/>
    <w:rsid w:val="0026394F"/>
    <w:rsid w:val="00285017"/>
    <w:rsid w:val="002A2D2E"/>
    <w:rsid w:val="0030770E"/>
    <w:rsid w:val="00343749"/>
    <w:rsid w:val="00357D50"/>
    <w:rsid w:val="003925DC"/>
    <w:rsid w:val="003B0550"/>
    <w:rsid w:val="003B694F"/>
    <w:rsid w:val="003F171C"/>
    <w:rsid w:val="0040143E"/>
    <w:rsid w:val="00412FC5"/>
    <w:rsid w:val="00422276"/>
    <w:rsid w:val="004242F1"/>
    <w:rsid w:val="00445A00"/>
    <w:rsid w:val="00451B0F"/>
    <w:rsid w:val="0046125F"/>
    <w:rsid w:val="00487524"/>
    <w:rsid w:val="00496106"/>
    <w:rsid w:val="004B301F"/>
    <w:rsid w:val="004C12D0"/>
    <w:rsid w:val="004C2EE3"/>
    <w:rsid w:val="004E4A22"/>
    <w:rsid w:val="00511968"/>
    <w:rsid w:val="00530CC2"/>
    <w:rsid w:val="0055614C"/>
    <w:rsid w:val="005B1C44"/>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704F7"/>
    <w:rsid w:val="008C22FD"/>
    <w:rsid w:val="00910F12"/>
    <w:rsid w:val="00926503"/>
    <w:rsid w:val="00930ECF"/>
    <w:rsid w:val="0095667D"/>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03AB3"/>
    <w:rsid w:val="00D216CD"/>
    <w:rsid w:val="00DA0B90"/>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F5457"/>
    <w:rsid w:val="726F75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9282FD-ADD6-4473-9A55-72452671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locked/>
    <w:rsid w:val="005B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brian.cruikshank@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2129184437/FINAL%20HUBB%20Waiver%20-%20ComSouth%20and%20Bloomingdale.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