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A5A4D" w:rsidP="00EA5A4D">
      <w:pPr>
        <w:jc w:val="center"/>
        <w:rPr>
          <w:b/>
        </w:rPr>
      </w:pPr>
      <w:r w:rsidRPr="0070224F">
        <w:rPr>
          <w:rFonts w:ascii="Times New Roman Bold" w:hAnsi="Times New Roman Bold"/>
          <w:b/>
          <w:kern w:val="0"/>
          <w:szCs w:val="22"/>
        </w:rPr>
        <w:t>Before</w:t>
      </w:r>
      <w:r>
        <w:rPr>
          <w:b/>
        </w:rPr>
        <w:t xml:space="preserve"> the</w:t>
      </w:r>
    </w:p>
    <w:p w:rsidR="00EA5A4D" w:rsidP="00EA5A4D">
      <w:pPr>
        <w:pStyle w:val="StyleBoldCentered"/>
      </w:pPr>
      <w:r>
        <w:t>F</w:t>
      </w:r>
      <w:r>
        <w:rPr>
          <w:caps w:val="0"/>
        </w:rPr>
        <w:t>ederal Communications Commission</w:t>
      </w:r>
    </w:p>
    <w:p w:rsidR="00EA5A4D" w:rsidP="00EA5A4D">
      <w:pPr>
        <w:pStyle w:val="StyleBoldCentered"/>
      </w:pPr>
      <w:r>
        <w:rPr>
          <w:caps w:val="0"/>
        </w:rPr>
        <w:t>Washington, D.C. 20554</w:t>
      </w:r>
    </w:p>
    <w:p w:rsidR="00EA5A4D" w:rsidP="00EA5A4D"/>
    <w:p w:rsidR="00EA5A4D" w:rsidP="00EA5A4D"/>
    <w:tbl>
      <w:tblPr>
        <w:tblW w:w="0" w:type="auto"/>
        <w:tblLayout w:type="fixed"/>
        <w:tblLook w:val="0000"/>
      </w:tblPr>
      <w:tblGrid>
        <w:gridCol w:w="4698"/>
        <w:gridCol w:w="630"/>
        <w:gridCol w:w="4248"/>
      </w:tblGrid>
      <w:tr w:rsidTr="00961871">
        <w:tblPrEx>
          <w:tblW w:w="0" w:type="auto"/>
          <w:tblLayout w:type="fixed"/>
          <w:tblLook w:val="0000"/>
        </w:tblPrEx>
        <w:tc>
          <w:tcPr>
            <w:tcW w:w="4698" w:type="dxa"/>
          </w:tcPr>
          <w:p w:rsidR="00EA5A4D" w:rsidP="00961871">
            <w:pPr>
              <w:tabs>
                <w:tab w:val="center" w:pos="4680"/>
              </w:tabs>
              <w:suppressAutoHyphens/>
              <w:rPr>
                <w:spacing w:val="-2"/>
              </w:rPr>
            </w:pPr>
            <w:r>
              <w:rPr>
                <w:spacing w:val="-2"/>
              </w:rPr>
              <w:t>In the Matter of</w:t>
            </w:r>
          </w:p>
          <w:p w:rsidR="00EA5A4D" w:rsidP="00961871">
            <w:pPr>
              <w:tabs>
                <w:tab w:val="center" w:pos="4680"/>
              </w:tabs>
              <w:suppressAutoHyphens/>
              <w:rPr>
                <w:spacing w:val="-2"/>
              </w:rPr>
            </w:pPr>
          </w:p>
          <w:p w:rsidR="00EA5A4D" w:rsidRPr="003C4C63" w:rsidP="00961871">
            <w:pPr>
              <w:rPr>
                <w:szCs w:val="22"/>
              </w:rPr>
            </w:pPr>
            <w:r w:rsidRPr="003C4C63">
              <w:rPr>
                <w:szCs w:val="22"/>
              </w:rPr>
              <w:t>Telecommunications Carriers Eligible for Universal Service Support</w:t>
            </w:r>
          </w:p>
          <w:p w:rsidR="00EA5A4D" w:rsidRPr="003C4C63" w:rsidP="00961871">
            <w:pPr>
              <w:rPr>
                <w:szCs w:val="22"/>
              </w:rPr>
            </w:pPr>
          </w:p>
          <w:p w:rsidR="00EA5A4D" w:rsidRPr="003C4C63" w:rsidP="00961871">
            <w:pPr>
              <w:rPr>
                <w:szCs w:val="22"/>
              </w:rPr>
            </w:pPr>
            <w:r w:rsidRPr="003C4C63">
              <w:rPr>
                <w:szCs w:val="22"/>
              </w:rPr>
              <w:t>Connect America Fund</w:t>
            </w:r>
          </w:p>
          <w:p w:rsidR="00EA5A4D" w:rsidRPr="007115F7" w:rsidP="00961871">
            <w:pPr>
              <w:tabs>
                <w:tab w:val="center" w:pos="4680"/>
              </w:tabs>
              <w:suppressAutoHyphens/>
              <w:rPr>
                <w:spacing w:val="-2"/>
              </w:rPr>
            </w:pPr>
          </w:p>
        </w:tc>
        <w:tc>
          <w:tcPr>
            <w:tcW w:w="630" w:type="dxa"/>
          </w:tcPr>
          <w:p w:rsidR="00EA5A4D" w:rsidP="00961871">
            <w:pPr>
              <w:tabs>
                <w:tab w:val="center" w:pos="4680"/>
              </w:tabs>
              <w:suppressAutoHyphens/>
              <w:rPr>
                <w:b/>
                <w:spacing w:val="-2"/>
              </w:rPr>
            </w:pPr>
            <w:r>
              <w:rPr>
                <w:b/>
                <w:spacing w:val="-2"/>
              </w:rPr>
              <w:t>)</w:t>
            </w:r>
          </w:p>
          <w:p w:rsidR="00EA5A4D" w:rsidP="00961871">
            <w:pPr>
              <w:tabs>
                <w:tab w:val="center" w:pos="4680"/>
              </w:tabs>
              <w:suppressAutoHyphens/>
              <w:rPr>
                <w:b/>
                <w:spacing w:val="-2"/>
              </w:rPr>
            </w:pPr>
            <w:r>
              <w:rPr>
                <w:b/>
                <w:spacing w:val="-2"/>
              </w:rPr>
              <w:t>)</w:t>
            </w:r>
          </w:p>
          <w:p w:rsidR="00EA5A4D" w:rsidP="00961871">
            <w:pPr>
              <w:tabs>
                <w:tab w:val="center" w:pos="4680"/>
              </w:tabs>
              <w:suppressAutoHyphens/>
              <w:rPr>
                <w:b/>
                <w:spacing w:val="-2"/>
              </w:rPr>
            </w:pPr>
            <w:r>
              <w:rPr>
                <w:b/>
                <w:spacing w:val="-2"/>
              </w:rPr>
              <w:t>)</w:t>
            </w:r>
          </w:p>
          <w:p w:rsidR="00EA5A4D" w:rsidP="00961871">
            <w:pPr>
              <w:tabs>
                <w:tab w:val="center" w:pos="4680"/>
              </w:tabs>
              <w:suppressAutoHyphens/>
              <w:rPr>
                <w:b/>
                <w:spacing w:val="-2"/>
              </w:rPr>
            </w:pPr>
            <w:r>
              <w:rPr>
                <w:b/>
                <w:spacing w:val="-2"/>
              </w:rPr>
              <w:t>)</w:t>
            </w:r>
          </w:p>
          <w:p w:rsidR="00EA5A4D" w:rsidP="00961871">
            <w:pPr>
              <w:tabs>
                <w:tab w:val="center" w:pos="4680"/>
              </w:tabs>
              <w:suppressAutoHyphens/>
              <w:rPr>
                <w:b/>
                <w:spacing w:val="-2"/>
              </w:rPr>
            </w:pPr>
            <w:r>
              <w:rPr>
                <w:b/>
                <w:spacing w:val="-2"/>
              </w:rPr>
              <w:t>)</w:t>
            </w:r>
          </w:p>
          <w:p w:rsidR="00EA5A4D" w:rsidP="00961871">
            <w:pPr>
              <w:tabs>
                <w:tab w:val="center" w:pos="4680"/>
              </w:tabs>
              <w:suppressAutoHyphens/>
              <w:rPr>
                <w:b/>
                <w:spacing w:val="-2"/>
              </w:rPr>
            </w:pPr>
            <w:r>
              <w:rPr>
                <w:b/>
                <w:spacing w:val="-2"/>
              </w:rPr>
              <w:t>)</w:t>
            </w:r>
          </w:p>
          <w:p w:rsidR="00EA5A4D" w:rsidP="00961871">
            <w:pPr>
              <w:tabs>
                <w:tab w:val="center" w:pos="4680"/>
              </w:tabs>
              <w:suppressAutoHyphens/>
              <w:rPr>
                <w:b/>
                <w:spacing w:val="-2"/>
              </w:rPr>
            </w:pPr>
            <w:r>
              <w:rPr>
                <w:b/>
                <w:spacing w:val="-2"/>
              </w:rPr>
              <w:t>)</w:t>
            </w:r>
          </w:p>
          <w:p w:rsidR="00EA5A4D" w:rsidP="00961871">
            <w:pPr>
              <w:tabs>
                <w:tab w:val="center" w:pos="4680"/>
              </w:tabs>
              <w:suppressAutoHyphens/>
              <w:rPr>
                <w:b/>
                <w:spacing w:val="-2"/>
              </w:rPr>
            </w:pPr>
          </w:p>
          <w:p w:rsidR="00EA5A4D" w:rsidP="00961871">
            <w:pPr>
              <w:tabs>
                <w:tab w:val="center" w:pos="4680"/>
              </w:tabs>
              <w:suppressAutoHyphens/>
              <w:rPr>
                <w:spacing w:val="-2"/>
              </w:rPr>
            </w:pPr>
          </w:p>
        </w:tc>
        <w:tc>
          <w:tcPr>
            <w:tcW w:w="4248" w:type="dxa"/>
          </w:tcPr>
          <w:p w:rsidR="00EA5A4D" w:rsidP="00961871">
            <w:pPr>
              <w:tabs>
                <w:tab w:val="center" w:pos="4680"/>
              </w:tabs>
              <w:suppressAutoHyphens/>
              <w:rPr>
                <w:spacing w:val="-2"/>
              </w:rPr>
            </w:pPr>
          </w:p>
          <w:p w:rsidR="00EA5A4D" w:rsidP="00961871">
            <w:pPr>
              <w:pStyle w:val="TOAHeading"/>
              <w:tabs>
                <w:tab w:val="center" w:pos="4680"/>
                <w:tab w:val="clear" w:pos="9360"/>
              </w:tabs>
              <w:rPr>
                <w:spacing w:val="-2"/>
              </w:rPr>
            </w:pPr>
          </w:p>
          <w:p w:rsidR="00EA5A4D" w:rsidP="00961871">
            <w:pPr>
              <w:tabs>
                <w:tab w:val="center" w:pos="4680"/>
              </w:tabs>
              <w:suppressAutoHyphens/>
              <w:rPr>
                <w:szCs w:val="22"/>
              </w:rPr>
            </w:pPr>
            <w:r w:rsidRPr="003C4C63">
              <w:rPr>
                <w:szCs w:val="22"/>
              </w:rPr>
              <w:t>WC Docket No. 09-197</w:t>
            </w:r>
          </w:p>
          <w:p w:rsidR="00EA5A4D" w:rsidP="00961871">
            <w:pPr>
              <w:tabs>
                <w:tab w:val="center" w:pos="4680"/>
              </w:tabs>
              <w:suppressAutoHyphens/>
              <w:rPr>
                <w:spacing w:val="-2"/>
              </w:rPr>
            </w:pPr>
          </w:p>
          <w:p w:rsidR="00EA5A4D" w:rsidP="00961871">
            <w:pPr>
              <w:tabs>
                <w:tab w:val="center" w:pos="4680"/>
              </w:tabs>
              <w:suppressAutoHyphens/>
              <w:rPr>
                <w:spacing w:val="-2"/>
              </w:rPr>
            </w:pPr>
          </w:p>
          <w:p w:rsidR="00EA5A4D" w:rsidP="00961871">
            <w:pPr>
              <w:tabs>
                <w:tab w:val="center" w:pos="4680"/>
              </w:tabs>
              <w:suppressAutoHyphens/>
              <w:rPr>
                <w:spacing w:val="-2"/>
              </w:rPr>
            </w:pPr>
            <w:r w:rsidRPr="003C4C63">
              <w:rPr>
                <w:szCs w:val="22"/>
              </w:rPr>
              <w:t>WC Docket No. 10-90</w:t>
            </w:r>
          </w:p>
        </w:tc>
      </w:tr>
    </w:tbl>
    <w:p w:rsidR="00EA5A4D" w:rsidP="00EA5A4D"/>
    <w:p w:rsidR="00EA5A4D" w:rsidP="00EA5A4D">
      <w:pPr>
        <w:pStyle w:val="StyleBoldCentered"/>
      </w:pPr>
      <w:r>
        <w:t>ORDER</w:t>
      </w:r>
    </w:p>
    <w:p w:rsidR="00EA5A4D" w:rsidP="00EA5A4D">
      <w:pPr>
        <w:tabs>
          <w:tab w:val="left" w:pos="-720"/>
        </w:tabs>
        <w:suppressAutoHyphens/>
        <w:spacing w:line="227" w:lineRule="auto"/>
        <w:rPr>
          <w:spacing w:val="-2"/>
        </w:rPr>
      </w:pPr>
    </w:p>
    <w:p w:rsidR="00EA5A4D" w:rsidP="00EA5A4D">
      <w:pPr>
        <w:tabs>
          <w:tab w:val="left" w:pos="720"/>
          <w:tab w:val="right" w:pos="9360"/>
        </w:tabs>
        <w:suppressAutoHyphens/>
        <w:spacing w:line="227" w:lineRule="auto"/>
        <w:rPr>
          <w:spacing w:val="-2"/>
        </w:rPr>
      </w:pPr>
      <w:r>
        <w:rPr>
          <w:b/>
          <w:spacing w:val="-2"/>
        </w:rPr>
        <w:t>Adopted:  August 13, 2019</w:t>
      </w:r>
      <w:r>
        <w:rPr>
          <w:b/>
          <w:spacing w:val="-2"/>
        </w:rPr>
        <w:tab/>
        <w:t>Released:  August 13, 2019</w:t>
      </w:r>
    </w:p>
    <w:p w:rsidR="00EA5A4D" w:rsidP="00EA5A4D"/>
    <w:p w:rsidR="00EA5A4D" w:rsidP="00EA5A4D">
      <w:pPr>
        <w:rPr>
          <w:spacing w:val="-2"/>
        </w:rPr>
      </w:pPr>
      <w:r>
        <w:t xml:space="preserve">By the </w:t>
      </w:r>
      <w:r w:rsidRPr="003C4C63">
        <w:rPr>
          <w:szCs w:val="22"/>
        </w:rPr>
        <w:t>Chief, Wireline Competition Bureau:</w:t>
      </w:r>
    </w:p>
    <w:p w:rsidR="00EA5A4D" w:rsidP="00EA5A4D">
      <w:pPr>
        <w:rPr>
          <w:spacing w:val="-2"/>
        </w:rPr>
      </w:pPr>
    </w:p>
    <w:p w:rsidR="00EA5A4D" w:rsidP="00EA5A4D">
      <w:pPr>
        <w:pStyle w:val="Heading1"/>
      </w:pPr>
      <w:r>
        <w:t>INTRODUCTION</w:t>
      </w:r>
    </w:p>
    <w:p w:rsidR="00EA5A4D" w:rsidP="00EA5A4D">
      <w:pPr>
        <w:pStyle w:val="ParaNum"/>
        <w:numPr>
          <w:ilvl w:val="0"/>
          <w:numId w:val="3"/>
        </w:numPr>
      </w:pPr>
      <w:r>
        <w:t>In this O</w:t>
      </w:r>
      <w:r w:rsidRPr="003C4C63">
        <w:t>rder, the Wireline Competition Bureau (Bureau)</w:t>
      </w:r>
      <w:r>
        <w:t xml:space="preserve"> </w:t>
      </w:r>
      <w:bookmarkStart w:id="0" w:name="_Hlk16510785"/>
      <w:r w:rsidRPr="006C4827">
        <w:t>designates Sunset Digital</w:t>
      </w:r>
      <w:r>
        <w:t xml:space="preserve"> Communications</w:t>
      </w:r>
      <w:r w:rsidRPr="006C4827">
        <w:t>, LL</w:t>
      </w:r>
      <w:r>
        <w:t>C (</w:t>
      </w:r>
      <w:r>
        <w:t>SDC</w:t>
      </w:r>
      <w:r>
        <w:t xml:space="preserve"> LLC) as an eligible telecommunications carrier (ETC) in eligible high-cost areas within the states of Tennessee and Virginia</w:t>
      </w:r>
      <w:bookmarkEnd w:id="0"/>
      <w:r>
        <w:t>.</w:t>
      </w:r>
      <w:r>
        <w:rPr>
          <w:rStyle w:val="FootnoteReference"/>
        </w:rPr>
        <w:footnoteReference w:id="2"/>
      </w:r>
      <w:r>
        <w:t xml:space="preserve">  </w:t>
      </w:r>
      <w:bookmarkStart w:id="2" w:name="_Hlk16510883"/>
      <w:r>
        <w:t xml:space="preserve">Designation is conditioned upon and limited to </w:t>
      </w:r>
      <w:r>
        <w:t>SDC</w:t>
      </w:r>
      <w:r>
        <w:t xml:space="preserve"> LLC’s authorization to receive </w:t>
      </w:r>
      <w:r>
        <w:rPr>
          <w:szCs w:val="22"/>
        </w:rPr>
        <w:t>Connect America support awarded through the Connect America Fund Phase II auction (Auction 903) and effective only upon such authorization</w:t>
      </w:r>
      <w:bookmarkEnd w:id="2"/>
      <w:r>
        <w:rPr>
          <w:szCs w:val="22"/>
        </w:rPr>
        <w:t>.</w:t>
      </w:r>
      <w:r>
        <w:rPr>
          <w:rStyle w:val="FootnoteReference"/>
          <w:szCs w:val="22"/>
        </w:rPr>
        <w:footnoteReference w:id="3"/>
      </w:r>
      <w:r>
        <w:rPr>
          <w:szCs w:val="22"/>
        </w:rPr>
        <w:t xml:space="preserve">  In making this designation, the Bureau finds that </w:t>
      </w:r>
      <w:r>
        <w:t>SDC</w:t>
      </w:r>
      <w:r>
        <w:t xml:space="preserve"> LLC </w:t>
      </w:r>
      <w:r w:rsidRPr="003C4C63">
        <w:t>mee</w:t>
      </w:r>
      <w:r>
        <w:t xml:space="preserve">ts the eligibility requirements to receive universal service support, as set forth in </w:t>
      </w:r>
      <w:r w:rsidRPr="003C4C63">
        <w:t>section 214(e)(6) of the Communications Act of 1934, as amended (Act)</w:t>
      </w:r>
      <w:r>
        <w:t>,</w:t>
      </w:r>
      <w:r w:rsidRPr="003C4C63">
        <w:t xml:space="preserve"> and </w:t>
      </w:r>
      <w:r>
        <w:t xml:space="preserve">related </w:t>
      </w:r>
      <w:r w:rsidRPr="003C4C63">
        <w:t>Commission</w:t>
      </w:r>
      <w:r>
        <w:t xml:space="preserve"> rules</w:t>
      </w:r>
      <w:r w:rsidRPr="003C4C63">
        <w:t>.</w:t>
      </w:r>
      <w:r>
        <w:rPr>
          <w:rStyle w:val="FootnoteReference"/>
          <w:szCs w:val="22"/>
        </w:rPr>
        <w:footnoteReference w:id="4"/>
      </w:r>
      <w:r w:rsidRPr="003C4C63">
        <w:t xml:space="preserve">  </w:t>
      </w:r>
      <w:r>
        <w:t xml:space="preserve">The Bureau also waives, on its own motion, the requirement that </w:t>
      </w:r>
      <w:r>
        <w:t>SDC</w:t>
      </w:r>
      <w:r>
        <w:t xml:space="preserve"> LLC submit proof of its ETC designation on or before February 25, 2019.  The Bureau will release separate public notices regarding Auction 903 funding authorizations.</w:t>
      </w:r>
    </w:p>
    <w:p w:rsidR="00EA5A4D" w:rsidP="00EA5A4D">
      <w:pPr>
        <w:pStyle w:val="Heading1"/>
      </w:pPr>
      <w:r>
        <w:t>BACKGROUND</w:t>
      </w:r>
    </w:p>
    <w:p w:rsidR="00EA5A4D" w:rsidP="00EA5A4D">
      <w:pPr>
        <w:pStyle w:val="Heading2"/>
      </w:pPr>
      <w:r>
        <w:t>Connect America Fund Phase II Auction 903 Support</w:t>
      </w:r>
    </w:p>
    <w:p w:rsidR="00EA5A4D" w:rsidP="00EA5A4D">
      <w:pPr>
        <w:pStyle w:val="ParaNum"/>
        <w:numPr>
          <w:ilvl w:val="0"/>
          <w:numId w:val="3"/>
        </w:numPr>
      </w:pPr>
      <w:r>
        <w:t>Auction 903 is one part of a multi-step process to comprehensively reform</w:t>
      </w:r>
      <w:r w:rsidRPr="006700CB">
        <w:t xml:space="preserve"> and modernize the high-cost component of t</w:t>
      </w:r>
      <w:r>
        <w:t>he Universal Service Fund (USF).</w:t>
      </w:r>
      <w:r>
        <w:rPr>
          <w:rStyle w:val="FootnoteReference"/>
        </w:rPr>
        <w:footnoteReference w:id="5"/>
      </w:r>
      <w:r>
        <w:t xml:space="preserve">  At the conclusion of this auction, </w:t>
      </w:r>
      <w:r w:rsidRPr="00DA2A3E">
        <w:t xml:space="preserve">103 bidders won $1.49 billion </w:t>
      </w:r>
      <w:r>
        <w:t xml:space="preserve">in support </w:t>
      </w:r>
      <w:r w:rsidRPr="00DA2A3E">
        <w:t xml:space="preserve">over 10 years to provide fixed broadband and voice services to over 700,000 locations in </w:t>
      </w:r>
      <w:r>
        <w:t xml:space="preserve">high-cost areas in </w:t>
      </w:r>
      <w:r w:rsidRPr="00DA2A3E">
        <w:t>45 states.</w:t>
      </w:r>
      <w:r>
        <w:rPr>
          <w:rStyle w:val="FootnoteReference"/>
        </w:rPr>
        <w:footnoteReference w:id="6"/>
      </w:r>
      <w:r w:rsidRPr="00DA2A3E">
        <w:t xml:space="preserve"> </w:t>
      </w:r>
      <w:r>
        <w:t xml:space="preserve"> In order to become authorized to receive support, winning bidders must complete a post-auction application (long-form application) designed to ensure that winning bidders are technically and financially qualified to offer supported services and have met all regulatory prerequisites and conditions for receiving USF support.</w:t>
      </w:r>
      <w:r>
        <w:rPr>
          <w:rStyle w:val="FootnoteReference"/>
        </w:rPr>
        <w:footnoteReference w:id="7"/>
      </w:r>
      <w:r>
        <w:t xml:space="preserve">  As part of this application, Auction 903 winning bidders must certify that their ETC designation covers all relevant census blocks and submit supporting documentation, including an ETC designation order.</w:t>
      </w:r>
      <w:r>
        <w:rPr>
          <w:rStyle w:val="FootnoteReference"/>
        </w:rPr>
        <w:footnoteReference w:id="8"/>
      </w:r>
    </w:p>
    <w:p w:rsidR="00EA5A4D" w:rsidRPr="000B5FC4" w:rsidP="00EA5A4D">
      <w:pPr>
        <w:pStyle w:val="Heading2"/>
      </w:pPr>
      <w:r w:rsidRPr="00957CBF">
        <w:t>Requirements</w:t>
      </w:r>
      <w:r w:rsidRPr="000B5FC4">
        <w:t xml:space="preserve"> </w:t>
      </w:r>
      <w:r w:rsidRPr="001A6FF9">
        <w:t>for</w:t>
      </w:r>
      <w:r w:rsidRPr="000B5FC4">
        <w:t xml:space="preserve"> </w:t>
      </w:r>
      <w:r w:rsidRPr="00957CBF">
        <w:t>FCC</w:t>
      </w:r>
      <w:r>
        <w:t xml:space="preserve"> </w:t>
      </w:r>
      <w:r w:rsidRPr="000B5FC4">
        <w:t xml:space="preserve">ETC </w:t>
      </w:r>
      <w:r w:rsidRPr="00957CBF">
        <w:t>Designation</w:t>
      </w:r>
    </w:p>
    <w:p w:rsidR="00EA5A4D" w:rsidP="00EA5A4D">
      <w:pPr>
        <w:pStyle w:val="ParaNum"/>
        <w:widowControl/>
        <w:numPr>
          <w:ilvl w:val="0"/>
          <w:numId w:val="3"/>
        </w:numPr>
      </w:pPr>
      <w:r w:rsidRPr="003C4C63">
        <w:t>Section 254(e) of the Act provides that “only an eligible telecommunications carrier designated under section 214(e) shall be eligible to receive specific federal universal service support.”</w:t>
      </w:r>
      <w:r>
        <w:rPr>
          <w:rStyle w:val="FootnoteReference"/>
          <w:szCs w:val="22"/>
        </w:rPr>
        <w:footnoteReference w:id="9"/>
      </w:r>
      <w:r w:rsidRPr="003C4C63">
        <w:t xml:space="preserve">  </w:t>
      </w:r>
      <w:r w:rsidRPr="009C005E">
        <w:t>Congress gives primary authority for ETC designations to state commissions.</w:t>
      </w:r>
      <w:r>
        <w:rPr>
          <w:rStyle w:val="FootnoteReference"/>
          <w:szCs w:val="22"/>
        </w:rPr>
        <w:footnoteReference w:id="10"/>
      </w:r>
      <w:r w:rsidRPr="009C005E">
        <w:t xml:space="preserve">  </w:t>
      </w:r>
      <w:r>
        <w:t xml:space="preserve">The FCC has authority </w:t>
      </w:r>
      <w:r w:rsidRPr="009C005E">
        <w:t xml:space="preserve">only when “a common carrier </w:t>
      </w:r>
      <w:r>
        <w:t xml:space="preserve">[is] </w:t>
      </w:r>
      <w:r w:rsidRPr="009C005E">
        <w:t>providing telephone exchange service and exchange access that is not subject to the jurisdiction of a State commission.”</w:t>
      </w:r>
      <w:r>
        <w:rPr>
          <w:rStyle w:val="FootnoteReference"/>
          <w:szCs w:val="22"/>
        </w:rPr>
        <w:footnoteReference w:id="11"/>
      </w:r>
      <w:r w:rsidRPr="009C005E">
        <w:t xml:space="preserve">  </w:t>
      </w:r>
      <w:r>
        <w:t>The petitioning carrier</w:t>
      </w:r>
      <w:r w:rsidRPr="009C005E">
        <w:t xml:space="preserve"> </w:t>
      </w:r>
      <w:r>
        <w:t xml:space="preserve">must </w:t>
      </w:r>
      <w:r w:rsidRPr="009C005E">
        <w:t xml:space="preserve">demonstrate </w:t>
      </w:r>
      <w:r>
        <w:t xml:space="preserve">that the </w:t>
      </w:r>
      <w:r w:rsidRPr="009C005E">
        <w:t xml:space="preserve">FCC </w:t>
      </w:r>
      <w:r>
        <w:t xml:space="preserve">has </w:t>
      </w:r>
      <w:r w:rsidRPr="009C005E">
        <w:t>jurisdiction</w:t>
      </w:r>
      <w:r>
        <w:t xml:space="preserve"> and may do so by submitting an “affirmative statement from </w:t>
      </w:r>
      <w:r w:rsidRPr="00355EA6">
        <w:t xml:space="preserve">the state commission or a court of competent jurisdiction that the carrier is not subject to the </w:t>
      </w:r>
      <w:r>
        <w:t>state commission’s jurisdiction.”</w:t>
      </w:r>
      <w:r>
        <w:rPr>
          <w:rStyle w:val="FootnoteReference"/>
          <w:szCs w:val="22"/>
        </w:rPr>
        <w:footnoteReference w:id="12"/>
      </w:r>
      <w:r>
        <w:t xml:space="preserve">  </w:t>
      </w:r>
      <w:r w:rsidRPr="000B5FC4">
        <w:t xml:space="preserve">The Commission has delegated authority to </w:t>
      </w:r>
      <w:r>
        <w:t>the Bureau</w:t>
      </w:r>
      <w:r w:rsidRPr="000B5FC4">
        <w:t xml:space="preserve"> to consider appropriate ETC designation requests</w:t>
      </w:r>
      <w:r w:rsidRPr="00B971F9">
        <w:t>.</w:t>
      </w:r>
      <w:r>
        <w:rPr>
          <w:rStyle w:val="FootnoteReference"/>
          <w:szCs w:val="22"/>
        </w:rPr>
        <w:footnoteReference w:id="13"/>
      </w:r>
    </w:p>
    <w:p w:rsidR="00EA5A4D" w:rsidP="00EA5A4D">
      <w:pPr>
        <w:pStyle w:val="ParaNum"/>
        <w:widowControl/>
        <w:numPr>
          <w:ilvl w:val="0"/>
          <w:numId w:val="3"/>
        </w:numPr>
      </w:pPr>
      <w:r>
        <w:t xml:space="preserve">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w:t>
      </w:r>
      <w:r>
        <w:t>services;</w:t>
      </w:r>
      <w:r>
        <w:rPr>
          <w:rStyle w:val="FootnoteReference"/>
          <w:szCs w:val="22"/>
        </w:rPr>
        <w:footnoteReference w:id="14"/>
      </w:r>
      <w:r>
        <w:t xml:space="preserve"> (3) a description of how the petitioner advertises the availability of the supported services and the charges therefor using media of general distribution;</w:t>
      </w:r>
      <w:r>
        <w:rPr>
          <w:rStyle w:val="FootnoteReference"/>
          <w:szCs w:val="22"/>
        </w:rPr>
        <w:footnoteReference w:id="15"/>
      </w:r>
      <w:r w:rsidRPr="00EB6182">
        <w:t xml:space="preserve"> </w:t>
      </w:r>
      <w:r>
        <w:t>(4) a detailed description of the geographic service area for which the petitioner requests to be designated as an ETC;</w:t>
      </w:r>
      <w:r>
        <w:rPr>
          <w:rStyle w:val="FootnoteReference"/>
        </w:rPr>
        <w:footnoteReference w:id="16"/>
      </w:r>
      <w:r>
        <w:t xml:space="preserve"> and (5) a certification that neither the petitioner, nor any party to the application, is subject to a denial of federal benefits pursuant to the Anti-Drug Abuse Act of 1988.</w:t>
      </w:r>
      <w:r>
        <w:rPr>
          <w:rStyle w:val="FootnoteReference"/>
        </w:rPr>
        <w:footnoteReference w:id="17"/>
      </w:r>
      <w:r w:rsidRPr="00940F23">
        <w:t xml:space="preserve"> </w:t>
      </w:r>
    </w:p>
    <w:p w:rsidR="00EA5A4D" w:rsidP="00EA5A4D">
      <w:pPr>
        <w:pStyle w:val="ParaNum"/>
        <w:widowControl/>
        <w:numPr>
          <w:ilvl w:val="0"/>
          <w:numId w:val="3"/>
        </w:numPr>
      </w:pPr>
      <w:r>
        <w:t>In addition, petitioners must demonstrate their ability to meet certain service standards</w:t>
      </w:r>
      <w:r w:rsidRPr="00D546E4">
        <w:t>.  A petitioner seeking an ETC designation</w:t>
      </w:r>
      <w:r>
        <w:t xml:space="preserve"> for purposes of becoming eligible to receive high-cost support</w:t>
      </w:r>
      <w:r w:rsidRPr="00D546E4">
        <w:t xml:space="preserve"> must: </w:t>
      </w:r>
      <w:r>
        <w:t xml:space="preserve">(1) </w:t>
      </w:r>
      <w:r w:rsidRPr="00D546E4">
        <w:t>certify that it will comply with the service requirements applicable to the support that it receives</w:t>
      </w:r>
      <w:r>
        <w:t>;</w:t>
      </w:r>
      <w:r w:rsidRPr="00D546E4">
        <w:t xml:space="preserve"> </w:t>
      </w:r>
      <w:r>
        <w:t xml:space="preserve">(2) submit a five-year service plan (applicable only to high cost areas); </w:t>
      </w:r>
      <w:r w:rsidRPr="00D546E4">
        <w:t>(</w:t>
      </w:r>
      <w:r>
        <w:t>3</w:t>
      </w:r>
      <w:r w:rsidRPr="00D546E4">
        <w:t>) demonstrate its ability to remain functional in emergency situations;</w:t>
      </w:r>
      <w:r w:rsidRPr="00F84AAD">
        <w:t xml:space="preserve"> </w:t>
      </w:r>
      <w:r w:rsidRPr="00D546E4">
        <w:t>and (</w:t>
      </w:r>
      <w:r>
        <w:t>4</w:t>
      </w:r>
      <w:r w:rsidRPr="00D546E4">
        <w:t xml:space="preserve">) demonstrate </w:t>
      </w:r>
      <w:r>
        <w:t xml:space="preserve">its ability to satisfy </w:t>
      </w:r>
      <w:r w:rsidRPr="003E42BF">
        <w:t>applicable consumer protection and service quality standards.</w:t>
      </w:r>
      <w:r>
        <w:rPr>
          <w:rStyle w:val="FootnoteReference"/>
          <w:szCs w:val="22"/>
        </w:rPr>
        <w:footnoteReference w:id="18"/>
      </w:r>
      <w:r w:rsidRPr="00D546E4">
        <w:t xml:space="preserve"> </w:t>
      </w:r>
    </w:p>
    <w:p w:rsidR="00EA5A4D" w:rsidP="00EA5A4D">
      <w:pPr>
        <w:pStyle w:val="ParaNum"/>
        <w:widowControl/>
        <w:numPr>
          <w:ilvl w:val="0"/>
          <w:numId w:val="3"/>
        </w:numPr>
      </w:pPr>
      <w:r>
        <w:t xml:space="preserve">For petitioners seeking ETC designation for the purpose of becoming authorized to receive </w:t>
      </w:r>
      <w:r w:rsidRPr="00AA392F">
        <w:t>Auction 903</w:t>
      </w:r>
      <w:r>
        <w:t xml:space="preserve"> support, the Bureau waived the requirements that the petitioners submit a five-year service plan and proof of compliance with consumer protection and service quality standards, finding that the need for such requirements is obviated by specific service quality standards applicable to Auction 903 support recipients and specific reporting obligations relating to such standards.</w:t>
      </w:r>
      <w:r>
        <w:rPr>
          <w:rStyle w:val="FootnoteReference"/>
        </w:rPr>
        <w:footnoteReference w:id="19"/>
      </w:r>
      <w:r>
        <w:t xml:space="preserve"> </w:t>
      </w:r>
    </w:p>
    <w:p w:rsidR="00EA5A4D" w:rsidP="00EA5A4D">
      <w:pPr>
        <w:pStyle w:val="ParaNum"/>
        <w:widowControl/>
        <w:numPr>
          <w:ilvl w:val="0"/>
          <w:numId w:val="3"/>
        </w:numPr>
      </w:pPr>
      <w:r>
        <w:t>In addition, p</w:t>
      </w:r>
      <w:r w:rsidRPr="00BA66A3">
        <w:t>rior to designating a carrier as an ETC pursuant to section 214(e)(6)</w:t>
      </w:r>
      <w:r>
        <w:t xml:space="preserve"> of the Act</w:t>
      </w:r>
      <w:r w:rsidRPr="00BA66A3">
        <w:t>, the Commission must determine whether such designation is in the public interest.</w:t>
      </w:r>
      <w:r>
        <w:rPr>
          <w:rStyle w:val="FootnoteReference"/>
        </w:rPr>
        <w:footnoteReference w:id="20"/>
      </w:r>
      <w:r w:rsidRPr="00BA66A3">
        <w:t xml:space="preserve"> </w:t>
      </w:r>
      <w:r>
        <w:t xml:space="preserve"> </w:t>
      </w:r>
      <w:r w:rsidRPr="00BA66A3">
        <w:t>When making a public interest determination, the Commission historically has considered the benefits of increased consumer choice and the unique advantages and disadvantages of the applicant</w:t>
      </w:r>
      <w:r>
        <w:t>’</w:t>
      </w:r>
      <w:r w:rsidRPr="00BA66A3">
        <w:t>s service offering.</w:t>
      </w:r>
      <w:r>
        <w:rPr>
          <w:rStyle w:val="FootnoteReference"/>
        </w:rPr>
        <w:footnoteReference w:id="21"/>
      </w:r>
      <w:r w:rsidRPr="005265C7">
        <w:t xml:space="preserve"> </w:t>
      </w:r>
      <w:r>
        <w:t xml:space="preserve"> In the </w:t>
      </w:r>
      <w:r w:rsidRPr="00627264">
        <w:rPr>
          <w:i/>
        </w:rPr>
        <w:t>Auction 903 ETC Public Notice</w:t>
      </w:r>
      <w:r w:rsidRPr="005265C7">
        <w:t>, the Bureau found that recipients of Phase II Auction support demonstrated their ability to offer service efficiently through the competitive bidding process and their ability to meet public interest obligations through their short- and long-form applications and thus, need not submit additional support in their petitions</w:t>
      </w:r>
      <w:r>
        <w:t>.</w:t>
      </w:r>
      <w:r>
        <w:rPr>
          <w:rStyle w:val="FootnoteReference"/>
        </w:rPr>
        <w:footnoteReference w:id="22"/>
      </w:r>
      <w:r w:rsidRPr="004827AF">
        <w:t xml:space="preserve"> </w:t>
      </w:r>
      <w:r>
        <w:t xml:space="preserve"> </w:t>
      </w:r>
    </w:p>
    <w:p w:rsidR="00EA5A4D" w:rsidP="00EA5A4D">
      <w:pPr>
        <w:pStyle w:val="Heading2"/>
      </w:pPr>
      <w:r>
        <w:t>Petition for ETC Designation</w:t>
      </w:r>
    </w:p>
    <w:p w:rsidR="00EA5A4D" w:rsidP="00EA5A4D">
      <w:pPr>
        <w:pStyle w:val="ParaNum"/>
        <w:widowControl/>
        <w:numPr>
          <w:ilvl w:val="0"/>
          <w:numId w:val="0"/>
        </w:numPr>
        <w:ind w:left="-86" w:firstLine="806"/>
      </w:pPr>
      <w:r w:rsidRPr="00627264">
        <w:t>8.</w:t>
      </w:r>
      <w:r w:rsidRPr="00627264">
        <w:tab/>
      </w:r>
      <w:r w:rsidRPr="00D7475E">
        <w:t>SDC</w:t>
      </w:r>
      <w:r w:rsidRPr="00627264">
        <w:t xml:space="preserve"> LLC seeks an ETC designation to become eligible to receive Auction 903 support in all CAF-eligible census blocks covered by its awards.</w:t>
      </w:r>
      <w:r>
        <w:rPr>
          <w:rStyle w:val="FootnoteReference"/>
        </w:rPr>
        <w:footnoteReference w:id="23"/>
      </w:r>
      <w:r w:rsidRPr="00627264">
        <w:t xml:space="preserve">   The Bureau has released a public notice soliciting comments on </w:t>
      </w:r>
      <w:r w:rsidRPr="00627264">
        <w:t>SDC</w:t>
      </w:r>
      <w:r w:rsidRPr="00627264">
        <w:t xml:space="preserve"> LLC’s petition.</w:t>
      </w:r>
      <w:r>
        <w:rPr>
          <w:rStyle w:val="FootnoteReference"/>
        </w:rPr>
        <w:footnoteReference w:id="24"/>
      </w:r>
      <w:r w:rsidRPr="00627264">
        <w:t xml:space="preserve">   No comments addressing </w:t>
      </w:r>
      <w:r w:rsidRPr="00627264">
        <w:t>SDC</w:t>
      </w:r>
      <w:r w:rsidRPr="00627264">
        <w:t xml:space="preserve"> LLC’s petition were filed.</w:t>
      </w:r>
    </w:p>
    <w:p w:rsidR="00EA5A4D" w:rsidP="00EA5A4D">
      <w:pPr>
        <w:pStyle w:val="Heading1"/>
      </w:pPr>
      <w:r>
        <w:t>DISCUSSION</w:t>
      </w:r>
    </w:p>
    <w:p w:rsidR="00EA5A4D" w:rsidRPr="002128B1" w:rsidP="00EA5A4D">
      <w:pPr>
        <w:pStyle w:val="ParaNum"/>
        <w:widowControl/>
        <w:numPr>
          <w:ilvl w:val="0"/>
          <w:numId w:val="4"/>
        </w:numPr>
        <w:rPr>
          <w:szCs w:val="22"/>
        </w:rPr>
      </w:pPr>
      <w:r w:rsidRPr="00294D7B">
        <w:t xml:space="preserve">We find that </w:t>
      </w:r>
      <w:r>
        <w:t>SDC</w:t>
      </w:r>
      <w:r>
        <w:t xml:space="preserve"> LLC satisfies</w:t>
      </w:r>
      <w:r w:rsidRPr="00294D7B">
        <w:t xml:space="preserve"> the Commission’s requirements </w:t>
      </w:r>
      <w:r>
        <w:t xml:space="preserve">for </w:t>
      </w:r>
      <w:r w:rsidRPr="00294D7B">
        <w:t>ETC</w:t>
      </w:r>
      <w:r>
        <w:t xml:space="preserve"> designation and </w:t>
      </w:r>
      <w:r w:rsidRPr="00F61DC5">
        <w:t>therefore</w:t>
      </w:r>
      <w:r>
        <w:t xml:space="preserve">, designate </w:t>
      </w:r>
      <w:r>
        <w:t>SDC</w:t>
      </w:r>
      <w:r>
        <w:t xml:space="preserve"> LLC as an </w:t>
      </w:r>
      <w:r w:rsidRPr="00294D7B">
        <w:t>ETC</w:t>
      </w:r>
      <w:r>
        <w:t xml:space="preserve"> in the specified states, conditioned upon and limited to the high-cost areas where they are authorized to receive Auction 903 support and effective only upon such authorization.  In these areas,</w:t>
      </w:r>
      <w:r w:rsidRPr="00294D7B">
        <w:t xml:space="preserve"> </w:t>
      </w:r>
      <w:r>
        <w:t>SDC</w:t>
      </w:r>
      <w:r>
        <w:t xml:space="preserve"> LLC must</w:t>
      </w:r>
      <w:r w:rsidRPr="00294D7B">
        <w:t xml:space="preserve"> </w:t>
      </w:r>
      <w:r>
        <w:t xml:space="preserve">meet Connect America Phase II requirements, Lifeline requirements, and other service </w:t>
      </w:r>
      <w:r w:rsidRPr="00294D7B">
        <w:t>obligations</w:t>
      </w:r>
      <w:r>
        <w:t xml:space="preserve"> attendant to its high-cost designation, as specified in the Act and the Commission’s rules</w:t>
      </w:r>
      <w:r w:rsidRPr="00294D7B">
        <w:t>.</w:t>
      </w:r>
      <w:r>
        <w:rPr>
          <w:rStyle w:val="FootnoteReference"/>
        </w:rPr>
        <w:footnoteReference w:id="25"/>
      </w:r>
      <w:r w:rsidRPr="00294D7B">
        <w:t xml:space="preserve"> </w:t>
      </w:r>
      <w:r>
        <w:t xml:space="preserve"> </w:t>
      </w:r>
    </w:p>
    <w:p w:rsidR="00EA5A4D" w:rsidP="00EA5A4D">
      <w:pPr>
        <w:pStyle w:val="Heading2"/>
      </w:pPr>
      <w:r>
        <w:t xml:space="preserve">Commission Authority </w:t>
      </w:r>
    </w:p>
    <w:p w:rsidR="00EA5A4D" w:rsidP="00EA5A4D">
      <w:pPr>
        <w:pStyle w:val="ParaNum"/>
        <w:widowControl/>
        <w:numPr>
          <w:ilvl w:val="0"/>
          <w:numId w:val="4"/>
        </w:numPr>
        <w:rPr>
          <w:szCs w:val="22"/>
        </w:rPr>
      </w:pPr>
      <w:r>
        <w:rPr>
          <w:szCs w:val="22"/>
        </w:rPr>
        <w:t>SDC</w:t>
      </w:r>
      <w:r>
        <w:rPr>
          <w:szCs w:val="22"/>
        </w:rPr>
        <w:t xml:space="preserve"> LLC demonstrates that the Commission has the requisite authority to designate it as an ETC pursuant to section 214(e)(6) of the Act.  </w:t>
      </w:r>
      <w:r>
        <w:rPr>
          <w:szCs w:val="22"/>
        </w:rPr>
        <w:t>SDC</w:t>
      </w:r>
      <w:r>
        <w:rPr>
          <w:szCs w:val="22"/>
        </w:rPr>
        <w:t xml:space="preserve"> LLC cites the relevant state regulations specifically excluding from state regulatory authority, the broadband and voice services offered by the </w:t>
      </w:r>
      <w:r>
        <w:rPr>
          <w:szCs w:val="22"/>
        </w:rPr>
        <w:t>SDC</w:t>
      </w:r>
      <w:r>
        <w:rPr>
          <w:szCs w:val="22"/>
        </w:rPr>
        <w:t xml:space="preserve"> LLC.</w:t>
      </w:r>
      <w:r>
        <w:rPr>
          <w:rStyle w:val="FootnoteReference"/>
          <w:szCs w:val="22"/>
        </w:rPr>
        <w:footnoteReference w:id="26"/>
      </w:r>
      <w:r>
        <w:rPr>
          <w:szCs w:val="22"/>
        </w:rPr>
        <w:t xml:space="preserve">  </w:t>
      </w:r>
      <w:r w:rsidRPr="00394363">
        <w:rPr>
          <w:szCs w:val="22"/>
        </w:rPr>
        <w:t>On th</w:t>
      </w:r>
      <w:r>
        <w:rPr>
          <w:szCs w:val="22"/>
        </w:rPr>
        <w:t>is basis and consistent with our past decisions</w:t>
      </w:r>
      <w:r w:rsidRPr="00394363">
        <w:rPr>
          <w:szCs w:val="22"/>
        </w:rPr>
        <w:t xml:space="preserve">, </w:t>
      </w:r>
      <w:r>
        <w:rPr>
          <w:szCs w:val="22"/>
        </w:rPr>
        <w:t xml:space="preserve">we find that </w:t>
      </w:r>
      <w:r>
        <w:rPr>
          <w:szCs w:val="22"/>
        </w:rPr>
        <w:t>SDC</w:t>
      </w:r>
      <w:r>
        <w:rPr>
          <w:szCs w:val="22"/>
        </w:rPr>
        <w:t xml:space="preserve"> LLC</w:t>
      </w:r>
      <w:r w:rsidRPr="00394363">
        <w:rPr>
          <w:szCs w:val="22"/>
        </w:rPr>
        <w:t xml:space="preserve"> ha</w:t>
      </w:r>
      <w:r>
        <w:rPr>
          <w:szCs w:val="22"/>
        </w:rPr>
        <w:t>s</w:t>
      </w:r>
      <w:r w:rsidRPr="00394363">
        <w:rPr>
          <w:szCs w:val="22"/>
        </w:rPr>
        <w:t xml:space="preserve"> </w:t>
      </w:r>
      <w:r>
        <w:rPr>
          <w:szCs w:val="22"/>
        </w:rPr>
        <w:t xml:space="preserve">demonstrated </w:t>
      </w:r>
      <w:r w:rsidRPr="00394363">
        <w:rPr>
          <w:szCs w:val="22"/>
        </w:rPr>
        <w:t xml:space="preserve">FCC authority to decide </w:t>
      </w:r>
      <w:r>
        <w:rPr>
          <w:szCs w:val="22"/>
        </w:rPr>
        <w:t>its petition</w:t>
      </w:r>
      <w:r w:rsidRPr="00394363">
        <w:rPr>
          <w:szCs w:val="22"/>
        </w:rPr>
        <w:t>.</w:t>
      </w:r>
      <w:r>
        <w:rPr>
          <w:rStyle w:val="FootnoteReference"/>
          <w:szCs w:val="22"/>
        </w:rPr>
        <w:footnoteReference w:id="27"/>
      </w:r>
    </w:p>
    <w:p w:rsidR="00EA5A4D" w:rsidP="00EA5A4D">
      <w:pPr>
        <w:pStyle w:val="Heading2"/>
      </w:pPr>
      <w:r>
        <w:t>Eligibility Requirements</w:t>
      </w:r>
    </w:p>
    <w:p w:rsidR="00EA5A4D" w:rsidRPr="00B61F0D" w:rsidP="00EA5A4D">
      <w:pPr>
        <w:pStyle w:val="ParaNum"/>
        <w:widowControl/>
        <w:numPr>
          <w:ilvl w:val="0"/>
          <w:numId w:val="7"/>
        </w:numPr>
        <w:rPr>
          <w:szCs w:val="22"/>
        </w:rPr>
      </w:pPr>
      <w:r w:rsidRPr="00AA6ACC">
        <w:rPr>
          <w:i/>
        </w:rPr>
        <w:t xml:space="preserve">Offering the Services </w:t>
      </w:r>
      <w:r>
        <w:rPr>
          <w:i/>
        </w:rPr>
        <w:t>Supported by the Universal Service Support Mechanisms</w:t>
      </w:r>
      <w:r w:rsidRPr="00AA6ACC">
        <w:t>.</w:t>
      </w:r>
      <w:r>
        <w:t xml:space="preserve">  We find that </w:t>
      </w:r>
      <w:r>
        <w:t>SDC</w:t>
      </w:r>
      <w:r>
        <w:t xml:space="preserve"> LLC establishes</w:t>
      </w:r>
      <w:r w:rsidRPr="00AA6ACC">
        <w:t xml:space="preserve"> through the required certifications and related filings that it will offer the service</w:t>
      </w:r>
      <w:r>
        <w:t>s</w:t>
      </w:r>
      <w:r w:rsidRPr="00AA6ACC">
        <w:t xml:space="preserve"> supported by the federal universal service support mechanisms</w:t>
      </w:r>
      <w:r>
        <w:t>.</w:t>
      </w:r>
      <w:r>
        <w:rPr>
          <w:rStyle w:val="FootnoteReference"/>
          <w:szCs w:val="22"/>
        </w:rPr>
        <w:footnoteReference w:id="28"/>
      </w:r>
      <w:r w:rsidRPr="003C4C63">
        <w:rPr>
          <w:szCs w:val="22"/>
        </w:rPr>
        <w:t xml:space="preserve"> </w:t>
      </w:r>
      <w:r w:rsidRPr="004C36AC">
        <w:rPr>
          <w:rStyle w:val="FootnoteReference"/>
          <w:szCs w:val="22"/>
        </w:rPr>
        <w:t xml:space="preserve"> </w:t>
      </w:r>
    </w:p>
    <w:p w:rsidR="00EA5A4D" w:rsidRPr="001D6ED5" w:rsidP="00EA5A4D">
      <w:pPr>
        <w:pStyle w:val="ParaNum"/>
        <w:widowControl/>
        <w:numPr>
          <w:ilvl w:val="0"/>
          <w:numId w:val="7"/>
        </w:numPr>
        <w:rPr>
          <w:szCs w:val="22"/>
        </w:rPr>
      </w:pPr>
      <w:r>
        <w:rPr>
          <w:i/>
        </w:rPr>
        <w:t>Compliance with the Service Requirements Applicable Auction 903 Support</w:t>
      </w:r>
      <w:r w:rsidRPr="00B61F0D">
        <w:t>.</w:t>
      </w:r>
      <w:r>
        <w:t xml:space="preserve">  We find that </w:t>
      </w:r>
      <w:r>
        <w:t>SDC</w:t>
      </w:r>
      <w:r>
        <w:t xml:space="preserve"> LLC establishes its ability to comply with </w:t>
      </w:r>
      <w:r w:rsidRPr="003C4C63">
        <w:t xml:space="preserve">service requirements applicable to the support that it </w:t>
      </w:r>
      <w:r w:rsidRPr="003C4C63">
        <w:t>receives</w:t>
      </w:r>
      <w:r>
        <w:t>.</w:t>
      </w:r>
      <w:r>
        <w:rPr>
          <w:rStyle w:val="FootnoteReference"/>
          <w:szCs w:val="22"/>
        </w:rPr>
        <w:footnoteReference w:id="29"/>
      </w:r>
      <w:r>
        <w:t xml:space="preserve">  </w:t>
      </w:r>
      <w:r>
        <w:rPr>
          <w:szCs w:val="22"/>
        </w:rPr>
        <w:t xml:space="preserve">This determination </w:t>
      </w:r>
      <w:r w:rsidRPr="00AD120C">
        <w:rPr>
          <w:szCs w:val="22"/>
        </w:rPr>
        <w:t xml:space="preserve">takes into account </w:t>
      </w:r>
      <w:r>
        <w:rPr>
          <w:szCs w:val="22"/>
        </w:rPr>
        <w:t xml:space="preserve">that, prior to being authorized to receive Auction 903 support, </w:t>
      </w:r>
      <w:r>
        <w:rPr>
          <w:szCs w:val="22"/>
        </w:rPr>
        <w:t>SDC</w:t>
      </w:r>
      <w:r>
        <w:rPr>
          <w:szCs w:val="22"/>
        </w:rPr>
        <w:t xml:space="preserve"> LLC must certify and demonstrate, as part of its short- and long-form applications, the technical and financial ability to provide voice and broadband services meeting or exceeding CAF Phase II standards,</w:t>
      </w:r>
      <w:r>
        <w:rPr>
          <w:rStyle w:val="FootnoteReference"/>
          <w:szCs w:val="22"/>
        </w:rPr>
        <w:footnoteReference w:id="30"/>
      </w:r>
      <w:r>
        <w:rPr>
          <w:szCs w:val="22"/>
        </w:rPr>
        <w:t xml:space="preserve"> certify its commitment</w:t>
      </w:r>
      <w:r w:rsidRPr="003F486E">
        <w:rPr>
          <w:szCs w:val="22"/>
        </w:rPr>
        <w:t xml:space="preserve"> </w:t>
      </w:r>
      <w:r>
        <w:rPr>
          <w:szCs w:val="22"/>
        </w:rPr>
        <w:t>to meeting</w:t>
      </w:r>
      <w:r w:rsidRPr="003F486E">
        <w:rPr>
          <w:szCs w:val="22"/>
        </w:rPr>
        <w:t xml:space="preserve"> relevant public interest obligations,</w:t>
      </w:r>
      <w:r>
        <w:rPr>
          <w:rStyle w:val="FootnoteReference"/>
          <w:szCs w:val="22"/>
        </w:rPr>
        <w:footnoteReference w:id="31"/>
      </w:r>
      <w:r>
        <w:rPr>
          <w:szCs w:val="22"/>
        </w:rPr>
        <w:t xml:space="preserve"> and </w:t>
      </w:r>
      <w:r w:rsidRPr="00F076A0">
        <w:rPr>
          <w:szCs w:val="22"/>
        </w:rPr>
        <w:t xml:space="preserve">certify </w:t>
      </w:r>
      <w:r>
        <w:rPr>
          <w:szCs w:val="22"/>
        </w:rPr>
        <w:t xml:space="preserve">its </w:t>
      </w:r>
      <w:r w:rsidRPr="00F076A0">
        <w:rPr>
          <w:szCs w:val="22"/>
        </w:rPr>
        <w:t>compliance with all statutory and regulatory requirements for receiving the universal service support</w:t>
      </w:r>
      <w:r>
        <w:rPr>
          <w:szCs w:val="22"/>
        </w:rPr>
        <w:t>.</w:t>
      </w:r>
      <w:r>
        <w:rPr>
          <w:rStyle w:val="FootnoteReference"/>
          <w:szCs w:val="22"/>
        </w:rPr>
        <w:footnoteReference w:id="32"/>
      </w:r>
      <w:r>
        <w:rPr>
          <w:szCs w:val="22"/>
        </w:rPr>
        <w:t xml:space="preserve">  Moreover, once authorized, </w:t>
      </w:r>
      <w:r>
        <w:rPr>
          <w:szCs w:val="22"/>
        </w:rPr>
        <w:t>SDC</w:t>
      </w:r>
      <w:r>
        <w:rPr>
          <w:szCs w:val="22"/>
        </w:rPr>
        <w:t xml:space="preserve"> LLC must satisfy certain reporting obligations to ensure that the support received is being used efficiently and appropriately and that service requirements are being met.</w:t>
      </w:r>
      <w:r>
        <w:rPr>
          <w:rStyle w:val="FootnoteReference"/>
          <w:szCs w:val="22"/>
        </w:rPr>
        <w:footnoteReference w:id="33"/>
      </w:r>
      <w:r>
        <w:rPr>
          <w:szCs w:val="22"/>
        </w:rPr>
        <w:t xml:space="preserve"> </w:t>
      </w:r>
    </w:p>
    <w:p w:rsidR="00EA5A4D" w:rsidP="00EA5A4D">
      <w:pPr>
        <w:pStyle w:val="ParaNum"/>
        <w:widowControl/>
        <w:numPr>
          <w:ilvl w:val="0"/>
          <w:numId w:val="7"/>
        </w:numPr>
        <w:rPr>
          <w:szCs w:val="22"/>
        </w:rPr>
      </w:pPr>
      <w:r>
        <w:rPr>
          <w:i/>
        </w:rPr>
        <w:t xml:space="preserve">Compliance with Service Requirements Applicable to Lifeline Services. </w:t>
      </w:r>
      <w:r>
        <w:rPr>
          <w:szCs w:val="22"/>
        </w:rPr>
        <w:t xml:space="preserve"> </w:t>
      </w:r>
      <w:r>
        <w:t>SDC</w:t>
      </w:r>
      <w:r>
        <w:t xml:space="preserve"> LLC commits to offering Lifeline discounts to qualifying low-income consumers, consistent with the Commission’s rules, in all high-cost areas where it is authorized to receive support.</w:t>
      </w:r>
      <w:r>
        <w:rPr>
          <w:rStyle w:val="FootnoteReference"/>
          <w:szCs w:val="22"/>
        </w:rPr>
        <w:footnoteReference w:id="34"/>
      </w:r>
      <w:r>
        <w:t xml:space="preserve">  </w:t>
      </w:r>
    </w:p>
    <w:p w:rsidR="00EA5A4D" w:rsidRPr="00F84AAD" w:rsidP="00EA5A4D">
      <w:pPr>
        <w:pStyle w:val="ParaNum"/>
        <w:widowControl/>
        <w:numPr>
          <w:ilvl w:val="0"/>
          <w:numId w:val="7"/>
        </w:numPr>
      </w:pPr>
      <w:r w:rsidRPr="00F84AAD">
        <w:rPr>
          <w:i/>
          <w:color w:val="000000"/>
        </w:rPr>
        <w:t xml:space="preserve">Offering the Supported Services </w:t>
      </w:r>
      <w:r w:rsidRPr="006D72B8">
        <w:rPr>
          <w:i/>
        </w:rPr>
        <w:t>Using</w:t>
      </w:r>
      <w:r w:rsidRPr="00CF2012">
        <w:rPr>
          <w:i/>
          <w:color w:val="000000"/>
        </w:rPr>
        <w:t xml:space="preserve"> </w:t>
      </w:r>
      <w:r w:rsidRPr="00F84AAD">
        <w:rPr>
          <w:i/>
          <w:color w:val="000000"/>
        </w:rPr>
        <w:t>a Carrier’s Own Facilities</w:t>
      </w:r>
      <w:r w:rsidRPr="00F84AAD">
        <w:rPr>
          <w:color w:val="000000"/>
        </w:rPr>
        <w:t xml:space="preserve">.  </w:t>
      </w:r>
      <w:r>
        <w:t>SDC</w:t>
      </w:r>
      <w:r>
        <w:t xml:space="preserve"> LLC certifies that it is a facilities-based provider of broadband and voice services</w:t>
      </w:r>
      <w:r w:rsidRPr="004C7996">
        <w:t>.</w:t>
      </w:r>
      <w:r>
        <w:rPr>
          <w:rStyle w:val="FootnoteReference"/>
          <w:szCs w:val="22"/>
        </w:rPr>
        <w:footnoteReference w:id="35"/>
      </w:r>
    </w:p>
    <w:p w:rsidR="00EA5A4D" w:rsidRPr="000B606A" w:rsidP="00EA5A4D">
      <w:pPr>
        <w:pStyle w:val="ParaNum"/>
        <w:widowControl/>
        <w:numPr>
          <w:ilvl w:val="0"/>
          <w:numId w:val="7"/>
        </w:numPr>
        <w:rPr>
          <w:szCs w:val="22"/>
        </w:rPr>
      </w:pPr>
      <w:r w:rsidRPr="00D701C4">
        <w:rPr>
          <w:i/>
          <w:color w:val="000000"/>
        </w:rPr>
        <w:t xml:space="preserve">Advertising Supported Services.  </w:t>
      </w:r>
      <w:r>
        <w:rPr>
          <w:color w:val="000000"/>
        </w:rPr>
        <w:t>SDC</w:t>
      </w:r>
      <w:r>
        <w:rPr>
          <w:color w:val="000000"/>
        </w:rPr>
        <w:t xml:space="preserve"> LLC commits to</w:t>
      </w:r>
      <w:r w:rsidRPr="00D701C4">
        <w:t xml:space="preserve"> advertis</w:t>
      </w:r>
      <w:r>
        <w:t>ing</w:t>
      </w:r>
      <w:r w:rsidRPr="00D701C4">
        <w:t xml:space="preserve"> the availability of the supported services and related charges using media of general distribution.</w:t>
      </w:r>
      <w:r>
        <w:rPr>
          <w:rStyle w:val="FootnoteReference"/>
          <w:szCs w:val="22"/>
        </w:rPr>
        <w:footnoteReference w:id="36"/>
      </w:r>
      <w:r>
        <w:t xml:space="preserve">  We emphasize that, as part of this commitment, </w:t>
      </w:r>
      <w:r>
        <w:t>SDC</w:t>
      </w:r>
      <w:r>
        <w:t xml:space="preserve"> LLC must </w:t>
      </w:r>
      <w:r w:rsidRPr="00B21561">
        <w:rPr>
          <w:szCs w:val="22"/>
        </w:rPr>
        <w:t>advertise the availability of its services and charges in a manner reasonably designed to reach Lifeline-eligible consumers</w:t>
      </w:r>
      <w:r>
        <w:rPr>
          <w:szCs w:val="22"/>
        </w:rPr>
        <w:t>.</w:t>
      </w:r>
      <w:r>
        <w:rPr>
          <w:rStyle w:val="FootnoteReference"/>
          <w:szCs w:val="22"/>
        </w:rPr>
        <w:footnoteReference w:id="37"/>
      </w:r>
    </w:p>
    <w:p w:rsidR="00EA5A4D" w:rsidRPr="00A16246" w:rsidP="00EA5A4D">
      <w:pPr>
        <w:pStyle w:val="ParaNum"/>
        <w:widowControl/>
        <w:numPr>
          <w:ilvl w:val="0"/>
          <w:numId w:val="7"/>
        </w:numPr>
        <w:rPr>
          <w:szCs w:val="22"/>
        </w:rPr>
      </w:pPr>
      <w:r w:rsidRPr="00A16246">
        <w:rPr>
          <w:i/>
          <w:iCs/>
          <w:color w:val="000000"/>
          <w:szCs w:val="22"/>
        </w:rPr>
        <w:t>Ability to Remain Functional in Emergency Situations</w:t>
      </w:r>
      <w:r w:rsidRPr="00A16246">
        <w:rPr>
          <w:color w:val="000000"/>
          <w:szCs w:val="22"/>
        </w:rPr>
        <w:t xml:space="preserve">.  </w:t>
      </w:r>
      <w:r>
        <w:rPr>
          <w:color w:val="000000"/>
        </w:rPr>
        <w:t>SDC</w:t>
      </w:r>
      <w:r>
        <w:rPr>
          <w:color w:val="000000"/>
        </w:rPr>
        <w:t xml:space="preserve"> LLC</w:t>
      </w:r>
      <w:r w:rsidRPr="00D701C4">
        <w:rPr>
          <w:color w:val="000000"/>
        </w:rPr>
        <w:t xml:space="preserve"> </w:t>
      </w:r>
      <w:r>
        <w:rPr>
          <w:color w:val="000000"/>
          <w:szCs w:val="22"/>
        </w:rPr>
        <w:t>states</w:t>
      </w:r>
      <w:r w:rsidRPr="00A16246">
        <w:rPr>
          <w:color w:val="000000"/>
          <w:szCs w:val="22"/>
        </w:rPr>
        <w:t xml:space="preserve"> that it can remain functional in emergency situations.  </w:t>
      </w:r>
      <w:r>
        <w:rPr>
          <w:color w:val="000000"/>
        </w:rPr>
        <w:t>SDC</w:t>
      </w:r>
      <w:r>
        <w:rPr>
          <w:color w:val="000000"/>
        </w:rPr>
        <w:t xml:space="preserve"> LLC</w:t>
      </w:r>
      <w:r w:rsidRPr="00D701C4">
        <w:rPr>
          <w:color w:val="000000"/>
        </w:rPr>
        <w:t xml:space="preserve"> </w:t>
      </w:r>
      <w:r>
        <w:rPr>
          <w:color w:val="000000"/>
          <w:szCs w:val="22"/>
        </w:rPr>
        <w:t xml:space="preserve">states </w:t>
      </w:r>
      <w:r w:rsidRPr="00A16246">
        <w:rPr>
          <w:color w:val="000000"/>
          <w:szCs w:val="22"/>
        </w:rPr>
        <w:t xml:space="preserve">that </w:t>
      </w:r>
      <w:r>
        <w:rPr>
          <w:color w:val="000000"/>
          <w:szCs w:val="22"/>
        </w:rPr>
        <w:t xml:space="preserve">it has </w:t>
      </w:r>
      <w:r>
        <w:rPr>
          <w:color w:val="000000"/>
          <w:szCs w:val="22"/>
        </w:rPr>
        <w:t>sufficient</w:t>
      </w:r>
      <w:r>
        <w:rPr>
          <w:color w:val="000000"/>
          <w:szCs w:val="22"/>
        </w:rPr>
        <w:t xml:space="preserve"> </w:t>
      </w:r>
      <w:r w:rsidRPr="00A16246">
        <w:rPr>
          <w:color w:val="000000"/>
          <w:szCs w:val="22"/>
        </w:rPr>
        <w:t xml:space="preserve">back-up power to ensure functionality in the designated service area without an external power source, </w:t>
      </w:r>
      <w:r>
        <w:rPr>
          <w:color w:val="000000"/>
          <w:szCs w:val="22"/>
        </w:rPr>
        <w:t xml:space="preserve">can </w:t>
      </w:r>
      <w:r w:rsidRPr="00A16246">
        <w:rPr>
          <w:color w:val="000000"/>
          <w:szCs w:val="22"/>
        </w:rPr>
        <w:t xml:space="preserve">re-route traffic around </w:t>
      </w:r>
      <w:r w:rsidRPr="00296B2C">
        <w:t>damaged</w:t>
      </w:r>
      <w:r w:rsidRPr="00A16246">
        <w:rPr>
          <w:color w:val="000000"/>
          <w:szCs w:val="22"/>
        </w:rPr>
        <w:t xml:space="preserve"> facilities, and can manage traffic spikes resulting from emergency situations.</w:t>
      </w:r>
      <w:r>
        <w:rPr>
          <w:rStyle w:val="FootnoteReference"/>
          <w:szCs w:val="22"/>
        </w:rPr>
        <w:footnoteReference w:id="38"/>
      </w:r>
    </w:p>
    <w:p w:rsidR="00EA5A4D" w:rsidP="00EA5A4D">
      <w:pPr>
        <w:pStyle w:val="ParaNum"/>
        <w:widowControl/>
        <w:numPr>
          <w:ilvl w:val="0"/>
          <w:numId w:val="7"/>
        </w:numPr>
        <w:rPr>
          <w:szCs w:val="22"/>
        </w:rPr>
      </w:pPr>
      <w:r w:rsidRPr="007E759F">
        <w:rPr>
          <w:i/>
          <w:iCs/>
          <w:color w:val="000000"/>
          <w:szCs w:val="22"/>
        </w:rPr>
        <w:t>Anti-Drug Abuse Act Certification</w:t>
      </w:r>
      <w:r w:rsidRPr="007E759F">
        <w:rPr>
          <w:color w:val="000000"/>
          <w:szCs w:val="22"/>
        </w:rPr>
        <w:t xml:space="preserve">.  </w:t>
      </w:r>
      <w:r>
        <w:rPr>
          <w:color w:val="000000"/>
        </w:rPr>
        <w:t>SDC</w:t>
      </w:r>
      <w:r>
        <w:rPr>
          <w:color w:val="000000"/>
        </w:rPr>
        <w:t xml:space="preserve"> LLC</w:t>
      </w:r>
      <w:r w:rsidRPr="007E759F">
        <w:rPr>
          <w:color w:val="000000"/>
        </w:rPr>
        <w:t xml:space="preserve"> </w:t>
      </w:r>
      <w:r w:rsidRPr="007E759F">
        <w:rPr>
          <w:szCs w:val="22"/>
        </w:rPr>
        <w:t xml:space="preserve">submits a certification that satisfies the requirements of the Anti-Drug Abuse Act of </w:t>
      </w:r>
      <w:r w:rsidRPr="00296B2C">
        <w:t>1988</w:t>
      </w:r>
      <w:r w:rsidRPr="007E759F">
        <w:rPr>
          <w:szCs w:val="22"/>
        </w:rPr>
        <w:t>, as codified in sections 1.2001-1.2003 of the Commission’s rules.</w:t>
      </w:r>
      <w:r>
        <w:rPr>
          <w:rStyle w:val="FootnoteReference"/>
          <w:szCs w:val="22"/>
        </w:rPr>
        <w:footnoteReference w:id="39"/>
      </w:r>
    </w:p>
    <w:p w:rsidR="00EA5A4D" w:rsidRPr="004B255A" w:rsidP="00EA5A4D">
      <w:pPr>
        <w:pStyle w:val="Heading2"/>
      </w:pPr>
      <w:r w:rsidRPr="002A3BAD">
        <w:t>Public</w:t>
      </w:r>
      <w:r w:rsidRPr="004B255A">
        <w:t xml:space="preserve"> </w:t>
      </w:r>
      <w:r w:rsidRPr="00957CBF">
        <w:t>Interest</w:t>
      </w:r>
      <w:r>
        <w:t xml:space="preserve"> Analysis</w:t>
      </w:r>
    </w:p>
    <w:p w:rsidR="00EA5A4D" w:rsidRPr="00F73493" w:rsidP="00EA5A4D">
      <w:pPr>
        <w:pStyle w:val="ParaNum"/>
        <w:widowControl/>
        <w:numPr>
          <w:ilvl w:val="0"/>
          <w:numId w:val="7"/>
        </w:numPr>
        <w:rPr>
          <w:szCs w:val="22"/>
        </w:rPr>
      </w:pPr>
      <w:r>
        <w:rPr>
          <w:szCs w:val="22"/>
        </w:rPr>
        <w:t>W</w:t>
      </w:r>
      <w:r w:rsidRPr="004B255A">
        <w:rPr>
          <w:szCs w:val="22"/>
        </w:rPr>
        <w:t xml:space="preserve">e conclude that </w:t>
      </w:r>
      <w:r>
        <w:rPr>
          <w:szCs w:val="22"/>
        </w:rPr>
        <w:t>SDC</w:t>
      </w:r>
      <w:r>
        <w:rPr>
          <w:szCs w:val="22"/>
        </w:rPr>
        <w:t xml:space="preserve"> LLC’s</w:t>
      </w:r>
      <w:r w:rsidRPr="004B255A">
        <w:rPr>
          <w:szCs w:val="22"/>
        </w:rPr>
        <w:t xml:space="preserve"> participation in universal service programs would be in the public interest and </w:t>
      </w:r>
      <w:r w:rsidRPr="00296B2C">
        <w:t>would</w:t>
      </w:r>
      <w:r w:rsidRPr="004B255A">
        <w:rPr>
          <w:szCs w:val="22"/>
        </w:rPr>
        <w:t xml:space="preserve"> provide numerous benefits to consumers.</w:t>
      </w:r>
      <w:r>
        <w:rPr>
          <w:szCs w:val="22"/>
        </w:rPr>
        <w:t xml:space="preserve"> </w:t>
      </w:r>
      <w:r w:rsidRPr="004B255A">
        <w:rPr>
          <w:szCs w:val="22"/>
        </w:rPr>
        <w:t xml:space="preserve"> </w:t>
      </w:r>
      <w:r>
        <w:rPr>
          <w:szCs w:val="22"/>
        </w:rPr>
        <w:t xml:space="preserve">As noted above, ETC designations in areas where a petitioner is authorized to receive CAF Phase II Auction support serves the public interest.  Through participation in the auction bidding and application processes, </w:t>
      </w:r>
      <w:r>
        <w:rPr>
          <w:szCs w:val="22"/>
        </w:rPr>
        <w:t>SDC</w:t>
      </w:r>
      <w:r>
        <w:rPr>
          <w:szCs w:val="22"/>
        </w:rPr>
        <w:t xml:space="preserve"> LLC demonstrates that it can offer voice and broadband services in high-cost areas efficiently and at a price and quality comparable to the service offerings in more competitive areas.  </w:t>
      </w:r>
      <w:r w:rsidRPr="006A293C">
        <w:t xml:space="preserve">Moreover, </w:t>
      </w:r>
      <w:r>
        <w:t xml:space="preserve">granting </w:t>
      </w:r>
      <w:r>
        <w:t>SDC</w:t>
      </w:r>
      <w:r>
        <w:t xml:space="preserve"> LLC’s petition </w:t>
      </w:r>
      <w:r w:rsidRPr="006A293C">
        <w:t xml:space="preserve">will serve the </w:t>
      </w:r>
      <w:r w:rsidRPr="006A293C">
        <w:t>interests of low-income consumers by ensuring the availability of new, facilities-based Lifeline services at competitive prices</w:t>
      </w:r>
      <w:r>
        <w:t xml:space="preserve"> in areas eligible for Auction 903 support.  </w:t>
      </w:r>
    </w:p>
    <w:p w:rsidR="00EA5A4D" w:rsidRPr="00EA1AF8" w:rsidP="00EA5A4D">
      <w:pPr>
        <w:pStyle w:val="ParaNum"/>
        <w:widowControl/>
        <w:numPr>
          <w:ilvl w:val="0"/>
          <w:numId w:val="7"/>
        </w:numPr>
        <w:rPr>
          <w:szCs w:val="22"/>
        </w:rPr>
      </w:pPr>
      <w:r>
        <w:t xml:space="preserve">Accordingly, based on the information, representations, and certifications in its petition, we find that </w:t>
      </w:r>
      <w:r>
        <w:t>SDC</w:t>
      </w:r>
      <w:r>
        <w:t xml:space="preserve"> LLC has met all applicable conditions and prerequisites for ETC </w:t>
      </w:r>
      <w:r w:rsidRPr="002305AB">
        <w:rPr>
          <w:szCs w:val="22"/>
        </w:rPr>
        <w:t>designation</w:t>
      </w:r>
      <w:r>
        <w:t xml:space="preserve"> and that conditionally grant its petition.  </w:t>
      </w:r>
    </w:p>
    <w:p w:rsidR="00EA5A4D" w:rsidRPr="002305AB" w:rsidP="00EA5A4D">
      <w:pPr>
        <w:pStyle w:val="Heading2"/>
        <w:numPr>
          <w:ilvl w:val="1"/>
          <w:numId w:val="6"/>
        </w:numPr>
      </w:pPr>
      <w:r w:rsidRPr="00957CBF">
        <w:t>Regulatory</w:t>
      </w:r>
      <w:r>
        <w:t xml:space="preserve"> </w:t>
      </w:r>
      <w:r w:rsidRPr="0025138D">
        <w:t>Oversight</w:t>
      </w:r>
    </w:p>
    <w:p w:rsidR="00EA5A4D" w:rsidP="00EA5A4D">
      <w:pPr>
        <w:pStyle w:val="ParaNum"/>
        <w:widowControl/>
        <w:numPr>
          <w:ilvl w:val="0"/>
          <w:numId w:val="7"/>
        </w:numPr>
      </w:pPr>
      <w:r>
        <w:t>U</w:t>
      </w:r>
      <w:r w:rsidRPr="003C4C63">
        <w:t>nder section 254(e) of the Act</w:t>
      </w:r>
      <w:r>
        <w:t>,</w:t>
      </w:r>
      <w:r w:rsidRPr="003C4C63">
        <w:t xml:space="preserve"> </w:t>
      </w:r>
      <w:r>
        <w:t>SDC</w:t>
      </w:r>
      <w:r>
        <w:t xml:space="preserve"> LLC must</w:t>
      </w:r>
      <w:r w:rsidRPr="003C4C63">
        <w:t xml:space="preserve"> use universal service support “only for the provision, maintenance, and upgrading of facilities and services for which the support is intended.”</w:t>
      </w:r>
      <w:r>
        <w:rPr>
          <w:rStyle w:val="FootnoteReference"/>
          <w:szCs w:val="22"/>
        </w:rPr>
        <w:footnoteReference w:id="40"/>
      </w:r>
      <w:r w:rsidRPr="003C4C63">
        <w:t xml:space="preserve">  </w:t>
      </w:r>
      <w:r>
        <w:t xml:space="preserve">Under section 214(e) of the Act, </w:t>
      </w:r>
      <w:r>
        <w:t>SDC</w:t>
      </w:r>
      <w:r>
        <w:t xml:space="preserve"> LLC must provide supported services throughout its service area.</w:t>
      </w:r>
      <w:r>
        <w:rPr>
          <w:rStyle w:val="FootnoteReference"/>
          <w:szCs w:val="22"/>
        </w:rPr>
        <w:footnoteReference w:id="41"/>
      </w:r>
      <w:r>
        <w:t xml:space="preserve">  When authorized to receive high-cost support, </w:t>
      </w:r>
      <w:r>
        <w:t>SDC</w:t>
      </w:r>
      <w:r>
        <w:t xml:space="preserve"> LLC must file an annual certification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szCs w:val="22"/>
        </w:rPr>
        <w:footnoteReference w:id="42"/>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43"/>
      </w:r>
      <w:r>
        <w:t xml:space="preserve">  </w:t>
      </w:r>
    </w:p>
    <w:p w:rsidR="00EA5A4D" w:rsidRPr="00951AD0" w:rsidP="00EA5A4D">
      <w:pPr>
        <w:pStyle w:val="ParaNum"/>
        <w:widowControl/>
        <w:numPr>
          <w:ilvl w:val="0"/>
          <w:numId w:val="7"/>
        </w:numPr>
      </w:pPr>
      <w:r>
        <w:t>An ETC receiving Lifeline support uses that support as intended when it reduces the price of its telecommunications services by the amount of the support for the eligible consumer.</w:t>
      </w:r>
      <w:r>
        <w:rPr>
          <w:rStyle w:val="FootnoteReference"/>
        </w:rPr>
        <w:footnoteReference w:id="44"/>
      </w:r>
      <w:r>
        <w:t xml:space="preserve">  In addition, the ETC must file annual reports that include, among other things, a certification of </w:t>
      </w:r>
      <w:r w:rsidRPr="008420B5">
        <w:t>compliance with applicable minimum service standards, service quality standards, and consumer protection rules</w:t>
      </w:r>
      <w:r>
        <w:t>.</w:t>
      </w:r>
      <w:r>
        <w:rPr>
          <w:rStyle w:val="FootnoteReference"/>
        </w:rPr>
        <w:footnoteReference w:id="45"/>
      </w:r>
    </w:p>
    <w:p w:rsidR="00EA5A4D" w:rsidP="00EA5A4D">
      <w:pPr>
        <w:pStyle w:val="ParaNum"/>
        <w:widowControl/>
        <w:numPr>
          <w:ilvl w:val="0"/>
          <w:numId w:val="7"/>
        </w:numPr>
      </w:pPr>
      <w:r>
        <w:t xml:space="preserve">We find that reliance on </w:t>
      </w:r>
      <w:r>
        <w:t>SDC</w:t>
      </w:r>
      <w:r>
        <w:t xml:space="preserve"> LLC’s commitments to meet these and other regulatory requirements, as well as representations and commitments made in its petition, is reasonable and consistent with the public interest and the Act.  We conclude that fulfillment of these additional reporting requirements will further the Commission's goal of ensuring that </w:t>
      </w:r>
      <w:r>
        <w:t>SDC</w:t>
      </w:r>
      <w:r>
        <w:t xml:space="preserve"> LLC satisfies its obligation under section 214(e) of the Act to provide supported services throughout its respective designated service areas.</w:t>
      </w:r>
    </w:p>
    <w:p w:rsidR="00EA5A4D" w:rsidP="00EA5A4D">
      <w:pPr>
        <w:pStyle w:val="ParaNum"/>
        <w:widowControl/>
        <w:numPr>
          <w:ilvl w:val="0"/>
          <w:numId w:val="7"/>
        </w:numPr>
        <w:rPr>
          <w:szCs w:val="22"/>
        </w:rPr>
      </w:pPr>
      <w:r w:rsidRPr="003C4C63">
        <w:rPr>
          <w:szCs w:val="22"/>
        </w:rPr>
        <w:t xml:space="preserve">The Commission may </w:t>
      </w:r>
      <w:r>
        <w:rPr>
          <w:szCs w:val="22"/>
        </w:rPr>
        <w:t>initiate</w:t>
      </w:r>
      <w:r w:rsidRPr="003C4C63">
        <w:rPr>
          <w:szCs w:val="22"/>
        </w:rPr>
        <w:t xml:space="preserve"> an inquiry on its own motion to examine any </w:t>
      </w:r>
      <w:r w:rsidRPr="003C4C63">
        <w:rPr>
          <w:szCs w:val="22"/>
        </w:rPr>
        <w:t>ETC</w:t>
      </w:r>
      <w:r>
        <w:rPr>
          <w:szCs w:val="22"/>
        </w:rPr>
        <w:t>’</w:t>
      </w:r>
      <w:r w:rsidRPr="003C4C63">
        <w:rPr>
          <w:szCs w:val="22"/>
        </w:rPr>
        <w:t>s</w:t>
      </w:r>
      <w:r w:rsidRPr="003C4C63">
        <w:rPr>
          <w:szCs w:val="22"/>
        </w:rPr>
        <w:t xml:space="preserve"> records and documentation to </w:t>
      </w:r>
      <w:r w:rsidRPr="00A02486">
        <w:t>ensure</w:t>
      </w:r>
      <w:r w:rsidRPr="003C4C63">
        <w:rPr>
          <w:szCs w:val="22"/>
        </w:rPr>
        <w:t xml:space="preserve"> that the universal service support the ETC receives is being used “only for the provision, maintenance, and upgrading of facilities and services” in the areas in which it is designated as an ETC.</w:t>
      </w:r>
      <w:r>
        <w:rPr>
          <w:rStyle w:val="FootnoteReference"/>
          <w:bCs/>
          <w:szCs w:val="22"/>
        </w:rPr>
        <w:footnoteReference w:id="46"/>
      </w:r>
      <w:r w:rsidRPr="003C4C63">
        <w:rPr>
          <w:szCs w:val="22"/>
        </w:rPr>
        <w:t xml:space="preserve">  </w:t>
      </w:r>
      <w:r>
        <w:t>SDC</w:t>
      </w:r>
      <w:r>
        <w:t xml:space="preserve"> LLC</w:t>
      </w:r>
      <w:r>
        <w:rPr>
          <w:szCs w:val="22"/>
        </w:rPr>
        <w:t xml:space="preserve"> must</w:t>
      </w:r>
      <w:r w:rsidRPr="003C4C63">
        <w:rPr>
          <w:szCs w:val="22"/>
        </w:rPr>
        <w:t xml:space="preserve"> provide such records and documentation to the Commission and USAC upon request.</w:t>
      </w:r>
      <w:r>
        <w:rPr>
          <w:rStyle w:val="FootnoteReference"/>
          <w:szCs w:val="22"/>
        </w:rPr>
        <w:footnoteReference w:id="47"/>
      </w:r>
      <w:r w:rsidRPr="003C4C63">
        <w:rPr>
          <w:szCs w:val="22"/>
        </w:rPr>
        <w:t xml:space="preserve">  </w:t>
      </w:r>
      <w:r>
        <w:rPr>
          <w:szCs w:val="22"/>
        </w:rPr>
        <w:t xml:space="preserve">If </w:t>
      </w:r>
      <w:r>
        <w:rPr>
          <w:szCs w:val="22"/>
        </w:rPr>
        <w:t>SDC</w:t>
      </w:r>
      <w:r>
        <w:rPr>
          <w:szCs w:val="22"/>
        </w:rPr>
        <w:t xml:space="preserve"> LLC</w:t>
      </w:r>
      <w:r w:rsidRPr="003C4C63">
        <w:rPr>
          <w:szCs w:val="22"/>
        </w:rPr>
        <w:t xml:space="preserve"> fails to fulfill the requirements of the Act, the Commission</w:t>
      </w:r>
      <w:r>
        <w:rPr>
          <w:szCs w:val="22"/>
        </w:rPr>
        <w:t>’</w:t>
      </w:r>
      <w:r w:rsidRPr="003C4C63">
        <w:rPr>
          <w:szCs w:val="22"/>
        </w:rPr>
        <w:t xml:space="preserve">s rules, and the terms of this </w:t>
      </w:r>
      <w:r>
        <w:rPr>
          <w:szCs w:val="22"/>
        </w:rPr>
        <w:t>O</w:t>
      </w:r>
      <w:r w:rsidRPr="003C4C63">
        <w:rPr>
          <w:szCs w:val="22"/>
        </w:rPr>
        <w:t xml:space="preserve">rder after it begins receiving universal service support, the Commission has </w:t>
      </w:r>
      <w:r w:rsidRPr="003C4C63">
        <w:rPr>
          <w:szCs w:val="22"/>
        </w:rPr>
        <w:t xml:space="preserve">authority to revoke </w:t>
      </w:r>
      <w:r>
        <w:rPr>
          <w:szCs w:val="22"/>
        </w:rPr>
        <w:t>SDC</w:t>
      </w:r>
      <w:r>
        <w:rPr>
          <w:szCs w:val="22"/>
        </w:rPr>
        <w:t xml:space="preserve"> LLC’s </w:t>
      </w:r>
      <w:r w:rsidRPr="003C4C63">
        <w:rPr>
          <w:szCs w:val="22"/>
        </w:rPr>
        <w:t>ETC designation.</w:t>
      </w:r>
      <w:r>
        <w:rPr>
          <w:rStyle w:val="FootnoteReference"/>
          <w:szCs w:val="22"/>
        </w:rPr>
        <w:footnoteReference w:id="48"/>
      </w:r>
      <w:r w:rsidRPr="003C4C63">
        <w:rPr>
          <w:szCs w:val="22"/>
        </w:rPr>
        <w:t xml:space="preserve">  The Commission also may assess forfeitures for violations of Commission rules and orders.</w:t>
      </w:r>
      <w:r>
        <w:rPr>
          <w:rStyle w:val="FootnoteReference"/>
          <w:szCs w:val="22"/>
        </w:rPr>
        <w:footnoteReference w:id="49"/>
      </w:r>
    </w:p>
    <w:p w:rsidR="00EA5A4D" w:rsidP="00EA5A4D">
      <w:pPr>
        <w:pStyle w:val="Heading2"/>
        <w:numPr>
          <w:ilvl w:val="1"/>
          <w:numId w:val="5"/>
        </w:numPr>
      </w:pPr>
      <w:r>
        <w:t>Waiver of Deadline for Submitting Proof of ETC Designation</w:t>
      </w:r>
    </w:p>
    <w:p w:rsidR="00EA5A4D" w:rsidP="00EA5A4D">
      <w:pPr>
        <w:pStyle w:val="ParaNum"/>
        <w:widowControl/>
        <w:numPr>
          <w:ilvl w:val="0"/>
          <w:numId w:val="7"/>
        </w:numPr>
      </w:pPr>
      <w:r>
        <w:t>Auction 903 winning bidders were required to certify that they are ETCs in all bid areas and to submit appropriate documentation supporting such certification on or before February 25, 2019 (Auction 903 ETC deadline).</w:t>
      </w:r>
      <w:r>
        <w:rPr>
          <w:rStyle w:val="FootnoteReference"/>
        </w:rPr>
        <w:footnoteReference w:id="50"/>
      </w:r>
      <w:r>
        <w:t xml:space="preserve">  The Bureau finds, on its own motion, good cause to waive this deadline for </w:t>
      </w:r>
      <w:r>
        <w:t>SDC</w:t>
      </w:r>
      <w:r>
        <w:t xml:space="preserve"> LLC.</w:t>
      </w:r>
      <w:r>
        <w:rPr>
          <w:rStyle w:val="FootnoteReference"/>
        </w:rPr>
        <w:footnoteReference w:id="51"/>
      </w:r>
      <w:r>
        <w:t xml:space="preserve">  The Commission has found that waiver of this deadline is appropriate when an ETC designation proceeding is not yet complete by the deadline despite the</w:t>
      </w:r>
      <w:r w:rsidRPr="00D17585">
        <w:t xml:space="preserve"> </w:t>
      </w:r>
      <w:r>
        <w:t xml:space="preserve">good faith efforts of the </w:t>
      </w:r>
      <w:r w:rsidRPr="00D17585">
        <w:t>long-form applicant</w:t>
      </w:r>
      <w:r>
        <w:t>.</w:t>
      </w:r>
      <w:r>
        <w:rPr>
          <w:rStyle w:val="FootnoteReference"/>
        </w:rPr>
        <w:footnoteReference w:id="52"/>
      </w:r>
      <w:r>
        <w:t xml:space="preserve">  The Commission has explained that it would presume such good faith efforts when the petitioner submitted its petition to the relevant authority within 30 days of the release of the </w:t>
      </w:r>
      <w:r w:rsidRPr="00D17585">
        <w:rPr>
          <w:i/>
        </w:rPr>
        <w:t>Auction 903 Closing Public Notice</w:t>
      </w:r>
      <w:r>
        <w:t>.</w:t>
      </w:r>
      <w:r>
        <w:rPr>
          <w:rStyle w:val="FootnoteReference"/>
        </w:rPr>
        <w:footnoteReference w:id="53"/>
      </w:r>
      <w:r>
        <w:t xml:space="preserve">  </w:t>
      </w:r>
      <w:r>
        <w:t>SDC</w:t>
      </w:r>
      <w:r>
        <w:t xml:space="preserve"> LLC filed its petition within this 30-day time frame, thus demonstrating due diligence in meeting its filing deadline.  </w:t>
      </w:r>
    </w:p>
    <w:p w:rsidR="00EA5A4D" w:rsidP="00EA5A4D">
      <w:pPr>
        <w:pStyle w:val="Heading1"/>
      </w:pPr>
      <w:r w:rsidRPr="003C4C63">
        <w:t xml:space="preserve">ORDERING </w:t>
      </w:r>
      <w:r w:rsidRPr="001A6FF9">
        <w:t>CLAUSES</w:t>
      </w:r>
    </w:p>
    <w:p w:rsidR="00EA5A4D" w:rsidP="00EA5A4D">
      <w:pPr>
        <w:pStyle w:val="ParaNum"/>
        <w:widowControl/>
        <w:numPr>
          <w:ilvl w:val="0"/>
          <w:numId w:val="7"/>
        </w:numPr>
      </w:pPr>
      <w:r w:rsidRPr="00974378">
        <w:rPr>
          <w:szCs w:val="22"/>
        </w:rPr>
        <w:t>Accordingly, IT IS ORDERED, pursuant to the authority contained in section 214(e)(6) of the Communications Act of 1934, as amended,</w:t>
      </w:r>
      <w:r>
        <w:rPr>
          <w:szCs w:val="22"/>
        </w:rPr>
        <w:t xml:space="preserve"> 47 U.S.C. § 214(e)(6)</w:t>
      </w:r>
      <w:r>
        <w:t>, and the authority delegated in sections 0.91 and 0.291 of the Commission’s rules, 47 CFR §</w:t>
      </w:r>
      <w:r>
        <w:rPr>
          <w:szCs w:val="22"/>
        </w:rPr>
        <w:t xml:space="preserve">§ </w:t>
      </w:r>
      <w:r>
        <w:t xml:space="preserve">0.91, 0.291, that </w:t>
      </w:r>
      <w:r w:rsidRPr="00EF23DF">
        <w:t>SDC</w:t>
      </w:r>
      <w:r w:rsidRPr="00EF23DF">
        <w:t xml:space="preserve"> LLC</w:t>
      </w:r>
      <w:r>
        <w:t xml:space="preserve"> IS CONDITIONALLY DESIGNATED AN ELIGIBLE TELECOMMUNICATIONS CARRIER IN </w:t>
      </w:r>
      <w:r w:rsidRPr="00D20E51">
        <w:t xml:space="preserve">ALL </w:t>
      </w:r>
      <w:r>
        <w:t xml:space="preserve">CENSUS BLOCKS IN THE SPECIFIED STATES FOR WHICH IT IS ELIGIBLE TO RECEIVE SUPPORT AWARDED THROUGH THE CONNECT AMERICA PHASE II AUCTION.  These designations (in the states of Tennessee and Virginia) are contingent upon </w:t>
      </w:r>
      <w:r>
        <w:t>SDC</w:t>
      </w:r>
      <w:r>
        <w:t xml:space="preserve"> LLC becoming authorized to receive such support, is limited to those areas where support is authorized and is effective only upon authorization.</w:t>
      </w:r>
    </w:p>
    <w:p w:rsidR="00EA5A4D" w:rsidP="00EA5A4D">
      <w:pPr>
        <w:pStyle w:val="ParaNum"/>
        <w:widowControl/>
        <w:numPr>
          <w:ilvl w:val="0"/>
          <w:numId w:val="7"/>
        </w:numPr>
      </w:pPr>
      <w:bookmarkStart w:id="5" w:name="co_pp_sp_1511_1684_1"/>
      <w:bookmarkEnd w:id="5"/>
      <w:r>
        <w:t xml:space="preserve">IT IS FURTHER ORDERED that pursuant to section 1.3 of the Commission’s rules, </w:t>
      </w:r>
      <w:r w:rsidRPr="002B3E9A">
        <w:t xml:space="preserve">47 </w:t>
      </w:r>
      <w:r>
        <w:t>CFR</w:t>
      </w:r>
      <w:r w:rsidRPr="002B3E9A">
        <w:t xml:space="preserve"> § 1.3</w:t>
      </w:r>
      <w:r>
        <w:t>, and pursuant to the authority delegated under sections 0.91, and 0.291 of the Commission’s rules, 47 CFR §§ 0.91, 0.291, the deadline specified in section 54.315(b)(5) of the Commission’s rules, 47 CFR § 54.315(b)(5), IS WAIVED to the extent described above.</w:t>
      </w:r>
    </w:p>
    <w:p w:rsidR="00EA5A4D" w:rsidP="00EA5A4D">
      <w:pPr>
        <w:pStyle w:val="ParaNum"/>
        <w:widowControl/>
        <w:numPr>
          <w:ilvl w:val="0"/>
          <w:numId w:val="7"/>
        </w:numPr>
      </w:pPr>
      <w:r>
        <w:t>IT IS FURTHER ORDERED that a copy of this Order SHALL BE TRANSMITTED to the relevant state commissions and to the Universal Service Administrative Company.</w:t>
      </w:r>
    </w:p>
    <w:p w:rsidR="00EA5A4D" w:rsidP="00EA5A4D">
      <w:pPr>
        <w:pStyle w:val="ParaNum"/>
        <w:keepNext/>
        <w:widowControl/>
        <w:numPr>
          <w:ilvl w:val="0"/>
          <w:numId w:val="7"/>
        </w:numPr>
      </w:pPr>
      <w:r>
        <w:t>IT IS FURTHER ORDERED that, pursuant to section 1.102(b)(1) of the Commission’s rules, 47 CFR § 1.102(b)(1), this order SHALL BE effective upon release.</w:t>
      </w:r>
    </w:p>
    <w:p w:rsidR="00EA5A4D" w:rsidRPr="009434DD" w:rsidP="00EA5A4D">
      <w:pPr>
        <w:keepNext/>
      </w:pPr>
    </w:p>
    <w:p w:rsidR="00EA5A4D" w:rsidRPr="003C4C63" w:rsidP="00EA5A4D">
      <w:pPr>
        <w:keepNext/>
        <w:ind w:left="4320"/>
        <w:rPr>
          <w:szCs w:val="22"/>
        </w:rPr>
      </w:pPr>
      <w:r w:rsidRPr="003C4C63">
        <w:rPr>
          <w:szCs w:val="22"/>
        </w:rPr>
        <w:t>FEDERAL COMMUNICATIONS COMMISSION</w:t>
      </w:r>
    </w:p>
    <w:p w:rsidR="00EA5A4D" w:rsidRPr="003C4C63" w:rsidP="00EA5A4D">
      <w:pPr>
        <w:keepNext/>
        <w:ind w:left="4320"/>
        <w:rPr>
          <w:szCs w:val="22"/>
        </w:rPr>
      </w:pPr>
    </w:p>
    <w:p w:rsidR="00EA5A4D" w:rsidRPr="003C4C63" w:rsidP="00EA5A4D">
      <w:pPr>
        <w:keepNext/>
        <w:ind w:left="4320"/>
        <w:rPr>
          <w:szCs w:val="22"/>
        </w:rPr>
      </w:pPr>
    </w:p>
    <w:p w:rsidR="00EA5A4D" w:rsidP="00EA5A4D">
      <w:pPr>
        <w:keepNext/>
        <w:ind w:left="4320"/>
        <w:rPr>
          <w:szCs w:val="22"/>
        </w:rPr>
      </w:pPr>
    </w:p>
    <w:p w:rsidR="00EA5A4D" w:rsidRPr="003C4C63" w:rsidP="00EA5A4D">
      <w:pPr>
        <w:keepNext/>
        <w:ind w:left="4320"/>
        <w:rPr>
          <w:szCs w:val="22"/>
        </w:rPr>
      </w:pPr>
    </w:p>
    <w:p w:rsidR="00EA5A4D" w:rsidRPr="00DF2D1B" w:rsidP="00EA5A4D">
      <w:pPr>
        <w:keepNext/>
        <w:ind w:left="4320"/>
        <w:rPr>
          <w:szCs w:val="22"/>
        </w:rPr>
      </w:pPr>
      <w:r w:rsidRPr="00DF2D1B">
        <w:rPr>
          <w:szCs w:val="22"/>
        </w:rPr>
        <w:t>Kris Anne Monteith</w:t>
      </w:r>
    </w:p>
    <w:p w:rsidR="00EA5A4D" w:rsidRPr="00DF2D1B" w:rsidP="00EA5A4D">
      <w:pPr>
        <w:keepNext/>
        <w:ind w:left="4320"/>
        <w:rPr>
          <w:szCs w:val="22"/>
        </w:rPr>
      </w:pPr>
      <w:r w:rsidRPr="00DF2D1B">
        <w:rPr>
          <w:szCs w:val="22"/>
        </w:rPr>
        <w:t>Chief</w:t>
      </w:r>
    </w:p>
    <w:p w:rsidR="00EA5A4D" w:rsidP="00EA5A4D">
      <w:pPr>
        <w:keepNext/>
        <w:ind w:left="4320"/>
        <w:rPr>
          <w:szCs w:val="22"/>
        </w:rPr>
      </w:pPr>
      <w:r w:rsidRPr="00DF2D1B">
        <w:rPr>
          <w:szCs w:val="22"/>
        </w:rPr>
        <w:t>Wireline Competition Bureau</w:t>
      </w:r>
    </w:p>
    <w:p w:rsidR="00EA5A4D" w:rsidP="00EA5A4D">
      <w:pPr>
        <w:keepNext/>
        <w:rPr>
          <w:szCs w:val="22"/>
        </w:rPr>
      </w:pPr>
      <w:r>
        <w:rPr>
          <w:szCs w:val="22"/>
        </w:rPr>
        <w:br w:type="page"/>
      </w:r>
    </w:p>
    <w:p w:rsidR="00EA5A4D" w:rsidP="00EA5A4D">
      <w:pPr>
        <w:spacing w:before="120" w:after="240"/>
        <w:jc w:val="center"/>
        <w:rPr>
          <w:b/>
          <w:szCs w:val="22"/>
        </w:rPr>
      </w:pPr>
      <w:r>
        <w:rPr>
          <w:b/>
          <w:szCs w:val="22"/>
        </w:rPr>
        <w:t>ATTACHMENT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1440"/>
        <w:gridCol w:w="900"/>
        <w:gridCol w:w="1710"/>
        <w:gridCol w:w="2070"/>
      </w:tblGrid>
      <w:tr w:rsidTr="0096187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18"/>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A4D" w:rsidRPr="008C050F" w:rsidP="00961871">
            <w:pPr>
              <w:spacing w:after="120"/>
              <w:rPr>
                <w:szCs w:val="22"/>
              </w:rPr>
            </w:pPr>
            <w:r>
              <w:rPr>
                <w:szCs w:val="22"/>
              </w:rPr>
              <w:t>Winning Bidder</w:t>
            </w:r>
          </w:p>
        </w:tc>
        <w:tc>
          <w:tcPr>
            <w:tcW w:w="1440" w:type="dxa"/>
            <w:tcBorders>
              <w:top w:val="single" w:sz="4" w:space="0" w:color="auto"/>
              <w:left w:val="single" w:sz="4" w:space="0" w:color="auto"/>
              <w:bottom w:val="single" w:sz="4" w:space="0" w:color="auto"/>
              <w:right w:val="single" w:sz="4" w:space="0" w:color="auto"/>
            </w:tcBorders>
          </w:tcPr>
          <w:p w:rsidR="00EA5A4D" w:rsidRPr="008C050F" w:rsidP="00961871">
            <w:pPr>
              <w:spacing w:after="120"/>
              <w:rPr>
                <w:szCs w:val="22"/>
              </w:rPr>
            </w:pPr>
            <w:r>
              <w:rPr>
                <w:szCs w:val="22"/>
              </w:rPr>
              <w:t>Date Petition Filed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4D" w:rsidRPr="008C050F" w:rsidP="00961871">
            <w:pPr>
              <w:spacing w:after="120"/>
              <w:rPr>
                <w:szCs w:val="22"/>
              </w:rPr>
            </w:pPr>
            <w:r>
              <w:rPr>
                <w:szCs w:val="22"/>
              </w:rPr>
              <w:t>State(s)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A5A4D" w:rsidRPr="008C050F" w:rsidP="00961871">
            <w:pPr>
              <w:spacing w:after="120"/>
              <w:rPr>
                <w:szCs w:val="22"/>
              </w:rPr>
            </w:pPr>
            <w:r>
              <w:rPr>
                <w:szCs w:val="22"/>
              </w:rPr>
              <w:t>Number of Census Blocks</w:t>
            </w:r>
            <w:r>
              <w:rPr>
                <w:rStyle w:val="FootnoteReference"/>
                <w:szCs w:val="22"/>
              </w:rPr>
              <w:footnoteReference w:id="54"/>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A5A4D" w:rsidRPr="008C050F" w:rsidP="00961871">
            <w:pPr>
              <w:spacing w:after="120"/>
              <w:rPr>
                <w:szCs w:val="22"/>
              </w:rPr>
            </w:pPr>
            <w:r>
              <w:rPr>
                <w:szCs w:val="22"/>
              </w:rPr>
              <w:t>Number of Supported Locations</w:t>
            </w:r>
          </w:p>
        </w:tc>
      </w:tr>
      <w:tr w:rsidTr="00961871">
        <w:tblPrEx>
          <w:tblW w:w="0" w:type="auto"/>
          <w:jc w:val="center"/>
          <w:tblLook w:val="04A0"/>
        </w:tblPrEx>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A4D" w:rsidRPr="004254DB" w:rsidP="00961871">
            <w:pPr>
              <w:spacing w:after="120"/>
              <w:rPr>
                <w:snapToGrid/>
                <w:color w:val="000000"/>
                <w:kern w:val="0"/>
                <w:szCs w:val="22"/>
                <w:u w:val="single"/>
              </w:rPr>
            </w:pPr>
            <w:r w:rsidRPr="004254DB">
              <w:rPr>
                <w:snapToGrid/>
                <w:color w:val="000000"/>
                <w:kern w:val="0"/>
                <w:szCs w:val="22"/>
                <w:u w:val="single"/>
              </w:rPr>
              <w:t>Sunset Digital Communications, Inc.</w:t>
            </w:r>
            <w:r w:rsidRPr="004254DB">
              <w:rPr>
                <w:rStyle w:val="FootnoteReference"/>
                <w:kern w:val="0"/>
                <w:szCs w:val="22"/>
                <w:u w:val="single"/>
              </w:rPr>
              <w:t xml:space="preserve"> </w:t>
            </w:r>
          </w:p>
        </w:tc>
        <w:tc>
          <w:tcPr>
            <w:tcW w:w="1440" w:type="dxa"/>
            <w:tcBorders>
              <w:top w:val="single" w:sz="4" w:space="0" w:color="auto"/>
              <w:left w:val="single" w:sz="4" w:space="0" w:color="auto"/>
              <w:bottom w:val="single" w:sz="4" w:space="0" w:color="auto"/>
              <w:right w:val="single" w:sz="4" w:space="0" w:color="auto"/>
            </w:tcBorders>
          </w:tcPr>
          <w:p w:rsidR="00EA5A4D" w:rsidRPr="005B3BAA" w:rsidP="00961871">
            <w:pPr>
              <w:spacing w:after="120"/>
              <w:rPr>
                <w:szCs w:val="22"/>
              </w:rPr>
            </w:pPr>
            <w:r>
              <w:rPr>
                <w:szCs w:val="22"/>
              </w:rPr>
              <w:t>11/15/2019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4D" w:rsidP="00961871">
            <w:pPr>
              <w:spacing w:after="120"/>
              <w:rPr>
                <w:szCs w:val="22"/>
              </w:rPr>
            </w:pPr>
            <w:r>
              <w:rPr>
                <w:szCs w:val="22"/>
              </w:rPr>
              <w:t>TN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A5A4D" w:rsidP="00961871">
            <w:pPr>
              <w:spacing w:after="120"/>
              <w:rPr>
                <w:szCs w:val="22"/>
              </w:rPr>
            </w:pPr>
            <w:r>
              <w:rPr>
                <w:szCs w:val="22"/>
              </w:rPr>
              <w:t>276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A5A4D" w:rsidP="00961871">
            <w:pPr>
              <w:spacing w:after="120"/>
              <w:rPr>
                <w:szCs w:val="22"/>
              </w:rPr>
            </w:pPr>
            <w:r>
              <w:rPr>
                <w:szCs w:val="22"/>
              </w:rPr>
              <w:t>2,095</w:t>
            </w:r>
          </w:p>
        </w:tc>
      </w:tr>
      <w:tr w:rsidTr="00961871">
        <w:tblPrEx>
          <w:tblW w:w="0" w:type="auto"/>
          <w:jc w:val="center"/>
          <w:tblLook w:val="04A0"/>
        </w:tblPrEx>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A5A4D" w:rsidRPr="00BA0158" w:rsidP="00961871">
            <w:pPr>
              <w:spacing w:after="120"/>
              <w:rPr>
                <w:snapToGrid/>
                <w:color w:val="000000"/>
                <w:kern w:val="0"/>
                <w:szCs w:val="22"/>
                <w:u w:val="single"/>
              </w:rPr>
            </w:pPr>
            <w:r w:rsidRPr="00A02486">
              <w:rPr>
                <w:snapToGrid/>
                <w:color w:val="000000"/>
                <w:kern w:val="0"/>
                <w:szCs w:val="22"/>
                <w:u w:val="single"/>
              </w:rPr>
              <w:t>Sunset Digital Communications, Inc.</w:t>
            </w:r>
          </w:p>
        </w:tc>
        <w:tc>
          <w:tcPr>
            <w:tcW w:w="1440" w:type="dxa"/>
            <w:tcBorders>
              <w:top w:val="single" w:sz="4" w:space="0" w:color="auto"/>
              <w:left w:val="single" w:sz="4" w:space="0" w:color="auto"/>
              <w:bottom w:val="single" w:sz="4" w:space="0" w:color="auto"/>
              <w:right w:val="single" w:sz="4" w:space="0" w:color="auto"/>
            </w:tcBorders>
          </w:tcPr>
          <w:p w:rsidR="00EA5A4D" w:rsidRPr="005B3BAA" w:rsidP="00961871">
            <w:pPr>
              <w:spacing w:after="120"/>
              <w:rPr>
                <w:szCs w:val="22"/>
              </w:rPr>
            </w:pPr>
            <w:r>
              <w:rPr>
                <w:szCs w:val="22"/>
              </w:rPr>
              <w:t>11/15/2019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5A4D" w:rsidP="00961871">
            <w:pPr>
              <w:spacing w:after="120"/>
              <w:rPr>
                <w:szCs w:val="22"/>
              </w:rPr>
            </w:pPr>
            <w:r>
              <w:rPr>
                <w:szCs w:val="22"/>
              </w:rPr>
              <w:t>VA</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A5A4D" w:rsidP="00961871">
            <w:pPr>
              <w:spacing w:after="120"/>
              <w:rPr>
                <w:szCs w:val="22"/>
              </w:rPr>
            </w:pPr>
            <w:r>
              <w:rPr>
                <w:szCs w:val="22"/>
              </w:rPr>
              <w:t>1,316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A5A4D" w:rsidP="00961871">
            <w:pPr>
              <w:spacing w:after="120"/>
              <w:rPr>
                <w:szCs w:val="22"/>
              </w:rPr>
            </w:pPr>
            <w:r>
              <w:rPr>
                <w:szCs w:val="22"/>
              </w:rPr>
              <w:t>6,998</w:t>
            </w:r>
          </w:p>
        </w:tc>
      </w:tr>
    </w:tbl>
    <w:p w:rsidR="00EA5A4D" w:rsidP="00EA5A4D">
      <w:pPr>
        <w:rPr>
          <w:szCs w:val="22"/>
        </w:rPr>
      </w:pPr>
    </w:p>
    <w:p w:rsidR="00EA5A4D" w:rsidRPr="007839CE" w:rsidP="00EA5A4D">
      <w:pPr>
        <w:pStyle w:val="ParaNum"/>
        <w:numPr>
          <w:ilvl w:val="0"/>
          <w:numId w:val="0"/>
        </w:numPr>
      </w:pPr>
    </w:p>
    <w:p w:rsidR="00A94885"/>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5A4D" w:rsidP="00EA5A4D">
      <w:r>
        <w:separator/>
      </w:r>
    </w:p>
  </w:footnote>
  <w:footnote w:type="continuationSeparator" w:id="1">
    <w:p w:rsidR="00EA5A4D" w:rsidP="00EA5A4D">
      <w:r>
        <w:continuationSeparator/>
      </w:r>
    </w:p>
  </w:footnote>
  <w:footnote w:id="2">
    <w:p w:rsidR="00EA5A4D" w:rsidRPr="00DE59CE" w:rsidP="00EA5A4D">
      <w:pPr>
        <w:pStyle w:val="FootnoteText"/>
      </w:pPr>
      <w:r>
        <w:rPr>
          <w:rStyle w:val="FootnoteReference"/>
        </w:rPr>
        <w:footnoteRef/>
      </w:r>
      <w:r>
        <w:t xml:space="preserve"> </w:t>
      </w:r>
      <w:r>
        <w:rPr>
          <w:i/>
        </w:rPr>
        <w:t>See</w:t>
      </w:r>
      <w:r>
        <w:t xml:space="preserve"> Attachment; </w:t>
      </w:r>
      <w:r>
        <w:rPr>
          <w:i/>
        </w:rPr>
        <w:t xml:space="preserve">see also </w:t>
      </w:r>
      <w:r w:rsidRPr="00BB7A26">
        <w:t xml:space="preserve">Petition for Eligible Telecommunications Designation, WC Docket No. 09-197 (filed </w:t>
      </w:r>
      <w:r>
        <w:t>Nov. 15</w:t>
      </w:r>
      <w:r w:rsidRPr="00BB7A26">
        <w:t>, 2018</w:t>
      </w:r>
      <w:r>
        <w:t>) (</w:t>
      </w:r>
      <w:r>
        <w:t>SDC</w:t>
      </w:r>
      <w:r>
        <w:t xml:space="preserve"> LLC </w:t>
      </w:r>
      <w:r w:rsidRPr="00BB7A26">
        <w:t>Petition)</w:t>
      </w:r>
      <w:r>
        <w:t xml:space="preserve">, </w:t>
      </w:r>
      <w:r w:rsidRPr="00C1356D">
        <w:rPr>
          <w:i/>
        </w:rPr>
        <w:t>as supplemented</w:t>
      </w:r>
      <w:r>
        <w:t xml:space="preserve">, Supplement to Petition for </w:t>
      </w:r>
      <w:r w:rsidRPr="00BB7A26">
        <w:t>Eligible Telecommunications Designation</w:t>
      </w:r>
      <w:r>
        <w:t xml:space="preserve">, </w:t>
      </w:r>
      <w:r w:rsidRPr="00BB7A26">
        <w:t>WC Docket No. 09-197</w:t>
      </w:r>
      <w:r>
        <w:t xml:space="preserve"> (filed Aug. 8, 2019)</w:t>
      </w:r>
      <w:r w:rsidRPr="00BB7A26">
        <w:t xml:space="preserve"> </w:t>
      </w:r>
      <w:r>
        <w:t>(</w:t>
      </w:r>
      <w:bookmarkStart w:id="1" w:name="_Hlk16175246"/>
      <w:r>
        <w:t>SDC</w:t>
      </w:r>
      <w:r>
        <w:t xml:space="preserve"> LLC </w:t>
      </w:r>
      <w:r w:rsidRPr="00BB7A26">
        <w:t>Petition</w:t>
      </w:r>
      <w:r>
        <w:t xml:space="preserve"> Supplement</w:t>
      </w:r>
      <w:bookmarkEnd w:id="1"/>
      <w:r w:rsidRPr="00BB7A26">
        <w:t>)</w:t>
      </w:r>
      <w:r>
        <w:t xml:space="preserve">.  On August 6, 2019, the Bureau granted Sunset Digital Communications, Inc.’s request to allow modification of its CAF Phase II auction long-form application to reflect its acquisition by </w:t>
      </w:r>
      <w:r>
        <w:t>SDC</w:t>
      </w:r>
      <w:r>
        <w:t xml:space="preserve"> LLC.  </w:t>
      </w:r>
      <w:r>
        <w:rPr>
          <w:i/>
          <w:snapToGrid w:val="0"/>
        </w:rPr>
        <w:t>Connect America Fund, Petition of Sunset Digital Communications, Inc. Waiver of Section 54.315(b)(6)(iv) of the Commission’s Rules</w:t>
      </w:r>
      <w:r>
        <w:rPr>
          <w:snapToGrid w:val="0"/>
        </w:rPr>
        <w:t>, WC Docket No. 10-90,</w:t>
      </w:r>
      <w:r>
        <w:rPr>
          <w:snapToGrid w:val="0"/>
          <w:spacing w:val="-2"/>
        </w:rPr>
        <w:t xml:space="preserve"> AU Docket No. 17-182, Order, DA 19-745 (WCB rel. Aug. 6, 2019)</w:t>
      </w:r>
      <w:r>
        <w:rPr>
          <w:snapToGrid w:val="0"/>
        </w:rPr>
        <w:t xml:space="preserve">; </w:t>
      </w:r>
      <w:r w:rsidRPr="00E30998">
        <w:rPr>
          <w:i/>
          <w:snapToGrid w:val="0"/>
        </w:rPr>
        <w:t xml:space="preserve">see also </w:t>
      </w:r>
      <w:r>
        <w:rPr>
          <w:i/>
          <w:snapToGrid w:val="0"/>
        </w:rPr>
        <w:t>Notice of Domestic Section 214 Authorization Granted</w:t>
      </w:r>
      <w:r>
        <w:rPr>
          <w:snapToGrid w:val="0"/>
        </w:rPr>
        <w:t>, Public Notice, 33 FCC Rcd 5203 (2018)</w:t>
      </w:r>
      <w:r>
        <w:rPr>
          <w:snapToGrid w:val="0"/>
          <w:spacing w:val="-2"/>
        </w:rPr>
        <w:t>.</w:t>
      </w:r>
      <w:r w:rsidRPr="00E22BE6">
        <w:t xml:space="preserve"> </w:t>
      </w:r>
      <w:r>
        <w:t xml:space="preserve"> </w:t>
      </w:r>
      <w:r w:rsidRPr="00E22BE6">
        <w:rPr>
          <w:snapToGrid w:val="0"/>
          <w:spacing w:val="-2"/>
        </w:rPr>
        <w:t>S</w:t>
      </w:r>
      <w:r>
        <w:rPr>
          <w:snapToGrid w:val="0"/>
          <w:spacing w:val="-2"/>
        </w:rPr>
        <w:t>unset Digital Communications</w:t>
      </w:r>
      <w:r w:rsidRPr="00E22BE6">
        <w:rPr>
          <w:snapToGrid w:val="0"/>
          <w:spacing w:val="-2"/>
        </w:rPr>
        <w:t xml:space="preserve">, Inc. </w:t>
      </w:r>
      <w:r>
        <w:rPr>
          <w:snapToGrid w:val="0"/>
          <w:spacing w:val="-2"/>
        </w:rPr>
        <w:t>(</w:t>
      </w:r>
      <w:r>
        <w:rPr>
          <w:snapToGrid w:val="0"/>
          <w:spacing w:val="-2"/>
        </w:rPr>
        <w:t>SDC</w:t>
      </w:r>
      <w:r>
        <w:rPr>
          <w:snapToGrid w:val="0"/>
          <w:spacing w:val="-2"/>
        </w:rPr>
        <w:t xml:space="preserve">, Inc.) and </w:t>
      </w:r>
      <w:r>
        <w:rPr>
          <w:snapToGrid w:val="0"/>
          <w:spacing w:val="-2"/>
        </w:rPr>
        <w:t>SDC</w:t>
      </w:r>
      <w:r>
        <w:rPr>
          <w:snapToGrid w:val="0"/>
          <w:spacing w:val="-2"/>
        </w:rPr>
        <w:t xml:space="preserve"> LLC </w:t>
      </w:r>
      <w:r w:rsidRPr="00E22BE6">
        <w:rPr>
          <w:snapToGrid w:val="0"/>
          <w:spacing w:val="-2"/>
        </w:rPr>
        <w:t xml:space="preserve">also amended </w:t>
      </w:r>
      <w:r>
        <w:rPr>
          <w:snapToGrid w:val="0"/>
          <w:spacing w:val="-2"/>
        </w:rPr>
        <w:t xml:space="preserve">the </w:t>
      </w:r>
      <w:r w:rsidRPr="00E22BE6">
        <w:rPr>
          <w:snapToGrid w:val="0"/>
          <w:spacing w:val="-2"/>
        </w:rPr>
        <w:t>pending ETC petition</w:t>
      </w:r>
      <w:r>
        <w:rPr>
          <w:snapToGrid w:val="0"/>
          <w:spacing w:val="-2"/>
        </w:rPr>
        <w:t xml:space="preserve"> associated with </w:t>
      </w:r>
      <w:r>
        <w:rPr>
          <w:snapToGrid w:val="0"/>
          <w:spacing w:val="-2"/>
        </w:rPr>
        <w:t>SDC</w:t>
      </w:r>
      <w:r>
        <w:rPr>
          <w:snapToGrid w:val="0"/>
          <w:spacing w:val="-2"/>
        </w:rPr>
        <w:t>, Inc.’s Auction 903 award</w:t>
      </w:r>
      <w:r w:rsidRPr="00E22BE6">
        <w:rPr>
          <w:snapToGrid w:val="0"/>
          <w:spacing w:val="-2"/>
        </w:rPr>
        <w:t xml:space="preserve"> to indicate that </w:t>
      </w:r>
      <w:r w:rsidRPr="00E22BE6">
        <w:rPr>
          <w:snapToGrid w:val="0"/>
          <w:spacing w:val="-2"/>
        </w:rPr>
        <w:t>SDC</w:t>
      </w:r>
      <w:r w:rsidRPr="00E22BE6">
        <w:rPr>
          <w:snapToGrid w:val="0"/>
          <w:spacing w:val="-2"/>
        </w:rPr>
        <w:t xml:space="preserve"> LLC, as </w:t>
      </w:r>
      <w:r>
        <w:rPr>
          <w:snapToGrid w:val="0"/>
          <w:spacing w:val="-2"/>
        </w:rPr>
        <w:t>SDC</w:t>
      </w:r>
      <w:r>
        <w:rPr>
          <w:snapToGrid w:val="0"/>
          <w:spacing w:val="-2"/>
        </w:rPr>
        <w:t xml:space="preserve"> Inc.’s</w:t>
      </w:r>
      <w:r w:rsidRPr="00E22BE6">
        <w:rPr>
          <w:snapToGrid w:val="0"/>
          <w:spacing w:val="-2"/>
        </w:rPr>
        <w:t xml:space="preserve"> successor, would be bound to and by all representations, certifications, and commitments made in the</w:t>
      </w:r>
      <w:r>
        <w:rPr>
          <w:snapToGrid w:val="0"/>
          <w:spacing w:val="-2"/>
        </w:rPr>
        <w:t xml:space="preserve"> ETC</w:t>
      </w:r>
      <w:r w:rsidRPr="00E22BE6">
        <w:rPr>
          <w:snapToGrid w:val="0"/>
          <w:spacing w:val="-2"/>
        </w:rPr>
        <w:t xml:space="preserve"> petition</w:t>
      </w:r>
      <w:r>
        <w:rPr>
          <w:snapToGrid w:val="0"/>
          <w:spacing w:val="-2"/>
        </w:rPr>
        <w:t xml:space="preserve"> and requested that the Commission designate </w:t>
      </w:r>
      <w:r>
        <w:rPr>
          <w:snapToGrid w:val="0"/>
          <w:spacing w:val="-2"/>
        </w:rPr>
        <w:t>SDC</w:t>
      </w:r>
      <w:r>
        <w:rPr>
          <w:snapToGrid w:val="0"/>
          <w:spacing w:val="-2"/>
        </w:rPr>
        <w:t xml:space="preserve"> LLC in lieu of </w:t>
      </w:r>
      <w:r>
        <w:rPr>
          <w:snapToGrid w:val="0"/>
          <w:spacing w:val="-2"/>
        </w:rPr>
        <w:t>SDC</w:t>
      </w:r>
      <w:r>
        <w:rPr>
          <w:snapToGrid w:val="0"/>
          <w:spacing w:val="-2"/>
        </w:rPr>
        <w:t>, Inc.</w:t>
      </w:r>
      <w:r w:rsidRPr="00E22BE6">
        <w:rPr>
          <w:snapToGrid w:val="0"/>
          <w:spacing w:val="-2"/>
        </w:rPr>
        <w:t xml:space="preserve">  </w:t>
      </w:r>
      <w:r w:rsidRPr="00942669">
        <w:rPr>
          <w:i/>
          <w:snapToGrid w:val="0"/>
          <w:spacing w:val="-2"/>
        </w:rPr>
        <w:t>See</w:t>
      </w:r>
      <w:r w:rsidRPr="00E22BE6">
        <w:rPr>
          <w:snapToGrid w:val="0"/>
          <w:spacing w:val="-2"/>
        </w:rPr>
        <w:t xml:space="preserve"> </w:t>
      </w:r>
      <w:r>
        <w:t>SDC</w:t>
      </w:r>
      <w:r>
        <w:t xml:space="preserve"> LLC </w:t>
      </w:r>
      <w:r w:rsidRPr="00BB7A26">
        <w:t>Petition</w:t>
      </w:r>
      <w:r>
        <w:t xml:space="preserve"> Supplement.  </w:t>
      </w:r>
    </w:p>
  </w:footnote>
  <w:footnote w:id="3">
    <w:p w:rsidR="00EA5A4D" w:rsidRPr="007A1F8B" w:rsidP="00EA5A4D">
      <w:pPr>
        <w:pStyle w:val="FootnoteText"/>
      </w:pPr>
      <w:r w:rsidRPr="007A1F8B">
        <w:rPr>
          <w:rStyle w:val="FootnoteReference"/>
        </w:rPr>
        <w:footnoteRef/>
      </w:r>
      <w:r w:rsidRPr="007A1F8B">
        <w:t xml:space="preserve"> </w:t>
      </w:r>
      <w:r w:rsidRPr="007A1F8B">
        <w:rPr>
          <w:i/>
        </w:rPr>
        <w:t>See Connect America Fund Phase II Auction (Auction 903) Closes; Winning Bidders Announced; FCC Form 683 Due October 15, 2018</w:t>
      </w:r>
      <w:r w:rsidRPr="007A1F8B">
        <w:t>, AU Docket No. 17-182, WC Docket No. 10-90, Public Notice, 33 FCC Rcd 8257 (2018) (</w:t>
      </w:r>
      <w:r w:rsidRPr="007A1F8B">
        <w:rPr>
          <w:i/>
        </w:rPr>
        <w:t>Auction 903 Closing Public Notice</w:t>
      </w:r>
      <w:r w:rsidRPr="007A1F8B">
        <w:t xml:space="preserve">); </w:t>
      </w:r>
      <w:r w:rsidRPr="007A1F8B">
        <w:rPr>
          <w:i/>
        </w:rPr>
        <w:t>see also Connect America Fund et al</w:t>
      </w:r>
      <w:r w:rsidRPr="007A1F8B">
        <w:t>., Report and Order and Further Notice of Proposed Rulemaking, 31 FCC Rcd 5949 (2016) (</w:t>
      </w:r>
      <w:r w:rsidRPr="007A1F8B">
        <w:rPr>
          <w:i/>
        </w:rPr>
        <w:t>Phase II Auction Order</w:t>
      </w:r>
      <w:r w:rsidRPr="007A1F8B">
        <w:t>).</w:t>
      </w:r>
    </w:p>
  </w:footnote>
  <w:footnote w:id="4">
    <w:p w:rsidR="00EA5A4D" w:rsidRPr="007A1F8B" w:rsidP="00EA5A4D">
      <w:pPr>
        <w:pStyle w:val="FootnoteText"/>
      </w:pPr>
      <w:r w:rsidRPr="007A1F8B">
        <w:rPr>
          <w:rStyle w:val="FootnoteReference"/>
        </w:rPr>
        <w:footnoteRef/>
      </w:r>
      <w:r w:rsidRPr="007A1F8B">
        <w:t xml:space="preserve"> 47 U.S.C. § 214(e)(6); 47 CFR § 54.202.</w:t>
      </w:r>
    </w:p>
  </w:footnote>
  <w:footnote w:id="5">
    <w:p w:rsidR="00EA5A4D" w:rsidRPr="007A1F8B" w:rsidP="00EA5A4D">
      <w:pPr>
        <w:pStyle w:val="FootnoteText"/>
      </w:pPr>
      <w:r w:rsidRPr="007A1F8B">
        <w:rPr>
          <w:rStyle w:val="FootnoteReference"/>
        </w:rPr>
        <w:footnoteRef/>
      </w:r>
      <w:r w:rsidRPr="007A1F8B">
        <w:t xml:space="preserve"> </w:t>
      </w:r>
      <w:r w:rsidRPr="007A1F8B">
        <w:rPr>
          <w:i/>
        </w:rPr>
        <w:t>Connect America Fund et al</w:t>
      </w:r>
      <w:r w:rsidRPr="007A1F8B">
        <w:t>.</w:t>
      </w:r>
      <w:r>
        <w:t>,</w:t>
      </w:r>
      <w:r w:rsidRPr="007A1F8B">
        <w:t xml:space="preserve"> WC Docket Nos. 10-90 et al., Report and Order and Further Notice of Proposed Rulemaking, 26 FCC Rcd 17663, 17725, para. 156 (2011)</w:t>
      </w:r>
      <w:r w:rsidRPr="007A1F8B">
        <w:rPr>
          <w:i/>
        </w:rPr>
        <w:t>, aff’d sub nom., In re: FCC 11-161</w:t>
      </w:r>
      <w:r w:rsidRPr="007A1F8B">
        <w:t xml:space="preserve">, 753 </w:t>
      </w:r>
      <w:r w:rsidRPr="007A1F8B">
        <w:t>F.3d</w:t>
      </w:r>
      <w:r w:rsidRPr="007A1F8B">
        <w:t xml:space="preserve"> 1015 (10th Cir. 2014).</w:t>
      </w:r>
    </w:p>
  </w:footnote>
  <w:footnote w:id="6">
    <w:p w:rsidR="00EA5A4D" w:rsidRPr="007A1F8B" w:rsidP="00EA5A4D">
      <w:pPr>
        <w:pStyle w:val="FootnoteText"/>
      </w:pPr>
      <w:r w:rsidRPr="007A1F8B">
        <w:rPr>
          <w:rStyle w:val="FootnoteReference"/>
        </w:rPr>
        <w:footnoteRef/>
      </w:r>
      <w:r w:rsidRPr="007A1F8B">
        <w:t xml:space="preserve"> </w:t>
      </w:r>
      <w:r w:rsidRPr="007A1F8B">
        <w:rPr>
          <w:i/>
        </w:rPr>
        <w:t>See Auction 903 Closing Public Notice</w:t>
      </w:r>
      <w:r w:rsidRPr="007A1F8B">
        <w:t>, 33 FCC Rcd at 8257.</w:t>
      </w:r>
    </w:p>
  </w:footnote>
  <w:footnote w:id="7">
    <w:p w:rsidR="00EA5A4D" w:rsidRPr="007A1F8B" w:rsidP="00EA5A4D">
      <w:pPr>
        <w:pStyle w:val="FootnoteText"/>
      </w:pPr>
      <w:r w:rsidRPr="007A1F8B">
        <w:rPr>
          <w:rStyle w:val="FootnoteReference"/>
        </w:rPr>
        <w:footnoteRef/>
      </w:r>
      <w:r w:rsidRPr="007A1F8B">
        <w:t xml:space="preserve"> 47 CFR § 1.21004; </w:t>
      </w:r>
      <w:r w:rsidRPr="007A1F8B">
        <w:rPr>
          <w:i/>
        </w:rPr>
        <w:t>Phase II Auction Order</w:t>
      </w:r>
      <w:r w:rsidRPr="007A1F8B">
        <w:t>, 31 FCC Rcd at 6000, para. 144.</w:t>
      </w:r>
    </w:p>
  </w:footnote>
  <w:footnote w:id="8">
    <w:p w:rsidR="00EA5A4D" w:rsidRPr="007A1F8B" w:rsidP="00EA5A4D">
      <w:pPr>
        <w:pStyle w:val="FootnoteText"/>
      </w:pPr>
      <w:r w:rsidRPr="007A1F8B">
        <w:rPr>
          <w:rStyle w:val="FootnoteReference"/>
        </w:rPr>
        <w:footnoteRef/>
      </w:r>
      <w:r w:rsidRPr="007A1F8B">
        <w:t xml:space="preserve"> 47 CFR § 54.315(b)(5) (requiring winning bidders to submit within 180 days of the announcement of winning bids, a certification of ETC designation in all relevant areas and supporting documentation for that certification); </w:t>
      </w:r>
      <w:r w:rsidRPr="007D53DD">
        <w:rPr>
          <w:i/>
        </w:rPr>
        <w:t>Connect America Fund Phase II Auction Scheduled for July 24, 2018; Notice and Filing Requirements and Other Procedures for Auction 903</w:t>
      </w:r>
      <w:r w:rsidRPr="00691911">
        <w:t>, AU Docket No. 17-182</w:t>
      </w:r>
      <w:r>
        <w:t xml:space="preserve">, WC Docket No. 10-90, </w:t>
      </w:r>
      <w:r w:rsidRPr="00691911">
        <w:t>Public Notice, 33 FCC Rcd 1428</w:t>
      </w:r>
      <w:r>
        <w:t>, 1519, para. 310</w:t>
      </w:r>
      <w:r w:rsidRPr="00691911">
        <w:t xml:space="preserve"> (2018) (</w:t>
      </w:r>
      <w:r w:rsidRPr="007D53DD">
        <w:rPr>
          <w:i/>
        </w:rPr>
        <w:t>Auction 903 Procedures Public Notice</w:t>
      </w:r>
      <w:r w:rsidRPr="00691911">
        <w:t>)</w:t>
      </w:r>
      <w:r w:rsidRPr="007A1F8B">
        <w:t xml:space="preserve">; </w:t>
      </w:r>
      <w:r w:rsidRPr="007A1F8B">
        <w:rPr>
          <w:i/>
        </w:rPr>
        <w:t>see also Phase II Auction Order</w:t>
      </w:r>
      <w:r w:rsidRPr="007A1F8B">
        <w:t>, 31 FCC Rcd at 5999, 6002-05, paras. 141, 149-56.</w:t>
      </w:r>
    </w:p>
  </w:footnote>
  <w:footnote w:id="9">
    <w:p w:rsidR="00EA5A4D" w:rsidRPr="007A1F8B" w:rsidP="00EA5A4D">
      <w:pPr>
        <w:pStyle w:val="FootnoteText"/>
      </w:pPr>
      <w:r w:rsidRPr="007A1F8B">
        <w:rPr>
          <w:rStyle w:val="FootnoteReference"/>
        </w:rPr>
        <w:footnoteRef/>
      </w:r>
      <w:r w:rsidRPr="007A1F8B">
        <w:t xml:space="preserve"> 47 U.S.C. § 254(e).</w:t>
      </w:r>
    </w:p>
  </w:footnote>
  <w:footnote w:id="10">
    <w:p w:rsidR="00EA5A4D" w:rsidRPr="007A1F8B" w:rsidP="00EA5A4D">
      <w:pPr>
        <w:pStyle w:val="FootnoteText"/>
      </w:pPr>
      <w:r w:rsidRPr="007A1F8B">
        <w:rPr>
          <w:rStyle w:val="FootnoteReference"/>
        </w:rPr>
        <w:footnoteRef/>
      </w:r>
      <w:r w:rsidRPr="007A1F8B">
        <w:t xml:space="preserve"> </w:t>
      </w:r>
      <w:r w:rsidRPr="007A1F8B">
        <w:rPr>
          <w:i/>
        </w:rPr>
        <w:t>Id.</w:t>
      </w:r>
      <w:r w:rsidRPr="007A1F8B">
        <w:t xml:space="preserve"> § 214(e)(2).</w:t>
      </w:r>
    </w:p>
  </w:footnote>
  <w:footnote w:id="11">
    <w:p w:rsidR="00EA5A4D" w:rsidRPr="007A1F8B" w:rsidP="00EA5A4D">
      <w:pPr>
        <w:pStyle w:val="FootnoteText"/>
      </w:pPr>
      <w:r w:rsidRPr="007A1F8B">
        <w:rPr>
          <w:rStyle w:val="FootnoteReference"/>
        </w:rPr>
        <w:footnoteRef/>
      </w:r>
      <w:r w:rsidRPr="007A1F8B">
        <w:t xml:space="preserve"> </w:t>
      </w:r>
      <w:r w:rsidRPr="007A1F8B">
        <w:rPr>
          <w:i/>
        </w:rPr>
        <w:t>Id.</w:t>
      </w:r>
      <w:r w:rsidRPr="007A1F8B">
        <w:t xml:space="preserve"> § 214(e)(6).</w:t>
      </w:r>
    </w:p>
  </w:footnote>
  <w:footnote w:id="12">
    <w:p w:rsidR="00EA5A4D" w:rsidRPr="007A1F8B" w:rsidP="00EA5A4D">
      <w:pPr>
        <w:pStyle w:val="FootnoteText"/>
      </w:pPr>
      <w:r w:rsidRPr="007A1F8B">
        <w:rPr>
          <w:rStyle w:val="FootnoteReference"/>
        </w:rPr>
        <w:footnoteRef/>
      </w:r>
      <w:r w:rsidRPr="007A1F8B">
        <w:t xml:space="preserve"> </w:t>
      </w:r>
      <w:r w:rsidRPr="007A1F8B">
        <w:rPr>
          <w:i/>
        </w:rPr>
        <w:t>See</w:t>
      </w:r>
      <w:r w:rsidRPr="007A1F8B">
        <w:t xml:space="preserve"> </w:t>
      </w:r>
      <w:r w:rsidRPr="007A1F8B">
        <w:rPr>
          <w:i/>
        </w:rPr>
        <w:t>Federal-State Joint Board on Universal Service et al</w:t>
      </w:r>
      <w:r w:rsidRPr="007A1F8B">
        <w:t>., CC Docket No. 96-45, Twelfth Report and Order, Memorandum Opinion and Order, and Further Notice of Proposed Rulemaking, 15 FCC Rcd 12208, 12267, para. 120 (2000) (</w:t>
      </w:r>
      <w:bookmarkStart w:id="3" w:name="_Hlk5874667"/>
      <w:r w:rsidRPr="007A1F8B">
        <w:rPr>
          <w:i/>
        </w:rPr>
        <w:t>2000 Tribal Order</w:t>
      </w:r>
      <w:bookmarkEnd w:id="3"/>
      <w:r w:rsidRPr="007A1F8B">
        <w:t>)</w:t>
      </w:r>
      <w:r>
        <w:t xml:space="preserve">; </w:t>
      </w:r>
      <w:r w:rsidRPr="007A1F8B">
        <w:rPr>
          <w:lang w:val="it-IT"/>
        </w:rPr>
        <w:t>47 U.S.C. § 214(e)(6).</w:t>
      </w:r>
    </w:p>
  </w:footnote>
  <w:footnote w:id="13">
    <w:p w:rsidR="00EA5A4D" w:rsidRPr="007A1F8B" w:rsidP="00EA5A4D">
      <w:pPr>
        <w:pStyle w:val="FootnoteText"/>
      </w:pPr>
      <w:r w:rsidRPr="007A1F8B">
        <w:rPr>
          <w:rStyle w:val="FootnoteReference"/>
        </w:rPr>
        <w:footnoteRef/>
      </w:r>
      <w:r w:rsidRPr="007A1F8B">
        <w:t xml:space="preserve"> </w:t>
      </w:r>
      <w:r w:rsidRPr="007A1F8B">
        <w:rPr>
          <w:i/>
        </w:rPr>
        <w:t>See</w:t>
      </w:r>
      <w:r w:rsidRPr="007A1F8B">
        <w:t xml:space="preserve"> </w:t>
      </w:r>
      <w:r w:rsidRPr="007A1F8B">
        <w:rPr>
          <w:i/>
        </w:rPr>
        <w:t>Procedures for FCC Designation of Eligible Telecommunications Carriers Pursuant to Section 214(e)(6) of the Communications Act</w:t>
      </w:r>
      <w:r w:rsidRPr="007A1F8B">
        <w:t>, CC Docket No. 96-45, Public Notice, 12 FCC Rcd 22947, 22948 (1997).</w:t>
      </w:r>
    </w:p>
  </w:footnote>
  <w:footnote w:id="14">
    <w:p w:rsidR="00EA5A4D" w:rsidRPr="00BB7A26" w:rsidP="00EA5A4D">
      <w:pPr>
        <w:pStyle w:val="FootnoteText"/>
      </w:pPr>
      <w:r w:rsidRPr="00BB7A26">
        <w:rPr>
          <w:rStyle w:val="FootnoteReference"/>
        </w:rPr>
        <w:footnoteRef/>
      </w:r>
      <w:r w:rsidRPr="00BB7A26">
        <w:t xml:space="preserve"> 47 U.S.C. § 214(e)(1); 47 CFR § 54.201(d)(1).</w:t>
      </w:r>
    </w:p>
  </w:footnote>
  <w:footnote w:id="15">
    <w:p w:rsidR="00EA5A4D" w:rsidRPr="00BB7A26" w:rsidP="00EA5A4D">
      <w:pPr>
        <w:pStyle w:val="FootnoteText"/>
      </w:pPr>
      <w:r w:rsidRPr="00BB7A26">
        <w:rPr>
          <w:rStyle w:val="FootnoteReference"/>
        </w:rPr>
        <w:footnoteRef/>
      </w:r>
      <w:r w:rsidRPr="00BB7A26">
        <w:t xml:space="preserve"> 47 U.S.C. § 214(e)(1); 47 CFR § 54.201(d)(2).</w:t>
      </w:r>
    </w:p>
  </w:footnote>
  <w:footnote w:id="16">
    <w:p w:rsidR="00EA5A4D" w:rsidRPr="00BB7A26" w:rsidP="00EA5A4D">
      <w:pPr>
        <w:pStyle w:val="FootnoteText"/>
      </w:pPr>
      <w:r w:rsidRPr="00BB7A26">
        <w:rPr>
          <w:rStyle w:val="FootnoteReference"/>
        </w:rPr>
        <w:footnoteRef/>
      </w:r>
      <w:r w:rsidRPr="00BB7A26">
        <w:t xml:space="preserve"> An </w:t>
      </w:r>
      <w:r w:rsidRPr="00BB7A26">
        <w:t>ETC’s</w:t>
      </w:r>
      <w:r w:rsidRPr="00BB7A26">
        <w:t xml:space="preserve">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w:t>
      </w:r>
      <w:r w:rsidRPr="00BB7A26">
        <w:t>ETC’s</w:t>
      </w:r>
      <w:r w:rsidRPr="00BB7A26">
        <w:t xml:space="preserve"> service area and an incumbent rural telephone company’s service area, the Commission </w:t>
      </w:r>
      <w:r>
        <w:rPr>
          <w:snapToGrid w:val="0"/>
        </w:rPr>
        <w:t xml:space="preserve">has separately forborne from imposing such requirements on Auction 903 support recipients.  </w:t>
      </w:r>
      <w:r>
        <w:rPr>
          <w:i/>
          <w:snapToGrid w:val="0"/>
        </w:rPr>
        <w:t>See</w:t>
      </w:r>
      <w:r>
        <w:rPr>
          <w:snapToGrid w:val="0"/>
        </w:rPr>
        <w:t xml:space="preserve"> </w:t>
      </w:r>
      <w:r>
        <w:rPr>
          <w:i/>
          <w:snapToGrid w:val="0"/>
        </w:rPr>
        <w:t>Phase II Auction Order</w:t>
      </w:r>
      <w:r>
        <w:rPr>
          <w:snapToGrid w:val="0"/>
        </w:rPr>
        <w:t>, 31 FCC Rcd at 6006-6009, paras. 159-168</w:t>
      </w:r>
      <w:r>
        <w:t>.</w:t>
      </w:r>
    </w:p>
  </w:footnote>
  <w:footnote w:id="17">
    <w:p w:rsidR="00EA5A4D" w:rsidRPr="00BB7A26" w:rsidP="00EA5A4D">
      <w:pPr>
        <w:pStyle w:val="FootnoteText"/>
      </w:pPr>
      <w:r w:rsidRPr="00BB7A26">
        <w:rPr>
          <w:rStyle w:val="FootnoteReference"/>
        </w:rPr>
        <w:footnoteRef/>
      </w:r>
      <w:r w:rsidRPr="00BB7A26">
        <w:t xml:space="preserve"> 21 U.S.C. § 862; 47 CFR § 1.2002(a)–(b).</w:t>
      </w:r>
    </w:p>
  </w:footnote>
  <w:footnote w:id="18">
    <w:p w:rsidR="00EA5A4D" w:rsidRPr="00BB7A26" w:rsidP="00EA5A4D">
      <w:pPr>
        <w:autoSpaceDE w:val="0"/>
        <w:autoSpaceDN w:val="0"/>
        <w:adjustRightInd w:val="0"/>
        <w:spacing w:after="120"/>
        <w:rPr>
          <w:color w:val="000000"/>
          <w:sz w:val="20"/>
        </w:rPr>
      </w:pPr>
      <w:r w:rsidRPr="00BB7A26">
        <w:rPr>
          <w:rStyle w:val="FootnoteReference"/>
        </w:rPr>
        <w:footnoteRef/>
      </w:r>
      <w:r w:rsidRPr="00BB7A26">
        <w:rPr>
          <w:sz w:val="20"/>
        </w:rPr>
        <w:t xml:space="preserve"> </w:t>
      </w:r>
      <w:r w:rsidRPr="00BB7A26">
        <w:rPr>
          <w:i/>
          <w:iCs/>
          <w:color w:val="000000"/>
          <w:sz w:val="20"/>
        </w:rPr>
        <w:t>See</w:t>
      </w:r>
      <w:r w:rsidRPr="00BB7A26">
        <w:rPr>
          <w:color w:val="000000"/>
          <w:sz w:val="20"/>
        </w:rPr>
        <w:t xml:space="preserve"> 47 CFR § 54.202(a).</w:t>
      </w:r>
    </w:p>
  </w:footnote>
  <w:footnote w:id="19">
    <w:p w:rsidR="00EA5A4D" w:rsidRPr="00BB7A26" w:rsidP="00EA5A4D">
      <w:pPr>
        <w:pStyle w:val="FootnoteText"/>
      </w:pPr>
      <w:r w:rsidRPr="00BB7A26">
        <w:rPr>
          <w:rStyle w:val="FootnoteReference"/>
        </w:rPr>
        <w:footnoteRef/>
      </w:r>
      <w:r w:rsidRPr="00BB7A26">
        <w:t xml:space="preserve"> </w:t>
      </w:r>
      <w:r w:rsidRPr="00BB7A26">
        <w:rPr>
          <w:i/>
        </w:rPr>
        <w:t>WCB Reminds Connect America Fund Phase II Auction Applicants of the Process for Obtaining a Federal Designation as an Eligible Telecommunications Carrier</w:t>
      </w:r>
      <w:r w:rsidRPr="00BB7A26">
        <w:t>, WC Docket Nos. 09-197 and 10-90, Public Notice, 33 FCC Rcd 6696, 6699-6700 (WCB 2019)</w:t>
      </w:r>
      <w:r>
        <w:t>.</w:t>
      </w:r>
    </w:p>
  </w:footnote>
  <w:footnote w:id="20">
    <w:p w:rsidR="00EA5A4D" w:rsidRPr="00BB7A26" w:rsidP="00EA5A4D">
      <w:pPr>
        <w:pStyle w:val="FootnoteText"/>
      </w:pPr>
      <w:r w:rsidRPr="00BB7A26">
        <w:rPr>
          <w:rStyle w:val="FootnoteReference"/>
        </w:rPr>
        <w:footnoteRef/>
      </w:r>
      <w:r w:rsidRPr="00BB7A26">
        <w:t xml:space="preserve"> 47 U.S.C. § 214(e)(6); 47 CFR § 54.202(b).</w:t>
      </w:r>
    </w:p>
  </w:footnote>
  <w:footnote w:id="21">
    <w:p w:rsidR="00EA5A4D" w:rsidRPr="00BB7A26" w:rsidP="00EA5A4D">
      <w:pPr>
        <w:shd w:val="clear" w:color="auto" w:fill="FFFFFF"/>
        <w:spacing w:after="120"/>
        <w:rPr>
          <w:color w:val="000000"/>
          <w:sz w:val="20"/>
        </w:rPr>
      </w:pPr>
      <w:r w:rsidRPr="00BB7A26">
        <w:rPr>
          <w:rStyle w:val="FootnoteReference"/>
        </w:rPr>
        <w:footnoteRef/>
      </w:r>
      <w:r w:rsidRPr="00BB7A26">
        <w:rPr>
          <w:sz w:val="20"/>
        </w:rPr>
        <w:t xml:space="preserve"> </w:t>
      </w:r>
      <w:r w:rsidRPr="00BB7A26">
        <w:rPr>
          <w:i/>
          <w:iCs/>
          <w:color w:val="000000"/>
          <w:sz w:val="20"/>
        </w:rPr>
        <w:t>See, e.g.</w:t>
      </w:r>
      <w:r>
        <w:rPr>
          <w:iCs/>
          <w:color w:val="000000"/>
          <w:sz w:val="20"/>
        </w:rPr>
        <w:t>,</w:t>
      </w:r>
      <w:r w:rsidRPr="00BB7A26">
        <w:rPr>
          <w:i/>
          <w:iCs/>
          <w:color w:val="000000"/>
          <w:sz w:val="20"/>
        </w:rPr>
        <w:t xml:space="preserve"> Virgin Mobile ETC Designation Order in the States of Alabama, Connecticut, Delaware, New Hampshire and the District of Columbia</w:t>
      </w:r>
      <w:r w:rsidRPr="00BB7A26">
        <w:rPr>
          <w:color w:val="000000"/>
          <w:sz w:val="20"/>
        </w:rPr>
        <w:t>, WC Docket 09-197, Order, 25 FCC Rcd 17797, 17799, para. 6 (WCB 2010).</w:t>
      </w:r>
    </w:p>
  </w:footnote>
  <w:footnote w:id="22">
    <w:p w:rsidR="00EA5A4D" w:rsidRPr="007A1F8B" w:rsidP="00EA5A4D">
      <w:pPr>
        <w:pStyle w:val="FootnoteText"/>
      </w:pPr>
      <w:r w:rsidRPr="007A1F8B">
        <w:rPr>
          <w:rStyle w:val="FootnoteReference"/>
        </w:rPr>
        <w:footnoteRef/>
      </w:r>
      <w:r w:rsidRPr="007A1F8B">
        <w:t xml:space="preserve"> </w:t>
      </w:r>
      <w:r w:rsidRPr="007A1F8B">
        <w:rPr>
          <w:i/>
        </w:rPr>
        <w:t>Auction 903 ETC Public Notice</w:t>
      </w:r>
      <w:r w:rsidRPr="007A1F8B">
        <w:t>, 33 FCC Rcd at 6700-6701.</w:t>
      </w:r>
    </w:p>
  </w:footnote>
  <w:footnote w:id="23">
    <w:p w:rsidR="00EA5A4D" w:rsidP="00EA5A4D">
      <w:pPr>
        <w:pStyle w:val="FootnoteText"/>
      </w:pPr>
      <w:r>
        <w:rPr>
          <w:rStyle w:val="FootnoteReference"/>
        </w:rPr>
        <w:footnoteRef/>
      </w:r>
      <w:r>
        <w:t xml:space="preserve"> </w:t>
      </w:r>
      <w:r>
        <w:t>SDC</w:t>
      </w:r>
      <w:r>
        <w:t xml:space="preserve"> Petition at Attach. A, as supplemented,</w:t>
      </w:r>
      <w:r w:rsidRPr="00471928">
        <w:t xml:space="preserve"> </w:t>
      </w:r>
      <w:r w:rsidRPr="00471928">
        <w:t>SDC</w:t>
      </w:r>
      <w:r w:rsidRPr="00471928">
        <w:t xml:space="preserve"> LLC Petition Supplement</w:t>
      </w:r>
      <w:r>
        <w:t xml:space="preserve">; </w:t>
      </w:r>
      <w:r w:rsidRPr="00942669">
        <w:rPr>
          <w:i/>
        </w:rPr>
        <w:t>see also</w:t>
      </w:r>
      <w:r>
        <w:t xml:space="preserve"> </w:t>
      </w:r>
      <w:r w:rsidRPr="007A1F8B">
        <w:t xml:space="preserve">Connect America Fund Phase II: Assignments - Assigned Census Blocks, </w:t>
      </w:r>
      <w:hyperlink r:id="rId1" w:history="1">
        <w:r w:rsidRPr="00471928">
          <w:rPr>
            <w:rStyle w:val="Hyperlink"/>
          </w:rPr>
          <w:t>https://auctiondata.fcc.gov/public/projects/auction903/reports/</w:t>
        </w:r>
        <w:r w:rsidRPr="00471928">
          <w:rPr>
            <w:rStyle w:val="Hyperlink"/>
          </w:rPr>
          <w:br/>
        </w:r>
        <w:r w:rsidRPr="00471928">
          <w:rPr>
            <w:rStyle w:val="Hyperlink"/>
          </w:rPr>
          <w:t>all_assigned_census_blocks</w:t>
        </w:r>
      </w:hyperlink>
      <w:r>
        <w:t xml:space="preserve">.  </w:t>
      </w:r>
      <w:r w:rsidRPr="007A1F8B">
        <w:t>In the Attachment to this Order, the Bureau has summarized these awards, including the specific deployment obligations over the support term</w:t>
      </w:r>
      <w:r>
        <w:t xml:space="preserve"> and</w:t>
      </w:r>
      <w:r w:rsidRPr="007A1F8B">
        <w:t xml:space="preserve"> the number of CAF-eligible census blocks included in the award.</w:t>
      </w:r>
    </w:p>
  </w:footnote>
  <w:footnote w:id="24">
    <w:p w:rsidR="00EA5A4D" w:rsidP="00EA5A4D">
      <w:pPr>
        <w:pStyle w:val="FootnoteText"/>
      </w:pPr>
      <w:r>
        <w:rPr>
          <w:rStyle w:val="FootnoteReference"/>
        </w:rPr>
        <w:footnoteRef/>
      </w:r>
      <w:r>
        <w:t xml:space="preserve"> </w:t>
      </w:r>
      <w:r w:rsidRPr="00B279BE">
        <w:rPr>
          <w:i/>
        </w:rPr>
        <w:t>Wireline Competition Bureau Seeks Comment on Sunset Digital Communications, Inc. Petition for Designation as an Eligible Telecommunications Carrier for the Purposes of Becoming Eligible to Receive Connect America Fund Phase II Auction Support</w:t>
      </w:r>
      <w:r w:rsidRPr="007A1F8B">
        <w:rPr>
          <w:i/>
        </w:rPr>
        <w:t xml:space="preserve">, </w:t>
      </w:r>
      <w:r w:rsidRPr="007A1F8B">
        <w:t xml:space="preserve">Docket No. 09-197, </w:t>
      </w:r>
      <w:r>
        <w:t>Public Notice, 33 FCC Rcd 11690</w:t>
      </w:r>
      <w:r w:rsidRPr="007A1F8B">
        <w:t xml:space="preserve"> (WCB 2018)</w:t>
      </w:r>
      <w:r>
        <w:t>.</w:t>
      </w:r>
    </w:p>
  </w:footnote>
  <w:footnote w:id="25">
    <w:p w:rsidR="00EA5A4D" w:rsidRPr="007A1F8B" w:rsidP="00EA5A4D">
      <w:pPr>
        <w:pStyle w:val="FootnoteText"/>
      </w:pPr>
      <w:r w:rsidRPr="007A1F8B">
        <w:rPr>
          <w:rStyle w:val="FootnoteReference"/>
        </w:rPr>
        <w:footnoteRef/>
      </w:r>
      <w:r w:rsidRPr="007A1F8B">
        <w:t xml:space="preserve"> 47 CFR § 54.202(a)(1)(</w:t>
      </w:r>
      <w:r w:rsidRPr="007A1F8B">
        <w:t>i</w:t>
      </w:r>
      <w:r w:rsidRPr="007A1F8B">
        <w:t xml:space="preserve">); </w:t>
      </w:r>
      <w:r w:rsidRPr="007A1F8B">
        <w:rPr>
          <w:i/>
        </w:rPr>
        <w:t>id</w:t>
      </w:r>
      <w:r w:rsidRPr="007A1F8B">
        <w:t xml:space="preserve">. § 54.101(d); </w:t>
      </w:r>
      <w:r w:rsidRPr="007A1F8B">
        <w:rPr>
          <w:i/>
        </w:rPr>
        <w:t>Lifeline and Link Up Reform and Modernization et al</w:t>
      </w:r>
      <w:r w:rsidRPr="007A1F8B">
        <w:t>., WC Docket No. 11-42 et al., Third Report and Order, Further Report and Order, and Order on Reconsideration, 31 FCC Rcd 3962, 3974, 4074-75, paras. 35, 311-12</w:t>
      </w:r>
      <w:r>
        <w:t xml:space="preserve"> </w:t>
      </w:r>
      <w:r w:rsidRPr="007A1F8B">
        <w:t>(2016)</w:t>
      </w:r>
      <w:r>
        <w:t xml:space="preserve"> (</w:t>
      </w:r>
      <w:r w:rsidRPr="007A1F8B">
        <w:t xml:space="preserve">requiring all high-cost recipients to meet Lifeline obligations in all areas where they deploy a network pursuant to a broadband service obligation and are commercially offering qualifying service).  </w:t>
      </w:r>
    </w:p>
  </w:footnote>
  <w:footnote w:id="26">
    <w:p w:rsidR="00EA5A4D" w:rsidRPr="007A1F8B" w:rsidP="00EA5A4D">
      <w:pPr>
        <w:pStyle w:val="FootnoteText"/>
      </w:pPr>
      <w:r w:rsidRPr="007A1F8B">
        <w:rPr>
          <w:rStyle w:val="FootnoteReference"/>
        </w:rPr>
        <w:footnoteRef/>
      </w:r>
      <w:r w:rsidRPr="007A1F8B">
        <w:t xml:space="preserve"> </w:t>
      </w:r>
      <w:r>
        <w:t>SDC</w:t>
      </w:r>
      <w:r>
        <w:t xml:space="preserve"> LLC Petition at 3 (citing Tenn. Code Ann. $ 65-5-203; VA Code Ann. § 56-1.3).</w:t>
      </w:r>
    </w:p>
  </w:footnote>
  <w:footnote w:id="27">
    <w:p w:rsidR="00EA5A4D" w:rsidP="00EA5A4D">
      <w:pPr>
        <w:pStyle w:val="FootnoteText"/>
      </w:pPr>
      <w:r>
        <w:rPr>
          <w:rStyle w:val="FootnoteReference"/>
        </w:rPr>
        <w:footnoteRef/>
      </w:r>
      <w:r>
        <w:t xml:space="preserve"> </w:t>
      </w:r>
      <w:r>
        <w:rPr>
          <w:i/>
        </w:rPr>
        <w:t>See</w:t>
      </w:r>
      <w:r w:rsidRPr="007A1F8B">
        <w:rPr>
          <w:i/>
        </w:rPr>
        <w:t xml:space="preserve"> Auction 903 ETC Public Notice</w:t>
      </w:r>
      <w:r w:rsidRPr="007A1F8B">
        <w:t>, 33 FCC Rcd at 6697 (“If a state law expressly articulates that it does not have jurisdiction over a relevant type of technology, Commission staff would consider such a statute relevant in its determination of Commission jurisdiction.”)</w:t>
      </w:r>
      <w:r>
        <w:t xml:space="preserve">; </w:t>
      </w:r>
      <w:r w:rsidRPr="002C7A8F">
        <w:rPr>
          <w:i/>
        </w:rPr>
        <w:t>Telecommunications Eligible for Universal Service Support</w:t>
      </w:r>
      <w:r>
        <w:t xml:space="preserve">, WC Docket Nos. </w:t>
      </w:r>
      <w:r w:rsidRPr="002C7A8F">
        <w:t>09-197, 10-90</w:t>
      </w:r>
      <w:r>
        <w:t>, Order, DA 19-226, para. 12 (rel. Mar. 28, 2019) (finding, on an independent basis, that certain CAF Phase II Auction bidders (including those winning support in Tennessee or Virginia) demonstrated FCC jurisdiction to decide their ETC petitions by citing the relevant state statutes).</w:t>
      </w:r>
    </w:p>
  </w:footnote>
  <w:footnote w:id="28">
    <w:p w:rsidR="00EA5A4D" w:rsidRPr="00BB7A26" w:rsidP="00EA5A4D">
      <w:pPr>
        <w:pStyle w:val="FootnoteText"/>
        <w:rPr>
          <w:highlight w:val="yellow"/>
        </w:rPr>
      </w:pPr>
      <w:r w:rsidRPr="00BB7A26">
        <w:rPr>
          <w:rStyle w:val="FootnoteReference"/>
        </w:rPr>
        <w:footnoteRef/>
      </w:r>
      <w:bookmarkStart w:id="4" w:name="_GoBack"/>
      <w:bookmarkEnd w:id="4"/>
      <w:r w:rsidRPr="00BB7A26">
        <w:t xml:space="preserve"> </w:t>
      </w:r>
      <w:r>
        <w:t>SDC</w:t>
      </w:r>
      <w:r>
        <w:t xml:space="preserve"> LLC Petition</w:t>
      </w:r>
      <w:r w:rsidRPr="00BB7A26">
        <w:t xml:space="preserve"> at 4-</w:t>
      </w:r>
      <w:r>
        <w:t>5</w:t>
      </w:r>
      <w:r w:rsidRPr="00BB7A26">
        <w:t xml:space="preserve">; </w:t>
      </w:r>
      <w:r w:rsidRPr="007A1F8B">
        <w:t>47 U.S.C. § 214(e)(1)(A); 47 CFR § 54.201(d)(1).</w:t>
      </w:r>
    </w:p>
  </w:footnote>
  <w:footnote w:id="29">
    <w:p w:rsidR="00EA5A4D" w:rsidRPr="007A1F8B" w:rsidP="00EA5A4D">
      <w:pPr>
        <w:pStyle w:val="FootnoteText"/>
        <w:rPr>
          <w:highlight w:val="yellow"/>
        </w:rPr>
      </w:pPr>
      <w:r w:rsidRPr="007A1F8B">
        <w:rPr>
          <w:rStyle w:val="FootnoteReference"/>
        </w:rPr>
        <w:footnoteRef/>
      </w:r>
      <w:r w:rsidRPr="007A1F8B">
        <w:t xml:space="preserve"> </w:t>
      </w:r>
      <w:r w:rsidRPr="006D516E">
        <w:rPr>
          <w:i/>
        </w:rPr>
        <w:t>Id</w:t>
      </w:r>
      <w:r>
        <w:t>.</w:t>
      </w:r>
      <w:r w:rsidRPr="007A1F8B">
        <w:t xml:space="preserve"> at </w:t>
      </w:r>
      <w:r>
        <w:t>5</w:t>
      </w:r>
      <w:r w:rsidRPr="007A1F8B">
        <w:t xml:space="preserve">; </w:t>
      </w:r>
      <w:hyperlink r:id="rId2" w:anchor="co_pp_425b00005c4b2" w:history="1">
        <w:r w:rsidRPr="007A1F8B">
          <w:t>47 CFR §§</w:t>
        </w:r>
        <w:r>
          <w:t xml:space="preserve"> </w:t>
        </w:r>
        <w:r w:rsidRPr="007A1F8B">
          <w:t>54.101(d), 54.202(a)(1)(</w:t>
        </w:r>
        <w:r w:rsidRPr="007A1F8B">
          <w:t>i</w:t>
        </w:r>
        <w:r w:rsidRPr="007A1F8B">
          <w:t>)</w:t>
        </w:r>
      </w:hyperlink>
      <w:r w:rsidRPr="007A1F8B">
        <w:t xml:space="preserve">.  </w:t>
      </w:r>
    </w:p>
  </w:footnote>
  <w:footnote w:id="30">
    <w:p w:rsidR="00EA5A4D" w:rsidRPr="007A1F8B" w:rsidP="00EA5A4D">
      <w:pPr>
        <w:pStyle w:val="FootnoteText"/>
      </w:pPr>
      <w:r w:rsidRPr="007A1F8B">
        <w:rPr>
          <w:rStyle w:val="FootnoteReference"/>
        </w:rPr>
        <w:footnoteRef/>
      </w:r>
      <w:r w:rsidRPr="007A1F8B">
        <w:t xml:space="preserve"> 47 CFR §§ 54.310(e)(1); 54.315(b)(2)(ii), (b)(2)(iv).</w:t>
      </w:r>
    </w:p>
  </w:footnote>
  <w:footnote w:id="31">
    <w:p w:rsidR="00EA5A4D" w:rsidRPr="007A1F8B" w:rsidP="00EA5A4D">
      <w:pPr>
        <w:pStyle w:val="FootnoteText"/>
      </w:pPr>
      <w:r w:rsidRPr="007A1F8B">
        <w:rPr>
          <w:rStyle w:val="FootnoteReference"/>
        </w:rPr>
        <w:footnoteRef/>
      </w:r>
      <w:r w:rsidRPr="007A1F8B">
        <w:t xml:space="preserve"> </w:t>
      </w:r>
      <w:r w:rsidRPr="007A1F8B">
        <w:rPr>
          <w:i/>
        </w:rPr>
        <w:t>Id</w:t>
      </w:r>
      <w:r w:rsidRPr="007A1F8B">
        <w:t>. § 54.315(b)(2)(iii).</w:t>
      </w:r>
    </w:p>
  </w:footnote>
  <w:footnote w:id="32">
    <w:p w:rsidR="00EA5A4D" w:rsidRPr="007A1F8B" w:rsidP="00EA5A4D">
      <w:pPr>
        <w:pStyle w:val="FootnoteText"/>
      </w:pPr>
      <w:r w:rsidRPr="007A1F8B">
        <w:rPr>
          <w:rStyle w:val="FootnoteReference"/>
        </w:rPr>
        <w:footnoteRef/>
      </w:r>
      <w:r w:rsidRPr="007A1F8B">
        <w:t xml:space="preserve"> </w:t>
      </w:r>
      <w:r w:rsidRPr="007A1F8B">
        <w:rPr>
          <w:i/>
        </w:rPr>
        <w:t>Id</w:t>
      </w:r>
      <w:r w:rsidRPr="007A1F8B">
        <w:t>. § 54.315(b)(2)(v).</w:t>
      </w:r>
    </w:p>
  </w:footnote>
  <w:footnote w:id="33">
    <w:p w:rsidR="00EA5A4D" w:rsidRPr="007A1F8B" w:rsidP="00EA5A4D">
      <w:pPr>
        <w:pStyle w:val="FootnoteText"/>
      </w:pPr>
      <w:r w:rsidRPr="007A1F8B">
        <w:rPr>
          <w:rStyle w:val="FootnoteReference"/>
        </w:rPr>
        <w:footnoteRef/>
      </w:r>
      <w:r w:rsidRPr="007A1F8B">
        <w:t xml:space="preserve"> </w:t>
      </w:r>
      <w:r w:rsidRPr="007A1F8B">
        <w:rPr>
          <w:i/>
        </w:rPr>
        <w:t>Id</w:t>
      </w:r>
      <w:r w:rsidRPr="007A1F8B">
        <w:t xml:space="preserve">. § 54.313 (requiring annual report); </w:t>
      </w:r>
      <w:r w:rsidRPr="007A1F8B">
        <w:rPr>
          <w:i/>
        </w:rPr>
        <w:t>id</w:t>
      </w:r>
      <w:r w:rsidRPr="007A1F8B">
        <w:t xml:space="preserve">. § 54.310(c) (requiring build-out milestone reporting); </w:t>
      </w:r>
      <w:r w:rsidRPr="007A1F8B">
        <w:rPr>
          <w:i/>
        </w:rPr>
        <w:t>Phase II Auction Order</w:t>
      </w:r>
      <w:r w:rsidRPr="007A1F8B">
        <w:t>, 31 FCC Rcd at 5964, para. 40 (describing reporting obligations of Auction 903 support recipients).</w:t>
      </w:r>
    </w:p>
  </w:footnote>
  <w:footnote w:id="34">
    <w:p w:rsidR="00EA5A4D" w:rsidRPr="007A1F8B" w:rsidP="00EA5A4D">
      <w:pPr>
        <w:pStyle w:val="FootnoteText"/>
      </w:pPr>
      <w:r w:rsidRPr="007A1F8B">
        <w:rPr>
          <w:rStyle w:val="FootnoteReference"/>
        </w:rPr>
        <w:footnoteRef/>
      </w:r>
      <w:r w:rsidRPr="007A1F8B">
        <w:t xml:space="preserve"> </w:t>
      </w:r>
      <w:r>
        <w:t>SDC</w:t>
      </w:r>
      <w:r>
        <w:t xml:space="preserve"> LLC Petition at 5.</w:t>
      </w:r>
    </w:p>
  </w:footnote>
  <w:footnote w:id="35">
    <w:p w:rsidR="00EA5A4D" w:rsidRPr="00BB7A26" w:rsidP="00EA5A4D">
      <w:pPr>
        <w:pStyle w:val="FootnoteText"/>
      </w:pPr>
      <w:r w:rsidRPr="00BB7A26">
        <w:rPr>
          <w:rStyle w:val="FootnoteReference"/>
        </w:rPr>
        <w:footnoteRef/>
      </w:r>
      <w:r w:rsidRPr="00BB7A26">
        <w:t xml:space="preserve"> </w:t>
      </w:r>
      <w:r w:rsidRPr="006D516E">
        <w:rPr>
          <w:i/>
        </w:rPr>
        <w:t>Id</w:t>
      </w:r>
      <w:r>
        <w:t>. a</w:t>
      </w:r>
      <w:r w:rsidRPr="00BB7A26">
        <w:t xml:space="preserve">t </w:t>
      </w:r>
      <w:r>
        <w:t>6</w:t>
      </w:r>
      <w:r w:rsidRPr="00BB7A26">
        <w:t>; 47 U.S.C. § 214(e)(1)(A); 47 CFR § 54.201(d)(1).</w:t>
      </w:r>
    </w:p>
  </w:footnote>
  <w:footnote w:id="36">
    <w:p w:rsidR="00EA5A4D" w:rsidRPr="00BB7A26" w:rsidP="00EA5A4D">
      <w:pPr>
        <w:pStyle w:val="FootnoteText"/>
      </w:pPr>
      <w:r w:rsidRPr="00BB7A26">
        <w:rPr>
          <w:rStyle w:val="FootnoteReference"/>
        </w:rPr>
        <w:footnoteRef/>
      </w:r>
      <w:r w:rsidRPr="00BB7A26">
        <w:t xml:space="preserve"> </w:t>
      </w:r>
      <w:r w:rsidRPr="006D516E">
        <w:rPr>
          <w:i/>
        </w:rPr>
        <w:t>Id</w:t>
      </w:r>
      <w:r>
        <w:t>.</w:t>
      </w:r>
      <w:r w:rsidRPr="00BB7A26">
        <w:t>; 47 U.S.C. § 214(e)(1)(B); 47 CFR § 54.201(d)(2).</w:t>
      </w:r>
    </w:p>
  </w:footnote>
  <w:footnote w:id="37">
    <w:p w:rsidR="00EA5A4D" w:rsidRPr="007A1F8B" w:rsidP="00EA5A4D">
      <w:pPr>
        <w:pStyle w:val="FootnoteText"/>
      </w:pPr>
      <w:r w:rsidRPr="007A1F8B">
        <w:rPr>
          <w:rStyle w:val="FootnoteReference"/>
        </w:rPr>
        <w:footnoteRef/>
      </w:r>
      <w:r w:rsidRPr="007A1F8B">
        <w:t xml:space="preserve"> 47 CFR § 54.405</w:t>
      </w:r>
      <w:r>
        <w:t>.</w:t>
      </w:r>
    </w:p>
  </w:footnote>
  <w:footnote w:id="38">
    <w:p w:rsidR="00EA5A4D" w:rsidRPr="00BB7A26" w:rsidP="00EA5A4D">
      <w:pPr>
        <w:pStyle w:val="FootnoteText"/>
      </w:pPr>
      <w:r w:rsidRPr="00BB7A26">
        <w:rPr>
          <w:rStyle w:val="FootnoteReference"/>
        </w:rPr>
        <w:footnoteRef/>
      </w:r>
      <w:r w:rsidRPr="00BB7A26">
        <w:t xml:space="preserve"> </w:t>
      </w:r>
      <w:r>
        <w:t>SDC</w:t>
      </w:r>
      <w:r>
        <w:t xml:space="preserve"> LLC Petition</w:t>
      </w:r>
      <w:r w:rsidRPr="00BB7A26">
        <w:t xml:space="preserve"> at </w:t>
      </w:r>
      <w:r>
        <w:t>5</w:t>
      </w:r>
      <w:r w:rsidRPr="00BB7A26">
        <w:t xml:space="preserve">; </w:t>
      </w:r>
      <w:hyperlink r:id="rId2" w:anchor="co_pp_d86d0000be040" w:history="1">
        <w:r w:rsidRPr="00BB7A26">
          <w:t>47 CFR § 54.202(a)(2)</w:t>
        </w:r>
      </w:hyperlink>
      <w:r w:rsidRPr="00BB7A26">
        <w:t>.</w:t>
      </w:r>
    </w:p>
  </w:footnote>
  <w:footnote w:id="39">
    <w:p w:rsidR="00EA5A4D" w:rsidRPr="00BB7A26" w:rsidP="00EA5A4D">
      <w:pPr>
        <w:pStyle w:val="FootnoteText"/>
      </w:pPr>
      <w:r w:rsidRPr="00BB7A26">
        <w:rPr>
          <w:rStyle w:val="FootnoteReference"/>
        </w:rPr>
        <w:footnoteRef/>
      </w:r>
      <w:r w:rsidRPr="00BB7A26">
        <w:t xml:space="preserve"> </w:t>
      </w:r>
      <w:r w:rsidRPr="006D516E">
        <w:rPr>
          <w:i/>
        </w:rPr>
        <w:t>Id</w:t>
      </w:r>
      <w:r>
        <w:t>. at 6</w:t>
      </w:r>
      <w:r w:rsidRPr="00BB7A26">
        <w:t>; 47 CFR § 1.2002.</w:t>
      </w:r>
    </w:p>
  </w:footnote>
  <w:footnote w:id="40">
    <w:p w:rsidR="00EA5A4D" w:rsidRPr="007A1F8B" w:rsidP="00EA5A4D">
      <w:pPr>
        <w:pStyle w:val="FootnoteText"/>
      </w:pPr>
      <w:r w:rsidRPr="007A1F8B">
        <w:rPr>
          <w:rStyle w:val="FootnoteReference"/>
        </w:rPr>
        <w:footnoteRef/>
      </w:r>
      <w:r w:rsidRPr="007A1F8B">
        <w:t xml:space="preserve"> 47 U.S.C. § 254(e).</w:t>
      </w:r>
    </w:p>
  </w:footnote>
  <w:footnote w:id="41">
    <w:p w:rsidR="00EA5A4D" w:rsidRPr="007A1F8B" w:rsidP="00EA5A4D">
      <w:pPr>
        <w:pStyle w:val="FootnoteText"/>
        <w:rPr>
          <w:i/>
        </w:rPr>
      </w:pPr>
      <w:r w:rsidRPr="007A1F8B">
        <w:rPr>
          <w:rStyle w:val="FootnoteReference"/>
        </w:rPr>
        <w:footnoteRef/>
      </w:r>
      <w:r w:rsidRPr="007A1F8B">
        <w:t xml:space="preserve"> </w:t>
      </w:r>
      <w:r w:rsidRPr="007A1F8B">
        <w:rPr>
          <w:i/>
        </w:rPr>
        <w:t>Id</w:t>
      </w:r>
      <w:r w:rsidRPr="007A1F8B">
        <w:t>. § 214(e).</w:t>
      </w:r>
    </w:p>
  </w:footnote>
  <w:footnote w:id="42">
    <w:p w:rsidR="00EA5A4D" w:rsidRPr="007A1F8B" w:rsidP="00EA5A4D">
      <w:pPr>
        <w:pStyle w:val="FootnoteText"/>
      </w:pPr>
      <w:r w:rsidRPr="007A1F8B">
        <w:rPr>
          <w:rStyle w:val="FootnoteReference"/>
        </w:rPr>
        <w:footnoteRef/>
      </w:r>
      <w:r w:rsidRPr="007A1F8B">
        <w:t xml:space="preserve"> 47 CFR § 54.314(b).</w:t>
      </w:r>
    </w:p>
  </w:footnote>
  <w:footnote w:id="43">
    <w:p w:rsidR="00EA5A4D" w:rsidRPr="007A1F8B" w:rsidP="00EA5A4D">
      <w:pPr>
        <w:pStyle w:val="FootnoteText"/>
      </w:pPr>
      <w:r w:rsidRPr="007A1F8B">
        <w:rPr>
          <w:rStyle w:val="FootnoteReference"/>
        </w:rPr>
        <w:footnoteRef/>
      </w:r>
      <w:r w:rsidRPr="007A1F8B">
        <w:t xml:space="preserve"> </w:t>
      </w:r>
      <w:r w:rsidRPr="007A1F8B">
        <w:rPr>
          <w:i/>
        </w:rPr>
        <w:t>Id</w:t>
      </w:r>
      <w:r w:rsidRPr="007A1F8B">
        <w:t>.</w:t>
      </w:r>
    </w:p>
  </w:footnote>
  <w:footnote w:id="44">
    <w:p w:rsidR="00EA5A4D" w:rsidRPr="007A1F8B" w:rsidP="00EA5A4D">
      <w:pPr>
        <w:pStyle w:val="FootnoteText"/>
      </w:pPr>
      <w:r w:rsidRPr="007A1F8B">
        <w:rPr>
          <w:rStyle w:val="FootnoteReference"/>
        </w:rPr>
        <w:footnoteRef/>
      </w:r>
      <w:r w:rsidRPr="007A1F8B">
        <w:t xml:space="preserve"> </w:t>
      </w:r>
      <w:r w:rsidRPr="007A1F8B">
        <w:rPr>
          <w:i/>
        </w:rPr>
        <w:t>See Petition of TracFone Wireless, Inc. for Forbearance from 47 U.S.C. § 214(e)(1)(A) and 47 C.F.R. § 54.201(</w:t>
      </w:r>
      <w:r w:rsidRPr="007A1F8B">
        <w:rPr>
          <w:i/>
        </w:rPr>
        <w:t>i</w:t>
      </w:r>
      <w:r w:rsidRPr="007A1F8B">
        <w:rPr>
          <w:i/>
        </w:rPr>
        <w:t>)</w:t>
      </w:r>
      <w:r w:rsidRPr="007A1F8B">
        <w:t>, CC Docket No. 96-45, Order, 20 FCC Rcd 15095, 15105-06, para. 26 (2005).</w:t>
      </w:r>
    </w:p>
  </w:footnote>
  <w:footnote w:id="45">
    <w:p w:rsidR="00EA5A4D" w:rsidRPr="007A1F8B" w:rsidP="00EA5A4D">
      <w:pPr>
        <w:pStyle w:val="FootnoteText"/>
      </w:pPr>
      <w:r w:rsidRPr="007A1F8B">
        <w:rPr>
          <w:rStyle w:val="FootnoteReference"/>
        </w:rPr>
        <w:footnoteRef/>
      </w:r>
      <w:r w:rsidRPr="007A1F8B">
        <w:t xml:space="preserve"> 47 CFR § 54.422(b)(3); </w:t>
      </w:r>
      <w:r w:rsidRPr="007A1F8B">
        <w:rPr>
          <w:i/>
        </w:rPr>
        <w:t>see also</w:t>
      </w:r>
      <w:r w:rsidRPr="007A1F8B">
        <w:t xml:space="preserve"> </w:t>
      </w:r>
      <w:r>
        <w:rPr>
          <w:i/>
        </w:rPr>
        <w:t>id</w:t>
      </w:r>
      <w:r w:rsidRPr="007A1F8B">
        <w:t xml:space="preserve">. §§ 54.416, 54.422 (requiring an officer of the company </w:t>
      </w:r>
      <w:r>
        <w:t>to</w:t>
      </w:r>
      <w:r w:rsidRPr="007A1F8B">
        <w:t xml:space="preserve"> certify that the ETC has policies and procedures in place to ensure that its Lifeline subscribers are eligible to receive Lifeline services and </w:t>
      </w:r>
      <w:r>
        <w:t>that will</w:t>
      </w:r>
      <w:r w:rsidRPr="007A1F8B">
        <w:t xml:space="preserve"> compl</w:t>
      </w:r>
      <w:r>
        <w:t xml:space="preserve">y </w:t>
      </w:r>
      <w:r w:rsidRPr="007A1F8B">
        <w:t>with all federal Lifeline certification procedures).</w:t>
      </w:r>
    </w:p>
  </w:footnote>
  <w:footnote w:id="46">
    <w:p w:rsidR="00EA5A4D" w:rsidRPr="007A1F8B" w:rsidP="00EA5A4D">
      <w:pPr>
        <w:pStyle w:val="FootnoteText"/>
        <w:tabs>
          <w:tab w:val="left" w:pos="5197"/>
        </w:tabs>
      </w:pPr>
      <w:r w:rsidRPr="007A1F8B">
        <w:rPr>
          <w:rStyle w:val="FootnoteReference"/>
        </w:rPr>
        <w:footnoteRef/>
      </w:r>
      <w:r w:rsidRPr="007A1F8B">
        <w:t xml:space="preserve"> 47 U.S.C. §§ 220, 403.</w:t>
      </w:r>
      <w:r w:rsidRPr="007A1F8B">
        <w:tab/>
      </w:r>
    </w:p>
  </w:footnote>
  <w:footnote w:id="47">
    <w:p w:rsidR="00EA5A4D" w:rsidRPr="007A1F8B" w:rsidP="00EA5A4D">
      <w:pPr>
        <w:pStyle w:val="FootnoteText"/>
      </w:pPr>
      <w:r w:rsidRPr="007A1F8B">
        <w:rPr>
          <w:rStyle w:val="FootnoteReference"/>
        </w:rPr>
        <w:footnoteRef/>
      </w:r>
      <w:r w:rsidRPr="007A1F8B">
        <w:t xml:space="preserve"> 47 CFR § 54.417.</w:t>
      </w:r>
    </w:p>
  </w:footnote>
  <w:footnote w:id="48">
    <w:p w:rsidR="00EA5A4D" w:rsidRPr="007A1F8B" w:rsidP="00EA5A4D">
      <w:pPr>
        <w:pStyle w:val="FootnoteText"/>
      </w:pPr>
      <w:r w:rsidRPr="007A1F8B">
        <w:rPr>
          <w:rStyle w:val="FootnoteReference"/>
        </w:rPr>
        <w:footnoteRef/>
      </w:r>
      <w:r w:rsidRPr="007A1F8B">
        <w:rPr>
          <w:i/>
        </w:rPr>
        <w:t xml:space="preserve"> Id</w:t>
      </w:r>
      <w:r w:rsidRPr="007A1F8B">
        <w:t xml:space="preserve">. § 54.320(c); </w:t>
      </w:r>
      <w:r w:rsidRPr="007A1F8B">
        <w:rPr>
          <w:i/>
        </w:rPr>
        <w:t>Federal-State Joint Board on Universal Service; Western Wireless Corp. Petition for Preemption of an Order of the South Dakota Public Utilities Commission</w:t>
      </w:r>
      <w:r w:rsidRPr="007A1F8B">
        <w:t>, CC Docket No. 96-45, Declaratory Ruling, 15 FCC Rcd 15168, 15174, para. 15 (2000).</w:t>
      </w:r>
    </w:p>
  </w:footnote>
  <w:footnote w:id="49">
    <w:p w:rsidR="00EA5A4D" w:rsidRPr="007A1F8B" w:rsidP="00EA5A4D">
      <w:pPr>
        <w:pStyle w:val="FootnoteText"/>
      </w:pPr>
      <w:r w:rsidRPr="007A1F8B">
        <w:rPr>
          <w:rStyle w:val="FootnoteReference"/>
        </w:rPr>
        <w:footnoteRef/>
      </w:r>
      <w:r w:rsidRPr="007A1F8B">
        <w:t xml:space="preserve"> </w:t>
      </w:r>
      <w:r w:rsidRPr="007A1F8B">
        <w:rPr>
          <w:i/>
        </w:rPr>
        <w:t>See</w:t>
      </w:r>
      <w:r w:rsidRPr="007A1F8B">
        <w:t xml:space="preserve"> 47 U.S.C. § 503(b).</w:t>
      </w:r>
    </w:p>
  </w:footnote>
  <w:footnote w:id="50">
    <w:p w:rsidR="00EA5A4D" w:rsidRPr="007A1F8B" w:rsidP="00EA5A4D">
      <w:pPr>
        <w:pStyle w:val="FootnoteText"/>
      </w:pPr>
      <w:r w:rsidRPr="007A1F8B">
        <w:rPr>
          <w:rStyle w:val="FootnoteReference"/>
        </w:rPr>
        <w:footnoteRef/>
      </w:r>
      <w:r w:rsidRPr="007A1F8B">
        <w:t xml:space="preserve"> 47 CFR § 54.315(b)(5) (requiring winning bidders to submit within 180 days of the announcement of winning bids, a certification of ETC designation in all relevant areas and supporting documentation for that certification); </w:t>
      </w:r>
      <w:r w:rsidRPr="007A1F8B">
        <w:rPr>
          <w:i/>
        </w:rPr>
        <w:t>Auction 903 Procedures Public Notice</w:t>
      </w:r>
      <w:r w:rsidRPr="007A1F8B">
        <w:t xml:space="preserve">, 33 FCC Rcd at 1519, para. 310; </w:t>
      </w:r>
      <w:r w:rsidRPr="007A1F8B">
        <w:rPr>
          <w:i/>
        </w:rPr>
        <w:t>see also Phase II Auction Order</w:t>
      </w:r>
      <w:r w:rsidRPr="007A1F8B">
        <w:t>, 31 FCC Rcd at 5999, 6002-05, paras. 141, 149-56.</w:t>
      </w:r>
    </w:p>
  </w:footnote>
  <w:footnote w:id="51">
    <w:p w:rsidR="00EA5A4D" w:rsidRPr="007A1F8B" w:rsidP="00EA5A4D">
      <w:pPr>
        <w:pStyle w:val="FootnoteText"/>
      </w:pPr>
      <w:r w:rsidRPr="007A1F8B">
        <w:rPr>
          <w:rStyle w:val="FootnoteReference"/>
        </w:rPr>
        <w:footnoteRef/>
      </w:r>
      <w:r w:rsidRPr="007A1F8B">
        <w:t xml:space="preserve"> The Commission has delegated to the Bureau the authority to grant waivers of the filing deadline.  </w:t>
      </w:r>
      <w:r w:rsidRPr="007A1F8B">
        <w:rPr>
          <w:i/>
        </w:rPr>
        <w:t>See</w:t>
      </w:r>
      <w:r w:rsidRPr="007A1F8B">
        <w:t xml:space="preserve"> </w:t>
      </w:r>
      <w:r w:rsidRPr="007A1F8B">
        <w:rPr>
          <w:i/>
        </w:rPr>
        <w:t>Phase II Auction Order</w:t>
      </w:r>
      <w:r w:rsidRPr="007A1F8B">
        <w:t xml:space="preserve">, 31 FCC Rcd at 603, </w:t>
      </w:r>
      <w:r w:rsidRPr="007A1F8B">
        <w:t>n.315</w:t>
      </w:r>
      <w:r w:rsidRPr="007A1F8B">
        <w:t xml:space="preserve">; </w:t>
      </w:r>
      <w:r w:rsidRPr="007A1F8B">
        <w:rPr>
          <w:i/>
        </w:rPr>
        <w:t>see also</w:t>
      </w:r>
      <w:r w:rsidRPr="007A1F8B">
        <w:t xml:space="preserve"> 47 C.F.R. §§ 0.91(p) (functions of </w:t>
      </w:r>
      <w:r>
        <w:t xml:space="preserve">the </w:t>
      </w:r>
      <w:r w:rsidRPr="007A1F8B">
        <w:t xml:space="preserve">Wireline Competition Bureau), 0.291 (delegation of authority to </w:t>
      </w:r>
      <w:r>
        <w:t xml:space="preserve">the </w:t>
      </w:r>
      <w:r w:rsidRPr="007A1F8B">
        <w:t>Wireline Competition Bureau).</w:t>
      </w:r>
    </w:p>
  </w:footnote>
  <w:footnote w:id="52">
    <w:p w:rsidR="00EA5A4D" w:rsidRPr="007A1F8B" w:rsidP="00EA5A4D">
      <w:pPr>
        <w:pStyle w:val="FootnoteText"/>
      </w:pPr>
      <w:r w:rsidRPr="007A1F8B">
        <w:rPr>
          <w:rStyle w:val="FootnoteReference"/>
        </w:rPr>
        <w:footnoteRef/>
      </w:r>
      <w:r w:rsidRPr="007A1F8B">
        <w:t xml:space="preserve"> </w:t>
      </w:r>
      <w:r w:rsidRPr="007A1F8B">
        <w:rPr>
          <w:i/>
        </w:rPr>
        <w:t>See Auction 903 Closing Public Notice</w:t>
      </w:r>
      <w:r w:rsidRPr="007A1F8B">
        <w:t xml:space="preserve">, 33 FCC Rcd at 8268, para. 35 (citing </w:t>
      </w:r>
      <w:r w:rsidRPr="007A1F8B">
        <w:rPr>
          <w:i/>
        </w:rPr>
        <w:t>Phase II Auction Order</w:t>
      </w:r>
      <w:r w:rsidRPr="007A1F8B">
        <w:t xml:space="preserve">, 31 FCC Rcd at 6002-03, paras. 152-53). </w:t>
      </w:r>
      <w:r>
        <w:t xml:space="preserve"> </w:t>
      </w:r>
      <w:r w:rsidRPr="007A1F8B">
        <w:t xml:space="preserve">The Commission may waive its policies or rules upon a showing of good cause and may </w:t>
      </w:r>
      <w:r w:rsidRPr="007A1F8B">
        <w:t>take into account</w:t>
      </w:r>
      <w:r w:rsidRPr="007A1F8B">
        <w:t xml:space="preserve">, on an individual basis, considerations of hardship, equity, or more effective implementation of overall policy.  </w:t>
      </w:r>
      <w:r w:rsidRPr="007A1F8B">
        <w:rPr>
          <w:i/>
        </w:rPr>
        <w:t>See WAIT Radio v. FCC</w:t>
      </w:r>
      <w:r w:rsidRPr="007A1F8B">
        <w:t xml:space="preserve">, 418 </w:t>
      </w:r>
      <w:r w:rsidRPr="007A1F8B">
        <w:t>F.2d</w:t>
      </w:r>
      <w:r w:rsidRPr="007A1F8B">
        <w:t xml:space="preserve"> 1153, 1159 (D.C. Cir. 1969); </w:t>
      </w:r>
      <w:r w:rsidRPr="007A1F8B">
        <w:rPr>
          <w:i/>
        </w:rPr>
        <w:t>see also NE Cellular Tel. Co. v. FCC</w:t>
      </w:r>
      <w:r w:rsidRPr="007A1F8B">
        <w:t xml:space="preserve">, 897 </w:t>
      </w:r>
      <w:r w:rsidRPr="007A1F8B">
        <w:t>F.2d</w:t>
      </w:r>
      <w:r w:rsidRPr="007A1F8B">
        <w:t xml:space="preserve"> 1164, 1166 (D.C. Cir. 1990).  Waiver of the Commission’s policies or rules is appropriate only if both: (</w:t>
      </w:r>
      <w:r w:rsidRPr="007A1F8B">
        <w:t>i</w:t>
      </w:r>
      <w:r w:rsidRPr="007A1F8B">
        <w:t xml:space="preserve">) special circumstances warrant a deviation from the general rule; and (ii) such deviation will serve the public interest.  </w:t>
      </w:r>
      <w:r w:rsidRPr="007A1F8B">
        <w:rPr>
          <w:i/>
        </w:rPr>
        <w:t>See Network IP, LLC v. FCC</w:t>
      </w:r>
      <w:r w:rsidRPr="007A1F8B">
        <w:t xml:space="preserve">, 548 </w:t>
      </w:r>
      <w:r w:rsidRPr="007A1F8B">
        <w:t>F.3d</w:t>
      </w:r>
      <w:r w:rsidRPr="007A1F8B">
        <w:t xml:space="preserve"> 116, 127 (D.C. Cir. 2008).  Deadlines can only be waived under “unusual or compelling circumstances.” </w:t>
      </w:r>
      <w:r>
        <w:t xml:space="preserve"> </w:t>
      </w:r>
      <w:r w:rsidRPr="007A1F8B">
        <w:rPr>
          <w:i/>
        </w:rPr>
        <w:t>Id.</w:t>
      </w:r>
      <w:r w:rsidRPr="007A1F8B">
        <w:t xml:space="preserve"> at 126 (citation omitted).</w:t>
      </w:r>
    </w:p>
  </w:footnote>
  <w:footnote w:id="53">
    <w:p w:rsidR="00EA5A4D" w:rsidRPr="007A1F8B" w:rsidP="00EA5A4D">
      <w:pPr>
        <w:pStyle w:val="FootnoteText"/>
      </w:pPr>
      <w:r w:rsidRPr="007A1F8B">
        <w:rPr>
          <w:rStyle w:val="FootnoteReference"/>
        </w:rPr>
        <w:footnoteRef/>
      </w:r>
      <w:r w:rsidRPr="007A1F8B">
        <w:t xml:space="preserve"> </w:t>
      </w:r>
      <w:r w:rsidRPr="007A1F8B">
        <w:rPr>
          <w:i/>
        </w:rPr>
        <w:t>See Auction 903 Closing Public Notice</w:t>
      </w:r>
      <w:r w:rsidRPr="007A1F8B">
        <w:t>, 33 FCC Rcd at 8268-69, para. 35.</w:t>
      </w:r>
    </w:p>
  </w:footnote>
  <w:footnote w:id="54">
    <w:p w:rsidR="00EA5A4D" w:rsidRPr="007A1F8B" w:rsidP="00EA5A4D">
      <w:pPr>
        <w:pStyle w:val="FootnoteText"/>
      </w:pPr>
      <w:r w:rsidRPr="007A1F8B">
        <w:rPr>
          <w:rStyle w:val="FootnoteReference"/>
        </w:rPr>
        <w:footnoteRef/>
      </w:r>
      <w:r w:rsidRPr="007A1F8B">
        <w:t xml:space="preserve"> Consistent with the requirements specified for completion of the long-form application</w:t>
      </w:r>
      <w:r>
        <w:t xml:space="preserve"> and as described above in this Order</w:t>
      </w:r>
      <w:r w:rsidRPr="007A1F8B">
        <w:t xml:space="preserve">, we define the designate service area for the bid area based on the published list of CAF-eligible census blocks associated with </w:t>
      </w:r>
      <w:r>
        <w:t>Sunset Digital Communications, Inc.’s</w:t>
      </w:r>
      <w:r w:rsidRPr="007A1F8B">
        <w:t xml:space="preserve"> winning bids, thus superseding any discrepancies in </w:t>
      </w:r>
      <w:r>
        <w:t xml:space="preserve">the petition’s </w:t>
      </w:r>
      <w:r w:rsidRPr="007A1F8B">
        <w:t xml:space="preserve">descriptions of such areas.  </w:t>
      </w:r>
      <w:bookmarkStart w:id="6" w:name="_Hlk2596611"/>
      <w:r w:rsidRPr="007A1F8B">
        <w:rPr>
          <w:i/>
        </w:rPr>
        <w:t>See</w:t>
      </w:r>
      <w:r w:rsidRPr="007A1F8B">
        <w:t xml:space="preserve"> Connect America Fund Phase II: Assignments - Assigned Census Blocks, https://auctiondata.fcc.gov/public/projects/auction903/reports/all_assigned_census_blocks</w:t>
      </w:r>
      <w:bookmarkEnd w:id="6"/>
      <w:r w:rsidRPr="007A1F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DA 19-773</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19-773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5E2C7F"/>
    <w:multiLevelType w:val="multilevel"/>
    <w:tmpl w:val="7F320DE8"/>
    <w:lvl w:ilvl="0">
      <w:start w:val="9"/>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snapToGrid w:val="0"/>
        <w:vanish w:val="0"/>
        <w:color w:val="000000"/>
        <w:spacing w:val="0"/>
        <w:position w:val="0"/>
        <w:u w:val="none"/>
        <w:effect w:val="none"/>
        <w:vertAlign w:val="baseline"/>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multilevel"/>
    <w:tmpl w:val="886E50AE"/>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82A5FF9"/>
    <w:multiLevelType w:val="multilevel"/>
    <w:tmpl w:val="A0C65718"/>
    <w:lvl w:ilvl="0">
      <w:start w:val="1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hint="default"/>
        <w:bCs w:val="0"/>
        <w:i w:val="0"/>
        <w:iCs w:val="0"/>
        <w:smallCaps w:val="0"/>
        <w:strike w:val="0"/>
        <w:dstrike w:val="0"/>
        <w:snapToGrid w:val="0"/>
        <w:vanish w:val="0"/>
        <w:color w:val="000000"/>
        <w:spacing w:val="0"/>
        <w:position w:val="0"/>
        <w:u w:val="none"/>
        <w:effect w:val="none"/>
        <w:vertAlign w:val="baseline"/>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num w:numId="1">
    <w:abstractNumId w:val="7"/>
  </w:num>
  <w:num w:numId="2">
    <w:abstractNumId w:val="4"/>
  </w:num>
  <w:num w:numId="3">
    <w:abstractNumId w:val="5"/>
  </w:num>
  <w:num w:numId="4">
    <w:abstractNumId w:val="1"/>
  </w:num>
  <w:num w:numId="5">
    <w:abstractNumId w:val="5"/>
    <w:lvlOverride w:ilvl="0">
      <w:startOverride w:val="1"/>
    </w:lvlOverride>
    <w:lvlOverride w:ilvl="1">
      <w:startOverride w:val="5"/>
    </w:lvlOverride>
  </w:num>
  <w:num w:numId="6">
    <w:abstractNumId w:val="5"/>
    <w:lvlOverride w:ilvl="0">
      <w:startOverride w:val="2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D"/>
    <w:rsid w:val="000B5FC4"/>
    <w:rsid w:val="000B606A"/>
    <w:rsid w:val="001442E0"/>
    <w:rsid w:val="001A6FF9"/>
    <w:rsid w:val="001D6ED5"/>
    <w:rsid w:val="002128B1"/>
    <w:rsid w:val="002305AB"/>
    <w:rsid w:val="0025138D"/>
    <w:rsid w:val="00294D7B"/>
    <w:rsid w:val="00296B2C"/>
    <w:rsid w:val="002A3BAD"/>
    <w:rsid w:val="002B3E9A"/>
    <w:rsid w:val="002C7A8F"/>
    <w:rsid w:val="00355EA6"/>
    <w:rsid w:val="00364DE3"/>
    <w:rsid w:val="00394363"/>
    <w:rsid w:val="003C4C63"/>
    <w:rsid w:val="003E42BF"/>
    <w:rsid w:val="003F486E"/>
    <w:rsid w:val="004254DB"/>
    <w:rsid w:val="00471928"/>
    <w:rsid w:val="004827AF"/>
    <w:rsid w:val="004B255A"/>
    <w:rsid w:val="004C36AC"/>
    <w:rsid w:val="004C7996"/>
    <w:rsid w:val="005265C7"/>
    <w:rsid w:val="0055614C"/>
    <w:rsid w:val="005B3BAA"/>
    <w:rsid w:val="00627264"/>
    <w:rsid w:val="006700CB"/>
    <w:rsid w:val="00691911"/>
    <w:rsid w:val="006A293C"/>
    <w:rsid w:val="006C4827"/>
    <w:rsid w:val="006D516E"/>
    <w:rsid w:val="006D72B8"/>
    <w:rsid w:val="0070224F"/>
    <w:rsid w:val="007115F7"/>
    <w:rsid w:val="007839CE"/>
    <w:rsid w:val="007A1F8B"/>
    <w:rsid w:val="007D53DD"/>
    <w:rsid w:val="007E759F"/>
    <w:rsid w:val="00810B6F"/>
    <w:rsid w:val="008420B5"/>
    <w:rsid w:val="008C050F"/>
    <w:rsid w:val="00940F23"/>
    <w:rsid w:val="00942669"/>
    <w:rsid w:val="009434DD"/>
    <w:rsid w:val="00951AD0"/>
    <w:rsid w:val="00957CBF"/>
    <w:rsid w:val="00961871"/>
    <w:rsid w:val="00974378"/>
    <w:rsid w:val="009C005E"/>
    <w:rsid w:val="009D7308"/>
    <w:rsid w:val="00A02486"/>
    <w:rsid w:val="00A16246"/>
    <w:rsid w:val="00A94885"/>
    <w:rsid w:val="00AA392F"/>
    <w:rsid w:val="00AA6ACC"/>
    <w:rsid w:val="00AD120C"/>
    <w:rsid w:val="00B21561"/>
    <w:rsid w:val="00B279BE"/>
    <w:rsid w:val="00B61F0D"/>
    <w:rsid w:val="00B971F9"/>
    <w:rsid w:val="00BA0158"/>
    <w:rsid w:val="00BA66A3"/>
    <w:rsid w:val="00BB7A26"/>
    <w:rsid w:val="00BD46E4"/>
    <w:rsid w:val="00C1356D"/>
    <w:rsid w:val="00CF2012"/>
    <w:rsid w:val="00D17585"/>
    <w:rsid w:val="00D20E51"/>
    <w:rsid w:val="00D25FB5"/>
    <w:rsid w:val="00D546E4"/>
    <w:rsid w:val="00D701C4"/>
    <w:rsid w:val="00D7475E"/>
    <w:rsid w:val="00DA2A3E"/>
    <w:rsid w:val="00DE59CE"/>
    <w:rsid w:val="00DF2D1B"/>
    <w:rsid w:val="00E22BE6"/>
    <w:rsid w:val="00E30998"/>
    <w:rsid w:val="00E47D38"/>
    <w:rsid w:val="00EA1AF8"/>
    <w:rsid w:val="00EA5A4D"/>
    <w:rsid w:val="00EB6182"/>
    <w:rsid w:val="00EF101B"/>
    <w:rsid w:val="00EF23DF"/>
    <w:rsid w:val="00EF665C"/>
    <w:rsid w:val="00F076A0"/>
    <w:rsid w:val="00F61DC5"/>
    <w:rsid w:val="00F73493"/>
    <w:rsid w:val="00F84AAD"/>
    <w:rsid w:val="00FB62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D24A90A-E82F-4D54-8973-D9D43018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5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F665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F665C"/>
    <w:pPr>
      <w:keepNext/>
      <w:numPr>
        <w:ilvl w:val="1"/>
        <w:numId w:val="2"/>
      </w:numPr>
      <w:spacing w:after="120"/>
      <w:outlineLvl w:val="1"/>
    </w:pPr>
    <w:rPr>
      <w:b/>
    </w:rPr>
  </w:style>
  <w:style w:type="paragraph" w:styleId="Heading3">
    <w:name w:val="heading 3"/>
    <w:basedOn w:val="Normal"/>
    <w:next w:val="ParaNum"/>
    <w:link w:val="Heading3Char"/>
    <w:qFormat/>
    <w:rsid w:val="00EF665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F665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F665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F665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F665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F665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F665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66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665C"/>
  </w:style>
  <w:style w:type="character" w:customStyle="1" w:styleId="Heading1Char">
    <w:name w:val="Heading 1 Char"/>
    <w:basedOn w:val="DefaultParagraphFont"/>
    <w:link w:val="Heading1"/>
    <w:rsid w:val="00EA5A4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A5A4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A5A4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A5A4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A5A4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A5A4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A5A4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A5A4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A5A4D"/>
    <w:rPr>
      <w:rFonts w:ascii="Times New Roman" w:eastAsia="Times New Roman" w:hAnsi="Times New Roman" w:cs="Times New Roman"/>
      <w:b/>
      <w:snapToGrid w:val="0"/>
      <w:kern w:val="28"/>
      <w:szCs w:val="20"/>
    </w:rPr>
  </w:style>
  <w:style w:type="paragraph" w:customStyle="1" w:styleId="ParaNum">
    <w:name w:val="ParaNum"/>
    <w:basedOn w:val="Normal"/>
    <w:link w:val="ParaNumCharChar"/>
    <w:rsid w:val="00EF665C"/>
    <w:pPr>
      <w:numPr>
        <w:numId w:val="1"/>
      </w:numPr>
      <w:tabs>
        <w:tab w:val="clear" w:pos="1080"/>
        <w:tab w:val="num" w:pos="1440"/>
      </w:tabs>
      <w:spacing w:after="120"/>
    </w:p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rsid w:val="00EF665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A5A4D"/>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F665C"/>
    <w:rPr>
      <w:rFonts w:ascii="Times New Roman" w:hAnsi="Times New Roman"/>
      <w:dstrike w:val="0"/>
      <w:color w:val="auto"/>
      <w:sz w:val="20"/>
      <w:vertAlign w:val="superscript"/>
    </w:rPr>
  </w:style>
  <w:style w:type="paragraph" w:styleId="TOAHeading">
    <w:name w:val="toa heading"/>
    <w:basedOn w:val="Normal"/>
    <w:next w:val="Normal"/>
    <w:semiHidden/>
    <w:rsid w:val="00EF665C"/>
    <w:pPr>
      <w:tabs>
        <w:tab w:val="right" w:pos="9360"/>
      </w:tabs>
      <w:suppressAutoHyphens/>
    </w:pPr>
  </w:style>
  <w:style w:type="paragraph" w:styleId="Header">
    <w:name w:val="header"/>
    <w:basedOn w:val="Normal"/>
    <w:link w:val="HeaderChar"/>
    <w:autoRedefine/>
    <w:rsid w:val="00EF665C"/>
    <w:pPr>
      <w:tabs>
        <w:tab w:val="center" w:pos="4680"/>
        <w:tab w:val="right" w:pos="9360"/>
      </w:tabs>
    </w:pPr>
    <w:rPr>
      <w:b/>
    </w:rPr>
  </w:style>
  <w:style w:type="character" w:customStyle="1" w:styleId="HeaderChar">
    <w:name w:val="Header Char"/>
    <w:basedOn w:val="DefaultParagraphFont"/>
    <w:link w:val="Header"/>
    <w:rsid w:val="00EA5A4D"/>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EF665C"/>
    <w:pPr>
      <w:tabs>
        <w:tab w:val="center" w:pos="4320"/>
        <w:tab w:val="right" w:pos="8640"/>
      </w:tabs>
    </w:pPr>
  </w:style>
  <w:style w:type="character" w:customStyle="1" w:styleId="FooterChar">
    <w:name w:val="Footer Char"/>
    <w:link w:val="Footer"/>
    <w:uiPriority w:val="99"/>
    <w:rsid w:val="00EF665C"/>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EF665C"/>
    <w:pPr>
      <w:jc w:val="center"/>
    </w:pPr>
    <w:rPr>
      <w:rFonts w:ascii="Times New Roman Bold" w:hAnsi="Times New Roman Bold"/>
      <w:b/>
      <w:bCs/>
      <w:caps/>
      <w:szCs w:val="22"/>
    </w:rPr>
  </w:style>
  <w:style w:type="character" w:styleId="Hyperlink">
    <w:name w:val="Hyperlink"/>
    <w:rsid w:val="00EF665C"/>
    <w:rPr>
      <w:color w:val="0000FF"/>
      <w:u w:val="single"/>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 Char,fn Char Char,fn Char1"/>
    <w:link w:val="FootnoteText"/>
    <w:rsid w:val="00EA5A4D"/>
    <w:rPr>
      <w:rFonts w:ascii="Times New Roman" w:eastAsia="Times New Roman" w:hAnsi="Times New Roman" w:cs="Times New Roman"/>
      <w:sz w:val="20"/>
      <w:szCs w:val="20"/>
    </w:rPr>
  </w:style>
  <w:style w:type="character" w:customStyle="1" w:styleId="ParaNumCharChar">
    <w:name w:val="ParaNum Char Char"/>
    <w:link w:val="ParaNum"/>
    <w:rsid w:val="00EA5A4D"/>
    <w:rPr>
      <w:rFonts w:ascii="Times New Roman" w:eastAsia="Times New Roman" w:hAnsi="Times New Roman" w:cs="Times New Roman"/>
      <w:snapToGrid w:val="0"/>
      <w:kern w:val="28"/>
      <w:szCs w:val="20"/>
    </w:rPr>
  </w:style>
  <w:style w:type="paragraph" w:styleId="EndnoteText">
    <w:name w:val="endnote text"/>
    <w:basedOn w:val="Normal"/>
    <w:link w:val="EndnoteTextChar"/>
    <w:semiHidden/>
    <w:rsid w:val="00EF665C"/>
    <w:rPr>
      <w:sz w:val="20"/>
    </w:rPr>
  </w:style>
  <w:style w:type="character" w:customStyle="1" w:styleId="EndnoteTextChar">
    <w:name w:val="Endnote Text Char"/>
    <w:basedOn w:val="DefaultParagraphFont"/>
    <w:link w:val="EndnoteText"/>
    <w:semiHidden/>
    <w:rsid w:val="00EA5A4D"/>
    <w:rPr>
      <w:rFonts w:ascii="Times New Roman" w:eastAsia="Times New Roman" w:hAnsi="Times New Roman" w:cs="Times New Roman"/>
      <w:snapToGrid w:val="0"/>
      <w:kern w:val="28"/>
      <w:sz w:val="20"/>
      <w:szCs w:val="20"/>
    </w:rPr>
  </w:style>
  <w:style w:type="character" w:styleId="EndnoteReference">
    <w:name w:val="endnote reference"/>
    <w:semiHidden/>
    <w:rsid w:val="00EF665C"/>
    <w:rPr>
      <w:vertAlign w:val="superscript"/>
    </w:rPr>
  </w:style>
  <w:style w:type="paragraph" w:styleId="TOC1">
    <w:name w:val="toc 1"/>
    <w:basedOn w:val="Normal"/>
    <w:next w:val="Normal"/>
    <w:semiHidden/>
    <w:rsid w:val="00EF665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665C"/>
    <w:pPr>
      <w:tabs>
        <w:tab w:val="left" w:pos="720"/>
        <w:tab w:val="right" w:leader="dot" w:pos="9360"/>
      </w:tabs>
      <w:suppressAutoHyphens/>
      <w:ind w:left="720" w:right="720" w:hanging="360"/>
    </w:pPr>
    <w:rPr>
      <w:noProof/>
    </w:rPr>
  </w:style>
  <w:style w:type="paragraph" w:styleId="TOC3">
    <w:name w:val="toc 3"/>
    <w:basedOn w:val="Normal"/>
    <w:next w:val="Normal"/>
    <w:semiHidden/>
    <w:rsid w:val="00EF66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66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66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66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66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66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665C"/>
    <w:pPr>
      <w:tabs>
        <w:tab w:val="left" w:pos="3240"/>
        <w:tab w:val="right" w:leader="dot" w:pos="9360"/>
      </w:tabs>
      <w:suppressAutoHyphens/>
      <w:ind w:left="3240" w:hanging="360"/>
    </w:pPr>
    <w:rPr>
      <w:noProof/>
    </w:rPr>
  </w:style>
  <w:style w:type="character" w:customStyle="1" w:styleId="EquationCaption">
    <w:name w:val="_Equation Caption"/>
    <w:rsid w:val="00EF665C"/>
  </w:style>
  <w:style w:type="character" w:styleId="PageNumber">
    <w:name w:val="page number"/>
    <w:basedOn w:val="DefaultParagraphFont"/>
    <w:rsid w:val="00EF665C"/>
  </w:style>
  <w:style w:type="paragraph" w:styleId="BlockText">
    <w:name w:val="Block Text"/>
    <w:basedOn w:val="Normal"/>
    <w:rsid w:val="00EF665C"/>
    <w:pPr>
      <w:spacing w:after="240"/>
      <w:ind w:left="1440" w:right="1440"/>
    </w:pPr>
  </w:style>
  <w:style w:type="paragraph" w:customStyle="1" w:styleId="Paratitle">
    <w:name w:val="Para title"/>
    <w:basedOn w:val="Normal"/>
    <w:rsid w:val="00EF665C"/>
    <w:pPr>
      <w:tabs>
        <w:tab w:val="center" w:pos="9270"/>
      </w:tabs>
      <w:spacing w:after="240"/>
    </w:pPr>
    <w:rPr>
      <w:spacing w:val="-2"/>
    </w:rPr>
  </w:style>
  <w:style w:type="paragraph" w:customStyle="1" w:styleId="Bullet">
    <w:name w:val="Bullet"/>
    <w:basedOn w:val="Normal"/>
    <w:rsid w:val="00EF665C"/>
    <w:pPr>
      <w:tabs>
        <w:tab w:val="left" w:pos="2160"/>
      </w:tabs>
      <w:spacing w:after="220"/>
      <w:ind w:left="2160" w:hanging="720"/>
    </w:pPr>
  </w:style>
  <w:style w:type="paragraph" w:customStyle="1" w:styleId="TableFormat">
    <w:name w:val="TableFormat"/>
    <w:basedOn w:val="Bullet"/>
    <w:rsid w:val="00EF665C"/>
    <w:pPr>
      <w:tabs>
        <w:tab w:val="clear" w:pos="2160"/>
        <w:tab w:val="left" w:pos="5040"/>
      </w:tabs>
      <w:ind w:left="5040" w:hanging="3600"/>
    </w:pPr>
  </w:style>
  <w:style w:type="paragraph" w:customStyle="1" w:styleId="TOCTitle">
    <w:name w:val="TOC Title"/>
    <w:basedOn w:val="Normal"/>
    <w:rsid w:val="00EF665C"/>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data.fcc.gov/public/projects/auction903/reports/all_assigned_census_blocks" TargetMode="External" /><Relationship Id="rId2"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