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E5884" w:rsidRPr="0097366C" w:rsidP="00C82B6B">
      <w:pPr>
        <w:jc w:val="right"/>
        <w:rPr>
          <w:szCs w:val="22"/>
        </w:rPr>
      </w:pPr>
      <w:bookmarkStart w:id="0" w:name="_GoBack"/>
      <w:bookmarkEnd w:id="0"/>
    </w:p>
    <w:p w:rsidR="00013A8B" w:rsidRPr="0097366C" w:rsidP="00013A8B">
      <w:pPr>
        <w:jc w:val="right"/>
        <w:rPr>
          <w:b/>
          <w:szCs w:val="22"/>
        </w:rPr>
      </w:pPr>
      <w:r w:rsidRPr="0097366C">
        <w:rPr>
          <w:b/>
          <w:szCs w:val="22"/>
        </w:rPr>
        <w:t>DA 19-373</w:t>
      </w:r>
    </w:p>
    <w:p w:rsidR="00013A8B" w:rsidRPr="0097366C" w:rsidP="00013A8B">
      <w:pPr>
        <w:spacing w:before="60"/>
        <w:jc w:val="right"/>
        <w:rPr>
          <w:b/>
          <w:szCs w:val="22"/>
        </w:rPr>
      </w:pPr>
      <w:r w:rsidRPr="0097366C">
        <w:rPr>
          <w:b/>
          <w:szCs w:val="22"/>
        </w:rPr>
        <w:t xml:space="preserve">Released:  </w:t>
      </w:r>
      <w:r w:rsidRPr="0097366C" w:rsidR="0097366C">
        <w:rPr>
          <w:b/>
          <w:szCs w:val="22"/>
        </w:rPr>
        <w:t>May 2, 2019</w:t>
      </w:r>
    </w:p>
    <w:p w:rsidR="00013A8B" w:rsidRPr="0097366C" w:rsidP="00013A8B">
      <w:pPr>
        <w:jc w:val="right"/>
        <w:rPr>
          <w:szCs w:val="22"/>
        </w:rPr>
      </w:pPr>
    </w:p>
    <w:p w:rsidR="0097366C" w:rsidRPr="0097366C" w:rsidP="0097366C">
      <w:pPr>
        <w:jc w:val="center"/>
        <w:rPr>
          <w:b/>
          <w:szCs w:val="22"/>
        </w:rPr>
      </w:pPr>
      <w:r w:rsidRPr="0097366C">
        <w:rPr>
          <w:b/>
          <w:szCs w:val="22"/>
        </w:rPr>
        <w:t>WIRELINE COMPETITION BUREAU ANNOUNCES POSTING OF INFORMATION REGARDING REVISED DEPLOYMENT OBLIGATIONS FOR INCUMBENT</w:t>
      </w:r>
    </w:p>
    <w:p w:rsidR="00013A8B" w:rsidRPr="0097366C" w:rsidP="0097366C">
      <w:pPr>
        <w:spacing w:after="240"/>
        <w:jc w:val="center"/>
        <w:rPr>
          <w:b/>
          <w:caps/>
          <w:szCs w:val="22"/>
        </w:rPr>
      </w:pPr>
      <w:r w:rsidRPr="0097366C">
        <w:rPr>
          <w:b/>
          <w:szCs w:val="22"/>
        </w:rPr>
        <w:t>RATE-OF-RETURN CARRIERS</w:t>
      </w:r>
    </w:p>
    <w:p w:rsidR="00013A8B" w:rsidRPr="0097366C" w:rsidP="00013A8B">
      <w:pPr>
        <w:jc w:val="center"/>
        <w:rPr>
          <w:b/>
          <w:szCs w:val="22"/>
        </w:rPr>
      </w:pPr>
      <w:r w:rsidRPr="0097366C">
        <w:rPr>
          <w:b/>
          <w:szCs w:val="22"/>
        </w:rPr>
        <w:t>WC Docket No. 10-90</w:t>
      </w:r>
    </w:p>
    <w:p w:rsidR="0097366C" w:rsidRPr="0097366C" w:rsidP="00013A8B">
      <w:pPr>
        <w:jc w:val="center"/>
        <w:rPr>
          <w:b/>
          <w:szCs w:val="22"/>
        </w:rPr>
      </w:pPr>
    </w:p>
    <w:p w:rsidR="0097366C" w:rsidRPr="0097366C" w:rsidP="0097366C">
      <w:pPr>
        <w:autoSpaceDE w:val="0"/>
        <w:autoSpaceDN w:val="0"/>
        <w:adjustRightInd w:val="0"/>
        <w:spacing w:after="120"/>
        <w:ind w:firstLine="720"/>
        <w:rPr>
          <w:szCs w:val="22"/>
        </w:rPr>
      </w:pPr>
      <w:r w:rsidRPr="0097366C">
        <w:rPr>
          <w:szCs w:val="22"/>
        </w:rPr>
        <w:t>The Wireline Competition Bureau (Bureau) announces the posting of information regarding the revised mandatory deployment obligations that will apply to rate-of-return carriers that decline the Alternative Connect America Cost Model’s (A-CAM II) offer of model-based support and instead will remain on legacy universal service support mechanisms.  Carriers may select one of two methods for determining their deployment obligation that must be fulfilled over a five-year period (2019-2024).  The deployment obligations under each method for each study area are set forth on the spreadsheet available at:</w:t>
      </w:r>
      <w:r w:rsidR="003754B9">
        <w:rPr>
          <w:szCs w:val="22"/>
        </w:rPr>
        <w:t xml:space="preserve"> </w:t>
      </w:r>
      <w:hyperlink r:id="rId5" w:history="1">
        <w:r w:rsidRPr="003754B9" w:rsidR="003754B9">
          <w:rPr>
            <w:rStyle w:val="Hyperlink"/>
            <w:szCs w:val="22"/>
          </w:rPr>
          <w:t>https://docs.fcc.gov/public/attachments/DOC-357277A1.xlsx</w:t>
        </w:r>
      </w:hyperlink>
      <w:r w:rsidRPr="0097366C">
        <w:rPr>
          <w:szCs w:val="22"/>
        </w:rPr>
        <w:t>.</w:t>
      </w:r>
      <w:r w:rsidR="003754B9">
        <w:rPr>
          <w:szCs w:val="22"/>
        </w:rPr>
        <w:t xml:space="preserve">  </w:t>
      </w:r>
      <w:r w:rsidRPr="0097366C">
        <w:rPr>
          <w:szCs w:val="22"/>
        </w:rPr>
        <w:t xml:space="preserve">The Universal Service Administrative Company (USAC) will publish instructions regarding how each carrier is to make its selection between the two methods. </w:t>
      </w:r>
    </w:p>
    <w:p w:rsidR="0097366C" w:rsidRPr="0097366C" w:rsidP="00140924">
      <w:pPr>
        <w:widowControl/>
        <w:autoSpaceDE w:val="0"/>
        <w:autoSpaceDN w:val="0"/>
        <w:adjustRightInd w:val="0"/>
        <w:spacing w:after="120"/>
        <w:ind w:firstLine="720"/>
        <w:rPr>
          <w:szCs w:val="22"/>
        </w:rPr>
      </w:pPr>
      <w:r w:rsidRPr="0097366C">
        <w:rPr>
          <w:szCs w:val="22"/>
        </w:rPr>
        <w:t xml:space="preserve">In the </w:t>
      </w:r>
      <w:r w:rsidRPr="0097366C">
        <w:rPr>
          <w:i/>
          <w:szCs w:val="22"/>
        </w:rPr>
        <w:t>December 2018</w:t>
      </w:r>
      <w:r w:rsidRPr="0097366C">
        <w:rPr>
          <w:szCs w:val="22"/>
        </w:rPr>
        <w:t xml:space="preserve"> </w:t>
      </w:r>
      <w:r w:rsidRPr="0097366C">
        <w:rPr>
          <w:i/>
          <w:szCs w:val="22"/>
        </w:rPr>
        <w:t>Rate-of-Return Reform Order</w:t>
      </w:r>
      <w:r w:rsidRPr="0097366C">
        <w:rPr>
          <w:szCs w:val="22"/>
        </w:rPr>
        <w:t>, the Commission adopted revised deployment obligations that are a condition of the receipt of high-cost funding for those carriers continuing to receive support based on embedded costs.</w:t>
      </w:r>
      <w:r>
        <w:rPr>
          <w:rStyle w:val="FootnoteReference"/>
          <w:szCs w:val="22"/>
        </w:rPr>
        <w:footnoteReference w:id="3"/>
      </w:r>
      <w:r w:rsidRPr="0097366C">
        <w:rPr>
          <w:szCs w:val="22"/>
        </w:rPr>
        <w:t xml:space="preserve">  These revised obligations, which replace the obligations previously adopted, are calculated based on the same methodology adopted in the </w:t>
      </w:r>
      <w:r w:rsidRPr="0097366C">
        <w:rPr>
          <w:i/>
          <w:szCs w:val="22"/>
        </w:rPr>
        <w:t>2016 Rate-of-Return Reform Order</w:t>
      </w:r>
      <w:r>
        <w:rPr>
          <w:rStyle w:val="FootnoteReference"/>
          <w:szCs w:val="22"/>
        </w:rPr>
        <w:footnoteReference w:id="4"/>
      </w:r>
      <w:r w:rsidRPr="0097366C">
        <w:rPr>
          <w:szCs w:val="22"/>
        </w:rPr>
        <w:t xml:space="preserve"> but have been updated to reflect the increased budget for support as well as a deployment speed of 25 Mbps downstream/3 Mbps upstream (25/3 Mbps) broadband service.  As required by the Commission, the National Exchange Carrier Association (NECA) developed a five-year forecast of the total Connect America Fund-Broadband Loop Support (CAF-BLS) for each rate-of-return </w:t>
      </w:r>
      <w:r w:rsidRPr="0097366C">
        <w:rPr>
          <w:szCs w:val="22"/>
        </w:rPr>
        <w:t>carrier.</w:t>
      </w:r>
      <w:r>
        <w:rPr>
          <w:rStyle w:val="FootnoteReference"/>
          <w:szCs w:val="22"/>
        </w:rPr>
        <w:footnoteReference w:id="5"/>
      </w:r>
      <w:r w:rsidRPr="0097366C">
        <w:rPr>
          <w:szCs w:val="22"/>
        </w:rPr>
        <w:t xml:space="preserve">  That forecast is multiplied by an appropriate percentage based on that carrier’s reported deployment of 25/3 Mbps broadband service within its study area.</w:t>
      </w:r>
      <w:r>
        <w:rPr>
          <w:rStyle w:val="FootnoteReference"/>
          <w:szCs w:val="22"/>
        </w:rPr>
        <w:footnoteReference w:id="6"/>
      </w:r>
      <w:r w:rsidRPr="0097366C">
        <w:rPr>
          <w:szCs w:val="22"/>
        </w:rPr>
        <w:t xml:space="preserve">  </w:t>
      </w:r>
    </w:p>
    <w:p w:rsidR="0097366C" w:rsidRPr="0097366C" w:rsidP="0097366C">
      <w:pPr>
        <w:widowControl/>
        <w:autoSpaceDE w:val="0"/>
        <w:autoSpaceDN w:val="0"/>
        <w:adjustRightInd w:val="0"/>
        <w:spacing w:after="120"/>
        <w:ind w:firstLine="720"/>
        <w:rPr>
          <w:szCs w:val="22"/>
        </w:rPr>
      </w:pPr>
      <w:r w:rsidRPr="0097366C">
        <w:rPr>
          <w:szCs w:val="22"/>
        </w:rPr>
        <w:t>Each carrier can choose to have its deployment obligations determined by one of two methods:  the applicable CAF-BLS amount divided by (1) the average cost of providing 25/3 Mbps service, based on the weighted average cost per loop of carriers that have deployed 25/3 Mbps service to 95 percent or more of the locations in their study area, or 150 percent of the weighted average cost per loop of companies with similar density and level of deployment, whichever is greater, or (2) the A-CAM II calculation of the cost per location of providing 25/3 Mbps service in the unserved census blocks in the carrier’s study area.</w:t>
      </w:r>
      <w:r>
        <w:rPr>
          <w:rStyle w:val="FootnoteReference"/>
          <w:szCs w:val="22"/>
        </w:rPr>
        <w:footnoteReference w:id="7"/>
      </w:r>
      <w:r w:rsidRPr="0097366C">
        <w:rPr>
          <w:szCs w:val="22"/>
        </w:rPr>
        <w:t xml:space="preserve">  </w:t>
      </w:r>
    </w:p>
    <w:p w:rsidR="0097366C" w:rsidRPr="0097366C" w:rsidP="0097366C">
      <w:pPr>
        <w:spacing w:after="120"/>
        <w:ind w:firstLine="720"/>
        <w:rPr>
          <w:szCs w:val="22"/>
        </w:rPr>
      </w:pPr>
      <w:r w:rsidRPr="0097366C">
        <w:rPr>
          <w:szCs w:val="22"/>
        </w:rPr>
        <w:t xml:space="preserve">To calculate the cost metric to be used to determine deployment obligations under the first method, the Bureau divided rate-of-return study areas into the following density groups based on 2010 U.S. Census data for housing unit density per square mile: 0-4; 4-11; 11-24; and, 24 and above.  Those groups were then further subdivided into common deployment groups:  0 percent deployment; greater than 0 but less than 60 percent; at least 60 percent but less than 95 percent; and greater than 95 percent deployment.  As required by the </w:t>
      </w:r>
      <w:r w:rsidRPr="0097366C">
        <w:rPr>
          <w:i/>
          <w:szCs w:val="22"/>
        </w:rPr>
        <w:t>December 2018</w:t>
      </w:r>
      <w:r w:rsidRPr="0097366C">
        <w:rPr>
          <w:szCs w:val="22"/>
        </w:rPr>
        <w:t xml:space="preserve"> </w:t>
      </w:r>
      <w:r w:rsidRPr="0097366C">
        <w:rPr>
          <w:i/>
          <w:szCs w:val="22"/>
        </w:rPr>
        <w:t>Rate-of-Return Reform Order</w:t>
      </w:r>
      <w:r w:rsidRPr="0097366C">
        <w:rPr>
          <w:szCs w:val="22"/>
        </w:rPr>
        <w:t>, study areas that are capped by the operating expense limitation or by the $250 per-month, per line limitation were not included.</w:t>
      </w:r>
      <w:r>
        <w:rPr>
          <w:rStyle w:val="FootnoteReference"/>
          <w:szCs w:val="22"/>
        </w:rPr>
        <w:footnoteReference w:id="8"/>
      </w:r>
      <w:r w:rsidRPr="0097366C">
        <w:rPr>
          <w:szCs w:val="22"/>
        </w:rPr>
        <w:t>  In addition, average schedule study areas were excluded because they do not calculate “actual costs.”</w:t>
      </w:r>
    </w:p>
    <w:p w:rsidR="0097366C" w:rsidRPr="0097366C" w:rsidP="0097366C">
      <w:pPr>
        <w:autoSpaceDE w:val="0"/>
        <w:autoSpaceDN w:val="0"/>
        <w:adjustRightInd w:val="0"/>
        <w:spacing w:after="120"/>
        <w:ind w:firstLine="720"/>
        <w:rPr>
          <w:szCs w:val="22"/>
        </w:rPr>
      </w:pPr>
      <w:r w:rsidRPr="0097366C">
        <w:rPr>
          <w:szCs w:val="22"/>
        </w:rPr>
        <w:t>The number of study areas in each group is as follows:</w:t>
      </w:r>
    </w:p>
    <w:tbl>
      <w:tblPr>
        <w:tblW w:w="7908" w:type="dxa"/>
        <w:jc w:val="center"/>
        <w:tblLayout w:type="fixed"/>
        <w:tblCellMar>
          <w:left w:w="0" w:type="dxa"/>
          <w:right w:w="0" w:type="dxa"/>
        </w:tblCellMar>
        <w:tblLook w:val="04A0"/>
      </w:tblPr>
      <w:tblGrid>
        <w:gridCol w:w="1608"/>
        <w:gridCol w:w="1350"/>
        <w:gridCol w:w="1800"/>
        <w:gridCol w:w="1530"/>
        <w:gridCol w:w="1620"/>
      </w:tblGrid>
      <w:tr w:rsidTr="00D709FB">
        <w:tblPrEx>
          <w:tblW w:w="7908" w:type="dxa"/>
          <w:jc w:val="center"/>
          <w:tblLayout w:type="fixed"/>
          <w:tblCellMar>
            <w:left w:w="0" w:type="dxa"/>
            <w:right w:w="0" w:type="dxa"/>
          </w:tblCellMar>
          <w:tblLook w:val="04A0"/>
        </w:tblPrEx>
        <w:trPr>
          <w:trHeight w:val="300"/>
          <w:jc w:val="center"/>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szCs w:val="22"/>
              </w:rPr>
            </w:pPr>
            <w:r w:rsidRPr="0097366C">
              <w:rPr>
                <w:b/>
                <w:bCs/>
                <w:color w:val="000000"/>
                <w:szCs w:val="22"/>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 xml:space="preserve">0% &lt; </w:t>
            </w:r>
          </w:p>
          <w:p w:rsidR="0097366C" w:rsidRPr="0097366C" w:rsidP="00D709FB">
            <w:pPr>
              <w:jc w:val="center"/>
              <w:rPr>
                <w:b/>
                <w:bCs/>
                <w:color w:val="000000"/>
                <w:szCs w:val="22"/>
              </w:rPr>
            </w:pPr>
            <w:r w:rsidRPr="0097366C">
              <w:rPr>
                <w:b/>
                <w:bCs/>
                <w:color w:val="000000"/>
                <w:szCs w:val="22"/>
              </w:rPr>
              <w:t>Broadband Coverage</w:t>
            </w:r>
          </w:p>
          <w:p w:rsidR="0097366C" w:rsidRPr="0097366C" w:rsidP="00D709FB">
            <w:pPr>
              <w:jc w:val="center"/>
              <w:rPr>
                <w:b/>
                <w:bCs/>
                <w:color w:val="000000"/>
                <w:szCs w:val="22"/>
              </w:rPr>
            </w:pPr>
            <w:r w:rsidRPr="0097366C">
              <w:rPr>
                <w:b/>
                <w:bCs/>
                <w:color w:val="000000"/>
                <w:szCs w:val="22"/>
              </w:rPr>
              <w:t>&lt; 60%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 xml:space="preserve">60% ≤ Broadband Coverage </w:t>
            </w:r>
          </w:p>
          <w:p w:rsidR="0097366C" w:rsidRPr="0097366C" w:rsidP="00D709FB">
            <w:pPr>
              <w:jc w:val="center"/>
              <w:rPr>
                <w:b/>
                <w:bCs/>
                <w:color w:val="000000"/>
                <w:szCs w:val="22"/>
              </w:rPr>
            </w:pPr>
            <w:r w:rsidRPr="0097366C">
              <w:rPr>
                <w:b/>
                <w:bCs/>
                <w:color w:val="000000"/>
                <w:szCs w:val="22"/>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95% ≤</w:t>
            </w:r>
          </w:p>
          <w:p w:rsidR="0097366C" w:rsidRPr="0097366C" w:rsidP="00D709FB">
            <w:pPr>
              <w:jc w:val="center"/>
              <w:rPr>
                <w:b/>
                <w:bCs/>
                <w:color w:val="000000"/>
                <w:szCs w:val="22"/>
              </w:rPr>
            </w:pPr>
            <w:r w:rsidRPr="0097366C">
              <w:rPr>
                <w:b/>
                <w:bCs/>
                <w:color w:val="000000"/>
                <w:szCs w:val="22"/>
              </w:rPr>
              <w:t>Broadband Coverage</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41</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57</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66</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38</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36</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60</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55</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45</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27</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67</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43</w:t>
            </w:r>
          </w:p>
        </w:tc>
        <w:tc>
          <w:tcPr>
            <w:tcW w:w="1620" w:type="dxa"/>
            <w:tcBorders>
              <w:top w:val="nil"/>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41</w:t>
            </w:r>
          </w:p>
        </w:tc>
      </w:tr>
      <w:tr w:rsidTr="00D709FB">
        <w:tblPrEx>
          <w:tblW w:w="7908" w:type="dxa"/>
          <w:jc w:val="center"/>
          <w:tblLayout w:type="fixed"/>
          <w:tblCellMar>
            <w:left w:w="0" w:type="dxa"/>
            <w:right w:w="0" w:type="dxa"/>
          </w:tblCellMar>
          <w:tblLook w:val="04A0"/>
        </w:tblPrEx>
        <w:trPr>
          <w:trHeight w:val="315"/>
          <w:jc w:val="center"/>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23</w:t>
            </w:r>
          </w:p>
        </w:tc>
        <w:tc>
          <w:tcPr>
            <w:tcW w:w="180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47</w:t>
            </w:r>
          </w:p>
        </w:tc>
        <w:tc>
          <w:tcPr>
            <w:tcW w:w="153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71</w:t>
            </w:r>
          </w:p>
        </w:tc>
        <w:tc>
          <w:tcPr>
            <w:tcW w:w="1620" w:type="dxa"/>
            <w:tcBorders>
              <w:top w:val="nil"/>
              <w:left w:val="nil"/>
              <w:bottom w:val="single" w:sz="8" w:space="0" w:color="000000"/>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33</w:t>
            </w:r>
          </w:p>
        </w:tc>
      </w:tr>
    </w:tbl>
    <w:p w:rsidR="0097366C" w:rsidRPr="0097366C" w:rsidP="0097366C">
      <w:pPr>
        <w:ind w:firstLine="720"/>
        <w:rPr>
          <w:szCs w:val="22"/>
          <w:highlight w:val="yellow"/>
        </w:rPr>
      </w:pPr>
    </w:p>
    <w:p w:rsidR="00140924" w:rsidP="0097366C">
      <w:pPr>
        <w:spacing w:after="120"/>
        <w:ind w:firstLine="720"/>
        <w:rPr>
          <w:szCs w:val="22"/>
        </w:rPr>
      </w:pPr>
    </w:p>
    <w:p w:rsidR="00140924" w:rsidP="0097366C">
      <w:pPr>
        <w:spacing w:after="120"/>
        <w:ind w:firstLine="720"/>
        <w:rPr>
          <w:szCs w:val="22"/>
        </w:rPr>
      </w:pPr>
    </w:p>
    <w:p w:rsidR="00140924" w:rsidP="0097366C">
      <w:pPr>
        <w:spacing w:after="120"/>
        <w:ind w:firstLine="720"/>
        <w:rPr>
          <w:szCs w:val="22"/>
        </w:rPr>
      </w:pPr>
    </w:p>
    <w:p w:rsidR="00140924" w:rsidP="0097366C">
      <w:pPr>
        <w:spacing w:after="120"/>
        <w:ind w:firstLine="720"/>
        <w:rPr>
          <w:szCs w:val="22"/>
        </w:rPr>
      </w:pPr>
    </w:p>
    <w:p w:rsidR="00140924" w:rsidP="0097366C">
      <w:pPr>
        <w:spacing w:after="120"/>
        <w:ind w:firstLine="720"/>
        <w:rPr>
          <w:szCs w:val="22"/>
        </w:rPr>
      </w:pPr>
    </w:p>
    <w:p w:rsidR="00140924" w:rsidP="0097366C">
      <w:pPr>
        <w:spacing w:after="120"/>
        <w:ind w:firstLine="720"/>
        <w:rPr>
          <w:szCs w:val="22"/>
        </w:rPr>
      </w:pPr>
    </w:p>
    <w:p w:rsidR="00140924" w:rsidP="0097366C">
      <w:pPr>
        <w:spacing w:after="120"/>
        <w:ind w:firstLine="720"/>
        <w:rPr>
          <w:szCs w:val="22"/>
        </w:rPr>
      </w:pPr>
    </w:p>
    <w:p w:rsidR="0097366C" w:rsidRPr="0097366C" w:rsidP="0097366C">
      <w:pPr>
        <w:spacing w:after="120"/>
        <w:ind w:firstLine="720"/>
        <w:rPr>
          <w:szCs w:val="22"/>
        </w:rPr>
      </w:pPr>
      <w:r w:rsidRPr="0097366C">
        <w:rPr>
          <w:szCs w:val="22"/>
        </w:rPr>
        <w:t>The chart below shows the weighted average unseparated cost per loop in dollars for each group, based on carrier reported data</w:t>
      </w:r>
      <w:r>
        <w:rPr>
          <w:rStyle w:val="FootnoteReference"/>
          <w:szCs w:val="22"/>
        </w:rPr>
        <w:footnoteReference w:id="9"/>
      </w:r>
      <w:r w:rsidRPr="0097366C">
        <w:rPr>
          <w:szCs w:val="22"/>
        </w:rPr>
        <w:t>:  </w:t>
      </w:r>
    </w:p>
    <w:tbl>
      <w:tblPr>
        <w:tblW w:w="7908" w:type="dxa"/>
        <w:jc w:val="center"/>
        <w:tblLayout w:type="fixed"/>
        <w:tblCellMar>
          <w:left w:w="0" w:type="dxa"/>
          <w:right w:w="0" w:type="dxa"/>
        </w:tblCellMar>
        <w:tblLook w:val="04A0"/>
      </w:tblPr>
      <w:tblGrid>
        <w:gridCol w:w="1608"/>
        <w:gridCol w:w="1350"/>
        <w:gridCol w:w="1800"/>
        <w:gridCol w:w="1530"/>
        <w:gridCol w:w="1620"/>
      </w:tblGrid>
      <w:tr w:rsidTr="00D709FB">
        <w:tblPrEx>
          <w:tblW w:w="7908" w:type="dxa"/>
          <w:jc w:val="center"/>
          <w:tblLayout w:type="fixed"/>
          <w:tblCellMar>
            <w:left w:w="0" w:type="dxa"/>
            <w:right w:w="0" w:type="dxa"/>
          </w:tblCellMar>
          <w:tblLook w:val="04A0"/>
        </w:tblPrEx>
        <w:trPr>
          <w:trHeight w:val="300"/>
          <w:jc w:val="center"/>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szCs w:val="22"/>
              </w:rPr>
            </w:pPr>
            <w:r w:rsidRPr="0097366C">
              <w:rPr>
                <w:b/>
                <w:bCs/>
                <w:color w:val="000000"/>
                <w:szCs w:val="22"/>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0% &lt; </w:t>
            </w:r>
          </w:p>
          <w:p w:rsidR="0097366C" w:rsidRPr="0097366C" w:rsidP="00D709FB">
            <w:pPr>
              <w:jc w:val="center"/>
              <w:rPr>
                <w:b/>
                <w:bCs/>
                <w:color w:val="000000"/>
                <w:szCs w:val="22"/>
              </w:rPr>
            </w:pPr>
            <w:r w:rsidRPr="0097366C">
              <w:rPr>
                <w:b/>
                <w:bCs/>
                <w:color w:val="000000"/>
                <w:szCs w:val="22"/>
              </w:rPr>
              <w:t>Broadband Coverage</w:t>
            </w:r>
          </w:p>
          <w:p w:rsidR="0097366C" w:rsidRPr="0097366C" w:rsidP="00D709FB">
            <w:pPr>
              <w:jc w:val="center"/>
              <w:rPr>
                <w:b/>
                <w:bCs/>
                <w:color w:val="000000"/>
                <w:szCs w:val="22"/>
              </w:rPr>
            </w:pPr>
            <w:r w:rsidRPr="0097366C">
              <w:rPr>
                <w:b/>
                <w:bCs/>
                <w:color w:val="000000"/>
                <w:szCs w:val="22"/>
              </w:rPr>
              <w:t>&lt; 60%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60% ≤ Broadband Coverage </w:t>
            </w:r>
          </w:p>
          <w:p w:rsidR="0097366C" w:rsidRPr="0097366C" w:rsidP="00D709FB">
            <w:pPr>
              <w:jc w:val="center"/>
              <w:rPr>
                <w:b/>
                <w:bCs/>
                <w:color w:val="000000"/>
                <w:szCs w:val="22"/>
              </w:rPr>
            </w:pPr>
            <w:r w:rsidRPr="0097366C">
              <w:rPr>
                <w:b/>
                <w:bCs/>
                <w:color w:val="000000"/>
                <w:szCs w:val="22"/>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95% ≤</w:t>
            </w:r>
          </w:p>
          <w:p w:rsidR="0097366C" w:rsidRPr="0097366C" w:rsidP="00D709FB">
            <w:pPr>
              <w:jc w:val="center"/>
              <w:rPr>
                <w:b/>
                <w:bCs/>
                <w:color w:val="000000"/>
                <w:szCs w:val="22"/>
              </w:rPr>
            </w:pPr>
            <w:r w:rsidRPr="0097366C">
              <w:rPr>
                <w:b/>
                <w:bCs/>
                <w:color w:val="000000"/>
                <w:szCs w:val="22"/>
              </w:rPr>
              <w:t>Broadband Coverage</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$1,554</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$1,840</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$1,650</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$1,601</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$1,264</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$1,091</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$1,187</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$1,459</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$1,015</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$929</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$921</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$1,285</w:t>
            </w:r>
          </w:p>
        </w:tc>
      </w:tr>
      <w:tr w:rsidTr="00D709FB">
        <w:tblPrEx>
          <w:tblW w:w="7908" w:type="dxa"/>
          <w:jc w:val="center"/>
          <w:tblLayout w:type="fixed"/>
          <w:tblCellMar>
            <w:left w:w="0" w:type="dxa"/>
            <w:right w:w="0" w:type="dxa"/>
          </w:tblCellMar>
          <w:tblLook w:val="04A0"/>
        </w:tblPrEx>
        <w:trPr>
          <w:trHeight w:val="315"/>
          <w:jc w:val="center"/>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$790</w:t>
            </w:r>
          </w:p>
        </w:tc>
        <w:tc>
          <w:tcPr>
            <w:tcW w:w="180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$823</w:t>
            </w:r>
          </w:p>
        </w:tc>
        <w:tc>
          <w:tcPr>
            <w:tcW w:w="153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$819</w:t>
            </w:r>
          </w:p>
        </w:tc>
        <w:tc>
          <w:tcPr>
            <w:tcW w:w="1620" w:type="dxa"/>
            <w:tcBorders>
              <w:top w:val="single" w:sz="8" w:space="0" w:color="C1C1C1"/>
              <w:left w:val="nil"/>
              <w:bottom w:val="single" w:sz="8" w:space="0" w:color="000000"/>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$764</w:t>
            </w:r>
          </w:p>
        </w:tc>
      </w:tr>
    </w:tbl>
    <w:p w:rsidR="00140924" w:rsidP="00140924">
      <w:pPr>
        <w:autoSpaceDE w:val="0"/>
        <w:autoSpaceDN w:val="0"/>
        <w:adjustRightInd w:val="0"/>
        <w:spacing w:after="120"/>
        <w:ind w:firstLine="720"/>
        <w:rPr>
          <w:szCs w:val="22"/>
          <w:highlight w:val="yellow"/>
        </w:rPr>
      </w:pPr>
    </w:p>
    <w:p w:rsidR="0097366C" w:rsidRPr="0097366C" w:rsidP="00140924">
      <w:pPr>
        <w:autoSpaceDE w:val="0"/>
        <w:autoSpaceDN w:val="0"/>
        <w:adjustRightInd w:val="0"/>
        <w:spacing w:after="120"/>
        <w:ind w:firstLine="720"/>
        <w:rPr>
          <w:szCs w:val="22"/>
        </w:rPr>
      </w:pPr>
      <w:r w:rsidRPr="0097366C">
        <w:rPr>
          <w:szCs w:val="22"/>
        </w:rPr>
        <w:t>The chart below shows 150 percent of the weighted average unseparated cost per loop in dollars for each group subject to the mandatory buildout obligation:</w:t>
      </w:r>
    </w:p>
    <w:tbl>
      <w:tblPr>
        <w:tblW w:w="7908" w:type="dxa"/>
        <w:jc w:val="center"/>
        <w:tblLayout w:type="fixed"/>
        <w:tblCellMar>
          <w:left w:w="0" w:type="dxa"/>
          <w:right w:w="0" w:type="dxa"/>
        </w:tblCellMar>
        <w:tblLook w:val="04A0"/>
      </w:tblPr>
      <w:tblGrid>
        <w:gridCol w:w="1608"/>
        <w:gridCol w:w="1350"/>
        <w:gridCol w:w="1800"/>
        <w:gridCol w:w="1530"/>
        <w:gridCol w:w="1620"/>
      </w:tblGrid>
      <w:tr w:rsidTr="00D709FB">
        <w:tblPrEx>
          <w:tblW w:w="7908" w:type="dxa"/>
          <w:jc w:val="center"/>
          <w:tblLayout w:type="fixed"/>
          <w:tblCellMar>
            <w:left w:w="0" w:type="dxa"/>
            <w:right w:w="0" w:type="dxa"/>
          </w:tblCellMar>
          <w:tblLook w:val="04A0"/>
        </w:tblPrEx>
        <w:trPr>
          <w:trHeight w:val="300"/>
          <w:jc w:val="center"/>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szCs w:val="22"/>
              </w:rPr>
            </w:pPr>
            <w:r w:rsidRPr="0097366C">
              <w:rPr>
                <w:b/>
                <w:bCs/>
                <w:color w:val="000000"/>
                <w:szCs w:val="22"/>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0% &lt; </w:t>
            </w:r>
          </w:p>
          <w:p w:rsidR="0097366C" w:rsidRPr="0097366C" w:rsidP="00D709FB">
            <w:pPr>
              <w:jc w:val="center"/>
              <w:rPr>
                <w:b/>
                <w:bCs/>
                <w:color w:val="000000"/>
                <w:szCs w:val="22"/>
              </w:rPr>
            </w:pPr>
            <w:r w:rsidRPr="0097366C">
              <w:rPr>
                <w:b/>
                <w:bCs/>
                <w:color w:val="000000"/>
                <w:szCs w:val="22"/>
              </w:rPr>
              <w:t>Broadband Coverage</w:t>
            </w:r>
          </w:p>
          <w:p w:rsidR="0097366C" w:rsidRPr="0097366C" w:rsidP="00D709FB">
            <w:pPr>
              <w:jc w:val="center"/>
              <w:rPr>
                <w:b/>
                <w:bCs/>
                <w:color w:val="000000"/>
                <w:szCs w:val="22"/>
              </w:rPr>
            </w:pPr>
            <w:r w:rsidRPr="0097366C">
              <w:rPr>
                <w:b/>
                <w:bCs/>
                <w:color w:val="000000"/>
                <w:szCs w:val="22"/>
              </w:rPr>
              <w:t>&lt; 60%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60% ≤ Broadband Coverage </w:t>
            </w:r>
          </w:p>
          <w:p w:rsidR="0097366C" w:rsidRPr="0097366C" w:rsidP="00D709FB">
            <w:pPr>
              <w:jc w:val="center"/>
              <w:rPr>
                <w:b/>
                <w:bCs/>
                <w:color w:val="000000"/>
                <w:szCs w:val="22"/>
              </w:rPr>
            </w:pPr>
            <w:r w:rsidRPr="0097366C">
              <w:rPr>
                <w:b/>
                <w:bCs/>
                <w:color w:val="000000"/>
                <w:szCs w:val="22"/>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95% ≤</w:t>
            </w:r>
          </w:p>
          <w:p w:rsidR="0097366C" w:rsidRPr="0097366C" w:rsidP="00D709FB">
            <w:pPr>
              <w:jc w:val="center"/>
              <w:rPr>
                <w:b/>
                <w:bCs/>
                <w:color w:val="000000"/>
                <w:szCs w:val="22"/>
              </w:rPr>
            </w:pPr>
            <w:r w:rsidRPr="0097366C">
              <w:rPr>
                <w:b/>
                <w:bCs/>
                <w:color w:val="000000"/>
                <w:szCs w:val="22"/>
              </w:rPr>
              <w:t>Broadband Coverage</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$2,331</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$2,760</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$2,475</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$2,402</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$1,896</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$1,637</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$1,780</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$2,189</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$1,522</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$1,393</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$1,381</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$1,927</w:t>
            </w:r>
          </w:p>
        </w:tc>
      </w:tr>
      <w:tr w:rsidTr="00D709FB">
        <w:tblPrEx>
          <w:tblW w:w="7908" w:type="dxa"/>
          <w:jc w:val="center"/>
          <w:tblLayout w:type="fixed"/>
          <w:tblCellMar>
            <w:left w:w="0" w:type="dxa"/>
            <w:right w:w="0" w:type="dxa"/>
          </w:tblCellMar>
          <w:tblLook w:val="04A0"/>
        </w:tblPrEx>
        <w:trPr>
          <w:trHeight w:val="315"/>
          <w:jc w:val="center"/>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$1,185</w:t>
            </w:r>
          </w:p>
        </w:tc>
        <w:tc>
          <w:tcPr>
            <w:tcW w:w="180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$1,235</w:t>
            </w:r>
          </w:p>
        </w:tc>
        <w:tc>
          <w:tcPr>
            <w:tcW w:w="153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$1,228</w:t>
            </w:r>
          </w:p>
        </w:tc>
        <w:tc>
          <w:tcPr>
            <w:tcW w:w="1620" w:type="dxa"/>
            <w:tcBorders>
              <w:top w:val="single" w:sz="8" w:space="0" w:color="C1C1C1"/>
              <w:left w:val="nil"/>
              <w:bottom w:val="single" w:sz="8" w:space="0" w:color="000000"/>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$1,146</w:t>
            </w:r>
          </w:p>
        </w:tc>
      </w:tr>
    </w:tbl>
    <w:p w:rsidR="0097366C" w:rsidRPr="0097366C" w:rsidP="0097366C">
      <w:pPr>
        <w:autoSpaceDE w:val="0"/>
        <w:autoSpaceDN w:val="0"/>
        <w:adjustRightInd w:val="0"/>
        <w:ind w:firstLine="720"/>
        <w:rPr>
          <w:szCs w:val="22"/>
          <w:highlight w:val="yellow"/>
        </w:rPr>
      </w:pPr>
    </w:p>
    <w:p w:rsidR="0097366C" w:rsidRPr="0097366C" w:rsidP="0097366C">
      <w:pPr>
        <w:widowControl/>
        <w:autoSpaceDE w:val="0"/>
        <w:autoSpaceDN w:val="0"/>
        <w:adjustRightInd w:val="0"/>
        <w:spacing w:after="120"/>
        <w:ind w:firstLine="720"/>
        <w:rPr>
          <w:szCs w:val="22"/>
        </w:rPr>
      </w:pPr>
      <w:r w:rsidRPr="0097366C">
        <w:rPr>
          <w:szCs w:val="22"/>
        </w:rPr>
        <w:t>Based on this analysis, the cost metric to be used in determining the deployment obligation for each density/deployment grouping is as follows:</w:t>
      </w:r>
    </w:p>
    <w:tbl>
      <w:tblPr>
        <w:tblW w:w="7908" w:type="dxa"/>
        <w:jc w:val="center"/>
        <w:tblLayout w:type="fixed"/>
        <w:tblCellMar>
          <w:left w:w="0" w:type="dxa"/>
          <w:right w:w="0" w:type="dxa"/>
        </w:tblCellMar>
        <w:tblLook w:val="04A0"/>
      </w:tblPr>
      <w:tblGrid>
        <w:gridCol w:w="1608"/>
        <w:gridCol w:w="1350"/>
        <w:gridCol w:w="1800"/>
        <w:gridCol w:w="1530"/>
        <w:gridCol w:w="1620"/>
      </w:tblGrid>
      <w:tr w:rsidTr="00D709FB">
        <w:tblPrEx>
          <w:tblW w:w="7908" w:type="dxa"/>
          <w:jc w:val="center"/>
          <w:tblLayout w:type="fixed"/>
          <w:tblCellMar>
            <w:left w:w="0" w:type="dxa"/>
            <w:right w:w="0" w:type="dxa"/>
          </w:tblCellMar>
          <w:tblLook w:val="04A0"/>
        </w:tblPrEx>
        <w:trPr>
          <w:trHeight w:val="300"/>
          <w:jc w:val="center"/>
        </w:trPr>
        <w:tc>
          <w:tcPr>
            <w:tcW w:w="1608" w:type="dxa"/>
            <w:tcBorders>
              <w:top w:val="single" w:sz="8" w:space="0" w:color="000000"/>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szCs w:val="22"/>
              </w:rPr>
            </w:pPr>
            <w:r w:rsidRPr="0097366C">
              <w:rPr>
                <w:b/>
                <w:bCs/>
                <w:color w:val="000000"/>
                <w:szCs w:val="22"/>
              </w:rPr>
              <w:t>Land Density in Square Miles</w:t>
            </w:r>
          </w:p>
        </w:tc>
        <w:tc>
          <w:tcPr>
            <w:tcW w:w="1350" w:type="dxa"/>
            <w:tcBorders>
              <w:top w:val="single" w:sz="8" w:space="0" w:color="000000"/>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jc w:val="center"/>
              <w:rPr>
                <w:b/>
                <w:bCs/>
                <w:color w:val="000000"/>
                <w:szCs w:val="22"/>
              </w:rPr>
            </w:pPr>
            <w:r w:rsidRPr="0097366C">
              <w:rPr>
                <w:b/>
                <w:bCs/>
                <w:color w:val="000000"/>
                <w:szCs w:val="22"/>
              </w:rPr>
              <w:t>No Broadband Coverage</w:t>
            </w:r>
          </w:p>
        </w:tc>
        <w:tc>
          <w:tcPr>
            <w:tcW w:w="180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0% &lt; </w:t>
            </w:r>
          </w:p>
          <w:p w:rsidR="0097366C" w:rsidRPr="0097366C" w:rsidP="00D709FB">
            <w:pPr>
              <w:jc w:val="center"/>
              <w:rPr>
                <w:b/>
                <w:bCs/>
                <w:color w:val="000000"/>
                <w:szCs w:val="22"/>
              </w:rPr>
            </w:pPr>
            <w:r w:rsidRPr="0097366C">
              <w:rPr>
                <w:b/>
                <w:bCs/>
                <w:color w:val="000000"/>
                <w:szCs w:val="22"/>
              </w:rPr>
              <w:t>Broadband Coverage</w:t>
            </w:r>
          </w:p>
          <w:p w:rsidR="0097366C" w:rsidRPr="0097366C" w:rsidP="00D709FB">
            <w:pPr>
              <w:jc w:val="center"/>
              <w:rPr>
                <w:b/>
                <w:bCs/>
                <w:color w:val="000000"/>
                <w:szCs w:val="22"/>
              </w:rPr>
            </w:pPr>
            <w:r w:rsidRPr="0097366C">
              <w:rPr>
                <w:b/>
                <w:bCs/>
                <w:color w:val="000000"/>
                <w:szCs w:val="22"/>
              </w:rPr>
              <w:t>&lt; 60%</w:t>
            </w:r>
          </w:p>
        </w:tc>
        <w:tc>
          <w:tcPr>
            <w:tcW w:w="1530" w:type="dxa"/>
            <w:tcBorders>
              <w:top w:val="single" w:sz="8" w:space="0" w:color="000000"/>
              <w:left w:val="nil"/>
              <w:bottom w:val="single" w:sz="8" w:space="0" w:color="C1C1C1"/>
              <w:right w:val="single" w:sz="8" w:space="0" w:color="C1C1C1"/>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 xml:space="preserve">60% ≤ Broadband Coverage </w:t>
            </w:r>
          </w:p>
          <w:p w:rsidR="0097366C" w:rsidRPr="0097366C" w:rsidP="00D709FB">
            <w:pPr>
              <w:jc w:val="center"/>
              <w:rPr>
                <w:b/>
                <w:bCs/>
                <w:color w:val="000000"/>
                <w:szCs w:val="22"/>
              </w:rPr>
            </w:pPr>
            <w:r w:rsidRPr="0097366C">
              <w:rPr>
                <w:b/>
                <w:bCs/>
                <w:color w:val="000000"/>
                <w:szCs w:val="22"/>
              </w:rPr>
              <w:t>&lt; 95%</w:t>
            </w:r>
          </w:p>
        </w:tc>
        <w:tc>
          <w:tcPr>
            <w:tcW w:w="1620" w:type="dxa"/>
            <w:tcBorders>
              <w:top w:val="single" w:sz="8" w:space="0" w:color="000000"/>
              <w:left w:val="nil"/>
              <w:bottom w:val="single" w:sz="8" w:space="0" w:color="C1C1C1"/>
              <w:right w:val="single" w:sz="8" w:space="0" w:color="000000"/>
            </w:tcBorders>
            <w:tcMar>
              <w:top w:w="0" w:type="dxa"/>
              <w:left w:w="108" w:type="dxa"/>
              <w:bottom w:w="0" w:type="dxa"/>
              <w:right w:w="108" w:type="dxa"/>
            </w:tcMar>
          </w:tcPr>
          <w:p w:rsidR="0097366C" w:rsidRPr="0097366C" w:rsidP="00D709FB">
            <w:pPr>
              <w:jc w:val="center"/>
              <w:rPr>
                <w:b/>
                <w:bCs/>
                <w:color w:val="000000"/>
                <w:szCs w:val="22"/>
              </w:rPr>
            </w:pPr>
            <w:r w:rsidRPr="0097366C">
              <w:rPr>
                <w:b/>
                <w:bCs/>
                <w:color w:val="000000"/>
                <w:szCs w:val="22"/>
              </w:rPr>
              <w:t>95% ≤</w:t>
            </w:r>
          </w:p>
          <w:p w:rsidR="0097366C" w:rsidRPr="0097366C" w:rsidP="00D709FB">
            <w:pPr>
              <w:jc w:val="center"/>
              <w:rPr>
                <w:b/>
                <w:bCs/>
                <w:color w:val="000000"/>
                <w:szCs w:val="22"/>
              </w:rPr>
            </w:pPr>
            <w:r w:rsidRPr="0097366C">
              <w:rPr>
                <w:b/>
                <w:bCs/>
                <w:color w:val="000000"/>
                <w:szCs w:val="22"/>
              </w:rPr>
              <w:t>Broadband Coverage</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0 to ≤ 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$2,331</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$2,760</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$2,475</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$2,402</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4 to ≤ 11</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$1,896</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$1,637</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$1,780</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$2,189</w:t>
            </w:r>
          </w:p>
        </w:tc>
      </w:tr>
      <w:tr w:rsidTr="00D709FB">
        <w:tblPrEx>
          <w:tblW w:w="7908" w:type="dxa"/>
          <w:jc w:val="center"/>
          <w:tblLayout w:type="fixed"/>
          <w:tblCellMar>
            <w:left w:w="0" w:type="dxa"/>
            <w:right w:w="0" w:type="dxa"/>
          </w:tblCellMar>
          <w:tblLook w:val="04A0"/>
        </w:tblPrEx>
        <w:trPr>
          <w:trHeight w:val="300"/>
          <w:jc w:val="center"/>
        </w:trPr>
        <w:tc>
          <w:tcPr>
            <w:tcW w:w="1608" w:type="dxa"/>
            <w:tcBorders>
              <w:top w:val="nil"/>
              <w:left w:val="single" w:sz="8" w:space="0" w:color="000000"/>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11 to ≤ 24</w:t>
            </w:r>
          </w:p>
        </w:tc>
        <w:tc>
          <w:tcPr>
            <w:tcW w:w="135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$1,522</w:t>
            </w:r>
          </w:p>
        </w:tc>
        <w:tc>
          <w:tcPr>
            <w:tcW w:w="180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$1,393</w:t>
            </w:r>
          </w:p>
        </w:tc>
        <w:tc>
          <w:tcPr>
            <w:tcW w:w="1530" w:type="dxa"/>
            <w:tcBorders>
              <w:top w:val="nil"/>
              <w:left w:val="nil"/>
              <w:bottom w:val="single" w:sz="8" w:space="0" w:color="C1C1C1"/>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$1,381</w:t>
            </w:r>
          </w:p>
        </w:tc>
        <w:tc>
          <w:tcPr>
            <w:tcW w:w="1620" w:type="dxa"/>
            <w:tcBorders>
              <w:top w:val="single" w:sz="8" w:space="0" w:color="C1C1C1"/>
              <w:left w:val="nil"/>
              <w:bottom w:val="single" w:sz="8" w:space="0" w:color="C1C1C1"/>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$1,927</w:t>
            </w:r>
          </w:p>
        </w:tc>
      </w:tr>
      <w:tr w:rsidTr="00D709FB">
        <w:tblPrEx>
          <w:tblW w:w="7908" w:type="dxa"/>
          <w:jc w:val="center"/>
          <w:tblLayout w:type="fixed"/>
          <w:tblCellMar>
            <w:left w:w="0" w:type="dxa"/>
            <w:right w:w="0" w:type="dxa"/>
          </w:tblCellMar>
          <w:tblLook w:val="04A0"/>
        </w:tblPrEx>
        <w:trPr>
          <w:trHeight w:val="315"/>
          <w:jc w:val="center"/>
        </w:trPr>
        <w:tc>
          <w:tcPr>
            <w:tcW w:w="1608" w:type="dxa"/>
            <w:tcBorders>
              <w:top w:val="nil"/>
              <w:left w:val="single" w:sz="8" w:space="0" w:color="000000"/>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szCs w:val="22"/>
              </w:rPr>
            </w:pPr>
            <w:r w:rsidRPr="0097366C">
              <w:rPr>
                <w:color w:val="000000"/>
                <w:szCs w:val="22"/>
              </w:rPr>
              <w:t>24 +</w:t>
            </w:r>
          </w:p>
        </w:tc>
        <w:tc>
          <w:tcPr>
            <w:tcW w:w="135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$1,185</w:t>
            </w:r>
          </w:p>
        </w:tc>
        <w:tc>
          <w:tcPr>
            <w:tcW w:w="180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$1,235</w:t>
            </w:r>
          </w:p>
        </w:tc>
        <w:tc>
          <w:tcPr>
            <w:tcW w:w="1530" w:type="dxa"/>
            <w:tcBorders>
              <w:top w:val="nil"/>
              <w:left w:val="nil"/>
              <w:bottom w:val="single" w:sz="8" w:space="0" w:color="000000"/>
              <w:right w:val="single" w:sz="8" w:space="0" w:color="C1C1C1"/>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$1,228</w:t>
            </w:r>
          </w:p>
        </w:tc>
        <w:tc>
          <w:tcPr>
            <w:tcW w:w="1620" w:type="dxa"/>
            <w:tcBorders>
              <w:top w:val="single" w:sz="8" w:space="0" w:color="C1C1C1"/>
              <w:left w:val="nil"/>
              <w:bottom w:val="single" w:sz="8" w:space="0" w:color="000000"/>
              <w:right w:val="single" w:sz="8" w:space="0" w:color="000000"/>
            </w:tcBorders>
            <w:tcMar>
              <w:top w:w="0" w:type="dxa"/>
              <w:left w:w="108" w:type="dxa"/>
              <w:bottom w:w="0" w:type="dxa"/>
              <w:right w:w="108" w:type="dxa"/>
            </w:tcMar>
            <w:hideMark/>
          </w:tcPr>
          <w:p w:rsidR="0097366C" w:rsidRPr="0097366C" w:rsidP="00D709FB">
            <w:pPr>
              <w:spacing w:line="276" w:lineRule="auto"/>
              <w:jc w:val="center"/>
              <w:rPr>
                <w:color w:val="000000"/>
                <w:szCs w:val="22"/>
              </w:rPr>
            </w:pPr>
            <w:r w:rsidRPr="0097366C">
              <w:rPr>
                <w:color w:val="000000"/>
                <w:szCs w:val="22"/>
              </w:rPr>
              <w:t>$1,146</w:t>
            </w:r>
          </w:p>
        </w:tc>
      </w:tr>
    </w:tbl>
    <w:p w:rsidR="0097366C" w:rsidRPr="0097366C" w:rsidP="0097366C">
      <w:pPr>
        <w:autoSpaceDE w:val="0"/>
        <w:autoSpaceDN w:val="0"/>
        <w:adjustRightInd w:val="0"/>
        <w:ind w:firstLine="720"/>
        <w:rPr>
          <w:szCs w:val="22"/>
        </w:rPr>
      </w:pPr>
    </w:p>
    <w:p w:rsidR="0097366C" w:rsidRPr="0097366C" w:rsidP="0097366C">
      <w:pPr>
        <w:autoSpaceDE w:val="0"/>
        <w:autoSpaceDN w:val="0"/>
        <w:adjustRightInd w:val="0"/>
        <w:spacing w:after="120"/>
        <w:ind w:firstLine="720"/>
        <w:rPr>
          <w:szCs w:val="22"/>
        </w:rPr>
      </w:pPr>
      <w:r w:rsidRPr="0097366C">
        <w:rPr>
          <w:szCs w:val="22"/>
        </w:rPr>
        <w:t xml:space="preserve">The spreadsheet being posted today provides the deployment obligations for each study area for both methods as outlined in the </w:t>
      </w:r>
      <w:r w:rsidRPr="0097366C">
        <w:rPr>
          <w:i/>
          <w:szCs w:val="22"/>
        </w:rPr>
        <w:t>December 2018</w:t>
      </w:r>
      <w:r w:rsidRPr="0097366C">
        <w:rPr>
          <w:szCs w:val="22"/>
        </w:rPr>
        <w:t xml:space="preserve"> </w:t>
      </w:r>
      <w:r w:rsidRPr="0097366C">
        <w:rPr>
          <w:i/>
          <w:szCs w:val="22"/>
        </w:rPr>
        <w:t>Rate-of-Return Reform</w:t>
      </w:r>
      <w:r w:rsidRPr="0097366C">
        <w:rPr>
          <w:szCs w:val="22"/>
        </w:rPr>
        <w:t xml:space="preserve"> </w:t>
      </w:r>
      <w:r w:rsidRPr="0097366C">
        <w:rPr>
          <w:i/>
          <w:szCs w:val="22"/>
        </w:rPr>
        <w:t>Order</w:t>
      </w:r>
      <w:r w:rsidRPr="0097366C">
        <w:rPr>
          <w:szCs w:val="22"/>
        </w:rPr>
        <w:t xml:space="preserve">.  In addition, the spreadsheet includes further information used for the calculations for each study area. </w:t>
      </w:r>
    </w:p>
    <w:p w:rsidR="0097366C" w:rsidRPr="0097366C" w:rsidP="0097366C">
      <w:pPr>
        <w:ind w:firstLine="720"/>
        <w:rPr>
          <w:szCs w:val="22"/>
        </w:rPr>
      </w:pPr>
      <w:r w:rsidRPr="0097366C">
        <w:rPr>
          <w:szCs w:val="22"/>
        </w:rPr>
        <w:t xml:space="preserve">For additional information about this Public Notice, please contact Suzanne </w:t>
      </w:r>
      <w:r w:rsidRPr="0097366C">
        <w:rPr>
          <w:szCs w:val="22"/>
        </w:rPr>
        <w:t>Yelen</w:t>
      </w:r>
      <w:r w:rsidRPr="0097366C">
        <w:rPr>
          <w:szCs w:val="22"/>
        </w:rPr>
        <w:t xml:space="preserve">, Wireline Competition Bureau, Telecommunications Access Policy Division, at (202) 418-0626 or </w:t>
      </w:r>
      <w:hyperlink r:id="rId6" w:history="1">
        <w:r w:rsidRPr="0097366C">
          <w:rPr>
            <w:rStyle w:val="Hyperlink"/>
            <w:szCs w:val="22"/>
          </w:rPr>
          <w:t>Suzanne.Yelen@fcc.gov</w:t>
        </w:r>
      </w:hyperlink>
      <w:r w:rsidRPr="0097366C">
        <w:rPr>
          <w:szCs w:val="22"/>
        </w:rPr>
        <w:t>.</w:t>
      </w:r>
    </w:p>
    <w:p w:rsidR="0097366C" w:rsidRPr="0097366C" w:rsidP="00013A8B">
      <w:pPr>
        <w:jc w:val="center"/>
        <w:rPr>
          <w:b/>
          <w:szCs w:val="22"/>
        </w:rPr>
      </w:pPr>
      <w:r w:rsidRPr="0097366C">
        <w:rPr>
          <w:b/>
          <w:szCs w:val="22"/>
        </w:rPr>
        <w:t>- FCC -</w:t>
      </w:r>
    </w:p>
    <w:p w:rsidR="00F96F63" w:rsidRPr="0097366C" w:rsidP="00F96F63">
      <w:pPr>
        <w:rPr>
          <w:szCs w:val="22"/>
        </w:rPr>
      </w:pPr>
      <w:bookmarkStart w:id="1" w:name="TOChere"/>
    </w:p>
    <w:bookmarkEnd w:id="1"/>
    <w:p w:rsidR="00F96F63" w:rsidRPr="0097366C" w:rsidP="00F96F63">
      <w:pPr>
        <w:rPr>
          <w:szCs w:val="22"/>
        </w:rPr>
      </w:pPr>
    </w:p>
    <w:p w:rsidR="00930ECF" w:rsidRPr="0097366C" w:rsidP="00F96F63">
      <w:pPr>
        <w:rPr>
          <w:szCs w:val="22"/>
        </w:rPr>
      </w:pPr>
    </w:p>
    <w:sectPr w:rsidSect="000E5884">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default"/>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pPr>
      <w:pStyle w:val="Footer"/>
      <w:framePr w:wrap="around" w:vAnchor="text" w:hAnchor="margin" w:xAlign="center" w:y="1"/>
    </w:pPr>
    <w:r>
      <w:fldChar w:fldCharType="begin"/>
    </w:r>
    <w:r>
      <w:instrText xml:space="preserve">PAGE  </w:instrText>
    </w:r>
    <w:r>
      <w:fldChar w:fldCharType="separate"/>
    </w:r>
    <w:r>
      <w:fldChar w:fldCharType="end"/>
    </w:r>
  </w:p>
  <w:p w:rsidR="006F73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3AC1">
      <w:r>
        <w:separator/>
      </w:r>
    </w:p>
  </w:footnote>
  <w:footnote w:type="continuationSeparator" w:id="1">
    <w:p w:rsidR="00D73AC1">
      <w:pPr>
        <w:rPr>
          <w:sz w:val="20"/>
        </w:rPr>
      </w:pPr>
      <w:r>
        <w:rPr>
          <w:sz w:val="20"/>
        </w:rPr>
        <w:t xml:space="preserve">(Continued from previous page)  </w:t>
      </w:r>
      <w:r>
        <w:rPr>
          <w:sz w:val="20"/>
        </w:rPr>
        <w:separator/>
      </w:r>
    </w:p>
  </w:footnote>
  <w:footnote w:type="continuationNotice" w:id="2">
    <w:p w:rsidR="00D73AC1" w:rsidP="00910F12">
      <w:pPr>
        <w:jc w:val="right"/>
        <w:rPr>
          <w:sz w:val="20"/>
        </w:rPr>
      </w:pPr>
      <w:r>
        <w:rPr>
          <w:sz w:val="20"/>
        </w:rPr>
        <w:t>(continued….)</w:t>
      </w:r>
    </w:p>
  </w:footnote>
  <w:footnote w:id="3">
    <w:p w:rsidR="0097366C" w:rsidRPr="00D60D07" w:rsidP="0097366C">
      <w:pPr>
        <w:pStyle w:val="FootnoteText"/>
      </w:pPr>
      <w:r>
        <w:rPr>
          <w:rStyle w:val="FootnoteReference"/>
        </w:rPr>
        <w:footnoteRef/>
      </w:r>
      <w:r>
        <w:t xml:space="preserve"> </w:t>
      </w:r>
      <w:r w:rsidRPr="00276EEC">
        <w:rPr>
          <w:i/>
        </w:rPr>
        <w:t>Connect America Fund et al.,</w:t>
      </w:r>
      <w:r>
        <w:t xml:space="preserve"> WC Docket No. 10-90 et al., Report and Order, Further Notice of Proposed Rulemaking, and order on Reconsideration, FCC 18-176, 32-35, paras. 101-112 (Dec. 13, 2018) (</w:t>
      </w:r>
      <w:r>
        <w:rPr>
          <w:i/>
        </w:rPr>
        <w:t xml:space="preserve">December </w:t>
      </w:r>
      <w:r w:rsidRPr="0068096E">
        <w:rPr>
          <w:i/>
        </w:rPr>
        <w:t>2018</w:t>
      </w:r>
      <w:r>
        <w:t xml:space="preserve"> </w:t>
      </w:r>
      <w:r w:rsidRPr="002C0B63">
        <w:rPr>
          <w:i/>
        </w:rPr>
        <w:t>Rate-of-Return Reform Order</w:t>
      </w:r>
      <w:r>
        <w:t xml:space="preserve">).  We will count towards the new five-year obligation any locations CAF-BLS carriers deployed to with at least 25/3 Mbps since May 25, 2016, regardless of whether the carriers had defined deployment obligations in the original term.  </w:t>
      </w:r>
      <w:r w:rsidRPr="006176CD">
        <w:t>CAF</w:t>
      </w:r>
      <w:r>
        <w:t>-</w:t>
      </w:r>
      <w:r w:rsidRPr="006176CD">
        <w:t xml:space="preserve">BLS carriers that have not had </w:t>
      </w:r>
      <w:r>
        <w:t>High-Cost Universal Broadband (</w:t>
      </w:r>
      <w:r w:rsidRPr="006176CD">
        <w:t>HUBB</w:t>
      </w:r>
      <w:r>
        <w:t>)</w:t>
      </w:r>
      <w:r w:rsidRPr="006176CD">
        <w:t xml:space="preserve"> portal reporting obligations will be provided an opportunity to certify as needed 25/3 Mbps or higher locations deployed to since May 25, 2016</w:t>
      </w:r>
      <w:r>
        <w:t xml:space="preserve">.  </w:t>
      </w:r>
      <w:r>
        <w:rPr>
          <w:i/>
        </w:rPr>
        <w:t xml:space="preserve">See id. </w:t>
      </w:r>
      <w:r>
        <w:t>at 34, para. 110.</w:t>
      </w:r>
    </w:p>
  </w:footnote>
  <w:footnote w:id="4">
    <w:p w:rsidR="0097366C" w:rsidP="0097366C">
      <w:pPr>
        <w:pStyle w:val="FootnoteText"/>
      </w:pPr>
      <w:r>
        <w:rPr>
          <w:rStyle w:val="FootnoteReference"/>
        </w:rPr>
        <w:footnoteRef/>
      </w:r>
      <w:r>
        <w:t xml:space="preserve"> </w:t>
      </w:r>
      <w:r w:rsidRPr="00276EEC">
        <w:rPr>
          <w:i/>
        </w:rPr>
        <w:t>Connect America Fund et al.,</w:t>
      </w:r>
      <w:r>
        <w:t xml:space="preserve"> WC Docket No. 10-90 et al., Report and Order, Order and Order on Reconsideration and Further Notice of Proposed Rulemaking, 31 FCC </w:t>
      </w:r>
      <w:r>
        <w:t>Rcd</w:t>
      </w:r>
      <w:r>
        <w:t xml:space="preserve"> 3087, 3145, para. 156 (2016) (</w:t>
      </w:r>
      <w:r w:rsidRPr="00005E87">
        <w:rPr>
          <w:i/>
        </w:rPr>
        <w:t>2016</w:t>
      </w:r>
      <w:r>
        <w:t xml:space="preserve"> </w:t>
      </w:r>
      <w:r w:rsidRPr="002C0B63">
        <w:rPr>
          <w:i/>
        </w:rPr>
        <w:t>Rate-of-Return Reform Order</w:t>
      </w:r>
      <w:r>
        <w:t>).</w:t>
      </w:r>
    </w:p>
  </w:footnote>
  <w:footnote w:id="5">
    <w:p w:rsidR="0097366C" w:rsidRPr="00B013F3" w:rsidP="0097366C">
      <w:pPr>
        <w:pStyle w:val="FootnoteText"/>
      </w:pPr>
      <w:r>
        <w:rPr>
          <w:rStyle w:val="FootnoteReference"/>
        </w:rPr>
        <w:footnoteRef/>
      </w:r>
      <w:r>
        <w:t xml:space="preserve"> </w:t>
      </w:r>
      <w:r>
        <w:rPr>
          <w:i/>
        </w:rPr>
        <w:t>December</w:t>
      </w:r>
      <w:r>
        <w:t xml:space="preserve"> </w:t>
      </w:r>
      <w:r>
        <w:rPr>
          <w:i/>
        </w:rPr>
        <w:t xml:space="preserve">2018 Rate-of-Return Reform Order </w:t>
      </w:r>
      <w:r w:rsidRPr="00E17EC6">
        <w:t>at 33, para</w:t>
      </w:r>
      <w:r w:rsidR="00207A45">
        <w:t xml:space="preserve"> </w:t>
      </w:r>
      <w:r w:rsidRPr="00E17EC6">
        <w:t>105.</w:t>
      </w:r>
      <w:r w:rsidR="00207A45">
        <w:t xml:space="preserve">  </w:t>
      </w:r>
      <w:r>
        <w:t xml:space="preserve">NECA’s forecasts are available at </w:t>
      </w:r>
      <w:hyperlink r:id="rId1" w:tgtFrame="_blank" w:history="1">
        <w:r w:rsidRPr="00B013F3">
          <w:rPr>
            <w:rStyle w:val="Hyperlink"/>
            <w:color w:val="800080"/>
          </w:rPr>
          <w:t>https://www.neca.org/RoR_USF_Reform_Resources.aspx</w:t>
        </w:r>
      </w:hyperlink>
      <w:r w:rsidRPr="00B013F3">
        <w:t>.</w:t>
      </w:r>
    </w:p>
  </w:footnote>
  <w:footnote w:id="6">
    <w:p w:rsidR="0097366C" w:rsidP="0097366C">
      <w:pPr>
        <w:pStyle w:val="FootnoteText"/>
      </w:pPr>
      <w:r>
        <w:rPr>
          <w:rStyle w:val="FootnoteReference"/>
        </w:rPr>
        <w:footnoteRef/>
      </w:r>
      <w:r>
        <w:t xml:space="preserve"> The percentage deployment for each carrier at 25/3 Mbps as calculated by the Commission based on FCC Form 477 data is available at</w:t>
      </w:r>
      <w:r w:rsidR="003754B9">
        <w:t xml:space="preserve"> </w:t>
      </w:r>
      <w:hyperlink r:id="rId2" w:history="1">
        <w:r w:rsidRPr="00E12C92" w:rsidR="00140924">
          <w:rPr>
            <w:rStyle w:val="Hyperlink"/>
          </w:rPr>
          <w:t>https://docs.fcc.gov/public/attachments/DOC-357277A2.xlsx</w:t>
        </w:r>
      </w:hyperlink>
      <w:r>
        <w:t>.</w:t>
      </w:r>
    </w:p>
  </w:footnote>
  <w:footnote w:id="7">
    <w:p w:rsidR="0097366C" w:rsidRPr="0053591A" w:rsidP="0097366C">
      <w:pPr>
        <w:pStyle w:val="FootnoteText"/>
      </w:pPr>
      <w:r>
        <w:rPr>
          <w:rStyle w:val="FootnoteReference"/>
        </w:rPr>
        <w:footnoteRef/>
      </w:r>
      <w:r>
        <w:t xml:space="preserve"> </w:t>
      </w:r>
      <w:r w:rsidRPr="004037ED">
        <w:rPr>
          <w:i/>
        </w:rPr>
        <w:t>2016</w:t>
      </w:r>
      <w:r>
        <w:t xml:space="preserve"> </w:t>
      </w:r>
      <w:r w:rsidRPr="002C0B63">
        <w:rPr>
          <w:i/>
        </w:rPr>
        <w:t>Rate-of-Return Reform Order</w:t>
      </w:r>
      <w:r>
        <w:rPr>
          <w:i/>
        </w:rPr>
        <w:t xml:space="preserve">, </w:t>
      </w:r>
      <w:r>
        <w:t xml:space="preserve">31 FCC </w:t>
      </w:r>
      <w:r>
        <w:t>Rcd</w:t>
      </w:r>
      <w:r>
        <w:t xml:space="preserve"> at 3149, para. 166.</w:t>
      </w:r>
    </w:p>
  </w:footnote>
  <w:footnote w:id="8">
    <w:p w:rsidR="0097366C" w:rsidRPr="00580E22" w:rsidP="0097366C">
      <w:pPr>
        <w:pStyle w:val="FootnoteText"/>
      </w:pPr>
      <w:r>
        <w:rPr>
          <w:rStyle w:val="FootnoteReference"/>
        </w:rPr>
        <w:footnoteRef/>
      </w:r>
      <w:r>
        <w:t xml:space="preserve"> Although the Commission recently lowered the $250 per-month, per line limitation, we use the $250 limitation here because this was the limitation in effect at the time relevant to the 2017 cost data used in these calculations. </w:t>
      </w:r>
      <w:r w:rsidRPr="00580E22">
        <w:rPr>
          <w:i/>
        </w:rPr>
        <w:t>See</w:t>
      </w:r>
      <w:r>
        <w:t xml:space="preserve"> </w:t>
      </w:r>
      <w:r>
        <w:rPr>
          <w:i/>
        </w:rPr>
        <w:t xml:space="preserve">December </w:t>
      </w:r>
      <w:r w:rsidRPr="0068096E">
        <w:rPr>
          <w:i/>
        </w:rPr>
        <w:t>2018</w:t>
      </w:r>
      <w:r>
        <w:t xml:space="preserve"> </w:t>
      </w:r>
      <w:r w:rsidRPr="002C0B63">
        <w:rPr>
          <w:i/>
        </w:rPr>
        <w:t>Rate-of-Return Reform Order</w:t>
      </w:r>
      <w:r>
        <w:rPr>
          <w:i/>
        </w:rPr>
        <w:t xml:space="preserve"> </w:t>
      </w:r>
      <w:r w:rsidRPr="000745B9">
        <w:t>at 38-41, paras. 125-135</w:t>
      </w:r>
      <w:r>
        <w:rPr>
          <w:i/>
        </w:rPr>
        <w:t>.</w:t>
      </w:r>
    </w:p>
  </w:footnote>
  <w:footnote w:id="9">
    <w:p w:rsidR="0097366C" w:rsidP="0097366C">
      <w:pPr>
        <w:pStyle w:val="FootnoteText"/>
      </w:pPr>
      <w:r>
        <w:rPr>
          <w:rStyle w:val="FootnoteReference"/>
        </w:rPr>
        <w:footnoteRef/>
      </w:r>
      <w:r>
        <w:t xml:space="preserve"> T</w:t>
      </w:r>
      <w:r w:rsidRPr="00E978A2">
        <w:t xml:space="preserve">he </w:t>
      </w:r>
      <w:r>
        <w:t xml:space="preserve">weighted average unseparated cost per loop data is derived from NECA’s </w:t>
      </w:r>
      <w:r w:rsidRPr="00B83159">
        <w:t>2017</w:t>
      </w:r>
      <w:r>
        <w:t xml:space="preserve"> Study Results.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pPr>
      <w:tabs>
        <w:tab w:val="center" w:pos="4680"/>
        <w:tab w:val="right" w:pos="9360"/>
      </w:tabs>
    </w:pPr>
    <w:r w:rsidRPr="009838BC">
      <w:rPr>
        <w:b/>
      </w:rPr>
      <w:tab/>
      <w:t>Federal Communications Commission</w:t>
    </w:r>
    <w:r w:rsidRPr="009838BC">
      <w:rPr>
        <w:b/>
      </w:rPr>
      <w:tab/>
    </w:r>
    <w:r w:rsidR="0097366C">
      <w:rPr>
        <w:b/>
      </w:rPr>
      <w:t>DA 19-373</w:t>
    </w:r>
  </w:p>
  <w:p w:rsidR="009838BC" w:rsidRPr="009838BC" w:rsidP="009838B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pPr>
                      <w:rPr>
                        <w:rFonts w:ascii="Arial" w:hAnsi="Arial"/>
                        <w:b/>
                      </w:rPr>
                    </w:pPr>
                    <w:r>
                      <w:rPr>
                        <w:rFonts w:ascii="Arial" w:hAnsi="Arial"/>
                        <w:b/>
                      </w:rPr>
                      <w:t>Federal Communications Commission</w:t>
                    </w:r>
                  </w:p>
                  <w:p w:rsidR="009838BC" w:rsidP="009838BC">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415457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pPr>
                      <w:spacing w:before="40"/>
                      <w:jc w:val="right"/>
                      <w:rPr>
                        <w:rFonts w:ascii="Arial" w:hAnsi="Arial"/>
                        <w:b/>
                        <w:sz w:val="16"/>
                      </w:rPr>
                    </w:pPr>
                    <w:r>
                      <w:rPr>
                        <w:rFonts w:ascii="Arial" w:hAnsi="Arial"/>
                        <w:b/>
                        <w:sz w:val="16"/>
                      </w:rPr>
                      <w:t>News Media Information 202 / 418-0500</w:t>
                    </w:r>
                  </w:p>
                  <w:p w:rsidR="009838BC" w:rsidP="009838BC">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pPr>
                      <w:jc w:val="right"/>
                    </w:pPr>
                    <w:r>
                      <w:rPr>
                        <w:rFonts w:ascii="Arial" w:hAnsi="Arial"/>
                        <w:b/>
                        <w:sz w:val="16"/>
                      </w:rPr>
                      <w:t>TTY: 1-888-835-5322</w:t>
                    </w:r>
                  </w:p>
                </w:txbxContent>
              </v:textbox>
            </v:shape>
          </w:pict>
        </mc:Fallback>
      </mc:AlternateContent>
    </w:r>
  </w:p>
  <w:p w:rsidR="006F7393" w:rsidRPr="009838BC" w:rsidP="009838BC">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366C"/>
    <w:rsid w:val="00005E87"/>
    <w:rsid w:val="000072CE"/>
    <w:rsid w:val="00013A8B"/>
    <w:rsid w:val="00021445"/>
    <w:rsid w:val="00036039"/>
    <w:rsid w:val="00037F90"/>
    <w:rsid w:val="000745B9"/>
    <w:rsid w:val="000875BF"/>
    <w:rsid w:val="00096D8C"/>
    <w:rsid w:val="000C0B65"/>
    <w:rsid w:val="000E3D42"/>
    <w:rsid w:val="000E5884"/>
    <w:rsid w:val="00122BD5"/>
    <w:rsid w:val="00140924"/>
    <w:rsid w:val="001979D9"/>
    <w:rsid w:val="001D6BCF"/>
    <w:rsid w:val="001E01CA"/>
    <w:rsid w:val="002060D9"/>
    <w:rsid w:val="00207A45"/>
    <w:rsid w:val="00226822"/>
    <w:rsid w:val="00260594"/>
    <w:rsid w:val="00276EEC"/>
    <w:rsid w:val="00285017"/>
    <w:rsid w:val="002A2D2E"/>
    <w:rsid w:val="002C0B63"/>
    <w:rsid w:val="002E6843"/>
    <w:rsid w:val="00343749"/>
    <w:rsid w:val="00357D50"/>
    <w:rsid w:val="003754B9"/>
    <w:rsid w:val="003925DC"/>
    <w:rsid w:val="003B0550"/>
    <w:rsid w:val="003B694F"/>
    <w:rsid w:val="003F171C"/>
    <w:rsid w:val="004037ED"/>
    <w:rsid w:val="00412FC5"/>
    <w:rsid w:val="00422276"/>
    <w:rsid w:val="004242F1"/>
    <w:rsid w:val="00445A00"/>
    <w:rsid w:val="00451B0F"/>
    <w:rsid w:val="0046125F"/>
    <w:rsid w:val="00487524"/>
    <w:rsid w:val="00496106"/>
    <w:rsid w:val="004C12D0"/>
    <w:rsid w:val="004C2EE3"/>
    <w:rsid w:val="004E4A22"/>
    <w:rsid w:val="00511968"/>
    <w:rsid w:val="0053591A"/>
    <w:rsid w:val="0055614C"/>
    <w:rsid w:val="00580E22"/>
    <w:rsid w:val="00607BA5"/>
    <w:rsid w:val="006176CD"/>
    <w:rsid w:val="00626EB6"/>
    <w:rsid w:val="006353A3"/>
    <w:rsid w:val="00655D03"/>
    <w:rsid w:val="0068096E"/>
    <w:rsid w:val="00683F84"/>
    <w:rsid w:val="006A6A81"/>
    <w:rsid w:val="006E26AF"/>
    <w:rsid w:val="006F7393"/>
    <w:rsid w:val="0070224F"/>
    <w:rsid w:val="007115F7"/>
    <w:rsid w:val="00785689"/>
    <w:rsid w:val="0079754B"/>
    <w:rsid w:val="007A1E6D"/>
    <w:rsid w:val="00822CE0"/>
    <w:rsid w:val="00837C62"/>
    <w:rsid w:val="00841AB1"/>
    <w:rsid w:val="008C22FD"/>
    <w:rsid w:val="00910F12"/>
    <w:rsid w:val="00926503"/>
    <w:rsid w:val="00930ECF"/>
    <w:rsid w:val="0097366C"/>
    <w:rsid w:val="009838BC"/>
    <w:rsid w:val="00A45F4F"/>
    <w:rsid w:val="00A600A9"/>
    <w:rsid w:val="00A866AC"/>
    <w:rsid w:val="00AA55B7"/>
    <w:rsid w:val="00AA5B9E"/>
    <w:rsid w:val="00AB2407"/>
    <w:rsid w:val="00AB53DF"/>
    <w:rsid w:val="00B013F3"/>
    <w:rsid w:val="00B07E5C"/>
    <w:rsid w:val="00B326E3"/>
    <w:rsid w:val="00B811F7"/>
    <w:rsid w:val="00B83159"/>
    <w:rsid w:val="00BA5DC6"/>
    <w:rsid w:val="00BA6196"/>
    <w:rsid w:val="00BC6D8C"/>
    <w:rsid w:val="00C16AF2"/>
    <w:rsid w:val="00C34006"/>
    <w:rsid w:val="00C426B1"/>
    <w:rsid w:val="00C82B6B"/>
    <w:rsid w:val="00C90D6A"/>
    <w:rsid w:val="00CC72B6"/>
    <w:rsid w:val="00D0218D"/>
    <w:rsid w:val="00D216CD"/>
    <w:rsid w:val="00D60D07"/>
    <w:rsid w:val="00D709FB"/>
    <w:rsid w:val="00D73AC1"/>
    <w:rsid w:val="00DA2529"/>
    <w:rsid w:val="00DB130A"/>
    <w:rsid w:val="00DC10A1"/>
    <w:rsid w:val="00DC655F"/>
    <w:rsid w:val="00DD7EBD"/>
    <w:rsid w:val="00DF62B6"/>
    <w:rsid w:val="00E07225"/>
    <w:rsid w:val="00E12C92"/>
    <w:rsid w:val="00E155B7"/>
    <w:rsid w:val="00E17EC6"/>
    <w:rsid w:val="00E5409F"/>
    <w:rsid w:val="00E978A2"/>
    <w:rsid w:val="00EC0185"/>
    <w:rsid w:val="00F021FA"/>
    <w:rsid w:val="00F57ACA"/>
    <w:rsid w:val="00F62E97"/>
    <w:rsid w:val="00F64209"/>
    <w:rsid w:val="00F93BF5"/>
    <w:rsid w:val="00F96F63"/>
    <w:rsid w:val="00FF382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F80AC0D5-3DA2-4D09-8A02-3E205987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6,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uiPriority w:val="99"/>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4 Char Char1 Char Char Char,Footnote Text Char5 Char Char Char,fn Char Char"/>
    <w:link w:val="FootnoteText"/>
    <w:locked/>
    <w:rsid w:val="0097366C"/>
  </w:style>
  <w:style w:type="character" w:customStyle="1" w:styleId="UnresolvedMention">
    <w:name w:val="Unresolved Mention"/>
    <w:basedOn w:val="DefaultParagraphFont"/>
    <w:uiPriority w:val="99"/>
    <w:semiHidden/>
    <w:unhideWhenUsed/>
    <w:rsid w:val="003754B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docs.fcc.gov/public/attachments/DOC-357277A1.xlsx" TargetMode="External" /><Relationship Id="rId6" Type="http://schemas.openxmlformats.org/officeDocument/2006/relationships/hyperlink" Target="mailto:Suzanne.Yelen@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urldefense.proofpoint.com/v2/url?u=https-3A__www.neca.org_RoR-5FUSF-5FReform-5FResources.aspx&amp;d=DwMFAw&amp;c=y0h0omCe0jAUGr4gAQ02Fw&amp;r=INAslif5C3D8NUa3juuR9EB0k-lrT2chL5f1d7t1nek&amp;m=OqmhORIeom28aMp6ZddY5llhViDB_lHz66pXRVxipaM&amp;s=lYidjG8gxVR-2shdT8iSmeklwu4aneLr0c5wRHCbRHI&amp;e=" TargetMode="External" /><Relationship Id="rId2" Type="http://schemas.openxmlformats.org/officeDocument/2006/relationships/hyperlink" Target="https://docs.fcc.gov/public/attachments/DOC-357277A2.xlsx"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