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E52449" w:rsidP="00C82B6B">
      <w:pPr>
        <w:jc w:val="right"/>
        <w:rPr>
          <w:szCs w:val="22"/>
        </w:rPr>
      </w:pPr>
      <w:bookmarkStart w:id="0" w:name="_GoBack"/>
      <w:bookmarkEnd w:id="0"/>
    </w:p>
    <w:p w:rsidR="00013A8B" w:rsidRPr="00E52449" w:rsidP="00013A8B">
      <w:pPr>
        <w:jc w:val="right"/>
        <w:rPr>
          <w:b/>
          <w:szCs w:val="22"/>
        </w:rPr>
      </w:pPr>
      <w:r>
        <w:rPr>
          <w:b/>
          <w:szCs w:val="22"/>
        </w:rPr>
        <w:t>DA 19-</w:t>
      </w:r>
      <w:r w:rsidR="00A82A59">
        <w:rPr>
          <w:b/>
          <w:szCs w:val="22"/>
        </w:rPr>
        <w:t>325</w:t>
      </w:r>
    </w:p>
    <w:p w:rsidR="00013A8B" w:rsidRPr="00E52449" w:rsidP="00013A8B">
      <w:pPr>
        <w:spacing w:before="60"/>
        <w:jc w:val="right"/>
        <w:rPr>
          <w:b/>
          <w:szCs w:val="22"/>
        </w:rPr>
      </w:pPr>
      <w:r w:rsidRPr="00E52449">
        <w:rPr>
          <w:b/>
          <w:szCs w:val="22"/>
        </w:rPr>
        <w:t xml:space="preserve">Released:  </w:t>
      </w:r>
      <w:r w:rsidRPr="00E52449" w:rsidR="00E52449">
        <w:rPr>
          <w:b/>
          <w:szCs w:val="22"/>
        </w:rPr>
        <w:t>April 24, 2019</w:t>
      </w:r>
    </w:p>
    <w:p w:rsidR="00013A8B" w:rsidRPr="00E52449" w:rsidP="00013A8B">
      <w:pPr>
        <w:jc w:val="right"/>
        <w:rPr>
          <w:szCs w:val="22"/>
        </w:rPr>
      </w:pPr>
    </w:p>
    <w:p w:rsidR="00E52449" w:rsidRPr="00E52449" w:rsidP="00E52449">
      <w:pPr>
        <w:widowControl/>
        <w:spacing w:after="240"/>
        <w:jc w:val="center"/>
        <w:rPr>
          <w:rFonts w:ascii="Times New Roman Bold" w:hAnsi="Times New Roman Bold"/>
          <w:b/>
          <w:caps/>
          <w:szCs w:val="22"/>
        </w:rPr>
      </w:pPr>
      <w:r w:rsidRPr="00E52449">
        <w:rPr>
          <w:b/>
          <w:szCs w:val="22"/>
        </w:rPr>
        <w:t>WIRELINE COMPETITION BUREAU SEEKS COMMENT ON THE JOINT PETITION OF RESERVATION TELEPHONE COOPERATIVE AND QWEST CORPORATION D/B/A CENTURYLINK QC TO WAIVE THE DEFINITION OF “STUDY AREA” CONTAINED IN PART 36 OF THE COMMISSION’S RULES</w:t>
      </w:r>
    </w:p>
    <w:p w:rsidR="00013A8B" w:rsidRPr="00E52449" w:rsidP="00013A8B">
      <w:pPr>
        <w:jc w:val="center"/>
        <w:rPr>
          <w:b/>
          <w:szCs w:val="22"/>
        </w:rPr>
      </w:pPr>
      <w:r w:rsidRPr="00E52449">
        <w:rPr>
          <w:b/>
          <w:szCs w:val="22"/>
        </w:rPr>
        <w:t>CC Docket No. 96-45</w:t>
      </w:r>
    </w:p>
    <w:p w:rsidR="00E52449" w:rsidRPr="00E52449" w:rsidP="00013A8B">
      <w:pPr>
        <w:jc w:val="center"/>
        <w:rPr>
          <w:b/>
          <w:szCs w:val="22"/>
        </w:rPr>
      </w:pPr>
    </w:p>
    <w:p w:rsidR="00E52449" w:rsidRPr="00E52449" w:rsidP="00E52449">
      <w:pPr>
        <w:widowControl/>
        <w:rPr>
          <w:b/>
          <w:szCs w:val="22"/>
        </w:rPr>
      </w:pPr>
      <w:r w:rsidRPr="00E52449">
        <w:rPr>
          <w:b/>
          <w:szCs w:val="22"/>
        </w:rPr>
        <w:t xml:space="preserve">Comment Date: May </w:t>
      </w:r>
      <w:r>
        <w:rPr>
          <w:b/>
          <w:szCs w:val="22"/>
        </w:rPr>
        <w:t>24</w:t>
      </w:r>
      <w:r w:rsidRPr="00E52449">
        <w:rPr>
          <w:b/>
          <w:szCs w:val="22"/>
        </w:rPr>
        <w:t xml:space="preserve">, 2019 </w:t>
      </w:r>
    </w:p>
    <w:p w:rsidR="00E52449" w:rsidRPr="00E52449" w:rsidP="00E52449">
      <w:pPr>
        <w:widowControl/>
        <w:rPr>
          <w:b/>
          <w:szCs w:val="22"/>
        </w:rPr>
      </w:pPr>
      <w:r w:rsidRPr="00E52449">
        <w:rPr>
          <w:b/>
          <w:szCs w:val="22"/>
        </w:rPr>
        <w:t xml:space="preserve">Reply Comment Date: June </w:t>
      </w:r>
      <w:r>
        <w:rPr>
          <w:b/>
          <w:szCs w:val="22"/>
        </w:rPr>
        <w:t>24</w:t>
      </w:r>
      <w:r w:rsidRPr="00E52449">
        <w:rPr>
          <w:b/>
          <w:szCs w:val="22"/>
        </w:rPr>
        <w:t>, 2019</w:t>
      </w:r>
    </w:p>
    <w:p w:rsidR="00E52449" w:rsidRPr="00E52449" w:rsidP="00E52449">
      <w:pPr>
        <w:widowControl/>
        <w:rPr>
          <w:b/>
          <w:szCs w:val="22"/>
        </w:rPr>
      </w:pPr>
    </w:p>
    <w:p w:rsidR="00E52449" w:rsidRPr="00E52449" w:rsidP="00E52449">
      <w:pPr>
        <w:widowControl/>
        <w:spacing w:after="120"/>
        <w:ind w:firstLine="720"/>
        <w:rPr>
          <w:szCs w:val="22"/>
        </w:rPr>
      </w:pPr>
      <w:r w:rsidRPr="00E52449">
        <w:rPr>
          <w:szCs w:val="22"/>
        </w:rPr>
        <w:t>The Wireline Competition Bureau (Bureau) seeks comment on the joint petition of Reservation Telephone Cooperative (RTC) and Qwest Corporation d/b/a CenturyLink QC (CenturyLink) (together, Petitioners) for waiver of the definition of “study area.”</w:t>
      </w:r>
      <w:r>
        <w:rPr>
          <w:rStyle w:val="FootnoteReference"/>
          <w:szCs w:val="22"/>
        </w:rPr>
        <w:footnoteReference w:id="3"/>
      </w:r>
      <w:r w:rsidRPr="00E52449">
        <w:rPr>
          <w:szCs w:val="22"/>
        </w:rPr>
        <w:t xml:space="preserve">  Petitioners state that the purpose of the waiver is to expand RTC’s Alexander exchange in North Dakota to include portions of CenturyLink’s Fairview and Sidney exchanges in North Dakota.</w:t>
      </w:r>
      <w:r>
        <w:rPr>
          <w:rStyle w:val="FootnoteReference"/>
          <w:szCs w:val="22"/>
        </w:rPr>
        <w:footnoteReference w:id="4"/>
      </w:r>
      <w:r w:rsidRPr="00E52449">
        <w:rPr>
          <w:szCs w:val="22"/>
        </w:rPr>
        <w:t xml:space="preserve">  Petitioners request the waiver to allow RTC to serve six requesting customers in the rural North Dakota Sidney exchange, as well as an anticipated 34 additional requests for service.</w:t>
      </w:r>
      <w:r>
        <w:rPr>
          <w:rStyle w:val="FootnoteReference"/>
          <w:szCs w:val="22"/>
        </w:rPr>
        <w:footnoteReference w:id="5"/>
      </w:r>
      <w:r w:rsidRPr="00E52449">
        <w:rPr>
          <w:szCs w:val="22"/>
        </w:rPr>
        <w:t xml:space="preserve">  The Petitioners also request waiver of Section 69.3(e)(11) of the Commission’s rules to allow RTC participate in the National Exchange Carrier Association, Inc. (“NECA”) tariff pool upon closing of the transaction.</w:t>
      </w:r>
      <w:r>
        <w:rPr>
          <w:rStyle w:val="FootnoteReference"/>
          <w:szCs w:val="22"/>
        </w:rPr>
        <w:footnoteReference w:id="6"/>
      </w:r>
      <w:r w:rsidRPr="00E52449">
        <w:rPr>
          <w:szCs w:val="22"/>
        </w:rPr>
        <w:t xml:space="preserve">  </w:t>
      </w:r>
    </w:p>
    <w:p w:rsidR="00E52449" w:rsidRPr="00E52449" w:rsidP="00E52449">
      <w:pPr>
        <w:widowControl/>
        <w:spacing w:after="120"/>
        <w:ind w:firstLine="720"/>
        <w:rPr>
          <w:szCs w:val="22"/>
        </w:rPr>
      </w:pPr>
      <w:r w:rsidRPr="00E52449">
        <w:rPr>
          <w:szCs w:val="22"/>
        </w:rPr>
        <w:t xml:space="preserve">Petitioners state that grant of the petition is in compliance with the standards set forth in the </w:t>
      </w:r>
      <w:r w:rsidRPr="00E52449">
        <w:rPr>
          <w:i/>
          <w:szCs w:val="22"/>
        </w:rPr>
        <w:t>USF/ICC Transformation Order</w:t>
      </w:r>
      <w:r w:rsidRPr="00E52449">
        <w:rPr>
          <w:szCs w:val="22"/>
        </w:rPr>
        <w:t>,</w:t>
      </w:r>
      <w:r>
        <w:rPr>
          <w:rStyle w:val="FootnoteReference"/>
          <w:szCs w:val="22"/>
        </w:rPr>
        <w:footnoteReference w:id="7"/>
      </w:r>
      <w:r w:rsidRPr="00E52449">
        <w:rPr>
          <w:szCs w:val="22"/>
        </w:rPr>
        <w:t xml:space="preserve"> and the public interest will be served by granting the waiver.</w:t>
      </w:r>
      <w:r>
        <w:rPr>
          <w:rStyle w:val="FootnoteReference"/>
          <w:szCs w:val="22"/>
        </w:rPr>
        <w:footnoteReference w:id="8"/>
      </w:r>
      <w:r w:rsidRPr="00E52449">
        <w:rPr>
          <w:szCs w:val="22"/>
        </w:rPr>
        <w:t xml:space="preserve"> </w:t>
      </w:r>
    </w:p>
    <w:p w:rsidR="00E52449" w:rsidRPr="00E52449" w:rsidP="00E52449">
      <w:pPr>
        <w:widowControl/>
        <w:spacing w:after="120"/>
        <w:ind w:firstLine="720"/>
        <w:rPr>
          <w:szCs w:val="22"/>
        </w:rPr>
      </w:pPr>
      <w:r w:rsidRPr="00E52449">
        <w:rPr>
          <w:szCs w:val="22"/>
        </w:rPr>
        <w:t>Effective November 15, 1984, the Commission froze all study area boundaries to prevent incumbent local exchange carriers from establishing separate study areas made up only of high-cost exchanges in order to maximize their receipt of high-cost universal service support.</w:t>
      </w:r>
      <w:r>
        <w:rPr>
          <w:rStyle w:val="FootnoteReference"/>
          <w:szCs w:val="22"/>
        </w:rPr>
        <w:footnoteReference w:id="9"/>
      </w:r>
      <w:r w:rsidRPr="00E52449">
        <w:rPr>
          <w:szCs w:val="22"/>
        </w:rPr>
        <w:t xml:space="preserve">  A carrier must </w:t>
      </w:r>
      <w:r w:rsidRPr="00E52449">
        <w:rPr>
          <w:szCs w:val="22"/>
        </w:rPr>
        <w:t xml:space="preserve">therefore apply to the Commission for a waiver of the study area boundary freeze if it wishes to transfer or acquire additional exchanges. </w:t>
      </w:r>
    </w:p>
    <w:p w:rsidR="00E52449" w:rsidRPr="00E52449" w:rsidP="00E52449">
      <w:pPr>
        <w:widowControl/>
        <w:spacing w:after="120"/>
        <w:ind w:firstLine="720"/>
        <w:rPr>
          <w:szCs w:val="22"/>
        </w:rPr>
      </w:pPr>
      <w:r w:rsidRPr="00E52449">
        <w:rPr>
          <w:szCs w:val="22"/>
        </w:rPr>
        <w:t xml:space="preserve">In the </w:t>
      </w:r>
      <w:r w:rsidRPr="00E52449">
        <w:rPr>
          <w:i/>
          <w:szCs w:val="22"/>
        </w:rPr>
        <w:t>USF/ICC Transformation Order</w:t>
      </w:r>
      <w:r w:rsidRPr="00E52449">
        <w:rPr>
          <w:szCs w:val="22"/>
        </w:rPr>
        <w:t>, the Commission streamlined its rules governing study area waiver requests, creating a method similar to the Bureau’s processing of routine section 214 transfer of control applications.</w:t>
      </w:r>
      <w:r>
        <w:rPr>
          <w:rStyle w:val="FootnoteReference"/>
          <w:szCs w:val="22"/>
        </w:rPr>
        <w:footnoteReference w:id="10"/>
      </w:r>
      <w:r w:rsidRPr="00E52449">
        <w:rPr>
          <w:szCs w:val="22"/>
        </w:rPr>
        <w:t xml:space="preserve">  In the past, the procedures for addressing petitions for study area waiver required the Bureau to issue an order either granting or denying the request after issuing a public notice.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11"/>
      </w:r>
      <w:r w:rsidRPr="00E52449">
        <w:rPr>
          <w:szCs w:val="22"/>
        </w:rPr>
        <w:t xml:space="preserve">  Based on an initial review, the Bureau finds that because of the policy issues raised by the Petition, it is inappropriate for streamlined treatment and should be subject to further analysis and review. Accordingly, the Bureau will issue an order either granting or denying the Petition after considering the record, including the record received in response to this public notice.</w:t>
      </w:r>
      <w:r>
        <w:rPr>
          <w:rStyle w:val="FootnoteReference"/>
          <w:szCs w:val="22"/>
        </w:rPr>
        <w:footnoteReference w:id="12"/>
      </w:r>
    </w:p>
    <w:p w:rsidR="00E52449" w:rsidRPr="00E52449" w:rsidP="00E52449">
      <w:pPr>
        <w:widowControl/>
        <w:spacing w:after="120"/>
        <w:ind w:firstLine="720"/>
        <w:rPr>
          <w:szCs w:val="22"/>
        </w:rPr>
      </w:pPr>
      <w:r w:rsidRPr="00E52449">
        <w:rPr>
          <w:szCs w:val="22"/>
        </w:rPr>
        <w:t>Pursuant to sections 1.415 and 1.419 of the Commission’s rules, interested parties may file comments on or before the dates indicated above.</w:t>
      </w:r>
      <w:r>
        <w:rPr>
          <w:rStyle w:val="FootnoteReference"/>
          <w:szCs w:val="22"/>
        </w:rPr>
        <w:footnoteReference w:id="13"/>
      </w:r>
      <w:r w:rsidRPr="00E52449">
        <w:rPr>
          <w:szCs w:val="22"/>
        </w:rPr>
        <w:t xml:space="preserve">  All pleadings are to reference </w:t>
      </w:r>
      <w:r w:rsidRPr="00E52449">
        <w:rPr>
          <w:b/>
          <w:szCs w:val="22"/>
        </w:rPr>
        <w:t>CC Docket No. 96-45</w:t>
      </w:r>
      <w:r w:rsidRPr="00E52449">
        <w:rPr>
          <w:szCs w:val="22"/>
        </w:rPr>
        <w:t>. Comments may be filed using the Commission’s Electronic Comment Filing System (ECFS), or by filing paper copies.</w:t>
      </w:r>
      <w:r>
        <w:rPr>
          <w:rStyle w:val="FootnoteReference"/>
          <w:szCs w:val="22"/>
        </w:rPr>
        <w:footnoteReference w:id="14"/>
      </w:r>
    </w:p>
    <w:p w:rsidR="00E52449" w:rsidRPr="00E52449" w:rsidP="00E52449">
      <w:pPr>
        <w:widowControl/>
        <w:numPr>
          <w:ilvl w:val="0"/>
          <w:numId w:val="7"/>
        </w:numPr>
        <w:spacing w:after="120"/>
        <w:ind w:left="720"/>
        <w:rPr>
          <w:szCs w:val="22"/>
        </w:rPr>
      </w:pPr>
      <w:r w:rsidRPr="00E52449">
        <w:rPr>
          <w:szCs w:val="22"/>
        </w:rPr>
        <w:t xml:space="preserve">Electronic Filers: Comments may be filed electronically using the Internet by accessing the ECFS: http://apps.fcc.gov/ecfs/. </w:t>
      </w:r>
    </w:p>
    <w:p w:rsidR="00E52449" w:rsidRPr="00E52449" w:rsidP="00E52449">
      <w:pPr>
        <w:widowControl/>
        <w:numPr>
          <w:ilvl w:val="1"/>
          <w:numId w:val="7"/>
        </w:numPr>
        <w:spacing w:after="120"/>
        <w:ind w:left="1440"/>
        <w:rPr>
          <w:szCs w:val="22"/>
        </w:rPr>
      </w:pPr>
      <w:r w:rsidRPr="00E5244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52449" w:rsidRPr="00E52449" w:rsidP="00E52449">
      <w:pPr>
        <w:widowControl/>
        <w:spacing w:after="120"/>
        <w:rPr>
          <w:szCs w:val="22"/>
        </w:rPr>
      </w:pPr>
      <w:r w:rsidRPr="00E52449">
        <w:rPr>
          <w:szCs w:val="22"/>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00E52449" w:rsidRPr="00E52449" w:rsidP="00E52449">
      <w:pPr>
        <w:widowControl/>
        <w:numPr>
          <w:ilvl w:val="0"/>
          <w:numId w:val="7"/>
        </w:numPr>
        <w:spacing w:after="120"/>
        <w:rPr>
          <w:szCs w:val="22"/>
        </w:rPr>
      </w:pPr>
      <w:r w:rsidRPr="00E52449">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E52449">
        <w:rPr>
          <w:szCs w:val="22"/>
          <w:u w:val="single"/>
        </w:rPr>
        <w:t>before</w:t>
      </w:r>
      <w:r w:rsidRPr="00E52449">
        <w:rPr>
          <w:szCs w:val="22"/>
        </w:rPr>
        <w:t xml:space="preserve"> entering the building. </w:t>
      </w:r>
    </w:p>
    <w:p w:rsidR="00E52449" w:rsidRPr="00E52449" w:rsidP="00E52449">
      <w:pPr>
        <w:widowControl/>
        <w:numPr>
          <w:ilvl w:val="0"/>
          <w:numId w:val="7"/>
        </w:numPr>
        <w:spacing w:after="120"/>
        <w:rPr>
          <w:szCs w:val="22"/>
        </w:rPr>
      </w:pPr>
      <w:r w:rsidRPr="00E52449">
        <w:rPr>
          <w:szCs w:val="22"/>
        </w:rPr>
        <w:t xml:space="preserve">Commercial overnight mail (other than U.S. Postal Service Express Mail and Priority Mail) must be sent to 9050 Junction Drive, Annapolis Junction, MD 20701. </w:t>
      </w:r>
    </w:p>
    <w:p w:rsidR="00E52449" w:rsidRPr="00E52449" w:rsidP="00E52449">
      <w:pPr>
        <w:widowControl/>
        <w:numPr>
          <w:ilvl w:val="0"/>
          <w:numId w:val="7"/>
        </w:numPr>
        <w:spacing w:after="120"/>
        <w:rPr>
          <w:szCs w:val="22"/>
        </w:rPr>
      </w:pPr>
      <w:r w:rsidRPr="00E52449">
        <w:rPr>
          <w:szCs w:val="22"/>
        </w:rPr>
        <w:t>U.S. Postal Service first-class, Express, and Priority mail must be addressed to 445 12th Street, SW, Washington DC 20554.</w:t>
      </w:r>
    </w:p>
    <w:p w:rsidR="00E52449" w:rsidRPr="00E52449" w:rsidP="00E52449">
      <w:pPr>
        <w:widowControl/>
        <w:spacing w:after="120"/>
        <w:rPr>
          <w:szCs w:val="22"/>
        </w:rPr>
      </w:pPr>
      <w:r w:rsidRPr="00E52449">
        <w:rPr>
          <w:szCs w:val="22"/>
        </w:rPr>
        <w:t xml:space="preserve">In addition, we request that one copy of each pleading be sent to each of the following: </w:t>
      </w:r>
    </w:p>
    <w:p w:rsidR="00E52449" w:rsidRPr="00E52449" w:rsidP="00E52449">
      <w:pPr>
        <w:widowControl/>
        <w:spacing w:after="120"/>
        <w:rPr>
          <w:szCs w:val="22"/>
        </w:rPr>
      </w:pPr>
      <w:r w:rsidRPr="00E52449">
        <w:rPr>
          <w:szCs w:val="22"/>
        </w:rPr>
        <w:t xml:space="preserve">(1) Abdel Eqab, Telecommunications Access Policy Division, Wireline Competition Bureau, 445 12th Street, S.W., Room 5-B431, Washington, D.C. 20554; e-mail: </w:t>
      </w:r>
      <w:hyperlink r:id="rId5" w:history="1">
        <w:r w:rsidRPr="00E52449">
          <w:rPr>
            <w:rStyle w:val="Hyperlink"/>
            <w:szCs w:val="22"/>
          </w:rPr>
          <w:t>Abdel-Hamid.Eqab@fcc.gov</w:t>
        </w:r>
      </w:hyperlink>
      <w:r w:rsidRPr="00E52449">
        <w:rPr>
          <w:szCs w:val="22"/>
        </w:rPr>
        <w:t xml:space="preserve">; and </w:t>
      </w:r>
    </w:p>
    <w:p w:rsidR="00E52449" w:rsidRPr="00E52449" w:rsidP="00E52449">
      <w:pPr>
        <w:widowControl/>
        <w:spacing w:after="120"/>
        <w:rPr>
          <w:szCs w:val="22"/>
        </w:rPr>
      </w:pPr>
      <w:r w:rsidRPr="00E52449">
        <w:rPr>
          <w:szCs w:val="22"/>
        </w:rPr>
        <w:t xml:space="preserve">(2) Charles Tyler, Telecommunications Access Policy Division, Wireline Competition Bureau, 445 12th Street, S.W., Room 5-A452, Washington, D.C. 20554; e-mail: </w:t>
      </w:r>
      <w:hyperlink r:id="rId6" w:history="1">
        <w:r w:rsidRPr="00E52449">
          <w:rPr>
            <w:rStyle w:val="Hyperlink"/>
            <w:szCs w:val="22"/>
          </w:rPr>
          <w:t>Charles.Tyler@fcc.gov</w:t>
        </w:r>
      </w:hyperlink>
      <w:r w:rsidRPr="00E52449">
        <w:rPr>
          <w:szCs w:val="22"/>
        </w:rPr>
        <w:t xml:space="preserve">. </w:t>
      </w:r>
    </w:p>
    <w:p w:rsidR="00E52449" w:rsidRPr="00E52449" w:rsidP="00E52449">
      <w:pPr>
        <w:widowControl/>
        <w:spacing w:after="120"/>
        <w:rPr>
          <w:szCs w:val="22"/>
        </w:rPr>
      </w:pPr>
      <w:r w:rsidRPr="00E52449">
        <w:rPr>
          <w:szCs w:val="22"/>
          <w:u w:val="single"/>
        </w:rPr>
        <w:t>People with Disabilities</w:t>
      </w:r>
      <w:r w:rsidRPr="00E52449">
        <w:rPr>
          <w:szCs w:val="22"/>
        </w:rPr>
        <w:t xml:space="preserve">.  To request materials in accessible formats for people with disabilities (braille, large print, electronic files, audio format), send an e-mail to fcc504@fcc.gov or call the Consumer &amp; Governmental Affairs Bureau at 202-418-0530 (voice), 202-418-0432 (tty). </w:t>
      </w:r>
    </w:p>
    <w:p w:rsidR="00E52449" w:rsidRPr="00E52449" w:rsidP="00E52449">
      <w:pPr>
        <w:widowControl/>
        <w:spacing w:after="120"/>
        <w:rPr>
          <w:szCs w:val="22"/>
        </w:rPr>
      </w:pPr>
      <w:r w:rsidRPr="00E52449">
        <w:rPr>
          <w:szCs w:val="22"/>
          <w:u w:val="single"/>
        </w:rPr>
        <w:t>Availability of Documents</w:t>
      </w:r>
      <w:r w:rsidRPr="00E52449">
        <w:rPr>
          <w:szCs w:val="22"/>
        </w:rPr>
        <w:t xml:space="preserve">.  Comments, reply comments, and </w:t>
      </w:r>
      <w:r w:rsidRPr="00E52449">
        <w:rPr>
          <w:i/>
          <w:szCs w:val="22"/>
        </w:rPr>
        <w:t>ex parte</w:t>
      </w:r>
      <w:r w:rsidRPr="00E52449">
        <w:rPr>
          <w:szCs w:val="22"/>
        </w:rPr>
        <w:t xml:space="preserve"> submissions will be publicly available online via ECFS.</w:t>
      </w:r>
      <w:r>
        <w:rPr>
          <w:rStyle w:val="FootnoteReference"/>
          <w:szCs w:val="22"/>
        </w:rPr>
        <w:footnoteReference w:id="15"/>
      </w:r>
      <w:r w:rsidRPr="00E52449">
        <w:rPr>
          <w:szCs w:val="22"/>
        </w:rP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E52449" w:rsidRPr="00E52449" w:rsidP="00E52449">
      <w:pPr>
        <w:widowControl/>
        <w:spacing w:after="120"/>
        <w:ind w:firstLine="720"/>
        <w:rPr>
          <w:szCs w:val="22"/>
        </w:rPr>
      </w:pPr>
      <w:r w:rsidRPr="00E52449">
        <w:rPr>
          <w:szCs w:val="22"/>
        </w:rPr>
        <w:t xml:space="preserve">The proceeding this Notice initiates shall be treated as a “permit-but-disclose” proceeding in accordance with the Commission’s </w:t>
      </w:r>
      <w:r w:rsidRPr="00E52449">
        <w:rPr>
          <w:i/>
          <w:szCs w:val="22"/>
        </w:rPr>
        <w:t>ex parte</w:t>
      </w:r>
      <w:r w:rsidRPr="00E52449">
        <w:rPr>
          <w:szCs w:val="22"/>
        </w:rPr>
        <w:t xml:space="preserve"> rules.</w:t>
      </w:r>
      <w:r>
        <w:rPr>
          <w:rStyle w:val="FootnoteReference"/>
          <w:szCs w:val="22"/>
        </w:rPr>
        <w:footnoteReference w:id="16"/>
      </w:r>
      <w:r w:rsidRPr="00E52449">
        <w:rPr>
          <w:szCs w:val="22"/>
        </w:rPr>
        <w:t xml:space="preserve">  Persons making </w:t>
      </w:r>
      <w:r w:rsidRPr="00E52449">
        <w:rPr>
          <w:i/>
          <w:szCs w:val="22"/>
        </w:rPr>
        <w:t>ex parte</w:t>
      </w:r>
      <w:r w:rsidRPr="00E5244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52449">
        <w:rPr>
          <w:i/>
          <w:szCs w:val="22"/>
        </w:rPr>
        <w:t>ex parte</w:t>
      </w:r>
      <w:r w:rsidRPr="00E52449">
        <w:rPr>
          <w:szCs w:val="22"/>
        </w:rPr>
        <w:t xml:space="preserve"> presentations are reminded that memoranda summarizing the presentation must (1) list all persons attending or otherwise participating in the meeting at which the </w:t>
      </w:r>
      <w:r w:rsidRPr="00E52449">
        <w:rPr>
          <w:i/>
          <w:szCs w:val="22"/>
        </w:rPr>
        <w:t>ex parte</w:t>
      </w:r>
      <w:r w:rsidRPr="00E5244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2449">
        <w:rPr>
          <w:i/>
          <w:szCs w:val="22"/>
        </w:rPr>
        <w:t xml:space="preserve">ex parte </w:t>
      </w:r>
      <w:r w:rsidRPr="00E52449">
        <w:rPr>
          <w:szCs w:val="22"/>
        </w:rPr>
        <w:t xml:space="preserve">meetings are deemed to be written </w:t>
      </w:r>
      <w:r w:rsidRPr="00E52449">
        <w:rPr>
          <w:i/>
          <w:szCs w:val="22"/>
        </w:rPr>
        <w:t>ex parte</w:t>
      </w:r>
      <w:r w:rsidRPr="00E52449">
        <w:rPr>
          <w:szCs w:val="22"/>
        </w:rPr>
        <w:t xml:space="preserve"> presentations and must be filed consistent with rule 1.1206(b).  In proceedings governed by rule 1.49(f) or for which the Commission has made available a method of electronic filing, written </w:t>
      </w:r>
      <w:r w:rsidRPr="00E52449">
        <w:rPr>
          <w:i/>
          <w:szCs w:val="22"/>
        </w:rPr>
        <w:t>ex parte</w:t>
      </w:r>
      <w:r w:rsidRPr="00E52449">
        <w:rPr>
          <w:szCs w:val="22"/>
        </w:rPr>
        <w:t xml:space="preserve"> presentations and memoranda summarizing oral </w:t>
      </w:r>
      <w:r w:rsidRPr="00E52449">
        <w:rPr>
          <w:i/>
          <w:szCs w:val="22"/>
        </w:rPr>
        <w:t>ex parte</w:t>
      </w:r>
      <w:r w:rsidRPr="00E52449">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52449">
        <w:rPr>
          <w:i/>
          <w:szCs w:val="22"/>
        </w:rPr>
        <w:t>ex parte</w:t>
      </w:r>
      <w:r w:rsidRPr="00E52449">
        <w:rPr>
          <w:szCs w:val="22"/>
        </w:rPr>
        <w:t xml:space="preserve"> rules.</w:t>
      </w:r>
    </w:p>
    <w:p w:rsidR="00E52449" w:rsidRPr="00E52449" w:rsidP="00E52449">
      <w:pPr>
        <w:widowControl/>
        <w:ind w:firstLine="720"/>
        <w:rPr>
          <w:szCs w:val="22"/>
        </w:rPr>
      </w:pPr>
      <w:r w:rsidRPr="00E52449">
        <w:rPr>
          <w:szCs w:val="22"/>
        </w:rPr>
        <w:t>For further information, please contact Abdel Eqab, Telecommunications Access Policy Division, Wireline Competition Bureau at (202) 418-7400 or TTY (202) 418-0484.</w:t>
      </w:r>
    </w:p>
    <w:p w:rsidR="00E52449" w:rsidRPr="00E52449" w:rsidP="00E52449">
      <w:pPr>
        <w:widowControl/>
        <w:ind w:firstLine="720"/>
        <w:rPr>
          <w:szCs w:val="22"/>
        </w:rPr>
      </w:pPr>
    </w:p>
    <w:p w:rsidR="00E52449" w:rsidRPr="00E52449" w:rsidP="00E52449">
      <w:pPr>
        <w:widowControl/>
        <w:jc w:val="center"/>
        <w:rPr>
          <w:b/>
          <w:szCs w:val="22"/>
        </w:rPr>
      </w:pPr>
      <w:r w:rsidRPr="00E52449">
        <w:rPr>
          <w:b/>
          <w:szCs w:val="22"/>
        </w:rPr>
        <w:t>- FCC -</w:t>
      </w:r>
    </w:p>
    <w:p w:rsidR="00E52449" w:rsidRPr="00E52449" w:rsidP="00E52449">
      <w:pPr>
        <w:widowControl/>
        <w:rPr>
          <w:szCs w:val="22"/>
        </w:rPr>
      </w:pPr>
    </w:p>
    <w:p w:rsidR="00E52449" w:rsidRPr="00E52449" w:rsidP="00013A8B">
      <w:pPr>
        <w:jc w:val="center"/>
        <w:rPr>
          <w:b/>
          <w:szCs w:val="22"/>
        </w:rPr>
      </w:pPr>
    </w:p>
    <w:p w:rsidR="00F96F63" w:rsidRPr="00E52449" w:rsidP="00F96F63">
      <w:pPr>
        <w:rPr>
          <w:szCs w:val="22"/>
        </w:rPr>
      </w:pPr>
      <w:bookmarkStart w:id="1" w:name="TOChere"/>
    </w:p>
    <w:bookmarkEnd w:id="1"/>
    <w:p w:rsidR="00F96F63" w:rsidRPr="00E52449" w:rsidP="00F96F63">
      <w:pPr>
        <w:rPr>
          <w:szCs w:val="22"/>
        </w:rPr>
      </w:pPr>
    </w:p>
    <w:p w:rsidR="00930ECF" w:rsidRPr="00E52449" w:rsidP="00F96F63">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0780">
      <w:r>
        <w:separator/>
      </w:r>
    </w:p>
  </w:footnote>
  <w:footnote w:type="continuationSeparator" w:id="1">
    <w:p w:rsidR="002D0780">
      <w:pPr>
        <w:rPr>
          <w:sz w:val="20"/>
        </w:rPr>
      </w:pPr>
      <w:r>
        <w:rPr>
          <w:sz w:val="20"/>
        </w:rPr>
        <w:t xml:space="preserve">(Continued from previous page)  </w:t>
      </w:r>
      <w:r>
        <w:rPr>
          <w:sz w:val="20"/>
        </w:rPr>
        <w:separator/>
      </w:r>
    </w:p>
  </w:footnote>
  <w:footnote w:type="continuationNotice" w:id="2">
    <w:p w:rsidR="002D0780" w:rsidP="00910F12">
      <w:pPr>
        <w:jc w:val="right"/>
        <w:rPr>
          <w:sz w:val="20"/>
        </w:rPr>
      </w:pPr>
      <w:r>
        <w:rPr>
          <w:sz w:val="20"/>
        </w:rPr>
        <w:t>(continued….)</w:t>
      </w:r>
    </w:p>
  </w:footnote>
  <w:footnote w:id="3">
    <w:p w:rsidR="00E52449" w:rsidRPr="00D55B6D" w:rsidP="00E52449">
      <w:pPr>
        <w:pStyle w:val="FootnoteText"/>
      </w:pPr>
      <w:r w:rsidRPr="00D55B6D">
        <w:rPr>
          <w:rStyle w:val="FootnoteReference"/>
          <w:sz w:val="20"/>
        </w:rPr>
        <w:footnoteRef/>
      </w:r>
      <w:r w:rsidRPr="00D55B6D">
        <w:t xml:space="preserve"> Joint Petition for Waiver of Reservation Telephone Cooperative and Qwest Corporation d/b/a CenturyLink QC for Waiver of the Definition of “Study Area” Contained in Part 36, Appendix-Glossary of the Commission’s Rules, CC Docket No. 96-45 (filed Mar. 20, 2019) (Petition).  47 CFR Part. 36 App. (defining “study area”).</w:t>
      </w:r>
    </w:p>
  </w:footnote>
  <w:footnote w:id="4">
    <w:p w:rsidR="00E52449" w:rsidRPr="00D55B6D" w:rsidP="00E52449">
      <w:pPr>
        <w:pStyle w:val="FootnoteText"/>
      </w:pPr>
      <w:r w:rsidRPr="00D55B6D">
        <w:rPr>
          <w:rStyle w:val="FootnoteReference"/>
          <w:sz w:val="20"/>
        </w:rPr>
        <w:footnoteRef/>
      </w:r>
      <w:r w:rsidRPr="00D55B6D">
        <w:t xml:space="preserve"> </w:t>
      </w:r>
      <w:r w:rsidRPr="00A73B0C">
        <w:rPr>
          <w:i/>
        </w:rPr>
        <w:t>See</w:t>
      </w:r>
      <w:r w:rsidRPr="00D55B6D">
        <w:t xml:space="preserve"> Petition at 1.</w:t>
      </w:r>
    </w:p>
  </w:footnote>
  <w:footnote w:id="5">
    <w:p w:rsidR="00E52449" w:rsidRPr="00D55B6D" w:rsidP="00E52449">
      <w:pPr>
        <w:pStyle w:val="FootnoteText"/>
        <w:rPr>
          <w:i/>
        </w:rPr>
      </w:pPr>
      <w:r w:rsidRPr="00D55B6D">
        <w:rPr>
          <w:rStyle w:val="FootnoteReference"/>
          <w:sz w:val="20"/>
        </w:rPr>
        <w:footnoteRef/>
      </w:r>
      <w:r w:rsidRPr="00D55B6D">
        <w:t xml:space="preserve"> </w:t>
      </w:r>
      <w:r w:rsidRPr="00D55B6D">
        <w:rPr>
          <w:i/>
        </w:rPr>
        <w:t>Id.</w:t>
      </w:r>
    </w:p>
  </w:footnote>
  <w:footnote w:id="6">
    <w:p w:rsidR="00E52449" w:rsidRPr="00D55B6D" w:rsidP="00E52449">
      <w:pPr>
        <w:pStyle w:val="FootnoteText"/>
      </w:pPr>
      <w:r w:rsidRPr="00D55B6D">
        <w:rPr>
          <w:rStyle w:val="FootnoteReference"/>
          <w:sz w:val="20"/>
        </w:rPr>
        <w:footnoteRef/>
      </w:r>
      <w:r w:rsidRPr="00D55B6D">
        <w:t xml:space="preserve"> </w:t>
      </w:r>
      <w:r w:rsidRPr="00D55B6D">
        <w:rPr>
          <w:i/>
        </w:rPr>
        <w:t>Id.</w:t>
      </w:r>
    </w:p>
  </w:footnote>
  <w:footnote w:id="7">
    <w:p w:rsidR="00E52449" w:rsidRPr="00D55B6D" w:rsidP="00E52449">
      <w:pPr>
        <w:pStyle w:val="FootnoteText"/>
      </w:pPr>
      <w:r w:rsidRPr="00D55B6D">
        <w:rPr>
          <w:rStyle w:val="FootnoteReference"/>
          <w:sz w:val="20"/>
        </w:rPr>
        <w:footnoteRef/>
      </w:r>
      <w:r w:rsidRPr="00D55B6D">
        <w:t xml:space="preserve"> </w:t>
      </w:r>
      <w:r w:rsidRPr="00D55B6D">
        <w:rPr>
          <w:i/>
        </w:rPr>
        <w:t>See Connect America Fund et al</w:t>
      </w:r>
      <w:r w:rsidRPr="00D55B6D">
        <w:t>., WC Docket No. 10-90, et al., Report and Order and Further Notice of Proposed Rulemaking, 26 FCC Rcd 17663, 17763, paras. 266-67 (2011) (</w:t>
      </w:r>
      <w:r w:rsidRPr="00D55B6D">
        <w:rPr>
          <w:i/>
        </w:rPr>
        <w:t>USF/ICC Transformation Order</w:t>
      </w:r>
      <w:r w:rsidRPr="00D55B6D">
        <w:t xml:space="preserve">); </w:t>
      </w:r>
      <w:r w:rsidRPr="00D55B6D">
        <w:rPr>
          <w:i/>
        </w:rPr>
        <w:t>aff’d In re</w:t>
      </w:r>
      <w:r w:rsidRPr="00D55B6D">
        <w:t>: FCC 11-161, 753 F.3d 1015 (10th Cir. 2014); 47 CFR § 36.4.</w:t>
      </w:r>
    </w:p>
  </w:footnote>
  <w:footnote w:id="8">
    <w:p w:rsidR="00E52449" w:rsidRPr="00D55B6D" w:rsidP="00E52449">
      <w:pPr>
        <w:pStyle w:val="FootnoteText"/>
      </w:pPr>
      <w:r w:rsidRPr="00D55B6D">
        <w:rPr>
          <w:rStyle w:val="FootnoteReference"/>
          <w:sz w:val="20"/>
        </w:rPr>
        <w:footnoteRef/>
      </w:r>
      <w:r w:rsidRPr="00D55B6D">
        <w:t xml:space="preserve"> Petition at 4-5.</w:t>
      </w:r>
    </w:p>
  </w:footnote>
  <w:footnote w:id="9">
    <w:p w:rsidR="00E52449" w:rsidRPr="00D55B6D" w:rsidP="00E52449">
      <w:pPr>
        <w:pStyle w:val="FootnoteText"/>
      </w:pPr>
      <w:r w:rsidRPr="00D55B6D">
        <w:rPr>
          <w:rStyle w:val="FootnoteReference"/>
          <w:sz w:val="20"/>
        </w:rPr>
        <w:footnoteRef/>
      </w:r>
      <w:r w:rsidRPr="00D55B6D">
        <w:t xml:space="preserve"> </w:t>
      </w:r>
      <w:r w:rsidRPr="00D55B6D">
        <w:rPr>
          <w:i/>
        </w:rPr>
        <w:t>See MTS and WATS Market Structure, Amendment of Part 67 of the Commission’s Rules and Establishment of a Joint Board</w:t>
      </w:r>
      <w:r w:rsidRPr="00D55B6D">
        <w:t>, CC Docket Nos. 78-72, 80-286, Decision and Order, 50 Fed. Reg. 939 (1985).</w:t>
      </w:r>
    </w:p>
  </w:footnote>
  <w:footnote w:id="10">
    <w:p w:rsidR="00E52449" w:rsidRPr="00D55B6D" w:rsidP="00E52449">
      <w:pPr>
        <w:pStyle w:val="FootnoteText"/>
      </w:pPr>
      <w:r w:rsidRPr="00D55B6D">
        <w:rPr>
          <w:rStyle w:val="FootnoteReference"/>
          <w:sz w:val="20"/>
        </w:rPr>
        <w:footnoteRef/>
      </w:r>
      <w:r w:rsidRPr="00D55B6D">
        <w:t xml:space="preserve"> </w:t>
      </w:r>
      <w:r w:rsidRPr="00D55B6D">
        <w:rPr>
          <w:i/>
        </w:rPr>
        <w:t>See USF/ICC Transformation Order</w:t>
      </w:r>
      <w:r w:rsidRPr="00D55B6D">
        <w:t>, 26 FCC Rcd at 17763, paras. 266-67.</w:t>
      </w:r>
    </w:p>
  </w:footnote>
  <w:footnote w:id="11">
    <w:p w:rsidR="00E52449" w:rsidRPr="00D55B6D" w:rsidP="00E52449">
      <w:pPr>
        <w:pStyle w:val="FootnoteText"/>
      </w:pPr>
      <w:r w:rsidRPr="00D55B6D">
        <w:rPr>
          <w:rStyle w:val="FootnoteReference"/>
          <w:sz w:val="20"/>
        </w:rPr>
        <w:footnoteRef/>
      </w:r>
      <w:r w:rsidRPr="00D55B6D">
        <w:t xml:space="preserve"> </w:t>
      </w:r>
      <w:r w:rsidRPr="00D55B6D">
        <w:rPr>
          <w:i/>
        </w:rPr>
        <w:t>See id</w:t>
      </w:r>
      <w:r w:rsidRPr="00D55B6D">
        <w:t>.; 47 CFR § 36.4.</w:t>
      </w:r>
    </w:p>
  </w:footnote>
  <w:footnote w:id="12">
    <w:p w:rsidR="00E52449" w:rsidRPr="00D55B6D" w:rsidP="00E52449">
      <w:pPr>
        <w:pStyle w:val="FootnoteText"/>
      </w:pPr>
      <w:r w:rsidRPr="00D55B6D">
        <w:rPr>
          <w:rStyle w:val="FootnoteReference"/>
          <w:sz w:val="20"/>
        </w:rPr>
        <w:footnoteRef/>
      </w:r>
      <w:r w:rsidRPr="00D55B6D">
        <w:t xml:space="preserve"> Consistent with the Commission’s decision in June 2014, the fee associated with the application to transfer lines below the exchange level is waived.  </w:t>
      </w:r>
      <w:r w:rsidRPr="00D55B6D">
        <w:rPr>
          <w:i/>
        </w:rPr>
        <w:t>See Connect America Fund, et al</w:t>
      </w:r>
      <w:r w:rsidRPr="00D55B6D">
        <w:t>., Report and Order, et al., WC Docket No 10- 90, et al., 29 FCC Rcd 7051, 7082-83, para. 89 (2014).</w:t>
      </w:r>
    </w:p>
  </w:footnote>
  <w:footnote w:id="13">
    <w:p w:rsidR="00E52449" w:rsidRPr="00D55B6D" w:rsidP="00E52449">
      <w:pPr>
        <w:pStyle w:val="FootnoteText"/>
      </w:pPr>
      <w:r w:rsidRPr="00D55B6D">
        <w:rPr>
          <w:rStyle w:val="FootnoteReference"/>
          <w:sz w:val="20"/>
        </w:rPr>
        <w:footnoteRef/>
      </w:r>
      <w:r w:rsidRPr="00D55B6D">
        <w:t xml:space="preserve"> 47 CFR §§ 1.415, 1.419.</w:t>
      </w:r>
    </w:p>
  </w:footnote>
  <w:footnote w:id="14">
    <w:p w:rsidR="00E52449" w:rsidRPr="00D55B6D" w:rsidP="00E52449">
      <w:pPr>
        <w:pStyle w:val="FootnoteText"/>
      </w:pPr>
      <w:r w:rsidRPr="00D55B6D">
        <w:rPr>
          <w:rStyle w:val="FootnoteReference"/>
          <w:sz w:val="20"/>
        </w:rPr>
        <w:footnoteRef/>
      </w:r>
      <w:r w:rsidRPr="00D55B6D">
        <w:t xml:space="preserve"> </w:t>
      </w:r>
      <w:r w:rsidRPr="00D55B6D">
        <w:rPr>
          <w:i/>
        </w:rPr>
        <w:t>See Electronic Filing of Documents in Rulemaking Proceedings</w:t>
      </w:r>
      <w:r w:rsidRPr="00D55B6D">
        <w:t>, GC Docket No. 97-113, Report and Order, 13 FCC Rcd 11322 (1998).</w:t>
      </w:r>
    </w:p>
  </w:footnote>
  <w:footnote w:id="15">
    <w:p w:rsidR="00E52449" w:rsidRPr="00D55B6D" w:rsidP="00E52449">
      <w:pPr>
        <w:pStyle w:val="FootnoteText"/>
      </w:pPr>
      <w:r w:rsidRPr="00D55B6D">
        <w:rPr>
          <w:rStyle w:val="FootnoteReference"/>
          <w:sz w:val="20"/>
        </w:rPr>
        <w:footnoteRef/>
      </w:r>
      <w:r w:rsidRPr="00D55B6D">
        <w:t xml:space="preserve"> Documents will generally be available electronically in ASCII, Microsoft Word, and/or Adobe Acrobat.</w:t>
      </w:r>
    </w:p>
  </w:footnote>
  <w:footnote w:id="16">
    <w:p w:rsidR="00E52449" w:rsidRPr="00D55B6D" w:rsidP="00E52449">
      <w:pPr>
        <w:pStyle w:val="FootnoteText"/>
      </w:pPr>
      <w:r w:rsidRPr="00D55B6D">
        <w:rPr>
          <w:rStyle w:val="FootnoteReference"/>
          <w:sz w:val="20"/>
        </w:rPr>
        <w:footnoteRef/>
      </w:r>
      <w:r w:rsidRPr="00D55B6D">
        <w:t xml:space="preserve"> 47 CFR §§ 1.1200 </w:t>
      </w:r>
      <w:r w:rsidRPr="00D55B6D">
        <w:rPr>
          <w:i/>
        </w:rPr>
        <w:t>et seq</w:t>
      </w:r>
      <w:r w:rsidRPr="00D55B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52449">
      <w:rPr>
        <w:b/>
      </w:rPr>
      <w:t>DA 19-</w:t>
    </w:r>
    <w:r w:rsidR="00A82A59">
      <w:rPr>
        <w:b/>
      </w:rPr>
      <w:t>325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84749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49"/>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D0780"/>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4CBD"/>
    <w:rsid w:val="00A45F4F"/>
    <w:rsid w:val="00A600A9"/>
    <w:rsid w:val="00A73B0C"/>
    <w:rsid w:val="00A82A59"/>
    <w:rsid w:val="00A866AC"/>
    <w:rsid w:val="00AA55B7"/>
    <w:rsid w:val="00AA5B9E"/>
    <w:rsid w:val="00AB2407"/>
    <w:rsid w:val="00AB53DF"/>
    <w:rsid w:val="00B07E5C"/>
    <w:rsid w:val="00B326E3"/>
    <w:rsid w:val="00B811F7"/>
    <w:rsid w:val="00BA5DC6"/>
    <w:rsid w:val="00BA6196"/>
    <w:rsid w:val="00BC6D8C"/>
    <w:rsid w:val="00C16AF2"/>
    <w:rsid w:val="00C23390"/>
    <w:rsid w:val="00C34006"/>
    <w:rsid w:val="00C426B1"/>
    <w:rsid w:val="00C82B6B"/>
    <w:rsid w:val="00C90D6A"/>
    <w:rsid w:val="00CC72B6"/>
    <w:rsid w:val="00D0218D"/>
    <w:rsid w:val="00D216CD"/>
    <w:rsid w:val="00D55B6D"/>
    <w:rsid w:val="00DA2529"/>
    <w:rsid w:val="00DB130A"/>
    <w:rsid w:val="00DC10A1"/>
    <w:rsid w:val="00DC655F"/>
    <w:rsid w:val="00DD7EBD"/>
    <w:rsid w:val="00DF62B6"/>
    <w:rsid w:val="00E07225"/>
    <w:rsid w:val="00E155B7"/>
    <w:rsid w:val="00E52449"/>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03C74D-BD9B-4DFC-A916-EEA1857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bdel-Hamid.Eqab@fcc.gov" TargetMode="External" /><Relationship Id="rId6" Type="http://schemas.openxmlformats.org/officeDocument/2006/relationships/hyperlink" Target="mailto:Charles.Tyl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