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19-1311</w:t>
      </w:r>
    </w:p>
    <w:p w:rsidR="00013A8B" w:rsidRPr="00B20363" w:rsidP="00013A8B">
      <w:pPr>
        <w:spacing w:before="60"/>
        <w:jc w:val="right"/>
        <w:rPr>
          <w:b/>
          <w:sz w:val="24"/>
        </w:rPr>
      </w:pPr>
      <w:r>
        <w:rPr>
          <w:b/>
          <w:sz w:val="24"/>
        </w:rPr>
        <w:t xml:space="preserve">Released:  </w:t>
      </w:r>
      <w:r w:rsidR="002B7DD5">
        <w:rPr>
          <w:b/>
          <w:sz w:val="24"/>
        </w:rPr>
        <w:t>December 20, 2019</w:t>
      </w:r>
    </w:p>
    <w:p w:rsidR="00013A8B" w:rsidP="00013A8B">
      <w:pPr>
        <w:jc w:val="right"/>
        <w:rPr>
          <w:sz w:val="24"/>
        </w:rPr>
      </w:pPr>
    </w:p>
    <w:p w:rsidR="002B7DD5" w:rsidRPr="00C470AD" w:rsidP="002B7DD5">
      <w:pPr>
        <w:spacing w:after="240"/>
        <w:contextualSpacing/>
        <w:jc w:val="center"/>
        <w:rPr>
          <w:rFonts w:ascii="Times New Roman Bold" w:hAnsi="Times New Roman Bold"/>
          <w:b/>
          <w:caps/>
          <w:sz w:val="24"/>
          <w:szCs w:val="22"/>
        </w:rPr>
      </w:pPr>
      <w:bookmarkStart w:id="0" w:name="TOChere"/>
      <w:r w:rsidRPr="00C470AD">
        <w:rPr>
          <w:rFonts w:ascii="Times New Roman Bold" w:hAnsi="Times New Roman Bold"/>
          <w:b/>
          <w:caps/>
          <w:sz w:val="24"/>
          <w:szCs w:val="22"/>
        </w:rPr>
        <w:t>Connect America Fund Phase II Support</w:t>
      </w:r>
    </w:p>
    <w:p w:rsidR="002B7DD5" w:rsidRPr="00C470AD" w:rsidP="002B7DD5">
      <w:pPr>
        <w:spacing w:after="240"/>
        <w:contextualSpacing/>
        <w:jc w:val="center"/>
        <w:rPr>
          <w:rFonts w:ascii="Times New Roman Bold" w:hAnsi="Times New Roman Bold"/>
          <w:b/>
          <w:caps/>
          <w:sz w:val="24"/>
          <w:szCs w:val="22"/>
        </w:rPr>
      </w:pPr>
      <w:r w:rsidRPr="00C470AD">
        <w:rPr>
          <w:rFonts w:ascii="Times New Roman Bold" w:hAnsi="Times New Roman Bold"/>
          <w:b/>
          <w:caps/>
          <w:sz w:val="24"/>
          <w:szCs w:val="22"/>
        </w:rPr>
        <w:t>for ONE New York Winning Bidder Ready to Be Authorized</w:t>
      </w:r>
    </w:p>
    <w:p w:rsidR="002B7DD5" w:rsidRPr="00C470AD" w:rsidP="002B7DD5">
      <w:pPr>
        <w:spacing w:after="240"/>
        <w:contextualSpacing/>
        <w:jc w:val="center"/>
        <w:rPr>
          <w:rFonts w:ascii="Times New Roman Bold" w:hAnsi="Times New Roman Bold"/>
          <w:b/>
          <w:caps/>
          <w:sz w:val="24"/>
          <w:szCs w:val="22"/>
        </w:rPr>
      </w:pPr>
    </w:p>
    <w:p w:rsidR="002B7DD5" w:rsidRPr="00C470AD" w:rsidP="002B7DD5">
      <w:pPr>
        <w:jc w:val="center"/>
        <w:rPr>
          <w:b/>
          <w:sz w:val="24"/>
          <w:szCs w:val="22"/>
        </w:rPr>
      </w:pPr>
      <w:r w:rsidRPr="00C470AD">
        <w:rPr>
          <w:b/>
          <w:sz w:val="24"/>
          <w:szCs w:val="22"/>
        </w:rPr>
        <w:t xml:space="preserve">Hughes Network Systems, LLC Must Submit Letters of Credit and </w:t>
      </w:r>
    </w:p>
    <w:p w:rsidR="002B7DD5" w:rsidRPr="00C470AD" w:rsidP="002B7DD5">
      <w:pPr>
        <w:jc w:val="center"/>
        <w:rPr>
          <w:b/>
          <w:sz w:val="24"/>
          <w:szCs w:val="22"/>
        </w:rPr>
      </w:pPr>
      <w:r w:rsidRPr="00C470AD">
        <w:rPr>
          <w:b/>
          <w:sz w:val="24"/>
          <w:szCs w:val="22"/>
        </w:rPr>
        <w:t>Legal Counsel’s Opinion Letters by Friday, January 10, 2020</w:t>
      </w:r>
    </w:p>
    <w:p w:rsidR="002B7DD5" w:rsidRPr="00C470AD" w:rsidP="002B7DD5">
      <w:pPr>
        <w:jc w:val="center"/>
        <w:rPr>
          <w:b/>
          <w:sz w:val="24"/>
          <w:szCs w:val="22"/>
        </w:rPr>
      </w:pPr>
    </w:p>
    <w:p w:rsidR="002B7DD5" w:rsidRPr="00C470AD" w:rsidP="002B7DD5">
      <w:pPr>
        <w:jc w:val="center"/>
        <w:rPr>
          <w:b/>
          <w:sz w:val="24"/>
          <w:szCs w:val="22"/>
        </w:rPr>
      </w:pPr>
      <w:r w:rsidRPr="00C470AD">
        <w:rPr>
          <w:b/>
          <w:sz w:val="24"/>
          <w:szCs w:val="22"/>
        </w:rPr>
        <w:t>WC Docket No. 10-90</w:t>
      </w:r>
    </w:p>
    <w:p w:rsidR="00F96F63" w:rsidP="00F96F63">
      <w:pPr>
        <w:rPr>
          <w:sz w:val="24"/>
        </w:rPr>
      </w:pPr>
    </w:p>
    <w:p w:rsidR="002B7DD5" w:rsidRPr="00C470AD" w:rsidP="002B7DD5">
      <w:pPr>
        <w:tabs>
          <w:tab w:val="left" w:pos="720"/>
        </w:tabs>
        <w:spacing w:after="120"/>
      </w:pPr>
      <w:r>
        <w:tab/>
      </w:r>
      <w:r w:rsidRPr="00C470AD">
        <w:t xml:space="preserve">By this Public Notice, the Wireline Competition Bureau </w:t>
      </w:r>
      <w:bookmarkStart w:id="1" w:name="_Hlk27729426"/>
      <w:r w:rsidRPr="00C470AD">
        <w:t xml:space="preserve">announces that it is ready to authorize Connect America Fund Phase II support for Hughes Network Systems, LLC (Hughes) in conjunction with the New York Broadband Program.  </w:t>
      </w:r>
      <w:bookmarkEnd w:id="1"/>
      <w:r w:rsidRPr="00C470AD">
        <w:t>To be authorized to receive the total 10-year support amounts listed in Attachment A, Hughes is required to submit acceptable irrevocable stand-by letter(s) of credit and Bankruptcy Code opinion letter(s) from their legal counsel in accordance with the instructions provided below by the applicable deadline.  The Bureau, on its own motion, grants a brief, limited waiver of section 54.315(b)(6)(v) of the Commission’s rules due to the upcoming federal holidays.</w:t>
      </w:r>
      <w:r>
        <w:rPr>
          <w:rStyle w:val="FootnoteReference"/>
        </w:rPr>
        <w:footnoteReference w:id="3"/>
      </w:r>
      <w:r w:rsidRPr="00C470AD">
        <w:t xml:space="preserve">  We find good cause to waive section 54.315(b)(6)(v) due to the special circumstance that banks will likely be closed during the federal holidays in December 2019 and January 2020.  A limited waiver will serve the public interest by allowing the ready to authorize applicant in this Public Notice sufficient time to obtain and to submit an irrevocable stand-by letter(s) of credit, and Bankruptcy Code opinion letter(s) from their legal counsel for each state where it has winning bids that are ready to be authorized, in accordance with the instructions provided below, </w:t>
      </w:r>
      <w:r w:rsidRPr="00C470AD">
        <w:rPr>
          <w:b/>
        </w:rPr>
        <w:t>prior to</w:t>
      </w:r>
      <w:r w:rsidRPr="00C470AD">
        <w:t xml:space="preserve"> </w:t>
      </w:r>
      <w:bookmarkStart w:id="2" w:name="_Hlk25224590"/>
      <w:r w:rsidRPr="00C470AD">
        <w:rPr>
          <w:b/>
        </w:rPr>
        <w:t>6:00 p.m. ET on Friday, January 10, 2020</w:t>
      </w:r>
      <w:bookmarkEnd w:id="2"/>
      <w:r w:rsidRPr="00C470AD">
        <w:rPr>
          <w:b/>
        </w:rPr>
        <w:t>.</w:t>
      </w:r>
      <w:r w:rsidRPr="00C470AD">
        <w:t xml:space="preserve">  </w:t>
      </w:r>
    </w:p>
    <w:p w:rsidR="002B7DD5" w:rsidRPr="00C470AD" w:rsidP="002B7DD5">
      <w:pPr>
        <w:spacing w:after="120"/>
        <w:ind w:firstLine="720"/>
      </w:pPr>
      <w:r w:rsidRPr="00C470AD">
        <w:t>On May 18, 2018, we announced 11 winning bidders for Connect America Fund (CAF) Phase II support in the New NY Broadband Program Phase 3 auction, and we established the deadlines for winning bidders to submit their long-form applications for CAF Phase II support.</w:t>
      </w:r>
      <w:r>
        <w:rPr>
          <w:rStyle w:val="FootnoteReference"/>
        </w:rPr>
        <w:footnoteReference w:id="4"/>
      </w:r>
      <w:r w:rsidRPr="00C470AD">
        <w:t xml:space="preserve">  We have reviewed the long-form applications associated with each of the winning bids for Hughes.  Based on the representations and certifications in each relevant long-form application, we are prepared to authorize support, subject to submission of the required letter(s) of credit and Bankruptcy Code opinion letter(s), for Hughes’s winning bid identified in Attachment A.</w:t>
      </w:r>
      <w:r>
        <w:rPr>
          <w:rStyle w:val="FootnoteReference"/>
        </w:rPr>
        <w:footnoteReference w:id="5"/>
      </w:r>
    </w:p>
    <w:p w:rsidR="002B7DD5" w:rsidRPr="00C470AD" w:rsidP="002B7DD5">
      <w:pPr>
        <w:widowControl/>
        <w:spacing w:after="120"/>
        <w:ind w:firstLine="720"/>
        <w:rPr>
          <w:szCs w:val="22"/>
        </w:rPr>
      </w:pPr>
      <w:r w:rsidRPr="00C470AD">
        <w:rPr>
          <w:szCs w:val="22"/>
        </w:rPr>
        <w:t xml:space="preserve">Commission staff is reviewing information that is submitted with long-form applications on a rolling basis.  Accordingly, a long-form applicant that was not included in this Public Notice but that has </w:t>
      </w:r>
      <w:r w:rsidRPr="00C470AD">
        <w:rPr>
          <w:szCs w:val="22"/>
        </w:rPr>
        <w:t xml:space="preserve">submitted </w:t>
      </w:r>
      <w:r w:rsidRPr="00C470AD">
        <w:rPr>
          <w:szCs w:val="22"/>
        </w:rPr>
        <w:t>all of</w:t>
      </w:r>
      <w:r w:rsidRPr="00C470AD">
        <w:rPr>
          <w:szCs w:val="22"/>
        </w:rPr>
        <w:t xml:space="preserve"> the required information will be included in a future Public Notice once Commission staff finalizes its review of the long-form application.</w:t>
      </w:r>
    </w:p>
    <w:p w:rsidR="002B7DD5" w:rsidRPr="00C470AD" w:rsidP="002B7DD5">
      <w:pPr>
        <w:spacing w:after="120"/>
        <w:ind w:firstLine="720"/>
      </w:pPr>
      <w:r w:rsidRPr="00C470AD">
        <w:t xml:space="preserve">Pursuant to section 54.315(b)(6)(v) of the Commission’s rules, the long-form applicants identified in Attachment A that may be authorized to receive Connect America Fund Phase II auction support must submit an irrevocable stand-by letter(s) of credit issued in substantially the same form as set forth in the model letter of credit provided in Appendix B of the </w:t>
      </w:r>
      <w:r w:rsidRPr="00C470AD">
        <w:rPr>
          <w:i/>
        </w:rPr>
        <w:t>Phase II Auction Order</w:t>
      </w:r>
      <w:r>
        <w:rPr>
          <w:vertAlign w:val="superscript"/>
        </w:rPr>
        <w:footnoteReference w:id="6"/>
      </w:r>
      <w:r w:rsidRPr="00C470AD">
        <w:rPr>
          <w:vertAlign w:val="superscript"/>
        </w:rPr>
        <w:t xml:space="preserve"> </w:t>
      </w:r>
      <w:r w:rsidRPr="00C470AD">
        <w:t xml:space="preserve">by a bank that is acceptable to the Commission by </w:t>
      </w:r>
      <w:r w:rsidRPr="00C470AD">
        <w:rPr>
          <w:b/>
        </w:rPr>
        <w:t>6:00 p.m. ET on Friday, January 10, 2020.</w:t>
      </w:r>
      <w:r>
        <w:rPr>
          <w:vertAlign w:val="superscript"/>
        </w:rPr>
        <w:footnoteReference w:id="7"/>
      </w:r>
      <w:r w:rsidRPr="00C470AD">
        <w:rPr>
          <w:vertAlign w:val="superscript"/>
        </w:rPr>
        <w:t xml:space="preserve"> </w:t>
      </w:r>
      <w:r w:rsidRPr="00C470AD">
        <w:rPr>
          <w:b/>
        </w:rPr>
        <w:t xml:space="preserve"> Prior to submitting their letters of credit,</w:t>
      </w:r>
      <w:r w:rsidRPr="00C470AD">
        <w:t xml:space="preserve"> </w:t>
      </w:r>
      <w:r w:rsidRPr="00C470AD">
        <w:rPr>
          <w:b/>
        </w:rPr>
        <w:t xml:space="preserve">we encourage long-form applicants to view and share with their issuing banks the Letter of Credit Common Errors List available on USAC’s website: </w:t>
      </w:r>
      <w:hyperlink r:id="rId5" w:history="1">
        <w:r w:rsidRPr="00C470AD">
          <w:rPr>
            <w:rStyle w:val="Hyperlink"/>
          </w:rPr>
          <w:t>https://www.usac.org/hc/funds/caf-phase-ii-auction.aspx</w:t>
        </w:r>
      </w:hyperlink>
      <w:r w:rsidRPr="00C470AD">
        <w:t xml:space="preserve">.  </w:t>
      </w:r>
    </w:p>
    <w:p w:rsidR="002B7DD5" w:rsidRPr="00C470AD" w:rsidP="002B7DD5">
      <w:pPr>
        <w:spacing w:after="120"/>
        <w:ind w:firstLine="720"/>
        <w:rPr>
          <w:szCs w:val="22"/>
        </w:rPr>
      </w:pPr>
      <w:r w:rsidRPr="00C470AD">
        <w:t xml:space="preserve">The letter of credit must be submitted </w:t>
      </w:r>
      <w:r w:rsidRPr="00C470AD">
        <w:rPr>
          <w:vertAlign w:val="superscript"/>
        </w:rPr>
        <w:t xml:space="preserve"> </w:t>
      </w:r>
      <w:r w:rsidRPr="00C470AD">
        <w:t>in an amount equal to at least the first year of support in the state</w:t>
      </w:r>
      <w:r w:rsidRPr="00C470AD">
        <w:rPr>
          <w:szCs w:val="22"/>
        </w:rPr>
        <w:t>.</w:t>
      </w:r>
      <w:r>
        <w:rPr>
          <w:rStyle w:val="FootnoteReference"/>
          <w:szCs w:val="22"/>
        </w:rPr>
        <w:footnoteReference w:id="8"/>
      </w:r>
      <w:r w:rsidRPr="00C470AD">
        <w:rPr>
          <w:szCs w:val="22"/>
        </w:rPr>
        <w:t xml:space="preserve">  Before a support recipient can receive its next year’s support and each year’s support thereafter, it must modify, renew, or obtain a new letter of credit to ensure that it is valued at a minimum at the total amount of support that has already been disbursed plus the amount of support that is going to be provided in the next year, subject to certain reductions when the support recipient has substantially met its service milestones.</w:t>
      </w:r>
      <w:r>
        <w:rPr>
          <w:rStyle w:val="FootnoteReference"/>
          <w:szCs w:val="22"/>
        </w:rPr>
        <w:footnoteReference w:id="9"/>
      </w:r>
    </w:p>
    <w:p w:rsidR="002B7DD5" w:rsidRPr="00C470AD" w:rsidP="002B7DD5">
      <w:pPr>
        <w:spacing w:after="120"/>
        <w:ind w:firstLine="720"/>
        <w:rPr>
          <w:szCs w:val="22"/>
        </w:rPr>
      </w:pPr>
      <w:r w:rsidRPr="00C470AD">
        <w:t xml:space="preserve">An applicant may obtain multiple letters of credit to cover its bids in New York, but compliance with service milestones will be reviewed on a state-wide basis.  Accordingly, if a long-form applicant chooses to obtain a letter of credit for each of its winning bids in New York and defaults, a draw on </w:t>
      </w:r>
      <w:r w:rsidRPr="00C470AD">
        <w:rPr>
          <w:i/>
        </w:rPr>
        <w:t>all</w:t>
      </w:r>
      <w:r w:rsidRPr="00C470AD">
        <w:t xml:space="preserve"> of</w:t>
      </w:r>
      <w:r w:rsidRPr="00C470AD">
        <w:t xml:space="preserve"> the letters of credit covering </w:t>
      </w:r>
      <w:r w:rsidRPr="00C470AD">
        <w:rPr>
          <w:i/>
        </w:rPr>
        <w:t>all</w:t>
      </w:r>
      <w:r w:rsidRPr="00C470AD">
        <w:t xml:space="preserve"> its bids in the state will be authorized.</w:t>
      </w:r>
      <w:r>
        <w:rPr>
          <w:rStyle w:val="FootnoteReference"/>
        </w:rPr>
        <w:footnoteReference w:id="10"/>
      </w:r>
    </w:p>
    <w:p w:rsidR="002B7DD5" w:rsidRPr="00C470AD" w:rsidP="002B7DD5">
      <w:pPr>
        <w:spacing w:after="120"/>
        <w:ind w:firstLine="720"/>
        <w:rPr>
          <w:szCs w:val="22"/>
        </w:rPr>
      </w:pPr>
      <w:r w:rsidRPr="00C470AD">
        <w:rPr>
          <w:szCs w:val="22"/>
        </w:rPr>
        <w:t>In addition, a long-form applicant is required to provide with the letter of credit an opinion letter from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szCs w:val="22"/>
        </w:rPr>
        <w:footnoteReference w:id="11"/>
      </w:r>
      <w:r w:rsidRPr="00C470AD">
        <w:rPr>
          <w:szCs w:val="22"/>
        </w:rPr>
        <w:t xml:space="preserve">  </w:t>
      </w:r>
    </w:p>
    <w:p w:rsidR="002B7DD5" w:rsidRPr="00C470AD" w:rsidP="002B7DD5">
      <w:pPr>
        <w:spacing w:after="120"/>
        <w:ind w:firstLine="720"/>
        <w:rPr>
          <w:szCs w:val="22"/>
        </w:rPr>
      </w:pPr>
      <w:r w:rsidRPr="00C470AD">
        <w:rPr>
          <w:szCs w:val="22"/>
        </w:rPr>
        <w:t xml:space="preserve">By future public notice, we will authorize support for specific winning bids for which all requirements, including submission of the letter of credit and opinion letter, have been met.  </w:t>
      </w:r>
    </w:p>
    <w:p w:rsidR="002B7DD5" w:rsidRPr="00C470AD" w:rsidP="002B7DD5">
      <w:pPr>
        <w:spacing w:after="120"/>
        <w:ind w:firstLine="720"/>
      </w:pPr>
      <w:r w:rsidRPr="00C470AD">
        <w:t>Details concerning the next steps are set forth below.</w:t>
      </w:r>
    </w:p>
    <w:p w:rsidR="002B7DD5" w:rsidRPr="00C470AD" w:rsidP="002B7DD5">
      <w:pPr>
        <w:spacing w:after="120" w:line="227" w:lineRule="atLeast"/>
        <w:jc w:val="both"/>
        <w:rPr>
          <w:b/>
          <w:spacing w:val="-2"/>
        </w:rPr>
      </w:pPr>
      <w:r w:rsidRPr="00C470AD">
        <w:rPr>
          <w:b/>
          <w:spacing w:val="-2"/>
        </w:rPr>
        <w:t>Instructions for Submission of Letter of Credit and Opinion Letter</w:t>
      </w:r>
    </w:p>
    <w:p w:rsidR="002B7DD5" w:rsidRPr="00C470AD" w:rsidP="002B7DD5">
      <w:pPr>
        <w:spacing w:after="120"/>
        <w:ind w:firstLine="720"/>
        <w:rPr>
          <w:color w:val="000000"/>
          <w:szCs w:val="22"/>
        </w:rPr>
      </w:pPr>
      <w:r w:rsidRPr="00C470AD">
        <w:rPr>
          <w:color w:val="000000"/>
          <w:szCs w:val="22"/>
        </w:rPr>
        <w:t xml:space="preserve">The long-form applicant identified in Attachment A of this Public Notice must submit a letter(s) of credit and opinion letter(s) for each state where it has winning bids identified in Attachment A.  The minimum amount of the first letter of credit for each state is determined by adding up the first year of support listed in Attachment A for each winning bid in the state.  The letter(s) of credit and opinion </w:t>
      </w:r>
      <w:r w:rsidRPr="00C470AD">
        <w:rPr>
          <w:color w:val="000000"/>
          <w:szCs w:val="22"/>
        </w:rPr>
        <w:t xml:space="preserve">letter(s) submitted to the Universal Service Administrative Company (USAC) must reference the relevant study area code as listed in </w:t>
      </w:r>
      <w:bookmarkStart w:id="3" w:name="_GoBack"/>
      <w:r w:rsidRPr="00C470AD">
        <w:rPr>
          <w:color w:val="000000"/>
          <w:szCs w:val="22"/>
        </w:rPr>
        <w:t>Attachment</w:t>
      </w:r>
      <w:bookmarkEnd w:id="3"/>
      <w:r w:rsidRPr="00C470AD">
        <w:rPr>
          <w:color w:val="000000"/>
          <w:szCs w:val="22"/>
        </w:rPr>
        <w:t xml:space="preserve"> A. </w:t>
      </w:r>
    </w:p>
    <w:p w:rsidR="002B7DD5" w:rsidRPr="00C470AD" w:rsidP="002B7DD5">
      <w:pPr>
        <w:widowControl/>
        <w:spacing w:after="120"/>
        <w:ind w:firstLine="720"/>
        <w:rPr>
          <w:color w:val="000000"/>
          <w:szCs w:val="22"/>
        </w:rPr>
      </w:pPr>
      <w:r w:rsidRPr="00C470AD">
        <w:rPr>
          <w:color w:val="000000"/>
          <w:szCs w:val="22"/>
        </w:rPr>
        <w:t>The original of the letter of credit and opinion letter must be submitted to USAC by the applicable deadline –</w:t>
      </w:r>
      <w:r w:rsidRPr="00C470AD">
        <w:rPr>
          <w:b/>
          <w:color w:val="000000"/>
          <w:szCs w:val="22"/>
        </w:rPr>
        <w:t>prior to</w:t>
      </w:r>
      <w:r w:rsidRPr="00C470AD">
        <w:rPr>
          <w:color w:val="000000"/>
          <w:szCs w:val="22"/>
        </w:rPr>
        <w:t xml:space="preserve"> </w:t>
      </w:r>
      <w:r w:rsidRPr="00C470AD">
        <w:rPr>
          <w:b/>
          <w:color w:val="000000"/>
        </w:rPr>
        <w:t>6:00 p.m. ET on</w:t>
      </w:r>
      <w:r w:rsidRPr="00C470AD">
        <w:rPr>
          <w:b/>
        </w:rPr>
        <w:t xml:space="preserve"> Friday, January 10, 2020</w:t>
      </w:r>
      <w:r w:rsidRPr="00C470AD">
        <w:rPr>
          <w:color w:val="000000"/>
          <w:szCs w:val="22"/>
        </w:rPr>
        <w:t xml:space="preserve">, at the following address: Universal Service Administrative Company (USAC), High Cost Program, </w:t>
      </w:r>
      <w:r w:rsidRPr="00C470AD">
        <w:t>CAF Phase II Auction NY LOC, 700 12th Street, NW, Suite 900, Washington, DC 20005</w:t>
      </w:r>
      <w:r w:rsidRPr="00C470AD">
        <w:rPr>
          <w:color w:val="000000"/>
          <w:szCs w:val="22"/>
        </w:rPr>
        <w:t>.  We recommend that Hughes send the originals of both the letter of credit and the opinion letter by means of delivery requiring signature.  These documents may be sent to the attention of Joanne Kim.</w:t>
      </w:r>
    </w:p>
    <w:p w:rsidR="002B7DD5" w:rsidRPr="00C470AD" w:rsidP="002B7DD5">
      <w:pPr>
        <w:spacing w:after="120"/>
        <w:ind w:firstLine="720"/>
      </w:pPr>
      <w:r w:rsidRPr="00C470AD">
        <w:rPr>
          <w:spacing w:val="-2"/>
        </w:rPr>
        <w:t>A copy of the letter of credit and opinion letter must also be submitted to ConnectAmerica@fcc.gov by the applicable deadline—</w:t>
      </w:r>
      <w:r w:rsidRPr="00C470AD">
        <w:rPr>
          <w:b/>
          <w:spacing w:val="-2"/>
        </w:rPr>
        <w:t>prior to</w:t>
      </w:r>
      <w:r w:rsidRPr="00C470AD">
        <w:rPr>
          <w:spacing w:val="-2"/>
        </w:rPr>
        <w:t xml:space="preserve"> </w:t>
      </w:r>
      <w:r w:rsidRPr="00C470AD">
        <w:rPr>
          <w:b/>
          <w:spacing w:val="-2"/>
        </w:rPr>
        <w:t xml:space="preserve">6:00 p.m. ET </w:t>
      </w:r>
      <w:r w:rsidRPr="00C470AD">
        <w:rPr>
          <w:b/>
        </w:rPr>
        <w:t>on Friday, January 10, 2020</w:t>
      </w:r>
      <w:r w:rsidRPr="00C470AD">
        <w:rPr>
          <w:spacing w:val="-2"/>
        </w:rPr>
        <w:t xml:space="preserve">.  </w:t>
      </w:r>
      <w:r w:rsidRPr="00C470AD">
        <w:t>Hughes must provide this required information in two attachments.  Such attachments will be treated as confidential trade secrets and/or commercial information and withheld from routine public inspection.</w:t>
      </w:r>
      <w:r>
        <w:rPr>
          <w:rStyle w:val="FootnoteReference"/>
        </w:rPr>
        <w:footnoteReference w:id="12"/>
      </w:r>
      <w:r w:rsidRPr="00C470AD">
        <w:t xml:space="preserve">  As such, Hughes need not submit a section 0.459 confidentiality request for this information.</w:t>
      </w:r>
      <w:r>
        <w:rPr>
          <w:rStyle w:val="FootnoteReference"/>
        </w:rPr>
        <w:footnoteReference w:id="13"/>
      </w:r>
      <w:r w:rsidRPr="00C470AD">
        <w:t xml:space="preserve"> </w:t>
      </w:r>
    </w:p>
    <w:p w:rsidR="002B7DD5" w:rsidRPr="00C470AD" w:rsidP="002B7DD5">
      <w:pPr>
        <w:spacing w:after="120"/>
        <w:ind w:firstLine="720"/>
      </w:pPr>
      <w:r w:rsidRPr="00C470AD">
        <w:t>If Hughes fails to file the required documents</w:t>
      </w:r>
      <w:r>
        <w:rPr>
          <w:rStyle w:val="FootnoteReference"/>
        </w:rPr>
        <w:footnoteReference w:id="14"/>
      </w:r>
      <w:r w:rsidRPr="00C470AD">
        <w:t xml:space="preserve"> for any of the identified winning bids by the applicable deadline </w:t>
      </w:r>
      <w:r w:rsidRPr="00C470AD">
        <w:rPr>
          <w:b/>
        </w:rPr>
        <w:t>– prior to</w:t>
      </w:r>
      <w:r w:rsidRPr="00C470AD">
        <w:t xml:space="preserve"> </w:t>
      </w:r>
      <w:r w:rsidRPr="00C470AD">
        <w:rPr>
          <w:b/>
        </w:rPr>
        <w:t xml:space="preserve">6:00 p.m. </w:t>
      </w:r>
      <w:r w:rsidRPr="00C470AD">
        <w:rPr>
          <w:b/>
          <w:spacing w:val="-2"/>
        </w:rPr>
        <w:t xml:space="preserve">ET </w:t>
      </w:r>
      <w:r w:rsidRPr="00C470AD">
        <w:rPr>
          <w:b/>
        </w:rPr>
        <w:t>on Friday, January 10, 2020 –</w:t>
      </w:r>
      <w:r w:rsidRPr="00C470AD">
        <w:t xml:space="preserve"> it will be in default on such bid(s) and subject to forfeiture.</w:t>
      </w:r>
      <w:r>
        <w:rPr>
          <w:rStyle w:val="FootnoteReference"/>
        </w:rPr>
        <w:footnoteReference w:id="15"/>
      </w:r>
      <w:r w:rsidRPr="00C470AD">
        <w:t xml:space="preserve"> </w:t>
      </w:r>
    </w:p>
    <w:p w:rsidR="002B7DD5" w:rsidRPr="00C470AD" w:rsidP="002B7DD5">
      <w:pPr>
        <w:spacing w:after="120"/>
        <w:ind w:firstLine="720"/>
      </w:pPr>
      <w:r w:rsidRPr="00C470AD">
        <w:t>For additional information on this proceeding, contact Stephen Wang (</w:t>
      </w:r>
      <w:hyperlink r:id="rId6" w:history="1">
        <w:r w:rsidRPr="00C470AD">
          <w:rPr>
            <w:rStyle w:val="Hyperlink"/>
          </w:rPr>
          <w:t>Stephen.Wang@fcc.gov</w:t>
        </w:r>
      </w:hyperlink>
      <w:r w:rsidRPr="00C470AD">
        <w:t>) or Dangkhoa Nguyen (</w:t>
      </w:r>
      <w:hyperlink r:id="rId7" w:history="1">
        <w:r w:rsidRPr="00C470AD">
          <w:rPr>
            <w:rStyle w:val="Hyperlink"/>
          </w:rPr>
          <w:t>Dangkhoa.Nguyen@fcc.gov</w:t>
        </w:r>
      </w:hyperlink>
      <w:r w:rsidRPr="00C470AD">
        <w:t>) of the Wireline Competition Bureau, Telecommunications Access Policy Division, (202) 418-7400.</w:t>
      </w:r>
    </w:p>
    <w:p w:rsidR="002B7DD5" w:rsidRPr="00C470AD" w:rsidP="002B7DD5">
      <w:pPr>
        <w:keepNext/>
        <w:jc w:val="center"/>
      </w:pPr>
    </w:p>
    <w:p w:rsidR="002B7DD5" w:rsidRPr="00893B45" w:rsidP="002B7DD5">
      <w:pPr>
        <w:widowControl/>
        <w:jc w:val="center"/>
        <w:rPr>
          <w:szCs w:val="22"/>
        </w:rPr>
      </w:pPr>
      <w:r w:rsidRPr="00C470AD">
        <w:rPr>
          <w:b/>
        </w:rPr>
        <w:t>-FCC-</w:t>
      </w:r>
    </w:p>
    <w:p w:rsidR="002B7DD5" w:rsidP="002B7DD5">
      <w:pPr>
        <w:rPr>
          <w:sz w:val="24"/>
        </w:rPr>
      </w:pPr>
    </w:p>
    <w:p w:rsidR="002B7DD5" w:rsidP="002B7DD5">
      <w:pPr>
        <w:spacing w:before="120" w:after="240"/>
        <w:jc w:val="center"/>
        <w:rPr>
          <w:b/>
          <w:szCs w:val="22"/>
        </w:rPr>
      </w:pPr>
      <w:r>
        <w:rPr>
          <w:b/>
          <w:szCs w:val="22"/>
        </w:rPr>
        <w:br w:type="page"/>
      </w:r>
      <w:r w:rsidRPr="00D03E0B">
        <w:rPr>
          <w:b/>
          <w:szCs w:val="22"/>
        </w:rPr>
        <w:t>ATTACHMENT</w:t>
      </w:r>
      <w:r>
        <w:rPr>
          <w:b/>
          <w:szCs w:val="22"/>
        </w:rPr>
        <w:t xml:space="preserve"> A</w:t>
      </w:r>
    </w:p>
    <w:p w:rsidR="002B7DD5" w:rsidP="002B7DD5">
      <w:pPr>
        <w:spacing w:before="120" w:after="240"/>
        <w:jc w:val="center"/>
        <w:rPr>
          <w:b/>
          <w:szCs w:val="22"/>
        </w:rPr>
      </w:pPr>
      <w:r>
        <w:rPr>
          <w:b/>
          <w:szCs w:val="22"/>
        </w:rPr>
        <w:t>New York Winning Bidders Ready to Be Authorized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1331"/>
        <w:gridCol w:w="1532"/>
        <w:gridCol w:w="1697"/>
        <w:gridCol w:w="1863"/>
      </w:tblGrid>
      <w:tr w:rsidTr="003F5BD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3" w:type="dxa"/>
            <w:shd w:val="clear" w:color="auto" w:fill="auto"/>
          </w:tcPr>
          <w:p w:rsidR="002B7DD5" w:rsidRPr="00185F42" w:rsidP="003F5BD2">
            <w:pPr>
              <w:spacing w:after="120"/>
              <w:jc w:val="center"/>
              <w:rPr>
                <w:b/>
                <w:szCs w:val="22"/>
              </w:rPr>
            </w:pPr>
            <w:r w:rsidRPr="00185F42">
              <w:rPr>
                <w:b/>
                <w:szCs w:val="22"/>
              </w:rPr>
              <w:t>Bidder Name</w:t>
            </w:r>
          </w:p>
        </w:tc>
        <w:tc>
          <w:tcPr>
            <w:tcW w:w="1331" w:type="dxa"/>
          </w:tcPr>
          <w:p w:rsidR="002B7DD5" w:rsidRPr="00185F42" w:rsidP="003F5BD2">
            <w:pPr>
              <w:spacing w:after="120"/>
              <w:jc w:val="center"/>
              <w:rPr>
                <w:b/>
                <w:szCs w:val="22"/>
              </w:rPr>
            </w:pPr>
            <w:r>
              <w:rPr>
                <w:b/>
                <w:szCs w:val="22"/>
              </w:rPr>
              <w:t>Study Area Code</w:t>
            </w:r>
          </w:p>
        </w:tc>
        <w:tc>
          <w:tcPr>
            <w:tcW w:w="1532" w:type="dxa"/>
            <w:shd w:val="clear" w:color="auto" w:fill="auto"/>
          </w:tcPr>
          <w:p w:rsidR="002B7DD5" w:rsidRPr="00185F42" w:rsidP="003F5BD2">
            <w:pPr>
              <w:spacing w:after="120"/>
              <w:jc w:val="center"/>
              <w:rPr>
                <w:b/>
                <w:szCs w:val="22"/>
              </w:rPr>
            </w:pPr>
            <w:r w:rsidRPr="00185F42">
              <w:rPr>
                <w:b/>
                <w:szCs w:val="22"/>
              </w:rPr>
              <w:t>Census Blocks Covered by Selected Bid</w:t>
            </w:r>
          </w:p>
        </w:tc>
        <w:tc>
          <w:tcPr>
            <w:tcW w:w="1697" w:type="dxa"/>
            <w:shd w:val="clear" w:color="auto" w:fill="auto"/>
          </w:tcPr>
          <w:p w:rsidR="002B7DD5" w:rsidRPr="00185F42" w:rsidP="003F5BD2">
            <w:pPr>
              <w:spacing w:after="120"/>
              <w:jc w:val="center"/>
              <w:rPr>
                <w:b/>
                <w:szCs w:val="22"/>
              </w:rPr>
            </w:pPr>
            <w:r w:rsidRPr="00185F42">
              <w:rPr>
                <w:b/>
                <w:szCs w:val="22"/>
              </w:rPr>
              <w:t>Locations Covered by Selected Bid</w:t>
            </w:r>
          </w:p>
        </w:tc>
        <w:tc>
          <w:tcPr>
            <w:tcW w:w="1863" w:type="dxa"/>
            <w:shd w:val="clear" w:color="auto" w:fill="auto"/>
          </w:tcPr>
          <w:p w:rsidR="002B7DD5" w:rsidRPr="00185F42" w:rsidP="003F5BD2">
            <w:pPr>
              <w:spacing w:after="120"/>
              <w:jc w:val="center"/>
              <w:rPr>
                <w:b/>
                <w:szCs w:val="22"/>
              </w:rPr>
            </w:pPr>
            <w:r w:rsidRPr="00185F42">
              <w:rPr>
                <w:b/>
                <w:szCs w:val="22"/>
              </w:rPr>
              <w:t>Total Estimated CAF Award</w:t>
            </w:r>
          </w:p>
        </w:tc>
      </w:tr>
      <w:tr w:rsidTr="003F5BD2">
        <w:tblPrEx>
          <w:tblW w:w="0" w:type="auto"/>
          <w:tblLook w:val="04A0"/>
        </w:tblPrEx>
        <w:tc>
          <w:tcPr>
            <w:tcW w:w="3153" w:type="dxa"/>
            <w:shd w:val="clear" w:color="auto" w:fill="auto"/>
          </w:tcPr>
          <w:p w:rsidR="002B7DD5" w:rsidRPr="00185F42" w:rsidP="003F5BD2">
            <w:pPr>
              <w:spacing w:after="120"/>
              <w:rPr>
                <w:szCs w:val="22"/>
              </w:rPr>
            </w:pPr>
            <w:r>
              <w:rPr>
                <w:szCs w:val="22"/>
              </w:rPr>
              <w:t>Hughes Network Systems, LLC</w:t>
            </w:r>
          </w:p>
        </w:tc>
        <w:tc>
          <w:tcPr>
            <w:tcW w:w="1331" w:type="dxa"/>
          </w:tcPr>
          <w:p w:rsidR="002B7DD5" w:rsidP="003F5BD2">
            <w:pPr>
              <w:spacing w:after="120"/>
              <w:jc w:val="center"/>
              <w:rPr>
                <w:szCs w:val="22"/>
              </w:rPr>
            </w:pPr>
            <w:r>
              <w:rPr>
                <w:szCs w:val="22"/>
              </w:rPr>
              <w:t>159041</w:t>
            </w:r>
          </w:p>
        </w:tc>
        <w:tc>
          <w:tcPr>
            <w:tcW w:w="1532" w:type="dxa"/>
            <w:shd w:val="clear" w:color="auto" w:fill="auto"/>
          </w:tcPr>
          <w:p w:rsidR="002B7DD5" w:rsidRPr="00185F42" w:rsidP="003F5BD2">
            <w:pPr>
              <w:spacing w:after="120"/>
              <w:jc w:val="center"/>
              <w:rPr>
                <w:szCs w:val="22"/>
              </w:rPr>
            </w:pPr>
            <w:r>
              <w:rPr>
                <w:szCs w:val="22"/>
              </w:rPr>
              <w:t>5,379</w:t>
            </w:r>
          </w:p>
        </w:tc>
        <w:tc>
          <w:tcPr>
            <w:tcW w:w="1697" w:type="dxa"/>
            <w:shd w:val="clear" w:color="auto" w:fill="auto"/>
          </w:tcPr>
          <w:p w:rsidR="002B7DD5" w:rsidRPr="00185F42" w:rsidP="003F5BD2">
            <w:pPr>
              <w:spacing w:after="120"/>
              <w:jc w:val="center"/>
              <w:rPr>
                <w:szCs w:val="22"/>
              </w:rPr>
            </w:pPr>
            <w:r>
              <w:rPr>
                <w:szCs w:val="22"/>
              </w:rPr>
              <w:t>22,305</w:t>
            </w:r>
          </w:p>
        </w:tc>
        <w:tc>
          <w:tcPr>
            <w:tcW w:w="1863" w:type="dxa"/>
            <w:shd w:val="clear" w:color="auto" w:fill="auto"/>
          </w:tcPr>
          <w:p w:rsidR="002B7DD5" w:rsidRPr="00185F42" w:rsidP="003F5BD2">
            <w:pPr>
              <w:spacing w:after="120"/>
              <w:jc w:val="center"/>
              <w:rPr>
                <w:szCs w:val="22"/>
              </w:rPr>
            </w:pPr>
            <w:r>
              <w:rPr>
                <w:szCs w:val="22"/>
              </w:rPr>
              <w:t>$7,026,075</w:t>
            </w:r>
          </w:p>
        </w:tc>
      </w:tr>
    </w:tbl>
    <w:p w:rsidR="002B7DD5" w:rsidRPr="00930ECF" w:rsidP="002B7DD5">
      <w:pPr>
        <w:rPr>
          <w:sz w:val="24"/>
        </w:rPr>
      </w:pPr>
    </w:p>
    <w:p w:rsidR="002B7DD5"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7DD5">
      <w:r>
        <w:separator/>
      </w:r>
    </w:p>
  </w:footnote>
  <w:footnote w:type="continuationSeparator" w:id="1">
    <w:p w:rsidR="002B7DD5">
      <w:pPr>
        <w:rPr>
          <w:sz w:val="20"/>
        </w:rPr>
      </w:pPr>
      <w:r>
        <w:rPr>
          <w:sz w:val="20"/>
        </w:rPr>
        <w:t xml:space="preserve">(Continued from previous page)  </w:t>
      </w:r>
      <w:r>
        <w:rPr>
          <w:sz w:val="20"/>
        </w:rPr>
        <w:separator/>
      </w:r>
    </w:p>
  </w:footnote>
  <w:footnote w:type="continuationNotice" w:id="2">
    <w:p w:rsidR="002B7DD5" w:rsidP="00910F12">
      <w:pPr>
        <w:jc w:val="right"/>
        <w:rPr>
          <w:sz w:val="20"/>
        </w:rPr>
      </w:pPr>
      <w:r>
        <w:rPr>
          <w:sz w:val="20"/>
        </w:rPr>
        <w:t>(continued….)</w:t>
      </w:r>
    </w:p>
  </w:footnote>
  <w:footnote w:id="3">
    <w:p w:rsidR="002B7DD5" w:rsidP="002B7DD5">
      <w:pPr>
        <w:pStyle w:val="FootnoteText"/>
      </w:pPr>
      <w:r>
        <w:rPr>
          <w:rStyle w:val="FootnoteReference"/>
        </w:rPr>
        <w:footnoteRef/>
      </w:r>
      <w:r>
        <w:t xml:space="preserve"> The Commission’s rules require ready to authorize applicants to submit their respective letters of credit </w:t>
      </w:r>
      <w:r w:rsidRPr="006731DE">
        <w:t>no later than 10 business days after we release a public notice identifying long-form applicants that may be authorized to receive</w:t>
      </w:r>
      <w:r w:rsidRPr="0059540A">
        <w:t xml:space="preserve"> </w:t>
      </w:r>
      <w:r w:rsidRPr="006731DE">
        <w:t>Connect America Fund Phase II auction support</w:t>
      </w:r>
      <w:r>
        <w:t xml:space="preserve">.  </w:t>
      </w:r>
      <w:r>
        <w:rPr>
          <w:i/>
        </w:rPr>
        <w:t>Phase II Auction Order</w:t>
      </w:r>
      <w:r w:rsidRPr="00010B65">
        <w:t xml:space="preserve">, 31 FCC Rcd </w:t>
      </w:r>
      <w:r>
        <w:t>at</w:t>
      </w:r>
      <w:r w:rsidRPr="008A5853">
        <w:t xml:space="preserve"> 6045-49, App. B</w:t>
      </w:r>
      <w:r w:rsidRPr="004C60A9">
        <w:t>.</w:t>
      </w:r>
    </w:p>
  </w:footnote>
  <w:footnote w:id="4">
    <w:p w:rsidR="002B7DD5" w:rsidP="002B7DD5">
      <w:pPr>
        <w:pStyle w:val="FootnoteText"/>
      </w:pPr>
      <w:r>
        <w:rPr>
          <w:rStyle w:val="FootnoteReference"/>
        </w:rPr>
        <w:footnoteRef/>
      </w:r>
      <w:r>
        <w:t xml:space="preserve"> </w:t>
      </w:r>
      <w:r>
        <w:rPr>
          <w:i/>
        </w:rPr>
        <w:t>Wireline Competition Bureau Announces FCC Deadlines for New York Broadband Program Winning Bidders</w:t>
      </w:r>
      <w:r>
        <w:t>, WC Docket No. 10-90, Public Notice, 33 FCC Rcd 4922 (WCB 2018).</w:t>
      </w:r>
    </w:p>
  </w:footnote>
  <w:footnote w:id="5">
    <w:p w:rsidR="002B7DD5" w:rsidP="002B7DD5">
      <w:pPr>
        <w:pStyle w:val="FootnoteText"/>
      </w:pPr>
      <w:r w:rsidRPr="0042165B">
        <w:rPr>
          <w:rStyle w:val="FootnoteReference"/>
        </w:rPr>
        <w:footnoteRef/>
      </w:r>
      <w:r>
        <w:t xml:space="preserve"> </w:t>
      </w:r>
      <w:r w:rsidRPr="00593DB1">
        <w:rPr>
          <w:i/>
        </w:rPr>
        <w:t>See</w:t>
      </w:r>
      <w:r>
        <w:t xml:space="preserve"> </w:t>
      </w:r>
      <w:r>
        <w:rPr>
          <w:i/>
        </w:rPr>
        <w:t>Connect America Fund; ETC Annual Reports and Certifications</w:t>
      </w:r>
      <w:r w:rsidRPr="00267764">
        <w:t xml:space="preserve">, </w:t>
      </w:r>
      <w:r>
        <w:t>Order, 32 FCC Rcd 968, 992, paras. 64-65 (2017) (</w:t>
      </w:r>
      <w:r>
        <w:rPr>
          <w:i/>
        </w:rPr>
        <w:t>New York Auction Waiver Order</w:t>
      </w:r>
      <w:r>
        <w:t>); 47 CFR</w:t>
      </w:r>
      <w:r w:rsidRPr="00593DB1">
        <w:t xml:space="preserve"> </w:t>
      </w:r>
      <w:r w:rsidRPr="004C60A9">
        <w:t>§</w:t>
      </w:r>
      <w:r>
        <w:t xml:space="preserve"> </w:t>
      </w:r>
      <w:r w:rsidRPr="004C60A9">
        <w:t>54.</w:t>
      </w:r>
      <w:r>
        <w:t>315(b)(6)(v).</w:t>
      </w:r>
      <w:r w:rsidRPr="004C60A9">
        <w:t xml:space="preserve"> </w:t>
      </w:r>
    </w:p>
  </w:footnote>
  <w:footnote w:id="6">
    <w:p w:rsidR="002B7DD5" w:rsidRPr="004A4861" w:rsidP="002B7DD5">
      <w:pPr>
        <w:pStyle w:val="FootnoteText"/>
      </w:pPr>
      <w:r w:rsidRPr="004C60A9">
        <w:rPr>
          <w:rStyle w:val="FootnoteReference"/>
        </w:rPr>
        <w:footnoteRef/>
      </w:r>
      <w:r>
        <w:t xml:space="preserve"> </w:t>
      </w:r>
      <w:r>
        <w:rPr>
          <w:i/>
        </w:rPr>
        <w:t>Phase II Auction Order</w:t>
      </w:r>
      <w:r w:rsidRPr="00010B65">
        <w:t xml:space="preserve">, 31 FCC Rcd </w:t>
      </w:r>
      <w:r>
        <w:t>at</w:t>
      </w:r>
      <w:r w:rsidRPr="008A5853">
        <w:t xml:space="preserve"> 6045-49, App. B</w:t>
      </w:r>
      <w:r w:rsidRPr="004C60A9">
        <w:t>.</w:t>
      </w:r>
    </w:p>
  </w:footnote>
  <w:footnote w:id="7">
    <w:p w:rsidR="002B7DD5" w:rsidRPr="004C60A9" w:rsidP="002B7DD5">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54.315(c)(2); </w:t>
      </w:r>
      <w:r w:rsidRPr="00E624F7">
        <w:rPr>
          <w:i/>
        </w:rPr>
        <w:t>Phase II Auction Order</w:t>
      </w:r>
      <w:r>
        <w:t>, 31 FCC Rcd at 5992-97, paras. 126-33.</w:t>
      </w:r>
    </w:p>
  </w:footnote>
  <w:footnote w:id="8">
    <w:p w:rsidR="002B7DD5" w:rsidP="002B7DD5">
      <w:pPr>
        <w:pStyle w:val="FootnoteText"/>
      </w:pPr>
      <w:r w:rsidRPr="0042165B">
        <w:rPr>
          <w:rStyle w:val="FootnoteReference"/>
        </w:rPr>
        <w:footnoteRef/>
      </w:r>
      <w:r>
        <w:t xml:space="preserve"> </w:t>
      </w:r>
      <w:r w:rsidRPr="00E624F7">
        <w:rPr>
          <w:i/>
        </w:rPr>
        <w:t>Phase II Auction Order</w:t>
      </w:r>
      <w:r>
        <w:t xml:space="preserve">, 31 FCC Rcd at 5991, para. 122. </w:t>
      </w:r>
    </w:p>
  </w:footnote>
  <w:footnote w:id="9">
    <w:p w:rsidR="002B7DD5" w:rsidP="002B7DD5">
      <w:pPr>
        <w:pStyle w:val="FootnoteText"/>
      </w:pPr>
      <w:r>
        <w:rPr>
          <w:rStyle w:val="FootnoteReference"/>
        </w:rPr>
        <w:footnoteRef/>
      </w:r>
      <w:r>
        <w:t xml:space="preserve"> </w:t>
      </w:r>
      <w:r>
        <w:rPr>
          <w:i/>
        </w:rPr>
        <w:t>New York Auction Waiver Order</w:t>
      </w:r>
      <w:r>
        <w:t xml:space="preserve">, 32 FCC Rcd at 992, paras. 65-65; </w:t>
      </w:r>
      <w:r w:rsidRPr="008D6745">
        <w:t xml:space="preserve">47 CFR § 54.315(c)(1); </w:t>
      </w:r>
      <w:r w:rsidRPr="008D6745">
        <w:rPr>
          <w:i/>
        </w:rPr>
        <w:t>Phase II Auction Order</w:t>
      </w:r>
      <w:r w:rsidRPr="008D6745">
        <w:t xml:space="preserve">, 31 FCC Rcd at 5991, </w:t>
      </w:r>
      <w:r w:rsidRPr="00ED5762">
        <w:t xml:space="preserve">5997, </w:t>
      </w:r>
      <w:r w:rsidRPr="008A5853">
        <w:t xml:space="preserve">paras. 122, 135.  </w:t>
      </w:r>
    </w:p>
  </w:footnote>
  <w:footnote w:id="10">
    <w:p w:rsidR="002B7DD5" w:rsidRPr="008D6745" w:rsidP="002B7DD5">
      <w:pPr>
        <w:pStyle w:val="FootnoteText"/>
      </w:pPr>
      <w:r w:rsidRPr="00004808">
        <w:rPr>
          <w:rStyle w:val="FootnoteReference"/>
          <w:sz w:val="20"/>
        </w:rPr>
        <w:footnoteRef/>
      </w:r>
      <w:r w:rsidRPr="008D6745">
        <w:t xml:space="preserve"> </w:t>
      </w:r>
      <w:r>
        <w:rPr>
          <w:i/>
        </w:rPr>
        <w:t>Phase II Auction Order</w:t>
      </w:r>
      <w:r>
        <w:t>, 31 FCC Rcd</w:t>
      </w:r>
      <w:r w:rsidRPr="008D6745">
        <w:t xml:space="preserve"> at 5991, para. 122 &amp; </w:t>
      </w:r>
      <w:r w:rsidRPr="008D6745">
        <w:t>n.242</w:t>
      </w:r>
      <w:r w:rsidRPr="008D6745">
        <w:t>.</w:t>
      </w:r>
    </w:p>
  </w:footnote>
  <w:footnote w:id="11">
    <w:p w:rsidR="002B7DD5" w:rsidRPr="00392D8A" w:rsidP="002B7DD5">
      <w:pPr>
        <w:pStyle w:val="FootnoteText"/>
      </w:pPr>
      <w:r w:rsidRPr="0042165B">
        <w:rPr>
          <w:rStyle w:val="FootnoteReference"/>
        </w:rPr>
        <w:footnoteRef/>
      </w:r>
      <w:r>
        <w:t xml:space="preserve"> 11 U.S.C. </w:t>
      </w:r>
      <w:r w:rsidRPr="008D6745">
        <w:t xml:space="preserve">§ </w:t>
      </w:r>
      <w:r>
        <w:t xml:space="preserve">541; </w:t>
      </w:r>
      <w:r w:rsidRPr="008D6745">
        <w:t xml:space="preserve">47 CFR § 54.315(c)(3); </w:t>
      </w:r>
      <w:r w:rsidRPr="008A5853">
        <w:rPr>
          <w:i/>
        </w:rPr>
        <w:t>Phase II Auction Order</w:t>
      </w:r>
      <w:r w:rsidRPr="008A5853">
        <w:t>, 31 FCC Rcd at 5992, para. 125</w:t>
      </w:r>
      <w:r>
        <w:t xml:space="preserve">; </w:t>
      </w:r>
      <w:r>
        <w:rPr>
          <w:i/>
        </w:rPr>
        <w:t>New York Auction Waiver Order</w:t>
      </w:r>
      <w:r>
        <w:t>, 32 FCC Rcd at 992, para. 65.</w:t>
      </w:r>
    </w:p>
  </w:footnote>
  <w:footnote w:id="12">
    <w:p w:rsidR="002B7DD5" w:rsidP="002B7DD5">
      <w:pPr>
        <w:pStyle w:val="FootnoteText"/>
      </w:pPr>
      <w:r>
        <w:rPr>
          <w:rStyle w:val="FootnoteReference"/>
        </w:rPr>
        <w:footnoteRef/>
      </w:r>
      <w:r>
        <w:t xml:space="preserve"> If a request for public inspection under section </w:t>
      </w:r>
      <w:r w:rsidRPr="00735F3D">
        <w:t>0.461</w:t>
      </w:r>
      <w:r>
        <w:t xml:space="preserve"> is made for the long-form applicant’s letter of credit or attorney opinion letter, the long-form applicant will be notified and then must justify the continued confidential treatment of the information if it objects to the disclosure.  47 CFR </w:t>
      </w:r>
      <w:r w:rsidRPr="00D62C8E">
        <w:t>§§ 0.459</w:t>
      </w:r>
      <w:r>
        <w:t>, 0.461</w:t>
      </w:r>
      <w:r w:rsidRPr="00D62C8E">
        <w:t>.</w:t>
      </w:r>
    </w:p>
  </w:footnote>
  <w:footnote w:id="13">
    <w:p w:rsidR="002B7DD5" w:rsidP="002B7DD5">
      <w:pPr>
        <w:pStyle w:val="FootnoteText"/>
      </w:pPr>
      <w:r>
        <w:rPr>
          <w:rStyle w:val="FootnoteReference"/>
        </w:rPr>
        <w:footnoteRef/>
      </w:r>
      <w:r>
        <w:t xml:space="preserve"> 47 CFR </w:t>
      </w:r>
      <w:r w:rsidRPr="004C60A9">
        <w:rPr>
          <w:lang w:val="it-IT"/>
        </w:rPr>
        <w:t>§</w:t>
      </w:r>
      <w:r>
        <w:rPr>
          <w:lang w:val="it-IT"/>
        </w:rPr>
        <w:t xml:space="preserve"> 0.459.</w:t>
      </w:r>
    </w:p>
  </w:footnote>
  <w:footnote w:id="14">
    <w:p w:rsidR="002B7DD5" w:rsidRPr="004C60A9" w:rsidP="002B7DD5">
      <w:pPr>
        <w:pStyle w:val="FootnoteText"/>
      </w:pPr>
      <w:r w:rsidRPr="004C60A9">
        <w:rPr>
          <w:rStyle w:val="FootnoteReference"/>
        </w:rPr>
        <w:footnoteRef/>
      </w:r>
      <w:r>
        <w:t xml:space="preserve"> 47 CFR</w:t>
      </w:r>
      <w:r w:rsidRPr="004C60A9">
        <w:t xml:space="preserve"> </w:t>
      </w:r>
      <w:r>
        <w:rPr>
          <w:lang w:val="it-IT"/>
        </w:rPr>
        <w:t>§ 54.313(b)(6)(v)</w:t>
      </w:r>
      <w:r w:rsidRPr="004C60A9">
        <w:t>.</w:t>
      </w:r>
    </w:p>
  </w:footnote>
  <w:footnote w:id="15">
    <w:p w:rsidR="002B7DD5" w:rsidRPr="009F36E4" w:rsidP="002B7DD5">
      <w:pPr>
        <w:pStyle w:val="FootnoteText"/>
      </w:pPr>
      <w:r>
        <w:rPr>
          <w:rStyle w:val="FootnoteReference"/>
        </w:rPr>
        <w:footnoteRef/>
      </w:r>
      <w:r>
        <w:t xml:space="preserve"> </w:t>
      </w:r>
      <w:r w:rsidRPr="00357F33">
        <w:rPr>
          <w:i/>
        </w:rPr>
        <w:t>Phase II Auction Order</w:t>
      </w:r>
      <w:r>
        <w:t>, 31 FCC Rcd at 6000-01, paras. 143-45.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2B7DD5">
      <w:rPr>
        <w:b/>
      </w:rPr>
      <w:t>DA 19-1311</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D5"/>
    <w:rsid w:val="000072CE"/>
    <w:rsid w:val="00010B65"/>
    <w:rsid w:val="00013A8B"/>
    <w:rsid w:val="00021445"/>
    <w:rsid w:val="00036039"/>
    <w:rsid w:val="00037F90"/>
    <w:rsid w:val="000875BF"/>
    <w:rsid w:val="00096D8C"/>
    <w:rsid w:val="000C0B65"/>
    <w:rsid w:val="000E3D42"/>
    <w:rsid w:val="000E5884"/>
    <w:rsid w:val="00122BD5"/>
    <w:rsid w:val="00185F42"/>
    <w:rsid w:val="001979D9"/>
    <w:rsid w:val="001D6BCF"/>
    <w:rsid w:val="001E01CA"/>
    <w:rsid w:val="002060D9"/>
    <w:rsid w:val="00226822"/>
    <w:rsid w:val="00260594"/>
    <w:rsid w:val="00267764"/>
    <w:rsid w:val="00285017"/>
    <w:rsid w:val="002A2D2E"/>
    <w:rsid w:val="002B7DD5"/>
    <w:rsid w:val="00343749"/>
    <w:rsid w:val="00357D50"/>
    <w:rsid w:val="00357F33"/>
    <w:rsid w:val="003925DC"/>
    <w:rsid w:val="00392D8A"/>
    <w:rsid w:val="003B0550"/>
    <w:rsid w:val="003B694F"/>
    <w:rsid w:val="003F171C"/>
    <w:rsid w:val="003F5BD2"/>
    <w:rsid w:val="00412FC5"/>
    <w:rsid w:val="00422276"/>
    <w:rsid w:val="004242F1"/>
    <w:rsid w:val="00445A00"/>
    <w:rsid w:val="00451B0F"/>
    <w:rsid w:val="0046125F"/>
    <w:rsid w:val="00487524"/>
    <w:rsid w:val="00496106"/>
    <w:rsid w:val="004A4861"/>
    <w:rsid w:val="004C12D0"/>
    <w:rsid w:val="004C2EE3"/>
    <w:rsid w:val="004C60A9"/>
    <w:rsid w:val="004E4A22"/>
    <w:rsid w:val="00511968"/>
    <w:rsid w:val="0055614C"/>
    <w:rsid w:val="00593DB1"/>
    <w:rsid w:val="0059540A"/>
    <w:rsid w:val="00607BA5"/>
    <w:rsid w:val="00626EB6"/>
    <w:rsid w:val="006353A3"/>
    <w:rsid w:val="00655D03"/>
    <w:rsid w:val="006731DE"/>
    <w:rsid w:val="00683F84"/>
    <w:rsid w:val="006A6A81"/>
    <w:rsid w:val="006E26AF"/>
    <w:rsid w:val="006F7393"/>
    <w:rsid w:val="0070224F"/>
    <w:rsid w:val="007115F7"/>
    <w:rsid w:val="00735F3D"/>
    <w:rsid w:val="00785689"/>
    <w:rsid w:val="0079754B"/>
    <w:rsid w:val="007A1E6D"/>
    <w:rsid w:val="00822CE0"/>
    <w:rsid w:val="00837C62"/>
    <w:rsid w:val="00841AB1"/>
    <w:rsid w:val="00893B45"/>
    <w:rsid w:val="008A5853"/>
    <w:rsid w:val="008C22FD"/>
    <w:rsid w:val="008D6745"/>
    <w:rsid w:val="00910F12"/>
    <w:rsid w:val="00926503"/>
    <w:rsid w:val="00930ECF"/>
    <w:rsid w:val="009838BC"/>
    <w:rsid w:val="009F36E4"/>
    <w:rsid w:val="00A45F4F"/>
    <w:rsid w:val="00A600A9"/>
    <w:rsid w:val="00A866AC"/>
    <w:rsid w:val="00AA55B7"/>
    <w:rsid w:val="00AA5B9E"/>
    <w:rsid w:val="00AB2407"/>
    <w:rsid w:val="00AB53DF"/>
    <w:rsid w:val="00B07E5C"/>
    <w:rsid w:val="00B20363"/>
    <w:rsid w:val="00B326E3"/>
    <w:rsid w:val="00B811F7"/>
    <w:rsid w:val="00BA5DC6"/>
    <w:rsid w:val="00BA6196"/>
    <w:rsid w:val="00BB7EEB"/>
    <w:rsid w:val="00BC6D8C"/>
    <w:rsid w:val="00C16AF2"/>
    <w:rsid w:val="00C34006"/>
    <w:rsid w:val="00C426B1"/>
    <w:rsid w:val="00C470AD"/>
    <w:rsid w:val="00C82B6B"/>
    <w:rsid w:val="00C90D6A"/>
    <w:rsid w:val="00CC72B6"/>
    <w:rsid w:val="00D0218D"/>
    <w:rsid w:val="00D03E0B"/>
    <w:rsid w:val="00D216CD"/>
    <w:rsid w:val="00D62C8E"/>
    <w:rsid w:val="00DA2529"/>
    <w:rsid w:val="00DB130A"/>
    <w:rsid w:val="00DC10A1"/>
    <w:rsid w:val="00DC655F"/>
    <w:rsid w:val="00DD7EBD"/>
    <w:rsid w:val="00DF62B6"/>
    <w:rsid w:val="00E07225"/>
    <w:rsid w:val="00E155B7"/>
    <w:rsid w:val="00E5409F"/>
    <w:rsid w:val="00E624F7"/>
    <w:rsid w:val="00EC0185"/>
    <w:rsid w:val="00ED5762"/>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52CC947-8845-4067-8631-0030EB28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2B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c/funds/caf-phase-ii-auction.aspx" TargetMode="External" /><Relationship Id="rId6" Type="http://schemas.openxmlformats.org/officeDocument/2006/relationships/hyperlink" Target="mailto:Stephen.Wang@fcc.gov" TargetMode="External" /><Relationship Id="rId7" Type="http://schemas.openxmlformats.org/officeDocument/2006/relationships/hyperlink" Target="mailto:Dangkhoa.Nguye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