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02774" w:rsidP="00702774">
      <w:pPr>
        <w:jc w:val="center"/>
        <w:rPr>
          <w:b/>
        </w:rPr>
      </w:pPr>
      <w:r w:rsidRPr="0070224F">
        <w:rPr>
          <w:rFonts w:ascii="Times New Roman Bold" w:hAnsi="Times New Roman Bold"/>
          <w:b/>
          <w:kern w:val="0"/>
          <w:szCs w:val="22"/>
        </w:rPr>
        <w:t>Before</w:t>
      </w:r>
      <w:r>
        <w:rPr>
          <w:b/>
        </w:rPr>
        <w:t xml:space="preserve"> the</w:t>
      </w:r>
    </w:p>
    <w:p w:rsidR="00702774" w:rsidP="00702774">
      <w:pPr>
        <w:pStyle w:val="StyleBoldCentered"/>
      </w:pPr>
      <w:r>
        <w:t>F</w:t>
      </w:r>
      <w:r>
        <w:rPr>
          <w:caps w:val="0"/>
        </w:rPr>
        <w:t>ederal Communications Commission</w:t>
      </w:r>
    </w:p>
    <w:p w:rsidR="00702774" w:rsidP="00702774">
      <w:pPr>
        <w:pStyle w:val="StyleBoldCentered"/>
      </w:pPr>
      <w:r>
        <w:rPr>
          <w:caps w:val="0"/>
        </w:rPr>
        <w:t>Washington, D.C. 20554</w:t>
      </w:r>
    </w:p>
    <w:p w:rsidR="00702774" w:rsidP="00702774"/>
    <w:p w:rsidR="00702774" w:rsidP="00702774"/>
    <w:tbl>
      <w:tblPr>
        <w:tblW w:w="0" w:type="auto"/>
        <w:tblLayout w:type="fixed"/>
        <w:tblLook w:val="0000"/>
      </w:tblPr>
      <w:tblGrid>
        <w:gridCol w:w="4698"/>
        <w:gridCol w:w="630"/>
        <w:gridCol w:w="4248"/>
      </w:tblGrid>
      <w:tr w:rsidTr="00A47A2A">
        <w:tblPrEx>
          <w:tblW w:w="0" w:type="auto"/>
          <w:tblLayout w:type="fixed"/>
          <w:tblLook w:val="0000"/>
        </w:tblPrEx>
        <w:tc>
          <w:tcPr>
            <w:tcW w:w="4698" w:type="dxa"/>
          </w:tcPr>
          <w:p w:rsidR="00702774" w:rsidP="00A47A2A">
            <w:pPr>
              <w:tabs>
                <w:tab w:val="center" w:pos="4680"/>
              </w:tabs>
              <w:suppressAutoHyphens/>
              <w:rPr>
                <w:spacing w:val="-2"/>
              </w:rPr>
            </w:pPr>
            <w:r>
              <w:rPr>
                <w:spacing w:val="-2"/>
              </w:rPr>
              <w:t>In the Matter of</w:t>
            </w:r>
          </w:p>
          <w:p w:rsidR="00702774" w:rsidP="00A47A2A">
            <w:pPr>
              <w:tabs>
                <w:tab w:val="center" w:pos="4680"/>
              </w:tabs>
              <w:suppressAutoHyphens/>
              <w:rPr>
                <w:spacing w:val="-2"/>
              </w:rPr>
            </w:pPr>
          </w:p>
          <w:p w:rsidR="00702774" w:rsidRPr="007115F7" w:rsidP="00A47A2A">
            <w:pPr>
              <w:tabs>
                <w:tab w:val="center" w:pos="4680"/>
              </w:tabs>
              <w:suppressAutoHyphens/>
              <w:rPr>
                <w:spacing w:val="-2"/>
              </w:rPr>
            </w:pPr>
            <w:r>
              <w:rPr>
                <w:spacing w:val="-2"/>
              </w:rPr>
              <w:t>Modernizing the E-Rate Program for Schools and Libraries</w:t>
            </w:r>
          </w:p>
        </w:tc>
        <w:tc>
          <w:tcPr>
            <w:tcW w:w="630" w:type="dxa"/>
          </w:tcPr>
          <w:p w:rsidR="00702774" w:rsidP="00A47A2A">
            <w:pPr>
              <w:tabs>
                <w:tab w:val="center" w:pos="4680"/>
              </w:tabs>
              <w:suppressAutoHyphens/>
              <w:rPr>
                <w:b/>
                <w:spacing w:val="-2"/>
              </w:rPr>
            </w:pPr>
            <w:r>
              <w:rPr>
                <w:b/>
                <w:spacing w:val="-2"/>
              </w:rPr>
              <w:t>)</w:t>
            </w:r>
          </w:p>
          <w:p w:rsidR="00702774" w:rsidP="00A47A2A">
            <w:pPr>
              <w:tabs>
                <w:tab w:val="center" w:pos="4680"/>
              </w:tabs>
              <w:suppressAutoHyphens/>
              <w:rPr>
                <w:b/>
                <w:spacing w:val="-2"/>
              </w:rPr>
            </w:pPr>
            <w:r>
              <w:rPr>
                <w:b/>
                <w:spacing w:val="-2"/>
              </w:rPr>
              <w:t>)</w:t>
            </w:r>
          </w:p>
          <w:p w:rsidR="00702774" w:rsidP="00A47A2A">
            <w:pPr>
              <w:tabs>
                <w:tab w:val="center" w:pos="4680"/>
              </w:tabs>
              <w:suppressAutoHyphens/>
              <w:rPr>
                <w:b/>
                <w:spacing w:val="-2"/>
              </w:rPr>
            </w:pPr>
            <w:r>
              <w:rPr>
                <w:b/>
                <w:spacing w:val="-2"/>
              </w:rPr>
              <w:t>)</w:t>
            </w:r>
          </w:p>
          <w:p w:rsidR="00702774" w:rsidP="00A47A2A">
            <w:pPr>
              <w:tabs>
                <w:tab w:val="center" w:pos="4680"/>
              </w:tabs>
              <w:suppressAutoHyphens/>
              <w:rPr>
                <w:b/>
                <w:spacing w:val="-2"/>
              </w:rPr>
            </w:pPr>
            <w:r>
              <w:rPr>
                <w:b/>
                <w:spacing w:val="-2"/>
              </w:rPr>
              <w:t>)</w:t>
            </w:r>
          </w:p>
          <w:p w:rsidR="00702774" w:rsidP="00A47A2A">
            <w:pPr>
              <w:tabs>
                <w:tab w:val="center" w:pos="4680"/>
              </w:tabs>
              <w:suppressAutoHyphens/>
              <w:rPr>
                <w:spacing w:val="-2"/>
              </w:rPr>
            </w:pPr>
            <w:r>
              <w:rPr>
                <w:b/>
                <w:spacing w:val="-2"/>
              </w:rPr>
              <w:t>)</w:t>
            </w:r>
          </w:p>
        </w:tc>
        <w:tc>
          <w:tcPr>
            <w:tcW w:w="4248" w:type="dxa"/>
          </w:tcPr>
          <w:p w:rsidR="00702774" w:rsidP="00A47A2A">
            <w:pPr>
              <w:tabs>
                <w:tab w:val="center" w:pos="4680"/>
              </w:tabs>
              <w:suppressAutoHyphens/>
              <w:rPr>
                <w:spacing w:val="-2"/>
              </w:rPr>
            </w:pPr>
          </w:p>
          <w:p w:rsidR="00702774" w:rsidP="00A47A2A">
            <w:pPr>
              <w:pStyle w:val="TOAHeading"/>
              <w:tabs>
                <w:tab w:val="center" w:pos="4680"/>
                <w:tab w:val="clear" w:pos="9360"/>
              </w:tabs>
              <w:rPr>
                <w:spacing w:val="-2"/>
              </w:rPr>
            </w:pPr>
          </w:p>
          <w:p w:rsidR="00702774" w:rsidP="00A47A2A">
            <w:pPr>
              <w:tabs>
                <w:tab w:val="center" w:pos="4680"/>
              </w:tabs>
              <w:suppressAutoHyphens/>
              <w:rPr>
                <w:spacing w:val="-2"/>
              </w:rPr>
            </w:pPr>
            <w:r>
              <w:rPr>
                <w:spacing w:val="-2"/>
              </w:rPr>
              <w:t>WC Docket No. 13-184</w:t>
            </w:r>
          </w:p>
        </w:tc>
      </w:tr>
    </w:tbl>
    <w:p w:rsidR="00702774" w:rsidP="00702774"/>
    <w:p w:rsidR="00702774" w:rsidP="00702774">
      <w:pPr>
        <w:pStyle w:val="StyleBoldCentered"/>
      </w:pPr>
      <w:r>
        <w:t>Order</w:t>
      </w:r>
    </w:p>
    <w:p w:rsidR="00702774" w:rsidP="00702774">
      <w:pPr>
        <w:tabs>
          <w:tab w:val="left" w:pos="-720"/>
        </w:tabs>
        <w:suppressAutoHyphens/>
        <w:spacing w:line="227" w:lineRule="auto"/>
        <w:rPr>
          <w:spacing w:val="-2"/>
        </w:rPr>
      </w:pPr>
    </w:p>
    <w:p w:rsidR="00702774" w:rsidP="00702774">
      <w:pPr>
        <w:tabs>
          <w:tab w:val="left" w:pos="720"/>
          <w:tab w:val="right" w:pos="9360"/>
        </w:tabs>
        <w:suppressAutoHyphens/>
        <w:spacing w:line="227" w:lineRule="auto"/>
        <w:rPr>
          <w:spacing w:val="-2"/>
        </w:rPr>
      </w:pPr>
      <w:r>
        <w:rPr>
          <w:b/>
          <w:spacing w:val="-2"/>
        </w:rPr>
        <w:t xml:space="preserve">Adopted:  </w:t>
      </w:r>
      <w:r>
        <w:rPr>
          <w:b/>
          <w:spacing w:val="-2"/>
        </w:rPr>
        <w:t>December 9, 2019</w:t>
      </w:r>
      <w:r>
        <w:rPr>
          <w:b/>
          <w:spacing w:val="-2"/>
        </w:rPr>
        <w:tab/>
        <w:t xml:space="preserve">Released:  </w:t>
      </w:r>
      <w:r>
        <w:rPr>
          <w:b/>
          <w:spacing w:val="-2"/>
        </w:rPr>
        <w:t>December 9, 2019</w:t>
      </w:r>
    </w:p>
    <w:p w:rsidR="00702774" w:rsidP="00702774"/>
    <w:p w:rsidR="00702774" w:rsidP="00702774">
      <w:pPr>
        <w:rPr>
          <w:spacing w:val="-2"/>
        </w:rPr>
      </w:pPr>
      <w:r>
        <w:t xml:space="preserve">By the </w:t>
      </w:r>
      <w:r>
        <w:rPr>
          <w:spacing w:val="-2"/>
        </w:rPr>
        <w:t>Chief, Wireline Competition Bureau:</w:t>
      </w:r>
    </w:p>
    <w:p w:rsidR="00702774" w:rsidP="00702774">
      <w:pPr>
        <w:rPr>
          <w:spacing w:val="-2"/>
        </w:rPr>
      </w:pPr>
    </w:p>
    <w:p w:rsidR="00702774" w:rsidP="00702774">
      <w:pPr>
        <w:pStyle w:val="Heading1"/>
      </w:pPr>
      <w:r>
        <w:t>Introduction</w:t>
      </w:r>
    </w:p>
    <w:p w:rsidR="00702774" w:rsidP="00702774">
      <w:pPr>
        <w:pStyle w:val="ParaNum"/>
      </w:pPr>
      <w:r>
        <w:t>In this Order, the Wireline Competition Bureau (Bureau) adopts the final eligible services list for funding year 2020 for the schools and libraries universal service support program (more commonly referred to as the E-Rate program).</w:t>
      </w:r>
      <w:r>
        <w:rPr>
          <w:rStyle w:val="FootnoteReference"/>
        </w:rPr>
        <w:footnoteReference w:id="3"/>
      </w:r>
      <w:r>
        <w:t xml:space="preserve">  Specifically, we adopt the proposed eligible services list attached to the Bureau’s Public Notice seeking comment on the proposed eligible services for funding year 2020, with limited changes further discussed below.</w:t>
      </w:r>
      <w:r>
        <w:rPr>
          <w:rStyle w:val="FootnoteReference"/>
        </w:rPr>
        <w:footnoteReference w:id="4"/>
      </w:r>
      <w:r>
        <w:t xml:space="preserve">  In addition, we authorize the Universal Service Administrative Company (USAC) to open the annual application filing window within 45 days after release of this Order.</w:t>
      </w:r>
      <w:r>
        <w:rPr>
          <w:rStyle w:val="FootnoteReference"/>
        </w:rPr>
        <w:footnoteReference w:id="5"/>
      </w:r>
    </w:p>
    <w:p w:rsidR="00702774" w:rsidP="00702774">
      <w:pPr>
        <w:pStyle w:val="Heading1"/>
      </w:pPr>
      <w:r>
        <w:t>Funding Year 2020 Eligible Services List</w:t>
      </w:r>
    </w:p>
    <w:p w:rsidR="00702774" w:rsidP="00702774">
      <w:pPr>
        <w:pStyle w:val="Heading2"/>
      </w:pPr>
      <w:r>
        <w:t>Background</w:t>
      </w:r>
    </w:p>
    <w:p w:rsidR="00702774" w:rsidRPr="00C7006E" w:rsidP="00702774">
      <w:pPr>
        <w:pStyle w:val="ParaNum"/>
      </w:pPr>
      <w:r w:rsidRPr="004308FC">
        <w:t>Sections 254(c)(1), (c)(3), (h)(1)(</w:t>
      </w:r>
      <w:r w:rsidRPr="004308FC">
        <w:rPr>
          <w:rFonts w:eastAsia="Segoe UI Emoji"/>
        </w:rPr>
        <w:t>B), and (h)(2</w:t>
      </w:r>
      <w:r>
        <w:rPr>
          <w:rFonts w:eastAsia="Segoe UI Emoji"/>
        </w:rPr>
        <w:t>) of the Communications Act collectively grant the Commission authority to specify the services that will be supported for eligible schools and libraries and to design the specific mechanisms for support.</w:t>
      </w:r>
      <w:r>
        <w:rPr>
          <w:rStyle w:val="FootnoteReference"/>
          <w:rFonts w:eastAsia="Segoe UI Emoji"/>
        </w:rPr>
        <w:footnoteReference w:id="6"/>
      </w:r>
      <w:r>
        <w:rPr>
          <w:rFonts w:eastAsia="Segoe UI Emoji"/>
        </w:rPr>
        <w:t xml:space="preserve">  Pursuant to this authority, the Commission delegated responsibility to the Bureau to annually seek public comment on the proposed eligible services list.</w:t>
      </w:r>
      <w:r>
        <w:rPr>
          <w:rStyle w:val="FootnoteReference"/>
          <w:rFonts w:eastAsia="Segoe UI Emoji"/>
        </w:rPr>
        <w:footnoteReference w:id="7"/>
      </w:r>
    </w:p>
    <w:p w:rsidR="00702774" w:rsidRPr="00426F29" w:rsidP="00502119">
      <w:pPr>
        <w:pStyle w:val="ParaNum"/>
        <w:widowControl/>
      </w:pPr>
      <w:r>
        <w:rPr>
          <w:rFonts w:eastAsia="Segoe UI Emoji"/>
        </w:rPr>
        <w:t xml:space="preserve">In the </w:t>
      </w:r>
      <w:r w:rsidRPr="00385712">
        <w:rPr>
          <w:rFonts w:eastAsia="Segoe UI Emoji"/>
          <w:i/>
        </w:rPr>
        <w:t>Funding Year</w:t>
      </w:r>
      <w:r>
        <w:rPr>
          <w:rFonts w:eastAsia="Segoe UI Emoji"/>
        </w:rPr>
        <w:t xml:space="preserve"> </w:t>
      </w:r>
      <w:r w:rsidRPr="00426F29">
        <w:rPr>
          <w:rFonts w:eastAsia="Segoe UI Emoji"/>
          <w:i/>
        </w:rPr>
        <w:t>20</w:t>
      </w:r>
      <w:r>
        <w:rPr>
          <w:rFonts w:eastAsia="Segoe UI Emoji"/>
          <w:i/>
        </w:rPr>
        <w:t>20</w:t>
      </w:r>
      <w:r w:rsidRPr="00426F29">
        <w:rPr>
          <w:rFonts w:eastAsia="Segoe UI Emoji"/>
          <w:i/>
        </w:rPr>
        <w:t xml:space="preserve"> </w:t>
      </w:r>
      <w:r>
        <w:rPr>
          <w:rFonts w:eastAsia="Segoe UI Emoji"/>
          <w:i/>
        </w:rPr>
        <w:t xml:space="preserve">Eligible </w:t>
      </w:r>
      <w:bookmarkStart w:id="0" w:name="_GoBack"/>
      <w:bookmarkEnd w:id="0"/>
      <w:r>
        <w:rPr>
          <w:rFonts w:eastAsia="Segoe UI Emoji"/>
          <w:i/>
        </w:rPr>
        <w:t>Services List</w:t>
      </w:r>
      <w:r w:rsidRPr="00426F29">
        <w:rPr>
          <w:rFonts w:eastAsia="Segoe UI Emoji"/>
          <w:i/>
        </w:rPr>
        <w:t xml:space="preserve"> Public Notice</w:t>
      </w:r>
      <w:r>
        <w:rPr>
          <w:rFonts w:eastAsia="Segoe UI Emoji"/>
        </w:rPr>
        <w:t xml:space="preserve">, we sought comment on </w:t>
      </w:r>
      <w:bookmarkStart w:id="1" w:name="_Hlk23513602"/>
      <w:r>
        <w:rPr>
          <w:rFonts w:eastAsia="Segoe UI Emoji"/>
        </w:rPr>
        <w:t>the proposed eligible services list for funding year 2020.</w:t>
      </w:r>
      <w:r>
        <w:rPr>
          <w:rStyle w:val="FootnoteReference"/>
          <w:rFonts w:eastAsia="Segoe UI Emoji"/>
        </w:rPr>
        <w:footnoteReference w:id="8"/>
      </w:r>
      <w:r>
        <w:rPr>
          <w:rFonts w:eastAsia="Segoe UI Emoji"/>
        </w:rPr>
        <w:t xml:space="preserve">  While we did not propose substantive changes from the funding year 2019 </w:t>
      </w:r>
      <w:r>
        <w:t>eligible services list</w:t>
      </w:r>
      <w:r>
        <w:rPr>
          <w:rFonts w:eastAsia="Segoe UI Emoji"/>
        </w:rPr>
        <w:t>, we proposed adding language to explain the then conditional eligibility of three category two services</w:t>
      </w:r>
      <w:r>
        <w:rPr>
          <w:rStyle w:val="FootnoteReference"/>
          <w:rFonts w:eastAsia="Segoe UI Emoji"/>
        </w:rPr>
        <w:footnoteReference w:id="9"/>
      </w:r>
      <w:r>
        <w:rPr>
          <w:rFonts w:eastAsia="Segoe UI Emoji"/>
        </w:rPr>
        <w:t>—managed internal broadband services, caching, and basic maintenance of internal connections.</w:t>
      </w:r>
      <w:r>
        <w:rPr>
          <w:rStyle w:val="FootnoteReference"/>
          <w:rFonts w:eastAsia="Segoe UI Emoji"/>
        </w:rPr>
        <w:footnoteReference w:id="10"/>
      </w:r>
      <w:r>
        <w:rPr>
          <w:rFonts w:eastAsia="Segoe UI Emoji"/>
        </w:rPr>
        <w:t xml:space="preserve">  As we explained in the </w:t>
      </w:r>
      <w:r w:rsidRPr="00385712">
        <w:rPr>
          <w:rFonts w:eastAsia="Segoe UI Emoji"/>
          <w:i/>
        </w:rPr>
        <w:t>Funding Year</w:t>
      </w:r>
      <w:r>
        <w:rPr>
          <w:rFonts w:eastAsia="Segoe UI Emoji"/>
        </w:rPr>
        <w:t xml:space="preserve"> </w:t>
      </w:r>
      <w:r w:rsidRPr="00426F29">
        <w:rPr>
          <w:rFonts w:eastAsia="Segoe UI Emoji"/>
          <w:i/>
        </w:rPr>
        <w:t>20</w:t>
      </w:r>
      <w:r>
        <w:rPr>
          <w:rFonts w:eastAsia="Segoe UI Emoji"/>
          <w:i/>
        </w:rPr>
        <w:t>20</w:t>
      </w:r>
      <w:r w:rsidRPr="00426F29">
        <w:rPr>
          <w:rFonts w:eastAsia="Segoe UI Emoji"/>
          <w:i/>
        </w:rPr>
        <w:t xml:space="preserve"> </w:t>
      </w:r>
      <w:r>
        <w:rPr>
          <w:rFonts w:eastAsia="Segoe UI Emoji"/>
          <w:i/>
        </w:rPr>
        <w:t>Eligible Services List</w:t>
      </w:r>
      <w:r w:rsidRPr="00426F29">
        <w:rPr>
          <w:rFonts w:eastAsia="Segoe UI Emoji"/>
          <w:i/>
        </w:rPr>
        <w:t xml:space="preserve"> Public Notice</w:t>
      </w:r>
      <w:r>
        <w:rPr>
          <w:rFonts w:eastAsia="Segoe UI Emoji"/>
        </w:rPr>
        <w:t>, these services were, at the time, only eligible for support for certain applicants through funding year 2019.</w:t>
      </w:r>
      <w:r>
        <w:rPr>
          <w:rStyle w:val="FootnoteReference"/>
          <w:rFonts w:eastAsia="Segoe UI Emoji"/>
        </w:rPr>
        <w:footnoteReference w:id="11"/>
      </w:r>
      <w:r>
        <w:rPr>
          <w:rFonts w:eastAsia="Segoe UI Emoji"/>
        </w:rPr>
        <w:t xml:space="preserve">  As such, we noted that if the Commission did not act on its proposal in the </w:t>
      </w:r>
      <w:r>
        <w:rPr>
          <w:rFonts w:eastAsia="Segoe UI Emoji"/>
          <w:i/>
        </w:rPr>
        <w:t xml:space="preserve">Category Two Notice of Proposed Rulemaking </w:t>
      </w:r>
      <w:r>
        <w:rPr>
          <w:rFonts w:eastAsia="Segoe UI Emoji"/>
        </w:rPr>
        <w:t>to extend the eligibility of these services before adoption of the funding year 2020 eligible services list, funding for managed internal broadband services, caching, and basic maintenance of internal connections would only be available to entities still operating under their five-year category two budget cycles in funding year 2020.</w:t>
      </w:r>
      <w:r>
        <w:rPr>
          <w:rStyle w:val="FootnoteReference"/>
          <w:rFonts w:eastAsia="Segoe UI Emoji"/>
        </w:rPr>
        <w:footnoteReference w:id="12"/>
      </w:r>
      <w:r>
        <w:rPr>
          <w:rFonts w:eastAsia="Segoe UI Emoji"/>
        </w:rPr>
        <w:t xml:space="preserve">  The comment cycle for the </w:t>
      </w:r>
      <w:r w:rsidRPr="006C1B82">
        <w:rPr>
          <w:rFonts w:eastAsia="Segoe UI Emoji"/>
          <w:i/>
        </w:rPr>
        <w:t>F</w:t>
      </w:r>
      <w:r>
        <w:rPr>
          <w:rFonts w:eastAsia="Segoe UI Emoji"/>
          <w:i/>
        </w:rPr>
        <w:t xml:space="preserve">unding Year </w:t>
      </w:r>
      <w:r w:rsidRPr="006C1B82">
        <w:rPr>
          <w:rFonts w:eastAsia="Segoe UI Emoji"/>
          <w:i/>
        </w:rPr>
        <w:t>2020</w:t>
      </w:r>
      <w:r>
        <w:rPr>
          <w:rFonts w:eastAsia="Segoe UI Emoji"/>
          <w:i/>
        </w:rPr>
        <w:t xml:space="preserve"> Eligible Services List Public Notice</w:t>
      </w:r>
      <w:r>
        <w:rPr>
          <w:rFonts w:eastAsia="Segoe UI Emoji"/>
        </w:rPr>
        <w:t xml:space="preserve"> closed on September 18, 2019.</w:t>
      </w:r>
      <w:r>
        <w:rPr>
          <w:rStyle w:val="FootnoteReference"/>
          <w:rFonts w:eastAsia="Segoe UI Emoji"/>
        </w:rPr>
        <w:footnoteReference w:id="13"/>
      </w:r>
      <w:bookmarkEnd w:id="1"/>
    </w:p>
    <w:p w:rsidR="00702774" w:rsidP="00702774">
      <w:pPr>
        <w:pStyle w:val="Heading2"/>
      </w:pPr>
      <w:r>
        <w:t>Discussion</w:t>
      </w:r>
    </w:p>
    <w:p w:rsidR="00702774" w:rsidP="00702774">
      <w:pPr>
        <w:pStyle w:val="ParaNum"/>
      </w:pPr>
      <w:r>
        <w:t>Having considered the record, as well as the Commission’s recent decision to</w:t>
      </w:r>
      <w:r>
        <w:rPr>
          <w:i/>
        </w:rPr>
        <w:t xml:space="preserve"> </w:t>
      </w:r>
      <w:r>
        <w:t>make permanent the eligibility of certain category two services for E-Rate program support,</w:t>
      </w:r>
      <w:r>
        <w:rPr>
          <w:rStyle w:val="FootnoteReference"/>
        </w:rPr>
        <w:footnoteReference w:id="14"/>
      </w:r>
      <w:r>
        <w:t xml:space="preserve"> we update the eligible services list for funding year 2020, which is attached as Appendix A to this Order.  We remove the change proposed in the </w:t>
      </w:r>
      <w:r>
        <w:rPr>
          <w:i/>
        </w:rPr>
        <w:t xml:space="preserve">Funding Year 2020 Eligible Services List Public Notice </w:t>
      </w:r>
      <w:r>
        <w:t>regarding the conditional eligibility of managed internal broadband services, caching, and basic maintenance of internal connections.  In addition, we decline to make any further changes to the eligible services list for the reasons discussed below.</w:t>
      </w:r>
    </w:p>
    <w:p w:rsidR="00702774" w:rsidP="00702774">
      <w:pPr>
        <w:pStyle w:val="ParaNum"/>
      </w:pPr>
      <w:r>
        <w:t xml:space="preserve">First, we remove the explanatory language included in the proposed funding year 2020 eligible services list under the section titled “Eligibility Limitations for Category Two.”  In the recently adopted </w:t>
      </w:r>
      <w:r w:rsidRPr="00B06F92">
        <w:rPr>
          <w:i/>
        </w:rPr>
        <w:t>Category Two Report and Order</w:t>
      </w:r>
      <w:r>
        <w:t>, the Commission made these services</w:t>
      </w:r>
      <w:r w:rsidRPr="005E589F">
        <w:t xml:space="preserve"> </w:t>
      </w:r>
      <w:r>
        <w:t>permanently eligible beginning in funding year 2020.</w:t>
      </w:r>
      <w:r>
        <w:rPr>
          <w:rStyle w:val="FootnoteReference"/>
        </w:rPr>
        <w:footnoteReference w:id="15"/>
      </w:r>
      <w:r>
        <w:t xml:space="preserve">  As a result, the proposed explanatory language regarding their conditional eligibility is no longer necessary.</w:t>
      </w:r>
    </w:p>
    <w:p w:rsidR="00702774" w:rsidRPr="00F8006E" w:rsidP="00702774">
      <w:pPr>
        <w:pStyle w:val="ParaNum"/>
      </w:pPr>
      <w:r w:rsidRPr="00F8006E">
        <w:t>Second, we address a request for clarification regarding the eligibility of virtualized equivalents of eligible services or equipment.</w:t>
      </w:r>
      <w:r>
        <w:rPr>
          <w:rStyle w:val="FootnoteReference"/>
        </w:rPr>
        <w:footnoteReference w:id="16"/>
      </w:r>
      <w:r w:rsidRPr="00F8006E">
        <w:t xml:space="preserve">  In 2014, the Commission recognized that some category two functionalities can be virtualized in the cloud and perform the same functions as eligible internal connections equipment, and stated that such services are eligible for E-Rate funding.</w:t>
      </w:r>
      <w:r>
        <w:rPr>
          <w:rStyle w:val="FootnoteReference"/>
        </w:rPr>
        <w:footnoteReference w:id="17"/>
      </w:r>
      <w:r w:rsidRPr="00F8006E">
        <w:t xml:space="preserve">  Accordingly, only </w:t>
      </w:r>
      <w:r w:rsidRPr="00F8006E">
        <w:t>virtualized solutions that perform the functions of eligible broadband internal connections are eligible for E-Rate funding.</w:t>
      </w:r>
    </w:p>
    <w:p w:rsidR="00702774" w:rsidP="00702774">
      <w:pPr>
        <w:pStyle w:val="ParaNum"/>
      </w:pPr>
      <w:r w:rsidRPr="00F8006E">
        <w:t>Third, we decline several requests that are beyond the scope of this proceeding.  We remind applicants that the eligible services list process “is limited to determining what services are eligible under the Commission’s current rules and is generally not intended to be a vehicle for changing any eligibility rules.”</w:t>
      </w:r>
      <w:r>
        <w:rPr>
          <w:rStyle w:val="FootnoteReference"/>
        </w:rPr>
        <w:footnoteReference w:id="18"/>
      </w:r>
      <w:r w:rsidRPr="00F8006E">
        <w:t xml:space="preserve">  Accordingly, we decline to address comments requesting that we add services to the eligible services list or modify the category of service under which a specific service is eligible.</w:t>
      </w:r>
      <w:r>
        <w:rPr>
          <w:rStyle w:val="FootnoteReference"/>
        </w:rPr>
        <w:footnoteReference w:id="19"/>
      </w:r>
      <w:r w:rsidRPr="00B16E40">
        <w:rPr>
          <w:highlight w:val="yellow"/>
        </w:rPr>
        <w:t xml:space="preserve">  </w:t>
      </w:r>
      <w:r>
        <w:t>And we decline to address comments that recommended changes to program forms,</w:t>
      </w:r>
      <w:r>
        <w:rPr>
          <w:rStyle w:val="FootnoteReference"/>
        </w:rPr>
        <w:footnoteReference w:id="20"/>
      </w:r>
      <w:r>
        <w:t xml:space="preserve"> which are the subject of a separate, on-going proceeding.</w:t>
      </w:r>
      <w:r>
        <w:rPr>
          <w:rStyle w:val="FootnoteReference"/>
        </w:rPr>
        <w:footnoteReference w:id="21"/>
      </w:r>
    </w:p>
    <w:p w:rsidR="00702774" w:rsidP="00702774">
      <w:pPr>
        <w:pStyle w:val="Heading1"/>
      </w:pPr>
      <w:r>
        <w:t>Ordering Clause</w:t>
      </w:r>
    </w:p>
    <w:p w:rsidR="00702774" w:rsidP="00702774">
      <w:pPr>
        <w:pStyle w:val="ParaNum"/>
      </w:pPr>
      <w:r>
        <w:t xml:space="preserve">ACCORDINGLY, IT IS ORDERED, that pursuant to the authority contained in sections 1 through 4, 254, 303(r), and 403 of the Communications Act of 1934, as amended, 47 U.S.C. §§ 151- 154, 254, 303(r), and 403, sections 0.91 and 54.502 of the Commission’s rules, 47 CFR §§ 0.91 and 54.502, </w:t>
      </w:r>
      <w:r w:rsidRPr="00E6108B">
        <w:t>this</w:t>
      </w:r>
      <w:r>
        <w:t xml:space="preserve"> Order is ADOPTED.</w:t>
      </w:r>
    </w:p>
    <w:p w:rsidR="00702774" w:rsidP="00702774">
      <w:pPr>
        <w:pStyle w:val="ParaNum"/>
        <w:numPr>
          <w:ilvl w:val="0"/>
          <w:numId w:val="0"/>
        </w:numPr>
        <w:jc w:val="right"/>
      </w:pPr>
    </w:p>
    <w:p w:rsidR="00702774" w:rsidP="00702774">
      <w:pPr>
        <w:pStyle w:val="ParaNum"/>
        <w:numPr>
          <w:ilvl w:val="0"/>
          <w:numId w:val="0"/>
        </w:numPr>
        <w:jc w:val="right"/>
      </w:pPr>
      <w:r>
        <w:t>FEDERAL COMMUNICATIONS COMMISSION</w:t>
      </w:r>
    </w:p>
    <w:p w:rsidR="00702774" w:rsidP="00702774">
      <w:pPr>
        <w:pStyle w:val="ParaNum"/>
        <w:numPr>
          <w:ilvl w:val="0"/>
          <w:numId w:val="0"/>
        </w:numPr>
        <w:jc w:val="right"/>
      </w:pPr>
    </w:p>
    <w:p w:rsidR="00702774" w:rsidP="00702774">
      <w:pPr>
        <w:pStyle w:val="ParaNum"/>
        <w:numPr>
          <w:ilvl w:val="0"/>
          <w:numId w:val="0"/>
        </w:numPr>
        <w:jc w:val="right"/>
      </w:pPr>
    </w:p>
    <w:p w:rsidR="00702774" w:rsidP="00702774">
      <w:pPr>
        <w:pStyle w:val="ParaNum"/>
        <w:numPr>
          <w:ilvl w:val="0"/>
          <w:numId w:val="0"/>
        </w:numPr>
        <w:spacing w:after="0"/>
        <w:ind w:left="4320"/>
      </w:pPr>
      <w:r>
        <w:t xml:space="preserve">        Kris Anne Monteith</w:t>
      </w:r>
    </w:p>
    <w:p w:rsidR="00702774" w:rsidP="00702774">
      <w:pPr>
        <w:pStyle w:val="ParaNum"/>
        <w:numPr>
          <w:ilvl w:val="0"/>
          <w:numId w:val="0"/>
        </w:numPr>
        <w:spacing w:after="0"/>
        <w:ind w:left="3600" w:firstLine="720"/>
      </w:pPr>
      <w:r>
        <w:t xml:space="preserve">        Chief</w:t>
      </w:r>
    </w:p>
    <w:p w:rsidR="00702774" w:rsidP="00702774">
      <w:pPr>
        <w:pStyle w:val="ParaNum"/>
        <w:numPr>
          <w:ilvl w:val="0"/>
          <w:numId w:val="0"/>
        </w:numPr>
        <w:spacing w:after="0"/>
        <w:ind w:left="4320"/>
      </w:pPr>
      <w:r>
        <w:t xml:space="preserve">        Wireline Competition Bureau</w:t>
      </w:r>
    </w:p>
    <w:p w:rsidR="00702774" w:rsidP="00702774">
      <w:pPr>
        <w:pStyle w:val="ParaNum"/>
        <w:numPr>
          <w:ilvl w:val="0"/>
          <w:numId w:val="0"/>
        </w:numPr>
        <w:spacing w:after="0"/>
        <w:ind w:left="43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02774" w:rsidP="00702774">
      <w:pPr>
        <w:tabs>
          <w:tab w:val="center" w:pos="4680"/>
          <w:tab w:val="right" w:pos="9360"/>
        </w:tabs>
        <w:jc w:val="center"/>
        <w:rPr>
          <w:b/>
          <w:bCs/>
          <w:szCs w:val="22"/>
        </w:rPr>
      </w:pPr>
      <w:r>
        <w:rPr>
          <w:b/>
          <w:bCs/>
          <w:szCs w:val="22"/>
        </w:rPr>
        <w:t>APPENDIX A</w:t>
      </w:r>
    </w:p>
    <w:p w:rsidR="00702774" w:rsidP="00702774">
      <w:pPr>
        <w:tabs>
          <w:tab w:val="center" w:pos="4680"/>
          <w:tab w:val="right" w:pos="9360"/>
        </w:tabs>
        <w:jc w:val="center"/>
        <w:rPr>
          <w:b/>
          <w:bCs/>
          <w:szCs w:val="22"/>
        </w:rPr>
      </w:pPr>
    </w:p>
    <w:p w:rsidR="00702774" w:rsidRPr="00846BDC" w:rsidP="00702774">
      <w:pPr>
        <w:tabs>
          <w:tab w:val="center" w:pos="4680"/>
          <w:tab w:val="right" w:pos="9360"/>
        </w:tabs>
        <w:jc w:val="center"/>
        <w:rPr>
          <w:b/>
          <w:szCs w:val="22"/>
        </w:rPr>
      </w:pPr>
      <w:r w:rsidRPr="00846BDC">
        <w:rPr>
          <w:b/>
          <w:bCs/>
          <w:szCs w:val="22"/>
        </w:rPr>
        <w:t>Eligible Services List for Funding Year 20</w:t>
      </w:r>
      <w:r>
        <w:rPr>
          <w:b/>
          <w:bCs/>
          <w:szCs w:val="22"/>
        </w:rPr>
        <w:t>20</w:t>
      </w:r>
    </w:p>
    <w:p w:rsidR="00702774" w:rsidRPr="00846BDC" w:rsidP="00702774">
      <w:pPr>
        <w:tabs>
          <w:tab w:val="center" w:pos="4680"/>
          <w:tab w:val="right" w:pos="9360"/>
        </w:tabs>
        <w:jc w:val="center"/>
        <w:rPr>
          <w:b/>
          <w:bCs/>
          <w:szCs w:val="22"/>
        </w:rPr>
      </w:pPr>
      <w:r w:rsidRPr="00846BDC">
        <w:rPr>
          <w:b/>
          <w:bCs/>
          <w:szCs w:val="22"/>
        </w:rPr>
        <w:t>Schools and Libraries Universal Service Support Mechanism</w:t>
      </w:r>
    </w:p>
    <w:p w:rsidR="00702774" w:rsidRPr="00846BDC" w:rsidP="00702774">
      <w:pPr>
        <w:jc w:val="center"/>
        <w:rPr>
          <w:szCs w:val="22"/>
          <w:u w:val="single"/>
        </w:rPr>
      </w:pPr>
    </w:p>
    <w:p w:rsidR="00702774" w:rsidRPr="000D70B5" w:rsidP="00702774">
      <w:pPr>
        <w:jc w:val="center"/>
        <w:rPr>
          <w:b/>
          <w:bCs/>
          <w:szCs w:val="22"/>
        </w:rPr>
      </w:pPr>
      <w:r w:rsidRPr="000D70B5">
        <w:rPr>
          <w:b/>
          <w:szCs w:val="22"/>
        </w:rPr>
        <w:t>WC Docket No. 13-184</w:t>
      </w:r>
    </w:p>
    <w:p w:rsidR="00702774" w:rsidRPr="00950979" w:rsidP="00702774">
      <w:pPr>
        <w:spacing w:before="120" w:after="120"/>
        <w:rPr>
          <w:szCs w:val="22"/>
        </w:rPr>
      </w:pPr>
      <w:r w:rsidRPr="00950979">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950979">
        <w:rPr>
          <w:i/>
          <w:szCs w:val="22"/>
        </w:rPr>
        <w:t>et seq</w:t>
      </w:r>
      <w:r w:rsidRPr="00950979">
        <w:rPr>
          <w:szCs w:val="22"/>
        </w:rPr>
        <w:t>.</w:t>
      </w:r>
    </w:p>
    <w:p w:rsidR="00702774" w:rsidRPr="00950979" w:rsidP="00702774">
      <w:pPr>
        <w:spacing w:before="120" w:after="240"/>
        <w:rPr>
          <w:bCs/>
          <w:color w:val="010101"/>
          <w:szCs w:val="22"/>
        </w:rPr>
      </w:pPr>
      <w:r w:rsidRPr="00950979">
        <w:rPr>
          <w:szCs w:val="22"/>
        </w:rPr>
        <w:t xml:space="preserve">Additional guidance from USAC about the E-Rate application process and about eligible services, including a glossary of terms, is available at USAC’s website at </w:t>
      </w:r>
      <w:hyperlink r:id="rId10" w:history="1">
        <w:r w:rsidRPr="00321CF6">
          <w:rPr>
            <w:rStyle w:val="Hyperlink"/>
            <w:szCs w:val="22"/>
          </w:rPr>
          <w:t>https://www.usac.org/e-rate/resources/glossary-of-terms/</w:t>
        </w:r>
      </w:hyperlink>
      <w:r>
        <w:rPr>
          <w:szCs w:val="22"/>
        </w:rPr>
        <w:t xml:space="preserve">.  </w:t>
      </w:r>
      <w:r w:rsidRPr="00950979">
        <w:rPr>
          <w:szCs w:val="22"/>
        </w:rPr>
        <w:t xml:space="preserve">The documents on USAC’s website are not incorporated by reference into the ESL and do not bind the Commission.  Thus, they will not be used to determine whether a service or product is eligible.  Applicants and service providers may refer to those documents, but </w:t>
      </w:r>
      <w:r>
        <w:rPr>
          <w:szCs w:val="22"/>
        </w:rPr>
        <w:t xml:space="preserve">they </w:t>
      </w:r>
      <w:r w:rsidRPr="00950979">
        <w:rPr>
          <w:szCs w:val="22"/>
        </w:rPr>
        <w:t>should do so only for informal guidance.  This ESL applies to funding requests for Funding Year</w:t>
      </w:r>
      <w:r>
        <w:rPr>
          <w:szCs w:val="22"/>
        </w:rPr>
        <w:t xml:space="preserve"> (FY)</w:t>
      </w:r>
      <w:r w:rsidRPr="00950979">
        <w:rPr>
          <w:szCs w:val="22"/>
        </w:rPr>
        <w:t xml:space="preserve"> 20</w:t>
      </w:r>
      <w:r>
        <w:rPr>
          <w:szCs w:val="22"/>
        </w:rPr>
        <w:t>20</w:t>
      </w:r>
      <w:r w:rsidRPr="00950979">
        <w:rPr>
          <w:szCs w:val="22"/>
        </w:rPr>
        <w:t>.</w:t>
      </w:r>
    </w:p>
    <w:p w:rsidR="00702774" w:rsidRPr="00950979" w:rsidP="00702774">
      <w:pPr>
        <w:spacing w:after="120"/>
        <w:rPr>
          <w:b/>
          <w:szCs w:val="22"/>
          <w:u w:val="single"/>
        </w:rPr>
      </w:pPr>
      <w:r w:rsidRPr="00950979">
        <w:rPr>
          <w:b/>
          <w:bCs/>
          <w:szCs w:val="22"/>
          <w:u w:val="single"/>
        </w:rPr>
        <w:t>Category One</w:t>
      </w:r>
    </w:p>
    <w:p w:rsidR="00702774" w:rsidRPr="00950979" w:rsidP="00702774">
      <w:pPr>
        <w:spacing w:before="120" w:after="240"/>
        <w:rPr>
          <w:bCs/>
          <w:szCs w:val="22"/>
        </w:rPr>
      </w:pPr>
      <w:r w:rsidRPr="00950979">
        <w:rPr>
          <w:szCs w:val="22"/>
        </w:rPr>
        <w:t>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w:t>
      </w:r>
      <w:r>
        <w:rPr>
          <w:szCs w:val="22"/>
        </w:rPr>
        <w:t xml:space="preserve"> </w:t>
      </w:r>
      <w:r w:rsidRPr="00950979">
        <w:rPr>
          <w:szCs w:val="22"/>
        </w:rPr>
        <w:t>of leased dark fiber and self-provisioned broadband networks, maintenance and technical support appropriate to maintain reliable operation are only eligible for support when provided as a component of these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A47A2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
          <w:jc w:val="center"/>
        </w:trPr>
        <w:tc>
          <w:tcPr>
            <w:tcW w:w="9175" w:type="dxa"/>
            <w:shd w:val="clear" w:color="auto" w:fill="auto"/>
          </w:tcPr>
          <w:p w:rsidR="00702774" w:rsidRPr="00950979" w:rsidP="00A47A2A">
            <w:pPr>
              <w:spacing w:after="120"/>
              <w:jc w:val="center"/>
              <w:rPr>
                <w:b/>
                <w:szCs w:val="22"/>
              </w:rPr>
            </w:pPr>
            <w:r w:rsidRPr="00950979">
              <w:rPr>
                <w:b/>
                <w:bCs/>
                <w:szCs w:val="22"/>
              </w:rPr>
              <w:t>Data Transmission and/or Internet Access</w:t>
            </w:r>
          </w:p>
          <w:p w:rsidR="00702774" w:rsidRPr="00950979" w:rsidP="00A47A2A">
            <w:pPr>
              <w:spacing w:before="120"/>
              <w:rPr>
                <w:szCs w:val="22"/>
              </w:rPr>
            </w:pPr>
            <w:r w:rsidRPr="00950979">
              <w:rPr>
                <w:szCs w:val="22"/>
              </w:rPr>
              <w:t>Data transmission and/or Internet access services are eligible in Category One.  These services include:</w:t>
            </w:r>
          </w:p>
          <w:p w:rsidR="00702774" w:rsidRPr="00950979" w:rsidP="00702774">
            <w:pPr>
              <w:widowControl/>
              <w:numPr>
                <w:ilvl w:val="0"/>
                <w:numId w:val="7"/>
              </w:numPr>
              <w:contextualSpacing/>
              <w:rPr>
                <w:szCs w:val="22"/>
              </w:rPr>
            </w:pPr>
            <w:r w:rsidRPr="00950979">
              <w:rPr>
                <w:szCs w:val="22"/>
              </w:rPr>
              <w:t>Asynchronous Transfer Mode (ATM)</w:t>
            </w:r>
          </w:p>
          <w:p w:rsidR="00702774" w:rsidRPr="00950979" w:rsidP="00702774">
            <w:pPr>
              <w:widowControl/>
              <w:numPr>
                <w:ilvl w:val="0"/>
                <w:numId w:val="7"/>
              </w:numPr>
              <w:contextualSpacing/>
              <w:rPr>
                <w:szCs w:val="22"/>
              </w:rPr>
            </w:pPr>
            <w:r w:rsidRPr="00950979">
              <w:rPr>
                <w:szCs w:val="22"/>
              </w:rPr>
              <w:t>Broadband over Power Lines</w:t>
            </w:r>
          </w:p>
          <w:p w:rsidR="00702774" w:rsidRPr="00950979" w:rsidP="00702774">
            <w:pPr>
              <w:widowControl/>
              <w:numPr>
                <w:ilvl w:val="0"/>
                <w:numId w:val="7"/>
              </w:numPr>
              <w:contextualSpacing/>
              <w:rPr>
                <w:szCs w:val="22"/>
              </w:rPr>
            </w:pPr>
            <w:r w:rsidRPr="00950979">
              <w:rPr>
                <w:szCs w:val="22"/>
              </w:rPr>
              <w:t>Cable Modem</w:t>
            </w:r>
          </w:p>
          <w:p w:rsidR="00702774" w:rsidRPr="00950979" w:rsidP="00702774">
            <w:pPr>
              <w:widowControl/>
              <w:numPr>
                <w:ilvl w:val="0"/>
                <w:numId w:val="7"/>
              </w:numPr>
              <w:contextualSpacing/>
              <w:rPr>
                <w:szCs w:val="22"/>
              </w:rPr>
            </w:pPr>
            <w:r w:rsidRPr="00950979">
              <w:rPr>
                <w:szCs w:val="22"/>
              </w:rPr>
              <w:t>Digital Subscriber Line (DSL)</w:t>
            </w:r>
          </w:p>
          <w:p w:rsidR="00702774" w:rsidRPr="00950979" w:rsidP="00702774">
            <w:pPr>
              <w:widowControl/>
              <w:numPr>
                <w:ilvl w:val="0"/>
                <w:numId w:val="7"/>
              </w:numPr>
              <w:contextualSpacing/>
              <w:rPr>
                <w:szCs w:val="22"/>
              </w:rPr>
            </w:pPr>
            <w:r w:rsidRPr="00950979">
              <w:rPr>
                <w:szCs w:val="22"/>
              </w:rPr>
              <w:t>DS-1 (T-1), DS-3 (T-3), and Fractional T-1 or T-3</w:t>
            </w:r>
          </w:p>
          <w:p w:rsidR="00702774" w:rsidRPr="00950979" w:rsidP="00702774">
            <w:pPr>
              <w:widowControl/>
              <w:numPr>
                <w:ilvl w:val="0"/>
                <w:numId w:val="7"/>
              </w:numPr>
              <w:contextualSpacing/>
              <w:rPr>
                <w:szCs w:val="22"/>
              </w:rPr>
            </w:pPr>
            <w:r w:rsidRPr="00950979">
              <w:rPr>
                <w:szCs w:val="22"/>
              </w:rPr>
              <w:t>Ethernet</w:t>
            </w:r>
          </w:p>
          <w:p w:rsidR="00702774" w:rsidRPr="00950979" w:rsidP="00702774">
            <w:pPr>
              <w:widowControl/>
              <w:numPr>
                <w:ilvl w:val="0"/>
                <w:numId w:val="7"/>
              </w:numPr>
              <w:contextualSpacing/>
              <w:rPr>
                <w:szCs w:val="22"/>
              </w:rPr>
            </w:pPr>
            <w:r w:rsidRPr="00950979">
              <w:rPr>
                <w:szCs w:val="22"/>
              </w:rPr>
              <w:t>Integrated Services Digital Network (ISDN)</w:t>
            </w:r>
          </w:p>
          <w:p w:rsidR="00702774" w:rsidRPr="00950979" w:rsidP="00702774">
            <w:pPr>
              <w:widowControl/>
              <w:numPr>
                <w:ilvl w:val="1"/>
                <w:numId w:val="7"/>
              </w:numPr>
              <w:contextualSpacing/>
              <w:rPr>
                <w:szCs w:val="22"/>
              </w:rPr>
            </w:pPr>
            <w:r w:rsidRPr="00950979">
              <w:rPr>
                <w:i/>
                <w:szCs w:val="22"/>
              </w:rPr>
              <w:t>Note</w:t>
            </w:r>
            <w:r w:rsidRPr="00950979">
              <w:rPr>
                <w:szCs w:val="22"/>
              </w:rPr>
              <w:t>:  Dedicated voice channels on an ISDN circuit are no longer eligible.</w:t>
            </w:r>
          </w:p>
          <w:p w:rsidR="00702774" w:rsidRPr="00950979" w:rsidP="00702774">
            <w:pPr>
              <w:widowControl/>
              <w:numPr>
                <w:ilvl w:val="0"/>
                <w:numId w:val="7"/>
              </w:numPr>
              <w:contextualSpacing/>
              <w:rPr>
                <w:szCs w:val="22"/>
              </w:rPr>
            </w:pPr>
            <w:r w:rsidRPr="00950979">
              <w:rPr>
                <w:szCs w:val="22"/>
              </w:rPr>
              <w:t>Leased Lit Fiber</w:t>
            </w:r>
          </w:p>
          <w:p w:rsidR="00702774" w:rsidRPr="00950979" w:rsidP="00702774">
            <w:pPr>
              <w:widowControl/>
              <w:numPr>
                <w:ilvl w:val="0"/>
                <w:numId w:val="7"/>
              </w:numPr>
              <w:contextualSpacing/>
              <w:rPr>
                <w:szCs w:val="22"/>
              </w:rPr>
            </w:pPr>
            <w:r w:rsidRPr="00950979">
              <w:rPr>
                <w:szCs w:val="22"/>
              </w:rPr>
              <w:t>Leased Dark Fiber (including dark fiber indefeasible rights of use (IRUs) for a set term)</w:t>
            </w:r>
          </w:p>
          <w:p w:rsidR="00702774" w:rsidRPr="00950979" w:rsidP="00702774">
            <w:pPr>
              <w:widowControl/>
              <w:numPr>
                <w:ilvl w:val="0"/>
                <w:numId w:val="7"/>
              </w:numPr>
              <w:contextualSpacing/>
              <w:rPr>
                <w:szCs w:val="22"/>
              </w:rPr>
            </w:pPr>
            <w:r w:rsidRPr="00950979">
              <w:rPr>
                <w:szCs w:val="22"/>
              </w:rPr>
              <w:t>Self-Provisioned Broadband Networks (applicant owned and operated networks)</w:t>
            </w:r>
          </w:p>
          <w:p w:rsidR="00702774" w:rsidRPr="00950979" w:rsidP="00702774">
            <w:pPr>
              <w:widowControl/>
              <w:numPr>
                <w:ilvl w:val="0"/>
                <w:numId w:val="7"/>
              </w:numPr>
              <w:contextualSpacing/>
              <w:rPr>
                <w:szCs w:val="22"/>
              </w:rPr>
            </w:pPr>
            <w:r w:rsidRPr="00950979">
              <w:rPr>
                <w:szCs w:val="22"/>
              </w:rPr>
              <w:t>Frame Relay</w:t>
            </w:r>
          </w:p>
          <w:p w:rsidR="00702774" w:rsidRPr="00950979" w:rsidP="00702774">
            <w:pPr>
              <w:widowControl/>
              <w:numPr>
                <w:ilvl w:val="0"/>
                <w:numId w:val="7"/>
              </w:numPr>
              <w:contextualSpacing/>
              <w:rPr>
                <w:szCs w:val="22"/>
              </w:rPr>
            </w:pPr>
            <w:r w:rsidRPr="00950979">
              <w:rPr>
                <w:szCs w:val="22"/>
              </w:rPr>
              <w:t>Multi-Protocol Label Switching (MPLS)</w:t>
            </w:r>
          </w:p>
          <w:p w:rsidR="00702774" w:rsidRPr="00950979" w:rsidP="00702774">
            <w:pPr>
              <w:widowControl/>
              <w:numPr>
                <w:ilvl w:val="0"/>
                <w:numId w:val="7"/>
              </w:numPr>
              <w:contextualSpacing/>
              <w:rPr>
                <w:szCs w:val="22"/>
              </w:rPr>
            </w:pPr>
            <w:r w:rsidRPr="00950979">
              <w:rPr>
                <w:szCs w:val="22"/>
              </w:rPr>
              <w:t>OC-1, OC-3, OC-12, OC-n</w:t>
            </w:r>
          </w:p>
          <w:p w:rsidR="00702774" w:rsidRPr="00950979" w:rsidP="00702774">
            <w:pPr>
              <w:widowControl/>
              <w:numPr>
                <w:ilvl w:val="0"/>
                <w:numId w:val="7"/>
              </w:numPr>
              <w:contextualSpacing/>
              <w:rPr>
                <w:szCs w:val="22"/>
              </w:rPr>
            </w:pPr>
            <w:r w:rsidRPr="00950979">
              <w:rPr>
                <w:szCs w:val="22"/>
              </w:rPr>
              <w:t>Satellite</w:t>
            </w:r>
          </w:p>
          <w:p w:rsidR="00702774" w:rsidRPr="00950979" w:rsidP="00702774">
            <w:pPr>
              <w:widowControl/>
              <w:numPr>
                <w:ilvl w:val="0"/>
                <w:numId w:val="7"/>
              </w:numPr>
              <w:contextualSpacing/>
              <w:rPr>
                <w:szCs w:val="22"/>
              </w:rPr>
            </w:pPr>
            <w:r w:rsidRPr="00950979">
              <w:rPr>
                <w:szCs w:val="22"/>
              </w:rPr>
              <w:t>Switched Multimegabit Data Service</w:t>
            </w:r>
          </w:p>
          <w:p w:rsidR="00702774" w:rsidRPr="00950979" w:rsidP="00702774">
            <w:pPr>
              <w:widowControl/>
              <w:numPr>
                <w:ilvl w:val="0"/>
                <w:numId w:val="7"/>
              </w:numPr>
              <w:contextualSpacing/>
              <w:rPr>
                <w:szCs w:val="22"/>
              </w:rPr>
            </w:pPr>
            <w:r w:rsidRPr="00950979">
              <w:rPr>
                <w:szCs w:val="22"/>
              </w:rPr>
              <w:t>Telephone dial-up</w:t>
            </w:r>
          </w:p>
          <w:p w:rsidR="00702774" w:rsidRPr="00950979" w:rsidP="00702774">
            <w:pPr>
              <w:widowControl/>
              <w:numPr>
                <w:ilvl w:val="0"/>
                <w:numId w:val="7"/>
              </w:numPr>
              <w:contextualSpacing/>
              <w:rPr>
                <w:szCs w:val="22"/>
              </w:rPr>
            </w:pPr>
            <w:r w:rsidRPr="00950979">
              <w:rPr>
                <w:szCs w:val="22"/>
              </w:rPr>
              <w:t>Wireless (e.g., microwave)</w:t>
            </w:r>
          </w:p>
          <w:p w:rsidR="00702774" w:rsidRPr="00950979" w:rsidP="00A47A2A">
            <w:pPr>
              <w:spacing w:before="120" w:after="120"/>
              <w:rPr>
                <w:bCs/>
                <w:szCs w:val="22"/>
              </w:rPr>
            </w:pPr>
            <w:r w:rsidRPr="00950979">
              <w:rPr>
                <w:i/>
                <w:iCs/>
                <w:szCs w:val="22"/>
              </w:rPr>
              <w:t>Notes</w:t>
            </w:r>
            <w:r w:rsidRPr="00B27F24">
              <w:rPr>
                <w:i/>
              </w:rPr>
              <w:t>:</w:t>
            </w:r>
            <w:r w:rsidRPr="00950979">
              <w:rPr>
                <w:szCs w:val="22"/>
              </w:rPr>
              <w:t xml:space="preserve"> (1)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w:t>
            </w:r>
          </w:p>
          <w:p w:rsidR="00702774" w:rsidRPr="00950979" w:rsidP="00A47A2A">
            <w:pPr>
              <w:spacing w:before="120" w:after="120"/>
              <w:rPr>
                <w:bCs/>
                <w:szCs w:val="22"/>
              </w:rPr>
            </w:pPr>
            <w:r w:rsidRPr="00950979">
              <w:rPr>
                <w:szCs w:val="22"/>
              </w:rPr>
              <w:t>(2) 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702774" w:rsidRPr="00950979" w:rsidP="00A47A2A">
            <w:pPr>
              <w:spacing w:before="120" w:after="120"/>
              <w:rPr>
                <w:bCs/>
                <w:szCs w:val="22"/>
              </w:rPr>
            </w:pPr>
            <w:r w:rsidRPr="00950979">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702774" w:rsidRPr="00C720D0" w:rsidP="00A47A2A">
            <w:pPr>
              <w:spacing w:before="120" w:after="240"/>
            </w:pPr>
            <w:r w:rsidRPr="00950979">
              <w:rPr>
                <w:szCs w:val="22"/>
              </w:rPr>
              <w:t>(4) Staff salaries and labor costs for personnel of the applicant or underlying beneficiary are not E-Rate eligible.</w:t>
            </w:r>
          </w:p>
        </w:tc>
      </w:tr>
    </w:tbl>
    <w:p w:rsidR="00702774" w:rsidRPr="00C720D0" w:rsidP="00702774">
      <w:pPr>
        <w:spacing w:before="120" w:after="120"/>
        <w:rPr>
          <w:b/>
          <w:u w:val="single"/>
        </w:rPr>
        <w:sectPr w:rsidSect="0070277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docGrid w:linePitch="299"/>
        </w:sectPr>
      </w:pPr>
    </w:p>
    <w:p w:rsidR="00702774" w:rsidRPr="00950979" w:rsidP="00702774">
      <w:pPr>
        <w:spacing w:after="120"/>
        <w:rPr>
          <w:szCs w:val="22"/>
        </w:rPr>
      </w:pPr>
      <w:r w:rsidRPr="00950979">
        <w:rPr>
          <w:b/>
          <w:bCs/>
          <w:szCs w:val="22"/>
          <w:u w:val="single"/>
        </w:rPr>
        <w:t>Category Two</w:t>
      </w:r>
    </w:p>
    <w:p w:rsidR="00702774" w:rsidRPr="00950979" w:rsidP="00702774">
      <w:pPr>
        <w:spacing w:before="120" w:after="240"/>
        <w:rPr>
          <w:bCs/>
          <w:szCs w:val="22"/>
        </w:rPr>
      </w:pPr>
      <w:r w:rsidRPr="00950979">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w:t>
      </w:r>
      <w:r w:rsidRPr="00CC4A8D">
        <w:rPr>
          <w:szCs w:val="22"/>
        </w:rPr>
        <w:t>e.g.</w:t>
      </w:r>
      <w:r w:rsidRPr="00950979">
        <w:rPr>
          <w:szCs w:val="22"/>
        </w:rPr>
        <w:t>,</w:t>
      </w:r>
      <w:r w:rsidRPr="00950979">
        <w:rPr>
          <w:i/>
          <w:iCs/>
          <w:szCs w:val="22"/>
        </w:rPr>
        <w:t xml:space="preserve"> </w:t>
      </w:r>
      <w:r w:rsidRPr="00950979">
        <w:rPr>
          <w:szCs w:val="22"/>
        </w:rPr>
        <w:t>managed internal broadband services or managed Wi-Fi).  Category Two support is subject to per-school or per-library budgets as set forth in 47 CFR § 54.502.</w:t>
      </w:r>
      <w:r w:rsidRPr="00950979">
        <w:rPr>
          <w:rFonts w:eastAsia="Verdana"/>
          <w:szCs w:val="22"/>
        </w:rPr>
        <w:t xml:space="preserve">  </w:t>
      </w:r>
      <w:r w:rsidRPr="00950979">
        <w:rPr>
          <w:szCs w:val="22"/>
        </w:rPr>
        <w:t>The eligible components and services in Category Two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A47A2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702774" w:rsidRPr="00950979" w:rsidP="00A47A2A">
            <w:pPr>
              <w:spacing w:after="120"/>
              <w:jc w:val="center"/>
              <w:rPr>
                <w:b/>
                <w:szCs w:val="22"/>
              </w:rPr>
            </w:pPr>
            <w:r w:rsidRPr="00950979">
              <w:rPr>
                <w:b/>
                <w:bCs/>
                <w:szCs w:val="22"/>
              </w:rPr>
              <w:t>Eligible Broadband Internal Connections</w:t>
            </w:r>
          </w:p>
          <w:p w:rsidR="00702774" w:rsidRPr="00950979" w:rsidP="00702774">
            <w:pPr>
              <w:widowControl/>
              <w:numPr>
                <w:ilvl w:val="0"/>
                <w:numId w:val="8"/>
              </w:numPr>
              <w:contextualSpacing/>
              <w:rPr>
                <w:szCs w:val="22"/>
              </w:rPr>
            </w:pPr>
            <w:r w:rsidRPr="00950979">
              <w:rPr>
                <w:szCs w:val="22"/>
              </w:rPr>
              <w:t>Antennas, connectors, and related components used for internal broadband connections</w:t>
            </w:r>
          </w:p>
          <w:p w:rsidR="00702774" w:rsidRPr="00950979" w:rsidP="00702774">
            <w:pPr>
              <w:widowControl/>
              <w:numPr>
                <w:ilvl w:val="0"/>
                <w:numId w:val="8"/>
              </w:numPr>
              <w:contextualSpacing/>
              <w:rPr>
                <w:szCs w:val="22"/>
              </w:rPr>
            </w:pPr>
            <w:r w:rsidRPr="00950979">
              <w:rPr>
                <w:szCs w:val="22"/>
              </w:rPr>
              <w:t>Cabling</w:t>
            </w:r>
          </w:p>
          <w:p w:rsidR="00702774" w:rsidRPr="00950979" w:rsidP="00702774">
            <w:pPr>
              <w:widowControl/>
              <w:numPr>
                <w:ilvl w:val="0"/>
                <w:numId w:val="8"/>
              </w:numPr>
              <w:contextualSpacing/>
              <w:rPr>
                <w:rFonts w:eastAsia="Verdana"/>
                <w:szCs w:val="22"/>
              </w:rPr>
            </w:pPr>
            <w:r w:rsidRPr="00950979">
              <w:rPr>
                <w:szCs w:val="22"/>
              </w:rPr>
              <w:t>Caching</w:t>
            </w:r>
          </w:p>
          <w:p w:rsidR="00702774" w:rsidRPr="00950979" w:rsidP="00702774">
            <w:pPr>
              <w:widowControl/>
              <w:numPr>
                <w:ilvl w:val="0"/>
                <w:numId w:val="8"/>
              </w:numPr>
              <w:contextualSpacing/>
              <w:rPr>
                <w:rFonts w:eastAsia="Verdana"/>
                <w:szCs w:val="22"/>
              </w:rPr>
            </w:pPr>
            <w:r w:rsidRPr="00950979">
              <w:rPr>
                <w:szCs w:val="22"/>
              </w:rPr>
              <w:t>Firewall services and firewall components separate from basic firewall protection provided as a standard component of a vendor’s Internet access service</w:t>
            </w:r>
          </w:p>
          <w:p w:rsidR="00702774" w:rsidRPr="00950979" w:rsidP="00702774">
            <w:pPr>
              <w:widowControl/>
              <w:numPr>
                <w:ilvl w:val="0"/>
                <w:numId w:val="8"/>
              </w:numPr>
              <w:contextualSpacing/>
              <w:rPr>
                <w:rFonts w:eastAsia="Verdana"/>
                <w:szCs w:val="22"/>
              </w:rPr>
            </w:pPr>
            <w:r w:rsidRPr="00950979">
              <w:rPr>
                <w:szCs w:val="22"/>
              </w:rPr>
              <w:t>Racks</w:t>
            </w:r>
          </w:p>
          <w:p w:rsidR="00702774" w:rsidRPr="00950979" w:rsidP="00702774">
            <w:pPr>
              <w:widowControl/>
              <w:numPr>
                <w:ilvl w:val="0"/>
                <w:numId w:val="8"/>
              </w:numPr>
              <w:contextualSpacing/>
              <w:rPr>
                <w:rFonts w:eastAsia="Verdana"/>
                <w:szCs w:val="22"/>
              </w:rPr>
            </w:pPr>
            <w:r w:rsidRPr="00950979">
              <w:rPr>
                <w:szCs w:val="22"/>
              </w:rPr>
              <w:t>Routers</w:t>
            </w:r>
          </w:p>
          <w:p w:rsidR="00702774" w:rsidRPr="00950979" w:rsidP="00702774">
            <w:pPr>
              <w:widowControl/>
              <w:numPr>
                <w:ilvl w:val="0"/>
                <w:numId w:val="8"/>
              </w:numPr>
              <w:contextualSpacing/>
              <w:rPr>
                <w:rFonts w:eastAsia="Verdana"/>
                <w:szCs w:val="22"/>
              </w:rPr>
            </w:pPr>
            <w:r w:rsidRPr="00950979">
              <w:rPr>
                <w:szCs w:val="22"/>
              </w:rPr>
              <w:t>Switches</w:t>
            </w:r>
          </w:p>
          <w:p w:rsidR="00702774" w:rsidRPr="00950979" w:rsidP="00702774">
            <w:pPr>
              <w:widowControl/>
              <w:numPr>
                <w:ilvl w:val="0"/>
                <w:numId w:val="8"/>
              </w:numPr>
              <w:contextualSpacing/>
              <w:rPr>
                <w:rFonts w:eastAsia="Verdana"/>
                <w:szCs w:val="22"/>
              </w:rPr>
            </w:pPr>
            <w:r w:rsidRPr="00950979">
              <w:rPr>
                <w:szCs w:val="22"/>
              </w:rPr>
              <w:t>Uninterruptible Power Supply (UPS)/Battery Backup</w:t>
            </w:r>
          </w:p>
          <w:p w:rsidR="00702774" w:rsidRPr="00950979" w:rsidP="00702774">
            <w:pPr>
              <w:widowControl/>
              <w:numPr>
                <w:ilvl w:val="0"/>
                <w:numId w:val="8"/>
              </w:numPr>
              <w:contextualSpacing/>
              <w:rPr>
                <w:rFonts w:eastAsia="Verdana"/>
                <w:szCs w:val="22"/>
              </w:rPr>
            </w:pPr>
            <w:r w:rsidRPr="00950979">
              <w:rPr>
                <w:szCs w:val="22"/>
              </w:rPr>
              <w:t>Access points used in a local area network (LAN) or wireless local area network (WLAN) environment (such as wireless access points)</w:t>
            </w:r>
          </w:p>
          <w:p w:rsidR="00702774" w:rsidRPr="00950979" w:rsidP="00702774">
            <w:pPr>
              <w:widowControl/>
              <w:numPr>
                <w:ilvl w:val="0"/>
                <w:numId w:val="8"/>
              </w:numPr>
              <w:contextualSpacing/>
              <w:rPr>
                <w:rFonts w:eastAsia="Verdana"/>
                <w:szCs w:val="22"/>
              </w:rPr>
            </w:pPr>
            <w:r w:rsidRPr="00950979">
              <w:rPr>
                <w:szCs w:val="22"/>
              </w:rPr>
              <w:t>Wireless controller systems</w:t>
            </w:r>
          </w:p>
          <w:p w:rsidR="00702774" w:rsidRPr="00950979" w:rsidP="00702774">
            <w:pPr>
              <w:widowControl/>
              <w:numPr>
                <w:ilvl w:val="0"/>
                <w:numId w:val="8"/>
              </w:numPr>
              <w:spacing w:after="120"/>
              <w:rPr>
                <w:rFonts w:eastAsia="Verdana"/>
                <w:szCs w:val="22"/>
              </w:rPr>
            </w:pPr>
            <w:r w:rsidRPr="00950979">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702774" w:rsidRPr="00950979" w:rsidP="00A47A2A">
            <w:pPr>
              <w:spacing w:before="120" w:after="120"/>
              <w:rPr>
                <w:szCs w:val="22"/>
              </w:rPr>
            </w:pPr>
            <w:r w:rsidRPr="00950979">
              <w:rPr>
                <w:i/>
                <w:iCs/>
                <w:szCs w:val="22"/>
              </w:rPr>
              <w:t>Notes</w:t>
            </w:r>
            <w:r w:rsidRPr="00EB2F15">
              <w:rPr>
                <w:szCs w:val="22"/>
              </w:rPr>
              <w:t>:</w:t>
            </w:r>
            <w:r w:rsidRPr="00950979">
              <w:rPr>
                <w:szCs w:val="22"/>
              </w:rPr>
              <w:t xml:space="preserve"> (1) Functionalities listed above that can be virtualized in the cloud, and equipment that combines eligible functionalities, like routing and switching, are also eligible.</w:t>
            </w:r>
          </w:p>
          <w:p w:rsidR="00702774" w:rsidRPr="00950979" w:rsidP="00A47A2A">
            <w:pPr>
              <w:spacing w:before="120" w:after="120"/>
              <w:rPr>
                <w:szCs w:val="22"/>
              </w:rPr>
            </w:pPr>
            <w:r w:rsidRPr="00950979">
              <w:rPr>
                <w:szCs w:val="22"/>
              </w:rPr>
              <w:t>(2) A manufacturer’s multi-year warranty for a period up to three years that is provided as an integral part of an eligible component, without a separately identifiable cost, may be included in the cost of the component.</w:t>
            </w:r>
          </w:p>
          <w:p w:rsidR="00702774" w:rsidRPr="00950979" w:rsidP="00A47A2A">
            <w:pPr>
              <w:spacing w:before="120" w:after="240"/>
              <w:rPr>
                <w:szCs w:val="22"/>
              </w:rPr>
            </w:pPr>
            <w:r w:rsidRPr="00950979">
              <w:rPr>
                <w:szCs w:val="22"/>
              </w:rP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tc>
      </w:tr>
      <w:tr w:rsidTr="00A47A2A">
        <w:tblPrEx>
          <w:tblW w:w="0" w:type="auto"/>
          <w:jc w:val="center"/>
          <w:tblLook w:val="04A0"/>
        </w:tblPrEx>
        <w:trPr>
          <w:jc w:val="center"/>
        </w:trPr>
        <w:tc>
          <w:tcPr>
            <w:tcW w:w="9175" w:type="dxa"/>
            <w:shd w:val="clear" w:color="auto" w:fill="auto"/>
          </w:tcPr>
          <w:p w:rsidR="00702774" w:rsidRPr="00950979" w:rsidP="00A47A2A">
            <w:pPr>
              <w:keepNext/>
              <w:keepLines/>
              <w:spacing w:after="120"/>
              <w:jc w:val="center"/>
              <w:rPr>
                <w:b/>
                <w:szCs w:val="22"/>
              </w:rPr>
            </w:pPr>
            <w:r w:rsidRPr="00950979">
              <w:rPr>
                <w:b/>
                <w:bCs/>
                <w:szCs w:val="22"/>
              </w:rPr>
              <w:t>Eligible Managed Internal Broadband Services</w:t>
            </w:r>
          </w:p>
          <w:p w:rsidR="00702774" w:rsidRPr="00950979" w:rsidP="00702774">
            <w:pPr>
              <w:keepNext/>
              <w:keepLines/>
              <w:widowControl/>
              <w:numPr>
                <w:ilvl w:val="0"/>
                <w:numId w:val="10"/>
              </w:numPr>
              <w:contextualSpacing/>
              <w:rPr>
                <w:szCs w:val="22"/>
              </w:rPr>
            </w:pPr>
            <w:r w:rsidRPr="00950979">
              <w:rPr>
                <w:szCs w:val="22"/>
              </w:rPr>
              <w:t>Services provided by a third party for the operation, management, and monitoring of eligible broadband internal connections are eligible managed internal broadband services (</w:t>
            </w:r>
            <w:r w:rsidRPr="00CC4A8D">
              <w:rPr>
                <w:szCs w:val="22"/>
              </w:rPr>
              <w:t>e.g.</w:t>
            </w:r>
            <w:r w:rsidRPr="00950979">
              <w:rPr>
                <w:szCs w:val="22"/>
              </w:rPr>
              <w:t>, managed Wi-Fi).</w:t>
            </w:r>
          </w:p>
          <w:p w:rsidR="00702774" w:rsidRPr="00950979" w:rsidP="00702774">
            <w:pPr>
              <w:keepLines/>
              <w:widowControl/>
              <w:numPr>
                <w:ilvl w:val="0"/>
                <w:numId w:val="10"/>
              </w:numPr>
              <w:contextualSpacing/>
              <w:rPr>
                <w:szCs w:val="22"/>
              </w:rPr>
            </w:pPr>
            <w:r w:rsidRPr="00950979">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w:t>
            </w:r>
            <w:r>
              <w:rPr>
                <w:szCs w:val="22"/>
              </w:rPr>
              <w:t>,</w:t>
            </w:r>
            <w:r w:rsidRPr="00950979">
              <w:rPr>
                <w:szCs w:val="22"/>
              </w:rPr>
              <w:t xml:space="preserve"> and initial configuration of eligible components and on-site training on the use of eligible equipment.</w:t>
            </w:r>
          </w:p>
          <w:p w:rsidR="00702774" w:rsidRPr="00950979" w:rsidP="00702774">
            <w:pPr>
              <w:keepLines/>
              <w:widowControl/>
              <w:numPr>
                <w:ilvl w:val="0"/>
                <w:numId w:val="10"/>
              </w:numPr>
              <w:spacing w:after="240"/>
              <w:rPr>
                <w:szCs w:val="22"/>
              </w:rPr>
            </w:pPr>
            <w:r w:rsidRPr="00950979">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rsidTr="00A47A2A">
        <w:tblPrEx>
          <w:tblW w:w="0" w:type="auto"/>
          <w:jc w:val="center"/>
          <w:tblLook w:val="04A0"/>
        </w:tblPrEx>
        <w:trPr>
          <w:trHeight w:val="3122"/>
          <w:jc w:val="center"/>
        </w:trPr>
        <w:tc>
          <w:tcPr>
            <w:tcW w:w="9175" w:type="dxa"/>
            <w:shd w:val="clear" w:color="auto" w:fill="auto"/>
          </w:tcPr>
          <w:p w:rsidR="00702774" w:rsidRPr="00950979" w:rsidP="00A47A2A">
            <w:pPr>
              <w:spacing w:after="120"/>
              <w:jc w:val="center"/>
              <w:rPr>
                <w:szCs w:val="22"/>
              </w:rPr>
            </w:pPr>
            <w:r w:rsidRPr="00950979">
              <w:rPr>
                <w:b/>
                <w:bCs/>
                <w:szCs w:val="22"/>
              </w:rPr>
              <w:t>Basic Maintenance of Eligible Broadband Internal Connections</w:t>
            </w:r>
          </w:p>
          <w:p w:rsidR="00702774" w:rsidRPr="00950979" w:rsidP="00A47A2A">
            <w:pPr>
              <w:spacing w:after="120"/>
              <w:rPr>
                <w:bCs/>
                <w:szCs w:val="22"/>
              </w:rPr>
            </w:pPr>
            <w:r w:rsidRPr="00950979">
              <w:rPr>
                <w:szCs w:val="22"/>
              </w:rPr>
              <w:t>E-Rate support is available for basic maintenance and technical support appropriate to maintain reliable operation when provided for eligible broadband internal connections.</w:t>
            </w:r>
          </w:p>
          <w:p w:rsidR="00702774" w:rsidRPr="00950979" w:rsidP="00A47A2A">
            <w:pPr>
              <w:spacing w:before="120"/>
              <w:rPr>
                <w:bCs/>
                <w:szCs w:val="22"/>
              </w:rPr>
            </w:pPr>
            <w:r w:rsidRPr="00950979">
              <w:rPr>
                <w:szCs w:val="22"/>
              </w:rPr>
              <w:t>The following basic maintenance services are eligible:</w:t>
            </w:r>
          </w:p>
          <w:p w:rsidR="00702774" w:rsidRPr="00950979" w:rsidP="00702774">
            <w:pPr>
              <w:widowControl/>
              <w:numPr>
                <w:ilvl w:val="0"/>
                <w:numId w:val="9"/>
              </w:numPr>
              <w:contextualSpacing/>
              <w:rPr>
                <w:szCs w:val="22"/>
              </w:rPr>
            </w:pPr>
            <w:r w:rsidRPr="00950979">
              <w:rPr>
                <w:szCs w:val="22"/>
              </w:rPr>
              <w:t>Repair and upkeep of eligible hardware</w:t>
            </w:r>
          </w:p>
          <w:p w:rsidR="00702774" w:rsidRPr="00950979" w:rsidP="00702774">
            <w:pPr>
              <w:widowControl/>
              <w:numPr>
                <w:ilvl w:val="0"/>
                <w:numId w:val="9"/>
              </w:numPr>
              <w:contextualSpacing/>
              <w:rPr>
                <w:szCs w:val="22"/>
              </w:rPr>
            </w:pPr>
            <w:r w:rsidRPr="00950979">
              <w:rPr>
                <w:szCs w:val="22"/>
              </w:rPr>
              <w:t>Wire and cable maintenance</w:t>
            </w:r>
          </w:p>
          <w:p w:rsidR="00702774" w:rsidRPr="00950979" w:rsidP="00702774">
            <w:pPr>
              <w:widowControl/>
              <w:numPr>
                <w:ilvl w:val="0"/>
                <w:numId w:val="9"/>
              </w:numPr>
              <w:contextualSpacing/>
              <w:rPr>
                <w:szCs w:val="22"/>
              </w:rPr>
            </w:pPr>
            <w:r w:rsidRPr="00950979">
              <w:rPr>
                <w:szCs w:val="22"/>
              </w:rPr>
              <w:t>Configuration changes</w:t>
            </w:r>
          </w:p>
          <w:p w:rsidR="00702774" w:rsidRPr="00950979" w:rsidP="00702774">
            <w:pPr>
              <w:widowControl/>
              <w:numPr>
                <w:ilvl w:val="0"/>
                <w:numId w:val="9"/>
              </w:numPr>
              <w:contextualSpacing/>
              <w:rPr>
                <w:szCs w:val="22"/>
              </w:rPr>
            </w:pPr>
            <w:r w:rsidRPr="00950979">
              <w:rPr>
                <w:szCs w:val="22"/>
              </w:rPr>
              <w:t>Basic technical support including online and telephone-based technical support</w:t>
            </w:r>
          </w:p>
          <w:p w:rsidR="00702774" w:rsidRPr="00950979" w:rsidP="00702774">
            <w:pPr>
              <w:widowControl/>
              <w:numPr>
                <w:ilvl w:val="0"/>
                <w:numId w:val="9"/>
              </w:numPr>
              <w:spacing w:after="240"/>
              <w:contextualSpacing/>
              <w:rPr>
                <w:b/>
                <w:szCs w:val="22"/>
              </w:rPr>
            </w:pPr>
            <w:r w:rsidRPr="00950979">
              <w:rPr>
                <w:rFonts w:eastAsia="Calibri"/>
                <w:szCs w:val="22"/>
              </w:rPr>
              <w:t>Software upgrades and patches</w:t>
            </w:r>
            <w:r w:rsidRPr="00950979">
              <w:rPr>
                <w:szCs w:val="22"/>
              </w:rPr>
              <w:t xml:space="preserve"> including b</w:t>
            </w:r>
            <w:r w:rsidRPr="00950979">
              <w:rPr>
                <w:rFonts w:eastAsia="Calibri"/>
                <w:szCs w:val="22"/>
              </w:rPr>
              <w:t>ug fixes and security patches</w:t>
            </w:r>
          </w:p>
        </w:tc>
      </w:tr>
    </w:tbl>
    <w:p w:rsidR="00702774" w:rsidP="00702774">
      <w:pPr>
        <w:spacing w:before="120" w:after="120"/>
        <w:rPr>
          <w:b/>
          <w:bCs/>
          <w:szCs w:val="22"/>
          <w:u w:val="single"/>
        </w:rPr>
        <w:sectPr w:rsidSect="008B2B2E">
          <w:endnotePr>
            <w:numFmt w:val="decimal"/>
          </w:endnotePr>
          <w:pgSz w:w="12240" w:h="15840"/>
          <w:pgMar w:top="1440" w:right="1440" w:bottom="720" w:left="1440" w:header="720" w:footer="720" w:gutter="0"/>
          <w:cols w:space="720"/>
          <w:noEndnote/>
          <w:docGrid w:linePitch="299"/>
        </w:sectPr>
      </w:pPr>
    </w:p>
    <w:p w:rsidR="00702774" w:rsidRPr="005A6C95" w:rsidP="00702774">
      <w:pPr>
        <w:spacing w:before="120" w:after="120"/>
        <w:rPr>
          <w:b/>
          <w:bCs/>
          <w:szCs w:val="22"/>
          <w:u w:val="single"/>
        </w:rPr>
      </w:pPr>
      <w:r w:rsidRPr="00950979">
        <w:rPr>
          <w:b/>
          <w:bCs/>
          <w:szCs w:val="22"/>
          <w:u w:val="single"/>
        </w:rPr>
        <w:t>Eligibility Limitations for Category Two</w:t>
      </w:r>
      <w:r>
        <w:rPr>
          <w:b/>
          <w:bCs/>
          <w:szCs w:val="22"/>
          <w:u w:val="single"/>
        </w:rPr>
        <w:t xml:space="preserve">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Tr="00A47A2A">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90"/>
        </w:trPr>
        <w:tc>
          <w:tcPr>
            <w:tcW w:w="9180" w:type="dxa"/>
            <w:shd w:val="clear" w:color="auto" w:fill="auto"/>
          </w:tcPr>
          <w:p w:rsidR="00702774" w:rsidRPr="00950979" w:rsidP="00A47A2A">
            <w:pPr>
              <w:spacing w:before="120" w:after="240"/>
              <w:rPr>
                <w:szCs w:val="22"/>
              </w:rPr>
            </w:pPr>
            <w:r w:rsidRPr="00950979">
              <w:rPr>
                <w:b/>
                <w:bCs/>
                <w:szCs w:val="22"/>
              </w:rPr>
              <w:t>Eligibility limitations for managed internal broadband services</w:t>
            </w:r>
            <w:r w:rsidRPr="00950979">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50979">
              <w:rPr>
                <w:i/>
                <w:iCs/>
                <w:szCs w:val="22"/>
              </w:rPr>
              <w:t>,</w:t>
            </w:r>
            <w:r w:rsidRPr="00950979">
              <w:rPr>
                <w:szCs w:val="22"/>
              </w:rPr>
              <w:t xml:space="preserve"> servers other than those that are necessary to provide caching), which, if included in the contract, must be cost allocated out of any funding request.</w:t>
            </w:r>
          </w:p>
        </w:tc>
      </w:tr>
      <w:tr w:rsidTr="00A47A2A">
        <w:tblPrEx>
          <w:tblW w:w="0" w:type="auto"/>
          <w:tblInd w:w="85" w:type="dxa"/>
          <w:tblLook w:val="04A0"/>
        </w:tblPrEx>
        <w:trPr>
          <w:trHeight w:val="4193"/>
        </w:trPr>
        <w:tc>
          <w:tcPr>
            <w:tcW w:w="9180" w:type="dxa"/>
            <w:shd w:val="clear" w:color="auto" w:fill="auto"/>
          </w:tcPr>
          <w:p w:rsidR="00702774" w:rsidRPr="00950979" w:rsidP="00A47A2A">
            <w:pPr>
              <w:spacing w:before="120" w:after="120"/>
              <w:rPr>
                <w:szCs w:val="22"/>
              </w:rPr>
            </w:pPr>
            <w:r w:rsidRPr="00950979">
              <w:rPr>
                <w:b/>
                <w:bCs/>
                <w:szCs w:val="22"/>
              </w:rPr>
              <w:t>Eligibility limitations for basic maintenance</w:t>
            </w:r>
            <w:r w:rsidRPr="00950979">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702774" w:rsidRPr="00950979" w:rsidP="00A47A2A">
            <w:pPr>
              <w:spacing w:before="120"/>
              <w:contextualSpacing/>
              <w:rPr>
                <w:bCs/>
                <w:szCs w:val="22"/>
              </w:rPr>
            </w:pPr>
            <w:r w:rsidRPr="00950979">
              <w:rPr>
                <w:szCs w:val="22"/>
              </w:rPr>
              <w:t>Basic maintenance does not include:</w:t>
            </w:r>
          </w:p>
          <w:p w:rsidR="00702774" w:rsidRPr="00950979" w:rsidP="00702774">
            <w:pPr>
              <w:widowControl/>
              <w:numPr>
                <w:ilvl w:val="0"/>
                <w:numId w:val="11"/>
              </w:numPr>
              <w:contextualSpacing/>
              <w:rPr>
                <w:rFonts w:eastAsia="Verdana"/>
                <w:szCs w:val="22"/>
              </w:rPr>
            </w:pPr>
            <w:r w:rsidRPr="00950979">
              <w:rPr>
                <w:szCs w:val="22"/>
              </w:rPr>
              <w:t>Services that maintain ineligible equipment</w:t>
            </w:r>
          </w:p>
          <w:p w:rsidR="00702774" w:rsidRPr="00950979" w:rsidP="00702774">
            <w:pPr>
              <w:widowControl/>
              <w:numPr>
                <w:ilvl w:val="0"/>
                <w:numId w:val="11"/>
              </w:numPr>
              <w:contextualSpacing/>
              <w:rPr>
                <w:rFonts w:eastAsia="Verdana"/>
                <w:szCs w:val="22"/>
              </w:rPr>
            </w:pPr>
            <w:r w:rsidRPr="00950979">
              <w:rPr>
                <w:szCs w:val="22"/>
              </w:rPr>
              <w:t>Upfront estimates that cover the full cost of every piece of eligible equipment</w:t>
            </w:r>
          </w:p>
          <w:p w:rsidR="00702774" w:rsidRPr="00950979" w:rsidP="00702774">
            <w:pPr>
              <w:widowControl/>
              <w:numPr>
                <w:ilvl w:val="0"/>
                <w:numId w:val="11"/>
              </w:numPr>
              <w:contextualSpacing/>
              <w:rPr>
                <w:rFonts w:eastAsia="Verdana"/>
                <w:szCs w:val="22"/>
              </w:rPr>
            </w:pPr>
            <w:r w:rsidRPr="00950979">
              <w:rPr>
                <w:szCs w:val="22"/>
              </w:rPr>
              <w:t>Services that enhance the utility of equipment beyond the transport of information, or diagnostic services in excess of those necessary to maintain the equipment’s ability to transport information</w:t>
            </w:r>
          </w:p>
          <w:p w:rsidR="00702774" w:rsidRPr="00950979" w:rsidP="00702774">
            <w:pPr>
              <w:widowControl/>
              <w:numPr>
                <w:ilvl w:val="0"/>
                <w:numId w:val="11"/>
              </w:numPr>
              <w:contextualSpacing/>
              <w:rPr>
                <w:rFonts w:eastAsia="Verdana"/>
                <w:szCs w:val="22"/>
              </w:rPr>
            </w:pPr>
            <w:r w:rsidRPr="00950979">
              <w:rPr>
                <w:szCs w:val="22"/>
              </w:rPr>
              <w:t>Network management services, including 24-hour network monitoring</w:t>
            </w:r>
          </w:p>
          <w:p w:rsidR="00702774" w:rsidRPr="00950979" w:rsidP="00702774">
            <w:pPr>
              <w:widowControl/>
              <w:numPr>
                <w:ilvl w:val="0"/>
                <w:numId w:val="11"/>
              </w:numPr>
              <w:contextualSpacing/>
              <w:rPr>
                <w:rFonts w:eastAsia="Verdana"/>
                <w:szCs w:val="22"/>
              </w:rPr>
            </w:pPr>
            <w:r w:rsidRPr="00950979">
              <w:rPr>
                <w:szCs w:val="22"/>
              </w:rPr>
              <w:t>On-site technical support (</w:t>
            </w:r>
            <w:r w:rsidRPr="00CC4A8D">
              <w:rPr>
                <w:szCs w:val="22"/>
              </w:rPr>
              <w:t>i.e.</w:t>
            </w:r>
            <w:r w:rsidRPr="00950979">
              <w:rPr>
                <w:szCs w:val="22"/>
              </w:rPr>
              <w:t>, contractor duty station at the applicant site), unless applicants present sufficient evidence of cost-effectiveness</w:t>
            </w:r>
          </w:p>
          <w:p w:rsidR="00702774" w:rsidRPr="00950979" w:rsidP="00702774">
            <w:pPr>
              <w:widowControl/>
              <w:numPr>
                <w:ilvl w:val="0"/>
                <w:numId w:val="11"/>
              </w:numPr>
              <w:spacing w:after="240"/>
              <w:rPr>
                <w:b/>
                <w:bCs/>
                <w:szCs w:val="22"/>
              </w:rPr>
            </w:pPr>
            <w:r w:rsidRPr="00950979">
              <w:rPr>
                <w:szCs w:val="22"/>
              </w:rPr>
              <w:t>Unbundled warranties</w:t>
            </w:r>
          </w:p>
        </w:tc>
      </w:tr>
    </w:tbl>
    <w:p w:rsidR="00702774" w:rsidRPr="00C720D0" w:rsidP="00702774">
      <w:pPr>
        <w:spacing w:before="120" w:after="120"/>
        <w:rPr>
          <w:b/>
          <w:u w:val="single"/>
        </w:rPr>
        <w:sectPr w:rsidSect="008B2B2E">
          <w:endnotePr>
            <w:numFmt w:val="decimal"/>
          </w:endnotePr>
          <w:pgSz w:w="12240" w:h="15840"/>
          <w:pgMar w:top="1440" w:right="1440" w:bottom="720" w:left="1440" w:header="720" w:footer="720" w:gutter="0"/>
          <w:cols w:space="720"/>
          <w:noEndnote/>
          <w:docGrid w:linePitch="299"/>
        </w:sectPr>
      </w:pPr>
    </w:p>
    <w:p w:rsidR="00702774" w:rsidRPr="00950979" w:rsidP="00702774">
      <w:pPr>
        <w:spacing w:before="120" w:after="120"/>
        <w:rPr>
          <w:b/>
          <w:bCs/>
          <w:szCs w:val="22"/>
          <w:u w:val="single"/>
        </w:rPr>
      </w:pPr>
      <w:bookmarkStart w:id="2" w:name="_Hlk15638427"/>
      <w:r w:rsidRPr="00950979">
        <w:rPr>
          <w:b/>
          <w:bCs/>
          <w:szCs w:val="22"/>
          <w:u w:val="single"/>
        </w:rPr>
        <w:t>Eligibility Explanations for Certain Category One and Category Two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Tr="00A47A2A">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0" w:type="dxa"/>
            <w:shd w:val="clear" w:color="auto" w:fill="auto"/>
          </w:tcPr>
          <w:p w:rsidR="00702774" w:rsidRPr="00950979" w:rsidP="00A47A2A">
            <w:pPr>
              <w:spacing w:before="120" w:after="240"/>
              <w:rPr>
                <w:bCs/>
                <w:szCs w:val="22"/>
                <w:u w:val="single"/>
              </w:rPr>
            </w:pPr>
            <w:r w:rsidRPr="00950979">
              <w:rPr>
                <w:b/>
                <w:bCs/>
                <w:szCs w:val="22"/>
              </w:rPr>
              <w:t>Internet access/ISP service</w:t>
            </w:r>
            <w:r w:rsidRPr="00950979">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950979">
              <w:rPr>
                <w:color w:val="010101"/>
                <w:szCs w:val="22"/>
              </w:rPr>
              <w:t xml:space="preserve">Firewall protection that is provided by a vendor other than the Internet access service provider or priced out separately will be considered a Category Two internal connections component. </w:t>
            </w:r>
            <w:r w:rsidRPr="00950979">
              <w:rPr>
                <w:bCs/>
                <w:color w:val="010101"/>
                <w:szCs w:val="22"/>
              </w:rPr>
              <w:t xml:space="preserve"> </w:t>
            </w:r>
            <w:r w:rsidRPr="00950979">
              <w:rPr>
                <w:szCs w:val="22"/>
              </w:rPr>
              <w:t>Examples of items that are ineligible components of Internet access services include applications, content, e-mail, and end-user devices and equipment such as computers, laptops, and tablets.</w:t>
            </w:r>
          </w:p>
        </w:tc>
      </w:tr>
      <w:tr w:rsidTr="00A47A2A">
        <w:tblPrEx>
          <w:tblW w:w="0" w:type="auto"/>
          <w:tblInd w:w="85" w:type="dxa"/>
          <w:tblLook w:val="04A0"/>
        </w:tblPrEx>
        <w:tc>
          <w:tcPr>
            <w:tcW w:w="9180" w:type="dxa"/>
            <w:shd w:val="clear" w:color="auto" w:fill="auto"/>
          </w:tcPr>
          <w:p w:rsidR="00702774" w:rsidRPr="00950979" w:rsidP="00A47A2A">
            <w:pPr>
              <w:spacing w:before="120" w:after="120"/>
              <w:rPr>
                <w:szCs w:val="22"/>
              </w:rPr>
            </w:pPr>
            <w:r w:rsidRPr="00950979">
              <w:rPr>
                <w:b/>
                <w:bCs/>
                <w:szCs w:val="22"/>
              </w:rPr>
              <w:t>Wireless services</w:t>
            </w:r>
            <w:r w:rsidRPr="00950979">
              <w:rPr>
                <w:szCs w:val="22"/>
              </w:rPr>
              <w:t xml:space="preserve"> </w:t>
            </w:r>
            <w:r w:rsidRPr="00950979">
              <w:rPr>
                <w:b/>
                <w:bCs/>
                <w:szCs w:val="22"/>
              </w:rPr>
              <w:t>and wireless Internet access</w:t>
            </w:r>
            <w:r w:rsidRPr="00950979">
              <w:rPr>
                <w:bCs/>
                <w:szCs w:val="22"/>
              </w:rPr>
              <w:t xml:space="preserve"> </w:t>
            </w:r>
            <w:r w:rsidRPr="00950979">
              <w:rPr>
                <w:szCs w:val="22"/>
              </w:rPr>
              <w:t xml:space="preserve">– As clarified in the </w:t>
            </w:r>
            <w:r w:rsidRPr="00950979">
              <w:rPr>
                <w:i/>
                <w:iCs/>
                <w:szCs w:val="22"/>
              </w:rPr>
              <w:t>2014 Second E-Rate Order</w:t>
            </w:r>
            <w:r w:rsidRPr="00950979">
              <w:rPr>
                <w:iCs/>
                <w:szCs w:val="22"/>
              </w:rPr>
              <w:t xml:space="preserve"> (</w:t>
            </w:r>
            <w:r w:rsidRPr="00950979">
              <w:rPr>
                <w:szCs w:val="22"/>
              </w:rPr>
              <w:t>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702774" w:rsidRPr="00950979" w:rsidP="00A47A2A">
            <w:pPr>
              <w:keepNext/>
              <w:keepLines/>
              <w:spacing w:before="120" w:after="120"/>
              <w:rPr>
                <w:szCs w:val="22"/>
              </w:rPr>
            </w:pPr>
            <w:r w:rsidRPr="00950979">
              <w:rPr>
                <w:szCs w:val="22"/>
              </w:rPr>
              <w:t>Off-campus use, even if used for an educational purpose, is ineligible for support and must be cost allocated out of any funding request.</w:t>
            </w:r>
          </w:p>
          <w:p w:rsidR="00702774" w:rsidRPr="00950979" w:rsidP="00A47A2A">
            <w:pPr>
              <w:keepNext/>
              <w:keepLines/>
              <w:spacing w:before="120" w:after="240"/>
              <w:rPr>
                <w:b/>
                <w:szCs w:val="22"/>
              </w:rPr>
            </w:pPr>
            <w:r w:rsidRPr="00950979">
              <w:rPr>
                <w:szCs w:val="22"/>
              </w:rPr>
              <w:t>Managed internal broadband services, such as managed Wi-Fi, are eligible only for Category Two support.</w:t>
            </w:r>
          </w:p>
        </w:tc>
      </w:tr>
      <w:tr w:rsidTr="00A47A2A">
        <w:tblPrEx>
          <w:tblW w:w="0" w:type="auto"/>
          <w:tblInd w:w="85" w:type="dxa"/>
          <w:tblLook w:val="04A0"/>
        </w:tblPrEx>
        <w:tc>
          <w:tcPr>
            <w:tcW w:w="9180" w:type="dxa"/>
            <w:shd w:val="clear" w:color="auto" w:fill="auto"/>
          </w:tcPr>
          <w:p w:rsidR="00702774" w:rsidRPr="00950979" w:rsidP="00A47A2A">
            <w:pPr>
              <w:keepNext/>
              <w:keepLines/>
              <w:spacing w:before="120" w:after="120"/>
              <w:rPr>
                <w:bCs/>
                <w:szCs w:val="22"/>
              </w:rPr>
            </w:pPr>
            <w:r w:rsidRPr="00950979">
              <w:rPr>
                <w:b/>
                <w:bCs/>
                <w:szCs w:val="22"/>
              </w:rPr>
              <w:t>Connections between buildings of a single school</w:t>
            </w:r>
            <w:r w:rsidRPr="00950979">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702774" w:rsidRPr="00950979" w:rsidP="00702774">
            <w:pPr>
              <w:keepNext/>
              <w:keepLines/>
              <w:widowControl/>
              <w:numPr>
                <w:ilvl w:val="0"/>
                <w:numId w:val="12"/>
              </w:numPr>
            </w:pPr>
            <w:r w:rsidRPr="00950979">
              <w:t>Connections between buildings on different campuses of a single school are considered to be Category One data transmission services.</w:t>
            </w:r>
          </w:p>
          <w:p w:rsidR="00702774" w:rsidRPr="00950979" w:rsidP="00702774">
            <w:pPr>
              <w:keepNext/>
              <w:keepLines/>
              <w:widowControl/>
              <w:numPr>
                <w:ilvl w:val="0"/>
                <w:numId w:val="12"/>
              </w:numPr>
            </w:pPr>
            <w:r w:rsidRPr="00950979">
              <w:t>Connections between different schools with campuses located on the same property (e.g., an elementary school and middle school located on the same property) are considered to be Category One data transmission services, unless they share the same building.</w:t>
            </w:r>
          </w:p>
          <w:p w:rsidR="00702774" w:rsidRPr="00950979" w:rsidP="00702774">
            <w:pPr>
              <w:keepNext/>
              <w:keepLines/>
              <w:widowControl/>
              <w:numPr>
                <w:ilvl w:val="0"/>
                <w:numId w:val="12"/>
              </w:numPr>
              <w:spacing w:after="240"/>
              <w:contextualSpacing/>
              <w:rPr>
                <w:b/>
                <w:bCs/>
              </w:rPr>
            </w:pPr>
            <w:r w:rsidRPr="00950979">
              <w:t>Connections between buildings of a single school on the same campus are considered to be Category Two internal connections.</w:t>
            </w:r>
          </w:p>
        </w:tc>
      </w:tr>
      <w:tr w:rsidTr="00A47A2A">
        <w:tblPrEx>
          <w:tblW w:w="0" w:type="auto"/>
          <w:tblInd w:w="85" w:type="dxa"/>
          <w:tblLook w:val="04A0"/>
        </w:tblPrEx>
        <w:tc>
          <w:tcPr>
            <w:tcW w:w="9180" w:type="dxa"/>
            <w:shd w:val="clear" w:color="auto" w:fill="auto"/>
          </w:tcPr>
          <w:p w:rsidR="00702774" w:rsidRPr="00950979" w:rsidP="00A47A2A">
            <w:pPr>
              <w:autoSpaceDE w:val="0"/>
              <w:autoSpaceDN w:val="0"/>
              <w:adjustRightInd w:val="0"/>
              <w:spacing w:before="120" w:after="240"/>
              <w:rPr>
                <w:bCs/>
                <w:szCs w:val="22"/>
              </w:rPr>
            </w:pPr>
            <w:r w:rsidRPr="00950979">
              <w:rPr>
                <w:b/>
                <w:bCs/>
                <w:szCs w:val="22"/>
              </w:rPr>
              <w:t>Network equipment with mixed eligibility</w:t>
            </w:r>
            <w:r w:rsidRPr="00950979">
              <w:rPr>
                <w:bCs/>
                <w:szCs w:val="22"/>
              </w:rPr>
              <w:t xml:space="preserve"> – On-premises equipment that connects to a Category Two-eligible LAN is eligible for Category One support if it is necessary to make a Category One broadband service functional.  </w:t>
            </w:r>
            <w:r w:rsidRPr="00950979">
              <w:rPr>
                <w:szCs w:val="22"/>
              </w:rPr>
              <w:t>If the price for components that enable the LAN can be isolated from the price of the components that enable the Category One service, those costs should be cost-allocated out of the Category One funding request.</w:t>
            </w:r>
          </w:p>
        </w:tc>
      </w:tr>
      <w:bookmarkEnd w:id="2"/>
    </w:tbl>
    <w:p w:rsidR="00702774" w:rsidRPr="00C720D0" w:rsidP="00702774">
      <w:pPr>
        <w:spacing w:before="120" w:after="120"/>
        <w:rPr>
          <w:b/>
          <w:u w:val="single"/>
        </w:rPr>
        <w:sectPr w:rsidSect="008B2B2E">
          <w:endnotePr>
            <w:numFmt w:val="decimal"/>
          </w:endnotePr>
          <w:pgSz w:w="12240" w:h="15840"/>
          <w:pgMar w:top="1440" w:right="1440" w:bottom="720" w:left="1440" w:header="720" w:footer="720" w:gutter="0"/>
          <w:cols w:space="720"/>
          <w:noEndnote/>
          <w:docGrid w:linePitch="299"/>
        </w:sectPr>
      </w:pPr>
    </w:p>
    <w:p w:rsidR="00702774" w:rsidRPr="00950979" w:rsidP="00702774">
      <w:pPr>
        <w:spacing w:after="120"/>
        <w:rPr>
          <w:b/>
          <w:bCs/>
          <w:szCs w:val="22"/>
          <w:u w:val="single"/>
        </w:rPr>
      </w:pPr>
      <w:r w:rsidRPr="00950979">
        <w:rPr>
          <w:b/>
          <w:bCs/>
          <w:szCs w:val="22"/>
          <w:u w:val="single"/>
        </w:rPr>
        <w:t>Miscellaneous</w:t>
      </w:r>
    </w:p>
    <w:p w:rsidR="00702774" w:rsidRPr="00950979" w:rsidP="00702774">
      <w:pPr>
        <w:spacing w:before="120" w:after="240"/>
        <w:jc w:val="both"/>
        <w:rPr>
          <w:szCs w:val="22"/>
        </w:rPr>
      </w:pPr>
      <w:r w:rsidRPr="00950979">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A47A2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702774" w:rsidRPr="00950979" w:rsidP="00A47A2A">
            <w:pPr>
              <w:spacing w:after="120"/>
              <w:jc w:val="center"/>
              <w:rPr>
                <w:b/>
                <w:szCs w:val="22"/>
              </w:rPr>
            </w:pPr>
            <w:r w:rsidRPr="00950979">
              <w:rPr>
                <w:b/>
                <w:bCs/>
                <w:szCs w:val="22"/>
              </w:rPr>
              <w:t>Fees</w:t>
            </w:r>
          </w:p>
          <w:p w:rsidR="00702774" w:rsidRPr="00950979" w:rsidP="00A47A2A">
            <w:pPr>
              <w:rPr>
                <w:rFonts w:eastAsia="Calibri"/>
                <w:bCs/>
                <w:szCs w:val="22"/>
              </w:rPr>
            </w:pPr>
            <w:r w:rsidRPr="00950979">
              <w:rPr>
                <w:szCs w:val="22"/>
              </w:rPr>
              <w:t>Fees and charges that are a necessary component of an eligible product or service are eligible, including:</w:t>
            </w:r>
          </w:p>
          <w:p w:rsidR="00702774" w:rsidRPr="00950979" w:rsidP="00702774">
            <w:pPr>
              <w:widowControl/>
              <w:numPr>
                <w:ilvl w:val="0"/>
                <w:numId w:val="13"/>
              </w:numPr>
              <w:contextualSpacing/>
              <w:rPr>
                <w:szCs w:val="22"/>
              </w:rPr>
            </w:pPr>
            <w:r w:rsidRPr="00950979">
              <w:rPr>
                <w:szCs w:val="22"/>
              </w:rPr>
              <w:t>Change fees</w:t>
            </w:r>
          </w:p>
          <w:p w:rsidR="00702774" w:rsidRPr="00950979" w:rsidP="00702774">
            <w:pPr>
              <w:widowControl/>
              <w:numPr>
                <w:ilvl w:val="0"/>
                <w:numId w:val="13"/>
              </w:numPr>
              <w:contextualSpacing/>
              <w:rPr>
                <w:szCs w:val="22"/>
              </w:rPr>
            </w:pPr>
            <w:r w:rsidRPr="00950979">
              <w:rPr>
                <w:szCs w:val="22"/>
              </w:rPr>
              <w:t>Contingency fees are eligible if they are reasonable and a regular business practice of the service provider.  Contingency fees will be reimbursed only if the work is performed.</w:t>
            </w:r>
          </w:p>
          <w:p w:rsidR="00702774" w:rsidRPr="00950979" w:rsidP="00702774">
            <w:pPr>
              <w:widowControl/>
              <w:numPr>
                <w:ilvl w:val="0"/>
                <w:numId w:val="13"/>
              </w:numPr>
              <w:contextualSpacing/>
              <w:rPr>
                <w:szCs w:val="22"/>
              </w:rPr>
            </w:pPr>
            <w:r w:rsidRPr="00950979">
              <w:rPr>
                <w:szCs w:val="22"/>
              </w:rPr>
              <w:t>Freight assurance fees</w:t>
            </w:r>
          </w:p>
          <w:p w:rsidR="00702774" w:rsidRPr="00950979" w:rsidP="00702774">
            <w:pPr>
              <w:widowControl/>
              <w:numPr>
                <w:ilvl w:val="0"/>
                <w:numId w:val="13"/>
              </w:numPr>
              <w:contextualSpacing/>
              <w:rPr>
                <w:szCs w:val="22"/>
              </w:rPr>
            </w:pPr>
            <w:r w:rsidRPr="00950979">
              <w:rPr>
                <w:szCs w:val="22"/>
              </w:rPr>
              <w:t>Lease or rental fees on eligible equipment</w:t>
            </w:r>
          </w:p>
          <w:p w:rsidR="00702774" w:rsidRPr="00950979" w:rsidP="00702774">
            <w:pPr>
              <w:widowControl/>
              <w:numPr>
                <w:ilvl w:val="0"/>
                <w:numId w:val="13"/>
              </w:numPr>
              <w:contextualSpacing/>
              <w:rPr>
                <w:szCs w:val="22"/>
              </w:rPr>
            </w:pPr>
            <w:r w:rsidRPr="00950979">
              <w:rPr>
                <w:szCs w:val="22"/>
              </w:rPr>
              <w:t>Per diem and/or travel time costs are eligible only if a contract with a vendor for the eligible product or services specifically provides for these costs</w:t>
            </w:r>
            <w:r>
              <w:rPr>
                <w:szCs w:val="22"/>
              </w:rPr>
              <w:t>.</w:t>
            </w:r>
          </w:p>
          <w:p w:rsidR="00702774" w:rsidRPr="00950979" w:rsidP="00702774">
            <w:pPr>
              <w:widowControl/>
              <w:numPr>
                <w:ilvl w:val="0"/>
                <w:numId w:val="13"/>
              </w:numPr>
              <w:contextualSpacing/>
              <w:rPr>
                <w:szCs w:val="22"/>
              </w:rPr>
            </w:pPr>
            <w:r w:rsidRPr="00950979">
              <w:rPr>
                <w:szCs w:val="22"/>
              </w:rPr>
              <w:t>Shipping charges</w:t>
            </w:r>
          </w:p>
          <w:p w:rsidR="00702774" w:rsidRPr="00950979" w:rsidP="00702774">
            <w:pPr>
              <w:widowControl/>
              <w:numPr>
                <w:ilvl w:val="0"/>
                <w:numId w:val="13"/>
              </w:numPr>
              <w:spacing w:after="240"/>
              <w:rPr>
                <w:b/>
                <w:bCs/>
                <w:szCs w:val="22"/>
              </w:rPr>
            </w:pPr>
            <w:r w:rsidRPr="0095097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rsidTr="00A47A2A">
        <w:tblPrEx>
          <w:tblW w:w="0" w:type="auto"/>
          <w:jc w:val="center"/>
          <w:tblLook w:val="04A0"/>
        </w:tblPrEx>
        <w:trPr>
          <w:trHeight w:val="3284"/>
          <w:jc w:val="center"/>
        </w:trPr>
        <w:tc>
          <w:tcPr>
            <w:tcW w:w="9175" w:type="dxa"/>
            <w:shd w:val="clear" w:color="auto" w:fill="auto"/>
          </w:tcPr>
          <w:p w:rsidR="00702774" w:rsidRPr="00950979" w:rsidP="00A47A2A">
            <w:pPr>
              <w:spacing w:after="120"/>
              <w:jc w:val="center"/>
              <w:rPr>
                <w:b/>
                <w:bCs/>
                <w:szCs w:val="22"/>
              </w:rPr>
            </w:pPr>
            <w:r w:rsidRPr="00950979">
              <w:rPr>
                <w:b/>
                <w:bCs/>
                <w:szCs w:val="22"/>
              </w:rPr>
              <w:t>Installation, Activation, and Initial Configuration</w:t>
            </w:r>
          </w:p>
          <w:p w:rsidR="00702774" w:rsidRPr="00950979" w:rsidP="00A47A2A">
            <w:pPr>
              <w:rPr>
                <w:bCs/>
                <w:szCs w:val="22"/>
              </w:rPr>
            </w:pPr>
            <w:r w:rsidRPr="00950979">
              <w:rPr>
                <w:szCs w:val="22"/>
              </w:rPr>
              <w:t>Installation, activation, and initial configuration of eligible components are eligible.  These services may include:</w:t>
            </w:r>
          </w:p>
          <w:p w:rsidR="00702774" w:rsidRPr="00950979" w:rsidP="00702774">
            <w:pPr>
              <w:widowControl/>
              <w:numPr>
                <w:ilvl w:val="0"/>
                <w:numId w:val="14"/>
              </w:numPr>
              <w:contextualSpacing/>
              <w:rPr>
                <w:szCs w:val="22"/>
              </w:rPr>
            </w:pPr>
            <w:r w:rsidRPr="00950979">
              <w:rPr>
                <w:szCs w:val="22"/>
              </w:rPr>
              <w:t>Design and engineering costs if these services are provided as an integral component of the installation of the relevant services</w:t>
            </w:r>
          </w:p>
          <w:p w:rsidR="00702774" w:rsidRPr="00950979" w:rsidP="00702774">
            <w:pPr>
              <w:widowControl/>
              <w:numPr>
                <w:ilvl w:val="0"/>
                <w:numId w:val="14"/>
              </w:numPr>
              <w:contextualSpacing/>
              <w:rPr>
                <w:szCs w:val="22"/>
              </w:rPr>
            </w:pPr>
            <w:r w:rsidRPr="00950979">
              <w:rPr>
                <w:szCs w:val="22"/>
              </w:rPr>
              <w:t>Project management costs if these services are provided as an integral component of the installation of the relevant services</w:t>
            </w:r>
          </w:p>
          <w:p w:rsidR="00702774" w:rsidRPr="00950979" w:rsidP="00702774">
            <w:pPr>
              <w:widowControl/>
              <w:numPr>
                <w:ilvl w:val="0"/>
                <w:numId w:val="14"/>
              </w:numPr>
              <w:spacing w:after="240"/>
              <w:rPr>
                <w:szCs w:val="22"/>
              </w:rPr>
            </w:pPr>
            <w:r w:rsidRPr="00950979">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702774" w:rsidRPr="00F816A8" w:rsidP="00702774">
      <w:pPr>
        <w:pStyle w:val="ParaNum"/>
        <w:numPr>
          <w:ilvl w:val="0"/>
          <w:numId w:val="0"/>
        </w:numPr>
        <w:spacing w:after="0"/>
        <w:ind w:left="720"/>
        <w:rPr>
          <w:b/>
          <w:u w:val="single"/>
        </w:rPr>
      </w:pPr>
    </w:p>
    <w:p w:rsidR="00412FC5" w:rsidRPr="00702774" w:rsidP="00702774"/>
    <w:sectPr w:rsidSect="00702774">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55614C">
    <w:pPr>
      <w:pStyle w:val="Footer"/>
      <w:framePr w:wrap="around" w:vAnchor="text" w:hAnchor="margin" w:xAlign="center" w:y="1"/>
    </w:pPr>
    <w:r>
      <w:fldChar w:fldCharType="begin"/>
    </w:r>
    <w:r>
      <w:instrText xml:space="preserve">PAGE  </w:instrText>
    </w:r>
    <w:r>
      <w:fldChar w:fldCharType="separate"/>
    </w:r>
    <w:r>
      <w:fldChar w:fldCharType="end"/>
    </w:r>
  </w:p>
  <w:p w:rsidR="00702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pPr>
      <w:pStyle w:val="Footer"/>
      <w:jc w:val="center"/>
    </w:pPr>
    <w:r>
      <w:fldChar w:fldCharType="begin"/>
    </w:r>
    <w:r>
      <w:instrText xml:space="preserve"> PAGE   \* MERGEFORMAT </w:instrText>
    </w:r>
    <w:r>
      <w:fldChar w:fldCharType="separate"/>
    </w:r>
    <w:r>
      <w:rPr>
        <w:noProof/>
      </w:rPr>
      <w:t>2</w:t>
    </w:r>
    <w:r>
      <w:rPr>
        <w:noProof/>
      </w:rPr>
      <w:fldChar w:fldCharType="end"/>
    </w:r>
  </w:p>
  <w:p w:rsidR="00702774">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8B2B2E">
    <w:pPr>
      <w:pStyle w:val="Footer"/>
      <w:framePr w:wrap="around" w:vAnchor="text" w:hAnchor="margin" w:xAlign="center" w:y="1"/>
    </w:pPr>
    <w:r>
      <w:fldChar w:fldCharType="begin"/>
    </w:r>
    <w:r>
      <w:instrText xml:space="preserve">PAGE  </w:instrText>
    </w:r>
    <w:r>
      <w:fldChar w:fldCharType="separate"/>
    </w:r>
    <w:r>
      <w:fldChar w:fldCharType="end"/>
    </w:r>
  </w:p>
  <w:p w:rsidR="00702774">
    <w:pPr>
      <w:pStyle w:val="Footer"/>
    </w:pPr>
  </w:p>
  <w:p w:rsidR="007027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702774">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70277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3660ED" w:rsidP="000E05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27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5BCE">
      <w:r>
        <w:separator/>
      </w:r>
    </w:p>
  </w:footnote>
  <w:footnote w:type="continuationSeparator" w:id="1">
    <w:p w:rsidR="00015BCE" w:rsidP="00C721AC">
      <w:pPr>
        <w:spacing w:before="120"/>
        <w:rPr>
          <w:sz w:val="20"/>
        </w:rPr>
      </w:pPr>
      <w:r>
        <w:rPr>
          <w:sz w:val="20"/>
        </w:rPr>
        <w:t xml:space="preserve">(Continued from previous page)  </w:t>
      </w:r>
      <w:r>
        <w:rPr>
          <w:sz w:val="20"/>
        </w:rPr>
        <w:separator/>
      </w:r>
    </w:p>
  </w:footnote>
  <w:footnote w:type="continuationNotice" w:id="2">
    <w:p w:rsidR="00015BCE" w:rsidP="00C721AC">
      <w:pPr>
        <w:jc w:val="right"/>
        <w:rPr>
          <w:sz w:val="20"/>
        </w:rPr>
      </w:pPr>
      <w:r>
        <w:rPr>
          <w:sz w:val="20"/>
        </w:rPr>
        <w:t>(continued….)</w:t>
      </w:r>
    </w:p>
  </w:footnote>
  <w:footnote w:id="3">
    <w:p w:rsidR="00702774" w:rsidRPr="004308FC" w:rsidP="00702774">
      <w:pPr>
        <w:pStyle w:val="FootnoteText"/>
      </w:pPr>
      <w:r>
        <w:rPr>
          <w:rStyle w:val="FootnoteReference"/>
        </w:rPr>
        <w:footnoteRef/>
      </w:r>
      <w:r>
        <w:t xml:space="preserve"> The final funding year 2020 eligible services list can be found in Appendix A hereto.  The Bureau annually updates the eligible services list, which specifies the services and products that are eligible for E-Rate funding each funding year.  </w:t>
      </w:r>
      <w:r>
        <w:rPr>
          <w:i/>
        </w:rPr>
        <w:t xml:space="preserve">See </w:t>
      </w:r>
      <w:r>
        <w:t>47 CFR § 54.502(a) (“[a]</w:t>
      </w:r>
      <w:r>
        <w:t>ll</w:t>
      </w:r>
      <w:r>
        <w:t xml:space="preserve"> supported services are listed in the Eligible Services List as updated annually in accordance with paragraph (d) of this section); </w:t>
      </w:r>
      <w:r>
        <w:rPr>
          <w:i/>
        </w:rPr>
        <w:t>see also</w:t>
      </w:r>
      <w:r>
        <w:t xml:space="preserve"> 47 CFR § 54.502(d) (detailing the procedures for seeking comment on the draft eligible services list).</w:t>
      </w:r>
    </w:p>
  </w:footnote>
  <w:footnote w:id="4">
    <w:p w:rsidR="00702774" w:rsidP="00702774">
      <w:pPr>
        <w:pStyle w:val="FootnoteText"/>
      </w:pPr>
      <w:r>
        <w:rPr>
          <w:rStyle w:val="FootnoteReference"/>
        </w:rPr>
        <w:footnoteRef/>
      </w:r>
      <w:r>
        <w:t xml:space="preserve"> </w:t>
      </w:r>
      <w:r w:rsidRPr="00EC152F">
        <w:rPr>
          <w:i/>
        </w:rPr>
        <w:t>Wireline Competition Bureau Seeks Comment on Proposed Eligible Services List for the E-Rate Program</w:t>
      </w:r>
      <w:r>
        <w:t>, WC Docket No. 13-184, Public Notice, DA 19-738, 1 (WCB 2019) (</w:t>
      </w:r>
      <w:r w:rsidRPr="004308FC">
        <w:rPr>
          <w:i/>
        </w:rPr>
        <w:t>F</w:t>
      </w:r>
      <w:r>
        <w:rPr>
          <w:i/>
        </w:rPr>
        <w:t xml:space="preserve">unding Year </w:t>
      </w:r>
      <w:r w:rsidRPr="004308FC">
        <w:rPr>
          <w:i/>
        </w:rPr>
        <w:t>20</w:t>
      </w:r>
      <w:r>
        <w:rPr>
          <w:i/>
        </w:rPr>
        <w:t>20</w:t>
      </w:r>
      <w:r w:rsidRPr="004308FC">
        <w:rPr>
          <w:i/>
        </w:rPr>
        <w:t xml:space="preserve"> </w:t>
      </w:r>
      <w:r>
        <w:rPr>
          <w:i/>
        </w:rPr>
        <w:t>Eligible Services List</w:t>
      </w:r>
      <w:r w:rsidRPr="004308FC">
        <w:rPr>
          <w:i/>
        </w:rPr>
        <w:t xml:space="preserve"> Public Notice</w:t>
      </w:r>
      <w:r>
        <w:t>).</w:t>
      </w:r>
    </w:p>
  </w:footnote>
  <w:footnote w:id="5">
    <w:p w:rsidR="00702774" w:rsidP="00702774">
      <w:pPr>
        <w:pStyle w:val="FootnoteText"/>
      </w:pPr>
      <w:r>
        <w:rPr>
          <w:rStyle w:val="FootnoteReference"/>
        </w:rPr>
        <w:footnoteRef/>
      </w:r>
      <w:r>
        <w:t xml:space="preserve"> </w:t>
      </w:r>
      <w:r>
        <w:rPr>
          <w:i/>
        </w:rPr>
        <w:t xml:space="preserve">See </w:t>
      </w:r>
      <w:r>
        <w:rPr>
          <w:i/>
          <w:snapToGrid w:val="0"/>
        </w:rPr>
        <w:t>Modernizing the E-Rate Program for Schools and Libraries</w:t>
      </w:r>
      <w:r>
        <w:rPr>
          <w:snapToGrid w:val="0"/>
        </w:rPr>
        <w:t>, WC Docket No. 13-184, Report and Order, FCC 19-117, para. 62 (rel. Dec. 3, 2019) (</w:t>
      </w:r>
      <w:r>
        <w:rPr>
          <w:i/>
          <w:snapToGrid w:val="0"/>
        </w:rPr>
        <w:t>Category Two Report and Order</w:t>
      </w:r>
      <w:r>
        <w:rPr>
          <w:snapToGrid w:val="0"/>
        </w:rPr>
        <w:t xml:space="preserve">) </w:t>
      </w:r>
      <w:r>
        <w:t>(waiving the 60-day requirement in 47 CFR § 54.502(d), which stipulates that the final eligible services list must be released at least 60 days prior to the opening of the application filing window).</w:t>
      </w:r>
    </w:p>
  </w:footnote>
  <w:footnote w:id="6">
    <w:p w:rsidR="00702774" w:rsidP="00702774">
      <w:pPr>
        <w:pStyle w:val="FootnoteText"/>
      </w:pPr>
      <w:r>
        <w:rPr>
          <w:rStyle w:val="FootnoteReference"/>
        </w:rPr>
        <w:footnoteRef/>
      </w:r>
      <w:r>
        <w:t xml:space="preserve"> 47 U.S.C. §§ 254(c)(1), (c)(3), (h)(1)(B), (h)(2).</w:t>
      </w:r>
    </w:p>
  </w:footnote>
  <w:footnote w:id="7">
    <w:p w:rsidR="00702774" w:rsidRPr="00426F29" w:rsidP="00702774">
      <w:pPr>
        <w:pStyle w:val="FootnoteText"/>
        <w:rPr>
          <w:i/>
        </w:rPr>
      </w:pPr>
      <w:r>
        <w:rPr>
          <w:rStyle w:val="FootnoteReference"/>
        </w:rPr>
        <w:footnoteRef/>
      </w:r>
      <w:r>
        <w:t xml:space="preserve"> </w:t>
      </w:r>
      <w:r>
        <w:rPr>
          <w:i/>
        </w:rPr>
        <w:t xml:space="preserve">See </w:t>
      </w:r>
      <w:r w:rsidRPr="00426F29">
        <w:t>47 CFR § 54.502(d)</w:t>
      </w:r>
      <w:r>
        <w:t>.</w:t>
      </w:r>
    </w:p>
  </w:footnote>
  <w:footnote w:id="8">
    <w:p w:rsidR="00702774" w:rsidRPr="00C2663C" w:rsidP="00702774">
      <w:pPr>
        <w:pStyle w:val="FootnoteText"/>
      </w:pPr>
      <w:r>
        <w:rPr>
          <w:rStyle w:val="FootnoteReference"/>
        </w:rPr>
        <w:footnoteRef/>
      </w:r>
      <w:r>
        <w:t xml:space="preserve"> </w:t>
      </w:r>
      <w:r w:rsidRPr="004308FC">
        <w:rPr>
          <w:i/>
        </w:rPr>
        <w:t>F</w:t>
      </w:r>
      <w:r>
        <w:rPr>
          <w:i/>
        </w:rPr>
        <w:t xml:space="preserve">unding Year </w:t>
      </w:r>
      <w:r w:rsidRPr="004308FC">
        <w:rPr>
          <w:i/>
        </w:rPr>
        <w:t>20</w:t>
      </w:r>
      <w:r>
        <w:rPr>
          <w:i/>
        </w:rPr>
        <w:t>20</w:t>
      </w:r>
      <w:r w:rsidRPr="004308FC">
        <w:rPr>
          <w:i/>
        </w:rPr>
        <w:t xml:space="preserve"> </w:t>
      </w:r>
      <w:r>
        <w:rPr>
          <w:i/>
        </w:rPr>
        <w:t>Eligible Services List</w:t>
      </w:r>
      <w:r w:rsidRPr="004308FC">
        <w:rPr>
          <w:i/>
        </w:rPr>
        <w:t xml:space="preserve"> Public Notice</w:t>
      </w:r>
      <w:r>
        <w:t xml:space="preserve"> at 1.</w:t>
      </w:r>
    </w:p>
  </w:footnote>
  <w:footnote w:id="9">
    <w:p w:rsidR="00702774" w:rsidP="00702774">
      <w:pPr>
        <w:pStyle w:val="FootnoteText"/>
      </w:pPr>
      <w:r>
        <w:rPr>
          <w:rStyle w:val="FootnoteReference"/>
        </w:rPr>
        <w:footnoteRef/>
      </w:r>
      <w:r>
        <w:t xml:space="preserve"> Category two services provide connectivity within schools and libraries.  </w:t>
      </w:r>
      <w:r w:rsidRPr="007042B7">
        <w:rPr>
          <w:i/>
        </w:rPr>
        <w:t>Category Two Report and Order</w:t>
      </w:r>
      <w:r>
        <w:t>, para. 3.</w:t>
      </w:r>
    </w:p>
  </w:footnote>
  <w:footnote w:id="10">
    <w:p w:rsidR="00702774" w:rsidP="00702774">
      <w:pPr>
        <w:pStyle w:val="FootnoteText"/>
      </w:pPr>
      <w:r>
        <w:rPr>
          <w:rStyle w:val="FootnoteReference"/>
        </w:rPr>
        <w:footnoteRef/>
      </w:r>
      <w:r>
        <w:t xml:space="preserve"> </w:t>
      </w:r>
      <w:r>
        <w:rPr>
          <w:i/>
        </w:rPr>
        <w:t>Funding Year 2020 Eligible Services List Public Notice</w:t>
      </w:r>
      <w:r>
        <w:t xml:space="preserve"> at 1.</w:t>
      </w:r>
    </w:p>
  </w:footnote>
  <w:footnote w:id="11">
    <w:p w:rsidR="00702774" w:rsidP="00702774">
      <w:pPr>
        <w:pStyle w:val="FootnoteText"/>
      </w:pPr>
      <w:r>
        <w:rPr>
          <w:rStyle w:val="FootnoteReference"/>
        </w:rPr>
        <w:footnoteRef/>
      </w:r>
      <w:r>
        <w:t xml:space="preserve"> </w:t>
      </w:r>
      <w:r>
        <w:rPr>
          <w:i/>
        </w:rPr>
        <w:t xml:space="preserve">Id. </w:t>
      </w:r>
      <w:r>
        <w:t xml:space="preserve">(citing </w:t>
      </w:r>
      <w:r w:rsidRPr="00EF2F44">
        <w:rPr>
          <w:i/>
        </w:rPr>
        <w:t>Modernizing the E-Rate Program for Schools and Libraries</w:t>
      </w:r>
      <w:r w:rsidRPr="00EF2F44">
        <w:t xml:space="preserve">, </w:t>
      </w:r>
      <w:r>
        <w:t xml:space="preserve">WC Docket No. 13-184, </w:t>
      </w:r>
      <w:r w:rsidRPr="00EF2F44">
        <w:t>Report and Order and Further Notice of Proposed Rulemaking, 29 FCC Rcd 8870, 8918-20, paras. 123-30 (2014) (</w:t>
      </w:r>
      <w:r w:rsidRPr="00C7006E">
        <w:rPr>
          <w:i/>
        </w:rPr>
        <w:t>2014 First E-Rate Order</w:t>
      </w:r>
      <w:r>
        <w:t>)).</w:t>
      </w:r>
    </w:p>
  </w:footnote>
  <w:footnote w:id="12">
    <w:p w:rsidR="00702774" w:rsidRPr="00426F29" w:rsidP="00702774">
      <w:pPr>
        <w:pStyle w:val="FootnoteText"/>
      </w:pPr>
      <w:r>
        <w:rPr>
          <w:rStyle w:val="FootnoteReference"/>
        </w:rPr>
        <w:footnoteRef/>
      </w:r>
      <w:r>
        <w:t xml:space="preserve"> </w:t>
      </w:r>
      <w:r>
        <w:rPr>
          <w:i/>
        </w:rPr>
        <w:t>Id.</w:t>
      </w:r>
      <w:r>
        <w:t xml:space="preserve"> (citing </w:t>
      </w:r>
      <w:r>
        <w:rPr>
          <w:i/>
        </w:rPr>
        <w:t>Modernizing the E-Rate Program for Schools and Libraries</w:t>
      </w:r>
      <w:r>
        <w:t>, Notice of Proposed Rulemaking, FCC 19-58, 6-7, para. 18, n.48 (2019) (</w:t>
      </w:r>
      <w:r>
        <w:rPr>
          <w:i/>
        </w:rPr>
        <w:t>Category Two Notice of Proposed Rulemaking</w:t>
      </w:r>
      <w:r>
        <w:t>).</w:t>
      </w:r>
    </w:p>
  </w:footnote>
  <w:footnote w:id="13">
    <w:p w:rsidR="00702774" w:rsidRPr="00ED2AE8" w:rsidP="00702774">
      <w:pPr>
        <w:pStyle w:val="FootnoteText"/>
      </w:pPr>
      <w:r>
        <w:rPr>
          <w:rStyle w:val="FootnoteReference"/>
        </w:rPr>
        <w:footnoteRef/>
      </w:r>
      <w:r>
        <w:t xml:space="preserve"> </w:t>
      </w:r>
      <w:r>
        <w:rPr>
          <w:i/>
        </w:rPr>
        <w:t>Id.</w:t>
      </w:r>
      <w:r>
        <w:t xml:space="preserve">  The Bureau received five comments and four reply comments in response to the </w:t>
      </w:r>
      <w:r>
        <w:rPr>
          <w:i/>
        </w:rPr>
        <w:t>Funding Year 2020 Eligible Services List Public Notice</w:t>
      </w:r>
      <w:r>
        <w:t>.</w:t>
      </w:r>
    </w:p>
  </w:footnote>
  <w:footnote w:id="14">
    <w:p w:rsidR="00702774" w:rsidRPr="00804065" w:rsidP="00702774">
      <w:pPr>
        <w:pStyle w:val="FootnoteText"/>
      </w:pPr>
      <w:r>
        <w:rPr>
          <w:rStyle w:val="FootnoteReference"/>
        </w:rPr>
        <w:footnoteRef/>
      </w:r>
      <w:r>
        <w:t xml:space="preserve"> </w:t>
      </w:r>
      <w:r>
        <w:rPr>
          <w:i/>
        </w:rPr>
        <w:t>Category Two Report and Order</w:t>
      </w:r>
      <w:r>
        <w:t>, paras. 18, 45.</w:t>
      </w:r>
    </w:p>
  </w:footnote>
  <w:footnote w:id="15">
    <w:p w:rsidR="00702774" w:rsidP="00702774">
      <w:pPr>
        <w:pStyle w:val="FootnoteText"/>
      </w:pPr>
      <w:r>
        <w:rPr>
          <w:rStyle w:val="FootnoteReference"/>
        </w:rPr>
        <w:footnoteRef/>
      </w:r>
      <w:r>
        <w:t xml:space="preserve"> We note that the eligibility of these services is effective upon Federal Register Publication of the </w:t>
      </w:r>
      <w:r w:rsidRPr="0010105D">
        <w:rPr>
          <w:i/>
        </w:rPr>
        <w:t>Category Two Report and Order</w:t>
      </w:r>
      <w:r>
        <w:t xml:space="preserve">.  </w:t>
      </w:r>
      <w:r w:rsidRPr="00AE2BD4">
        <w:rPr>
          <w:i/>
        </w:rPr>
        <w:t>Category Two Report and Order</w:t>
      </w:r>
      <w:r>
        <w:t>, para. 61.</w:t>
      </w:r>
    </w:p>
  </w:footnote>
  <w:footnote w:id="16">
    <w:p w:rsidR="00702774" w:rsidP="00702774">
      <w:pPr>
        <w:pStyle w:val="FootnoteText"/>
      </w:pPr>
      <w:r>
        <w:rPr>
          <w:rStyle w:val="FootnoteReference"/>
        </w:rPr>
        <w:footnoteRef/>
      </w:r>
      <w:r>
        <w:t xml:space="preserve"> Cox Reply Comments at 3-4; NCTA Reply Comments at 2.</w:t>
      </w:r>
    </w:p>
  </w:footnote>
  <w:footnote w:id="17">
    <w:p w:rsidR="00702774" w:rsidRPr="00562F97" w:rsidP="00702774">
      <w:pPr>
        <w:pStyle w:val="FootnoteText"/>
      </w:pPr>
      <w:r>
        <w:rPr>
          <w:rStyle w:val="FootnoteReference"/>
        </w:rPr>
        <w:footnoteRef/>
      </w:r>
      <w:r>
        <w:t xml:space="preserve"> </w:t>
      </w:r>
      <w:r w:rsidRPr="00070F87">
        <w:rPr>
          <w:i/>
        </w:rPr>
        <w:t>2014 First E-Rate Order</w:t>
      </w:r>
      <w:r>
        <w:t xml:space="preserve">, 29 FCC Rcd at 8917, para. 119; </w:t>
      </w:r>
      <w:r>
        <w:rPr>
          <w:i/>
        </w:rPr>
        <w:t>see also</w:t>
      </w:r>
      <w:r>
        <w:t xml:space="preserve"> </w:t>
      </w:r>
      <w:r>
        <w:rPr>
          <w:i/>
        </w:rPr>
        <w:t>Modernizing the E-Rate Program for Schools and Libraries</w:t>
      </w:r>
      <w:r>
        <w:t>, 30 FCC Rcd 9923, 9929-30, para. 19 (WCB 2015).</w:t>
      </w:r>
    </w:p>
  </w:footnote>
  <w:footnote w:id="18">
    <w:p w:rsidR="00702774" w:rsidRPr="00885A20" w:rsidP="00702774">
      <w:pPr>
        <w:pStyle w:val="FootnoteText"/>
      </w:pPr>
      <w:r>
        <w:rPr>
          <w:rStyle w:val="FootnoteReference"/>
        </w:rPr>
        <w:footnoteRef/>
      </w:r>
      <w:r>
        <w:t xml:space="preserve"> </w:t>
      </w:r>
      <w:r>
        <w:rPr>
          <w:i/>
        </w:rPr>
        <w:t>See, e.g.</w:t>
      </w:r>
      <w:r>
        <w:t>,</w:t>
      </w:r>
      <w:r>
        <w:rPr>
          <w:i/>
        </w:rPr>
        <w:t xml:space="preserve"> </w:t>
      </w:r>
      <w:r w:rsidRPr="00764494">
        <w:rPr>
          <w:i/>
        </w:rPr>
        <w:t>Comment Sought on Draft Eligible Services List for Schools and Libraries Universal Service Support Mechanism</w:t>
      </w:r>
      <w:r>
        <w:t xml:space="preserve">, CC Docket No. 02-6, Public Notice, 24 FCC Rcd 7422, 7423 (2009); </w:t>
      </w:r>
      <w:r>
        <w:rPr>
          <w:i/>
        </w:rPr>
        <w:t>Wireline Competition Bureau Seeks Comment on Draft Eligible Services List for Schools and Libraries Universal Service Program</w:t>
      </w:r>
      <w:r>
        <w:t xml:space="preserve">, CC Docket No. 02-6, Public Notice, 26 FCC Rcd 8714, 8718 (WCB 2011); </w:t>
      </w:r>
      <w:r>
        <w:rPr>
          <w:i/>
        </w:rPr>
        <w:t>In the Matter of Schools and Libraries Universal Service Support Mechanism, A National Broadband Plan for our Future</w:t>
      </w:r>
      <w:r>
        <w:t>, CC Docket No. 02-6, Order, 28 FCC Rcd 14583, 14588, para. 13 &amp; n.37 (WCB 2013).</w:t>
      </w:r>
    </w:p>
  </w:footnote>
  <w:footnote w:id="19">
    <w:p w:rsidR="00702774" w:rsidRPr="008A277C" w:rsidP="00702774">
      <w:pPr>
        <w:pStyle w:val="FootnoteText"/>
      </w:pPr>
      <w:r w:rsidRPr="00F8006E">
        <w:rPr>
          <w:rStyle w:val="FootnoteReference"/>
        </w:rPr>
        <w:footnoteRef/>
      </w:r>
      <w:r w:rsidRPr="00F8006E">
        <w:t xml:space="preserve"> </w:t>
      </w:r>
      <w:r w:rsidRPr="00F8006E">
        <w:rPr>
          <w:i/>
        </w:rPr>
        <w:t>See, e.g.</w:t>
      </w:r>
      <w:r w:rsidRPr="00F8006E">
        <w:t>,</w:t>
      </w:r>
      <w:r w:rsidRPr="00F8006E">
        <w:rPr>
          <w:i/>
        </w:rPr>
        <w:t xml:space="preserve"> </w:t>
      </w:r>
      <w:r w:rsidRPr="00F8006E">
        <w:t>Cox Reply Comments at 1-4; NCTA Reply Comments at 1-2; National Rural Electric Cooperative Association (NRECA) Reply Comments at 3-4; State E-rate Coordinator’s Alliance (SECA) Comments at 6; Tim Jones Comment at 1;</w:t>
      </w:r>
      <w:r w:rsidRPr="00F8006E">
        <w:rPr>
          <w:i/>
        </w:rPr>
        <w:t xml:space="preserve"> </w:t>
      </w:r>
      <w:r w:rsidRPr="00F8006E">
        <w:t>ApplianSys</w:t>
      </w:r>
      <w:r w:rsidRPr="00F8006E">
        <w:t xml:space="preserve"> Comments at 1-3; NRECA Reply Comments at 4; SECA Comments at 9-10.</w:t>
      </w:r>
    </w:p>
  </w:footnote>
  <w:footnote w:id="20">
    <w:p w:rsidR="00702774" w:rsidP="00702774">
      <w:pPr>
        <w:pStyle w:val="FootnoteText"/>
      </w:pPr>
      <w:r>
        <w:rPr>
          <w:rStyle w:val="FootnoteReference"/>
        </w:rPr>
        <w:footnoteRef/>
      </w:r>
      <w:r>
        <w:t xml:space="preserve"> </w:t>
      </w:r>
      <w:r w:rsidRPr="00F132D7">
        <w:rPr>
          <w:i/>
        </w:rPr>
        <w:t>See, e.g.</w:t>
      </w:r>
      <w:r>
        <w:t>, Funds for Learning Comments at 1-2; NRECA Reply Comments at 3-4; SECA Comments at 1-5.</w:t>
      </w:r>
    </w:p>
  </w:footnote>
  <w:footnote w:id="21">
    <w:p w:rsidR="00702774" w:rsidP="00702774">
      <w:pPr>
        <w:pStyle w:val="FootnoteText"/>
      </w:pPr>
      <w:r>
        <w:rPr>
          <w:rStyle w:val="FootnoteReference"/>
        </w:rPr>
        <w:footnoteRef/>
      </w:r>
      <w:r>
        <w:t xml:space="preserve"> </w:t>
      </w:r>
      <w:r>
        <w:rPr>
          <w:i/>
        </w:rPr>
        <w:t>See generally Wireline Competition Bureau and Office of the Managing Director Seek Comment on Improving FCC Form 470 Drop-Down Menu</w:t>
      </w:r>
      <w:r>
        <w:t>, WC Docket No. 13-184, Public Notice, DA 19-986 (WCB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810B6F">
    <w:pPr>
      <w:pStyle w:val="Header"/>
      <w:rPr>
        <w:b w:val="0"/>
      </w:rPr>
    </w:pPr>
    <w:r>
      <w:tab/>
      <w:t>Federal Communications Commission</w:t>
    </w:r>
    <w:r>
      <w:tab/>
    </w:r>
    <w:r>
      <w:t>DA 19-1249</w:t>
    </w:r>
  </w:p>
  <w:p w:rsidR="00702774">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70277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19-1249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702774">
    <w:pPr>
      <w:pStyle w:val="Header"/>
      <w:rPr>
        <w:b w:val="0"/>
      </w:rPr>
    </w:pPr>
    <w:r>
      <w:tab/>
      <w:t>Federal Communications Commission</w:t>
    </w:r>
    <w:r>
      <w:tab/>
    </w:r>
    <w:r>
      <w:t>DA 19-1249</w:t>
    </w:r>
  </w:p>
  <w:p w:rsidR="00702774" w:rsidRPr="00702774" w:rsidP="00702774">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p w:rsidR="00702774" w:rsidRPr="00FA4780" w:rsidP="00FA4780">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2774" w:rsidP="00702774">
    <w:pPr>
      <w:pStyle w:val="Header"/>
      <w:rPr>
        <w:b w:val="0"/>
      </w:rPr>
    </w:pPr>
    <w:r>
      <w:tab/>
    </w:r>
    <w:r>
      <w:t>Federal Communications Commission</w:t>
    </w:r>
    <w:r>
      <w:tab/>
      <w:t>DA 19-1249</w:t>
    </w:r>
  </w:p>
  <w:p w:rsidR="00702774" w:rsidRPr="003A57F8" w:rsidP="00702774">
    <w:pPr>
      <w:pStyle w:val="Header"/>
      <w:tabs>
        <w:tab w:val="left" w:pos="2580"/>
        <w:tab w:val="clear" w:pos="4680"/>
        <w:tab w:val="clear" w:pos="9360"/>
      </w:tabs>
    </w:pPr>
    <w:r>
      <w:pict>
        <v:rect 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3660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2774">
      <w:rPr>
        <w:spacing w:val="-2"/>
      </w:rPr>
      <w:t>DA 19-1249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3"/>
  </w:num>
  <w:num w:numId="8">
    <w:abstractNumId w:val="5"/>
  </w:num>
  <w:num w:numId="9">
    <w:abstractNumId w:val="8"/>
  </w:num>
  <w:num w:numId="10">
    <w:abstractNumId w:val="1"/>
  </w:num>
  <w:num w:numId="11">
    <w:abstractNumId w:val="10"/>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74"/>
    <w:rsid w:val="00015BCE"/>
    <w:rsid w:val="00036039"/>
    <w:rsid w:val="00037F90"/>
    <w:rsid w:val="00070F87"/>
    <w:rsid w:val="000875BF"/>
    <w:rsid w:val="00096D8C"/>
    <w:rsid w:val="000C0B65"/>
    <w:rsid w:val="000D70B5"/>
    <w:rsid w:val="000E05FE"/>
    <w:rsid w:val="000E3D42"/>
    <w:rsid w:val="0010105D"/>
    <w:rsid w:val="00122BD5"/>
    <w:rsid w:val="00133F79"/>
    <w:rsid w:val="00194A66"/>
    <w:rsid w:val="001D6BCF"/>
    <w:rsid w:val="001E01CA"/>
    <w:rsid w:val="00275CF5"/>
    <w:rsid w:val="0028301F"/>
    <w:rsid w:val="00285017"/>
    <w:rsid w:val="002A2D2E"/>
    <w:rsid w:val="002C00E8"/>
    <w:rsid w:val="00321CF6"/>
    <w:rsid w:val="00343749"/>
    <w:rsid w:val="003660ED"/>
    <w:rsid w:val="00385712"/>
    <w:rsid w:val="003A57F8"/>
    <w:rsid w:val="003B0550"/>
    <w:rsid w:val="003B694F"/>
    <w:rsid w:val="003F171C"/>
    <w:rsid w:val="00412FC5"/>
    <w:rsid w:val="00422276"/>
    <w:rsid w:val="004242F1"/>
    <w:rsid w:val="00426F29"/>
    <w:rsid w:val="004308FC"/>
    <w:rsid w:val="00445A00"/>
    <w:rsid w:val="00451B0F"/>
    <w:rsid w:val="004C2EE3"/>
    <w:rsid w:val="004E4A22"/>
    <w:rsid w:val="00502119"/>
    <w:rsid w:val="00511968"/>
    <w:rsid w:val="0055614C"/>
    <w:rsid w:val="00556C5F"/>
    <w:rsid w:val="00562F97"/>
    <w:rsid w:val="00566D06"/>
    <w:rsid w:val="005A6C95"/>
    <w:rsid w:val="005E14C2"/>
    <w:rsid w:val="005E589F"/>
    <w:rsid w:val="00607BA5"/>
    <w:rsid w:val="0061180A"/>
    <w:rsid w:val="00626EB6"/>
    <w:rsid w:val="00655D03"/>
    <w:rsid w:val="00683388"/>
    <w:rsid w:val="00683F84"/>
    <w:rsid w:val="006A6A81"/>
    <w:rsid w:val="006C1B82"/>
    <w:rsid w:val="006F7393"/>
    <w:rsid w:val="0070224F"/>
    <w:rsid w:val="00702774"/>
    <w:rsid w:val="007042B7"/>
    <w:rsid w:val="007115F7"/>
    <w:rsid w:val="00764494"/>
    <w:rsid w:val="00785689"/>
    <w:rsid w:val="0079754B"/>
    <w:rsid w:val="007A1E6D"/>
    <w:rsid w:val="007B0EB2"/>
    <w:rsid w:val="00804065"/>
    <w:rsid w:val="00810B6F"/>
    <w:rsid w:val="00822CE0"/>
    <w:rsid w:val="00841AB1"/>
    <w:rsid w:val="00846BDC"/>
    <w:rsid w:val="00885A20"/>
    <w:rsid w:val="008A277C"/>
    <w:rsid w:val="008B2B2E"/>
    <w:rsid w:val="008C68F1"/>
    <w:rsid w:val="00921803"/>
    <w:rsid w:val="00926503"/>
    <w:rsid w:val="00950979"/>
    <w:rsid w:val="009726D8"/>
    <w:rsid w:val="009D7308"/>
    <w:rsid w:val="009F76DB"/>
    <w:rsid w:val="00A32C3B"/>
    <w:rsid w:val="00A45F4F"/>
    <w:rsid w:val="00A47A2A"/>
    <w:rsid w:val="00A600A9"/>
    <w:rsid w:val="00AA55B7"/>
    <w:rsid w:val="00AA5B9E"/>
    <w:rsid w:val="00AB2407"/>
    <w:rsid w:val="00AB53DF"/>
    <w:rsid w:val="00AE2BD4"/>
    <w:rsid w:val="00B06F92"/>
    <w:rsid w:val="00B07E5C"/>
    <w:rsid w:val="00B16E40"/>
    <w:rsid w:val="00B27F24"/>
    <w:rsid w:val="00B811F7"/>
    <w:rsid w:val="00BA5DC6"/>
    <w:rsid w:val="00BA6196"/>
    <w:rsid w:val="00BC6D8C"/>
    <w:rsid w:val="00C2663C"/>
    <w:rsid w:val="00C34006"/>
    <w:rsid w:val="00C36B4C"/>
    <w:rsid w:val="00C426B1"/>
    <w:rsid w:val="00C66160"/>
    <w:rsid w:val="00C7006E"/>
    <w:rsid w:val="00C720D0"/>
    <w:rsid w:val="00C721AC"/>
    <w:rsid w:val="00C90D6A"/>
    <w:rsid w:val="00CA247E"/>
    <w:rsid w:val="00CA6D21"/>
    <w:rsid w:val="00CC4A8D"/>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108B"/>
    <w:rsid w:val="00EB2F15"/>
    <w:rsid w:val="00EC152F"/>
    <w:rsid w:val="00ED2AE8"/>
    <w:rsid w:val="00EE6488"/>
    <w:rsid w:val="00EF2F44"/>
    <w:rsid w:val="00F021FA"/>
    <w:rsid w:val="00F132D7"/>
    <w:rsid w:val="00F62E97"/>
    <w:rsid w:val="00F64209"/>
    <w:rsid w:val="00F8006E"/>
    <w:rsid w:val="00F816A8"/>
    <w:rsid w:val="00F93BF5"/>
    <w:rsid w:val="00FA47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01526FF-96FE-4F4E-B3A2-476AEE64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7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702774"/>
  </w:style>
  <w:style w:type="character" w:customStyle="1" w:styleId="ParaNumChar">
    <w:name w:val="ParaNum Char"/>
    <w:link w:val="ParaNum"/>
    <w:locked/>
    <w:rsid w:val="00702774"/>
    <w:rPr>
      <w:snapToGrid w:val="0"/>
      <w:kern w:val="28"/>
      <w:sz w:val="22"/>
    </w:rPr>
  </w:style>
  <w:style w:type="character" w:customStyle="1" w:styleId="HeaderChar">
    <w:name w:val="Header Char"/>
    <w:link w:val="Header"/>
    <w:rsid w:val="0070277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e-rate/resources/glossary-of-terms/"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