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62BA" w:rsidP="00630296">
      <w:pPr>
        <w:jc w:val="center"/>
        <w:rPr>
          <w:b/>
        </w:rPr>
      </w:pPr>
      <w:r>
        <w:rPr>
          <w:b/>
        </w:rPr>
        <w:t>Before the</w:t>
      </w:r>
    </w:p>
    <w:p w:rsidR="00E362BA" w:rsidP="00630296">
      <w:pPr>
        <w:jc w:val="center"/>
        <w:rPr>
          <w:b/>
        </w:rPr>
      </w:pPr>
      <w:r>
        <w:rPr>
          <w:b/>
        </w:rPr>
        <w:t>Federal Communications Commission</w:t>
      </w:r>
    </w:p>
    <w:p w:rsidR="00E362BA" w:rsidP="00630296">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E362BA" w:rsidP="00630296">
      <w:pPr>
        <w:jc w:val="center"/>
      </w:pPr>
    </w:p>
    <w:p w:rsidR="00E362BA" w:rsidP="00AE2FCE"/>
    <w:tbl>
      <w:tblPr>
        <w:tblW w:w="0" w:type="auto"/>
        <w:tblLayout w:type="fixed"/>
        <w:tblLook w:val="0000"/>
      </w:tblPr>
      <w:tblGrid>
        <w:gridCol w:w="4698"/>
        <w:gridCol w:w="720"/>
        <w:gridCol w:w="4230"/>
      </w:tblGrid>
      <w:tr>
        <w:tblPrEx>
          <w:tblW w:w="0" w:type="auto"/>
          <w:tblLayout w:type="fixed"/>
          <w:tblLook w:val="0000"/>
        </w:tblPrEx>
        <w:tc>
          <w:tcPr>
            <w:tcW w:w="4698" w:type="dxa"/>
          </w:tcPr>
          <w:p w:rsidR="00E362BA" w:rsidP="00AE2FCE">
            <w:pPr>
              <w:ind w:right="-18"/>
            </w:pPr>
            <w:r>
              <w:t>In the M</w:t>
            </w:r>
            <w:r>
              <w:t>atter of</w:t>
            </w:r>
          </w:p>
          <w:p w:rsidR="00E362BA" w:rsidP="00AE2FCE">
            <w:pPr>
              <w:ind w:right="-18"/>
            </w:pPr>
          </w:p>
          <w:p w:rsidR="00272AB3" w:rsidP="00AE2FCE">
            <w:pPr>
              <w:ind w:right="-18"/>
            </w:pPr>
            <w:r>
              <w:t>Connect America Fund</w:t>
            </w:r>
          </w:p>
          <w:p w:rsidR="00C25CE4" w:rsidP="00AE2FCE">
            <w:pPr>
              <w:ind w:right="-18"/>
            </w:pPr>
          </w:p>
          <w:p w:rsidR="00C25CE4" w:rsidP="00AE2FCE">
            <w:pPr>
              <w:ind w:right="-18"/>
            </w:pPr>
            <w:r>
              <w:t>Connect America Fund Phase II Auction</w:t>
            </w:r>
          </w:p>
        </w:tc>
        <w:tc>
          <w:tcPr>
            <w:tcW w:w="720" w:type="dxa"/>
          </w:tcPr>
          <w:p w:rsidR="00E362BA" w:rsidP="00AE2FCE">
            <w:pPr>
              <w:rPr>
                <w:b/>
              </w:rPr>
            </w:pPr>
            <w:r>
              <w:rPr>
                <w:b/>
              </w:rPr>
              <w:t>)</w:t>
            </w:r>
          </w:p>
          <w:p w:rsidR="00E362BA" w:rsidP="00AE2FCE">
            <w:pPr>
              <w:rPr>
                <w:b/>
              </w:rPr>
            </w:pPr>
            <w:r>
              <w:rPr>
                <w:b/>
              </w:rPr>
              <w:t>)</w:t>
            </w:r>
          </w:p>
          <w:p w:rsidR="00E362BA" w:rsidP="00AE2FCE">
            <w:pPr>
              <w:rPr>
                <w:b/>
              </w:rPr>
            </w:pPr>
            <w:r>
              <w:rPr>
                <w:b/>
              </w:rPr>
              <w:t>)</w:t>
            </w:r>
          </w:p>
          <w:p w:rsidR="00E362BA" w:rsidP="00AE2FCE">
            <w:pPr>
              <w:rPr>
                <w:b/>
              </w:rPr>
            </w:pPr>
            <w:r>
              <w:rPr>
                <w:b/>
              </w:rPr>
              <w:t>)</w:t>
            </w:r>
          </w:p>
          <w:p w:rsidR="00C25CE4" w:rsidP="003F442E">
            <w:pPr>
              <w:rPr>
                <w:b/>
              </w:rPr>
            </w:pPr>
            <w:r>
              <w:rPr>
                <w:b/>
              </w:rPr>
              <w:t>)</w:t>
            </w:r>
          </w:p>
        </w:tc>
        <w:tc>
          <w:tcPr>
            <w:tcW w:w="4230" w:type="dxa"/>
          </w:tcPr>
          <w:p w:rsidR="00E362BA" w:rsidP="00AE2FCE"/>
          <w:p w:rsidR="00E362BA" w:rsidP="00AE2FCE"/>
          <w:p w:rsidR="00E362BA" w:rsidP="00AE2FCE">
            <w:pPr>
              <w:rPr>
                <w:spacing w:val="-2"/>
              </w:rPr>
            </w:pPr>
            <w:r>
              <w:rPr>
                <w:spacing w:val="-2"/>
              </w:rPr>
              <w:t>WC Docket No 10-90</w:t>
            </w:r>
          </w:p>
          <w:p w:rsidR="00C25CE4" w:rsidP="00AE2FCE">
            <w:pPr>
              <w:rPr>
                <w:spacing w:val="-2"/>
              </w:rPr>
            </w:pPr>
          </w:p>
          <w:p w:rsidR="00C25CE4" w:rsidP="00AE2FCE">
            <w:r>
              <w:rPr>
                <w:spacing w:val="-2"/>
              </w:rPr>
              <w:t>AU</w:t>
            </w:r>
            <w:r>
              <w:rPr>
                <w:spacing w:val="-2"/>
              </w:rPr>
              <w:t xml:space="preserve"> Docket No. </w:t>
            </w:r>
            <w:r w:rsidR="00DB4997">
              <w:rPr>
                <w:spacing w:val="-2"/>
              </w:rPr>
              <w:t>17-182</w:t>
            </w:r>
          </w:p>
        </w:tc>
      </w:tr>
    </w:tbl>
    <w:p w:rsidR="00F77F92" w:rsidP="00337E45">
      <w:pPr>
        <w:rPr>
          <w:b/>
        </w:rPr>
      </w:pPr>
    </w:p>
    <w:p w:rsidR="00FF1603" w:rsidP="00FF1603">
      <w:pPr>
        <w:pStyle w:val="Heading1"/>
        <w:numPr>
          <w:ilvl w:val="0"/>
          <w:numId w:val="0"/>
        </w:numPr>
        <w:jc w:val="center"/>
      </w:pPr>
      <w:r>
        <w:t>ORDER</w:t>
      </w:r>
    </w:p>
    <w:p w:rsidR="00E362BA" w:rsidP="00337E45">
      <w:pPr>
        <w:rPr>
          <w:b/>
        </w:rPr>
      </w:pPr>
      <w:r>
        <w:rPr>
          <w:b/>
        </w:rPr>
        <w:t xml:space="preserve">Adopted:  </w:t>
      </w:r>
      <w:r w:rsidR="008D2B42">
        <w:rPr>
          <w:b/>
          <w:spacing w:val="-2"/>
        </w:rPr>
        <w:t>June 25, 2018</w:t>
      </w:r>
      <w:r>
        <w:rPr>
          <w:b/>
        </w:rPr>
        <w:tab/>
      </w:r>
      <w:r w:rsidR="009E53F7">
        <w:rPr>
          <w:b/>
        </w:rPr>
        <w:tab/>
      </w:r>
      <w:r w:rsidR="009E53F7">
        <w:rPr>
          <w:b/>
        </w:rPr>
        <w:tab/>
      </w:r>
      <w:r w:rsidR="009E53F7">
        <w:rPr>
          <w:b/>
        </w:rPr>
        <w:tab/>
      </w:r>
      <w:r w:rsidR="00AB0386">
        <w:rPr>
          <w:b/>
        </w:rPr>
        <w:tab/>
      </w:r>
      <w:r w:rsidR="00AB0386">
        <w:rPr>
          <w:b/>
        </w:rPr>
        <w:tab/>
      </w:r>
      <w:r>
        <w:rPr>
          <w:b/>
        </w:rPr>
        <w:t xml:space="preserve">Released:  </w:t>
      </w:r>
      <w:r w:rsidR="008D2B42">
        <w:rPr>
          <w:b/>
          <w:spacing w:val="-2"/>
        </w:rPr>
        <w:t>June 25, 2018</w:t>
      </w:r>
      <w:bookmarkStart w:id="0" w:name="_GoBack"/>
      <w:bookmarkEnd w:id="0"/>
    </w:p>
    <w:p w:rsidR="00E362BA" w:rsidP="00AE2FCE">
      <w:pPr>
        <w:tabs>
          <w:tab w:val="left" w:pos="5760"/>
        </w:tabs>
        <w:rPr>
          <w:b/>
        </w:rPr>
      </w:pPr>
    </w:p>
    <w:p w:rsidR="00E362BA" w:rsidRPr="00272AB3" w:rsidP="00AE2FCE">
      <w:pPr>
        <w:tabs>
          <w:tab w:val="left" w:pos="5760"/>
        </w:tabs>
      </w:pPr>
      <w:r>
        <w:t xml:space="preserve">By the </w:t>
      </w:r>
      <w:r w:rsidR="00272AB3">
        <w:t>Chief</w:t>
      </w:r>
      <w:r>
        <w:t>s</w:t>
      </w:r>
      <w:r w:rsidR="00272AB3">
        <w:t>, Wireline Competition Bureau</w:t>
      </w:r>
      <w:r>
        <w:t xml:space="preserve"> and </w:t>
      </w:r>
      <w:r w:rsidR="00B92205">
        <w:t>Wireless Telecommunications Bureau</w:t>
      </w:r>
      <w:r w:rsidR="00272AB3">
        <w:t xml:space="preserve">: </w:t>
      </w:r>
    </w:p>
    <w:p w:rsidR="00E362BA" w:rsidP="00AE2FCE"/>
    <w:p w:rsidR="005D45AB" w:rsidRPr="0019242C" w:rsidP="004107C9">
      <w:pPr>
        <w:pStyle w:val="ParaNum"/>
      </w:pPr>
      <w:r w:rsidRPr="0019242C">
        <w:t>I</w:t>
      </w:r>
      <w:r w:rsidRPr="0019242C" w:rsidR="008E23F9">
        <w:t>n this O</w:t>
      </w:r>
      <w:r w:rsidRPr="0019242C">
        <w:t>rder</w:t>
      </w:r>
      <w:r w:rsidRPr="0019242C" w:rsidR="001140EE">
        <w:t xml:space="preserve">, </w:t>
      </w:r>
      <w:r w:rsidR="00DB4997">
        <w:t>the</w:t>
      </w:r>
      <w:r w:rsidR="003F442E">
        <w:t xml:space="preserve"> Wireline Competition Bureau</w:t>
      </w:r>
      <w:r w:rsidR="00DB4997">
        <w:t xml:space="preserve"> and the Wireless Telecommunications Bureau</w:t>
      </w:r>
      <w:r w:rsidR="003F442E">
        <w:t xml:space="preserve"> (</w:t>
      </w:r>
      <w:r w:rsidR="00DB4997">
        <w:t xml:space="preserve">collectively, the </w:t>
      </w:r>
      <w:r w:rsidR="003F442E">
        <w:t>Bureau</w:t>
      </w:r>
      <w:r w:rsidR="00DB4997">
        <w:t>s</w:t>
      </w:r>
      <w:r w:rsidR="003F442E">
        <w:t>)</w:t>
      </w:r>
      <w:r w:rsidR="0050017E">
        <w:t>, in conjunction</w:t>
      </w:r>
      <w:r w:rsidR="003F442E">
        <w:t xml:space="preserve"> </w:t>
      </w:r>
      <w:r w:rsidR="00C56760">
        <w:t xml:space="preserve">with the Rural Broadband Auctions Task Force, </w:t>
      </w:r>
      <w:r w:rsidR="003172F5">
        <w:t xml:space="preserve">address </w:t>
      </w:r>
      <w:r w:rsidR="00820E7D">
        <w:t>petitions for waiver of the Commission’s</w:t>
      </w:r>
      <w:r w:rsidR="00607F4D">
        <w:t xml:space="preserve"> Connect America Fund Phase II a</w:t>
      </w:r>
      <w:r w:rsidR="00820E7D">
        <w:t xml:space="preserve">uction (Auction 903) </w:t>
      </w:r>
      <w:r w:rsidR="003172F5">
        <w:t>short-form application requirements</w:t>
      </w:r>
      <w:r w:rsidR="00820E7D">
        <w:t>.  Specifically, the Bureaus</w:t>
      </w:r>
      <w:r w:rsidR="003172F5">
        <w:t xml:space="preserve"> grant petitions</w:t>
      </w:r>
      <w:r w:rsidR="0017486D">
        <w:t xml:space="preserve"> from</w:t>
      </w:r>
      <w:r w:rsidR="003172F5">
        <w:t xml:space="preserve"> </w:t>
      </w:r>
      <w:r w:rsidR="0017486D">
        <w:t>applicants requesting</w:t>
      </w:r>
      <w:r w:rsidR="003172F5">
        <w:t xml:space="preserve"> that the Commission </w:t>
      </w:r>
      <w:r w:rsidR="00820E7D">
        <w:t>accept late-filed FCC Form 477</w:t>
      </w:r>
      <w:r w:rsidR="00D651CA">
        <w:t>s</w:t>
      </w:r>
      <w:r w:rsidR="00820E7D">
        <w:t xml:space="preserve"> as evidence </w:t>
      </w:r>
      <w:r w:rsidR="00C5519D">
        <w:t xml:space="preserve">of </w:t>
      </w:r>
      <w:r w:rsidR="00820E7D">
        <w:t>an applicant</w:t>
      </w:r>
      <w:r w:rsidR="00C5519D">
        <w:t>’s experience</w:t>
      </w:r>
      <w:r w:rsidR="00820E7D">
        <w:t xml:space="preserve"> offering a voice and/or broadband service</w:t>
      </w:r>
      <w:r w:rsidR="000456CF">
        <w:t>, and deny a petition from one applicant that has not filed FCC Form 477</w:t>
      </w:r>
      <w:r w:rsidR="00D651CA">
        <w:t>s</w:t>
      </w:r>
      <w:r w:rsidR="000456CF">
        <w:t xml:space="preserve"> for all three relevant filing periods</w:t>
      </w:r>
      <w:r w:rsidR="0017486D">
        <w:t xml:space="preserve">. </w:t>
      </w:r>
      <w:r w:rsidR="005B0A61">
        <w:t xml:space="preserve"> </w:t>
      </w:r>
      <w:r w:rsidR="003172F5">
        <w:t xml:space="preserve">The Bureaus also deny </w:t>
      </w:r>
      <w:r w:rsidR="00B650A5">
        <w:t>a petition</w:t>
      </w:r>
      <w:r w:rsidR="003172F5">
        <w:t xml:space="preserve"> requesting that the Commission waive the requirement that applicants </w:t>
      </w:r>
      <w:r w:rsidR="0001197A">
        <w:t>with</w:t>
      </w:r>
      <w:r w:rsidR="003172F5">
        <w:t xml:space="preserve"> </w:t>
      </w:r>
      <w:r w:rsidR="0001197A">
        <w:t xml:space="preserve">fewer </w:t>
      </w:r>
      <w:r w:rsidR="003172F5">
        <w:t>than two years of experience offering a voice, broadband, and/or electric transmission or distribution service submit three years of audited financial statements</w:t>
      </w:r>
      <w:r w:rsidR="00D47B0F">
        <w:t xml:space="preserve"> with their short-form applications</w:t>
      </w:r>
      <w:r w:rsidR="00B650A5">
        <w:t>.</w:t>
      </w:r>
    </w:p>
    <w:p w:rsidR="001E2FBD" w:rsidP="006B1CF5">
      <w:pPr>
        <w:pStyle w:val="Heading1"/>
      </w:pPr>
      <w:r w:rsidRPr="0019242C">
        <w:t>background</w:t>
      </w:r>
      <w:r>
        <w:t xml:space="preserve">    </w:t>
      </w:r>
    </w:p>
    <w:p w:rsidR="003172F5" w:rsidP="005462EB">
      <w:pPr>
        <w:pStyle w:val="ParaNum"/>
        <w:rPr>
          <w:color w:val="000000"/>
          <w:szCs w:val="22"/>
        </w:rPr>
      </w:pPr>
      <w:r>
        <w:rPr>
          <w:color w:val="000000"/>
          <w:szCs w:val="22"/>
        </w:rPr>
        <w:t>To</w:t>
      </w:r>
      <w:r>
        <w:rPr>
          <w:color w:val="000000"/>
          <w:szCs w:val="22"/>
        </w:rPr>
        <w:t xml:space="preserve"> further the Commission’s progress toward closing the digital divide for all Americans, including those in rural areas of our country</w:t>
      </w:r>
      <w:r>
        <w:rPr>
          <w:color w:val="000000"/>
          <w:szCs w:val="22"/>
        </w:rPr>
        <w:t xml:space="preserve">, Auction 903 </w:t>
      </w:r>
      <w:r>
        <w:rPr>
          <w:color w:val="000000"/>
          <w:szCs w:val="22"/>
        </w:rPr>
        <w:t xml:space="preserve">will award up to $1.98 billion over 10 years to service providers that commit to offer voice and broadband services to fixed locations in unserved high-cost areas.  </w:t>
      </w:r>
      <w:r>
        <w:rPr>
          <w:color w:val="000000"/>
          <w:szCs w:val="22"/>
        </w:rPr>
        <w:t xml:space="preserve">In the </w:t>
      </w:r>
      <w:r w:rsidR="00B91AA0">
        <w:rPr>
          <w:i/>
          <w:color w:val="000000"/>
          <w:szCs w:val="22"/>
        </w:rPr>
        <w:t>Phase II Auction Order</w:t>
      </w:r>
      <w:r>
        <w:rPr>
          <w:color w:val="000000"/>
          <w:szCs w:val="22"/>
        </w:rPr>
        <w:t>, t</w:t>
      </w:r>
      <w:r w:rsidRPr="009872F1">
        <w:rPr>
          <w:color w:val="000000"/>
          <w:szCs w:val="22"/>
        </w:rPr>
        <w:t>he</w:t>
      </w:r>
      <w:r>
        <w:rPr>
          <w:color w:val="000000"/>
          <w:szCs w:val="22"/>
        </w:rPr>
        <w:t xml:space="preserve"> </w:t>
      </w:r>
      <w:r w:rsidR="0017486D">
        <w:rPr>
          <w:color w:val="000000"/>
          <w:szCs w:val="22"/>
        </w:rPr>
        <w:t xml:space="preserve">Commission adopted a two-phased auction </w:t>
      </w:r>
      <w:r w:rsidR="005A6920">
        <w:rPr>
          <w:color w:val="000000"/>
          <w:szCs w:val="22"/>
        </w:rPr>
        <w:t>application process.</w:t>
      </w:r>
      <w:r>
        <w:rPr>
          <w:rStyle w:val="FootnoteReference"/>
          <w:color w:val="000000"/>
          <w:szCs w:val="22"/>
        </w:rPr>
        <w:footnoteReference w:id="3"/>
      </w:r>
      <w:r w:rsidR="005A6920">
        <w:rPr>
          <w:color w:val="000000"/>
          <w:szCs w:val="22"/>
        </w:rPr>
        <w:t xml:space="preserve">  </w:t>
      </w:r>
      <w:r w:rsidR="00607F4D">
        <w:rPr>
          <w:color w:val="000000"/>
          <w:szCs w:val="22"/>
        </w:rPr>
        <w:t>In the first phase</w:t>
      </w:r>
      <w:r>
        <w:rPr>
          <w:color w:val="000000"/>
          <w:szCs w:val="22"/>
        </w:rPr>
        <w:t xml:space="preserve">, </w:t>
      </w:r>
      <w:r w:rsidR="00F50E24">
        <w:rPr>
          <w:color w:val="000000"/>
          <w:szCs w:val="22"/>
        </w:rPr>
        <w:t>entities</w:t>
      </w:r>
      <w:r w:rsidR="005A6920">
        <w:rPr>
          <w:color w:val="000000"/>
          <w:szCs w:val="22"/>
        </w:rPr>
        <w:t xml:space="preserve"> seeking to participate in the auction </w:t>
      </w:r>
      <w:r>
        <w:rPr>
          <w:color w:val="000000"/>
          <w:szCs w:val="22"/>
        </w:rPr>
        <w:t>must have</w:t>
      </w:r>
      <w:r w:rsidR="00A429D1">
        <w:rPr>
          <w:color w:val="000000"/>
          <w:szCs w:val="22"/>
        </w:rPr>
        <w:t xml:space="preserve"> file</w:t>
      </w:r>
      <w:r>
        <w:rPr>
          <w:color w:val="000000"/>
          <w:szCs w:val="22"/>
        </w:rPr>
        <w:t>d</w:t>
      </w:r>
      <w:r w:rsidR="005A6920">
        <w:rPr>
          <w:color w:val="000000"/>
          <w:szCs w:val="22"/>
        </w:rPr>
        <w:t xml:space="preserve"> a short-form application</w:t>
      </w:r>
      <w:r w:rsidR="00607F4D">
        <w:rPr>
          <w:color w:val="000000"/>
          <w:szCs w:val="22"/>
        </w:rPr>
        <w:t xml:space="preserve"> (FCC Form 183) by March 30, 2018</w:t>
      </w:r>
      <w:r w:rsidR="00A429D1">
        <w:rPr>
          <w:color w:val="000000"/>
          <w:szCs w:val="22"/>
        </w:rPr>
        <w:t xml:space="preserve"> in which </w:t>
      </w:r>
      <w:r w:rsidR="00F50E24">
        <w:rPr>
          <w:color w:val="000000"/>
          <w:szCs w:val="22"/>
        </w:rPr>
        <w:t xml:space="preserve">they </w:t>
      </w:r>
      <w:r>
        <w:rPr>
          <w:color w:val="000000"/>
          <w:szCs w:val="22"/>
        </w:rPr>
        <w:t xml:space="preserve">provided specific information and </w:t>
      </w:r>
      <w:r w:rsidR="00A429D1">
        <w:rPr>
          <w:color w:val="000000"/>
          <w:szCs w:val="22"/>
        </w:rPr>
        <w:t>certified</w:t>
      </w:r>
      <w:r w:rsidR="005A6920">
        <w:rPr>
          <w:color w:val="000000"/>
          <w:szCs w:val="22"/>
        </w:rPr>
        <w:t xml:space="preserve">, under penalty of perjury, </w:t>
      </w:r>
      <w:r w:rsidR="00F50E24">
        <w:rPr>
          <w:color w:val="000000"/>
          <w:szCs w:val="22"/>
        </w:rPr>
        <w:t xml:space="preserve">their </w:t>
      </w:r>
      <w:r w:rsidR="005A6920">
        <w:rPr>
          <w:color w:val="000000"/>
          <w:szCs w:val="22"/>
        </w:rPr>
        <w:t>qualifications.</w:t>
      </w:r>
      <w:r>
        <w:rPr>
          <w:rStyle w:val="FootnoteReference"/>
          <w:color w:val="000000"/>
          <w:szCs w:val="22"/>
        </w:rPr>
        <w:footnoteReference w:id="4"/>
      </w:r>
      <w:r w:rsidR="00A901C1">
        <w:rPr>
          <w:color w:val="000000"/>
          <w:szCs w:val="22"/>
        </w:rPr>
        <w:t xml:space="preserve">  </w:t>
      </w:r>
      <w:r>
        <w:rPr>
          <w:color w:val="000000"/>
          <w:szCs w:val="22"/>
        </w:rPr>
        <w:t>The Commission review</w:t>
      </w:r>
      <w:r w:rsidR="00F50E24">
        <w:rPr>
          <w:color w:val="000000"/>
          <w:szCs w:val="22"/>
        </w:rPr>
        <w:t>ed</w:t>
      </w:r>
      <w:r>
        <w:rPr>
          <w:color w:val="000000"/>
          <w:szCs w:val="22"/>
        </w:rPr>
        <w:t xml:space="preserve"> </w:t>
      </w:r>
      <w:r w:rsidR="00F50E24">
        <w:rPr>
          <w:color w:val="000000"/>
          <w:szCs w:val="22"/>
        </w:rPr>
        <w:t xml:space="preserve">these </w:t>
      </w:r>
      <w:r>
        <w:rPr>
          <w:color w:val="000000"/>
          <w:szCs w:val="22"/>
        </w:rPr>
        <w:t>application</w:t>
      </w:r>
      <w:r w:rsidR="00F50E24">
        <w:rPr>
          <w:color w:val="000000"/>
          <w:szCs w:val="22"/>
        </w:rPr>
        <w:t>s</w:t>
      </w:r>
      <w:r>
        <w:rPr>
          <w:color w:val="000000"/>
          <w:szCs w:val="22"/>
        </w:rPr>
        <w:t xml:space="preserve"> and determine</w:t>
      </w:r>
      <w:r w:rsidR="00CC1DD7">
        <w:rPr>
          <w:color w:val="000000"/>
          <w:szCs w:val="22"/>
        </w:rPr>
        <w:t>d</w:t>
      </w:r>
      <w:r>
        <w:rPr>
          <w:color w:val="000000"/>
          <w:szCs w:val="22"/>
        </w:rPr>
        <w:t xml:space="preserve"> whether the applicant</w:t>
      </w:r>
      <w:r w:rsidR="00F50E24">
        <w:rPr>
          <w:color w:val="000000"/>
          <w:szCs w:val="22"/>
        </w:rPr>
        <w:t>s</w:t>
      </w:r>
      <w:r>
        <w:rPr>
          <w:color w:val="000000"/>
          <w:szCs w:val="22"/>
        </w:rPr>
        <w:t xml:space="preserve"> </w:t>
      </w:r>
      <w:r w:rsidR="00F50E24">
        <w:rPr>
          <w:color w:val="000000"/>
          <w:szCs w:val="22"/>
        </w:rPr>
        <w:t xml:space="preserve">are </w:t>
      </w:r>
      <w:r>
        <w:rPr>
          <w:color w:val="000000"/>
          <w:szCs w:val="22"/>
        </w:rPr>
        <w:t>qualified to bid in the auction, which is scheduled to begin on July 24, 2018.</w:t>
      </w:r>
      <w:r>
        <w:rPr>
          <w:rStyle w:val="FootnoteReference"/>
          <w:color w:val="000000"/>
          <w:szCs w:val="22"/>
        </w:rPr>
        <w:footnoteReference w:id="5"/>
      </w:r>
      <w:r>
        <w:rPr>
          <w:color w:val="000000"/>
          <w:szCs w:val="22"/>
        </w:rPr>
        <w:t xml:space="preserve">  </w:t>
      </w:r>
      <w:r w:rsidR="00A901C1">
        <w:rPr>
          <w:color w:val="000000"/>
          <w:szCs w:val="22"/>
        </w:rPr>
        <w:t>In the second phase of the process, each winning bidder must file a more comprehensive long-form application</w:t>
      </w:r>
      <w:r>
        <w:rPr>
          <w:color w:val="000000"/>
          <w:szCs w:val="22"/>
        </w:rPr>
        <w:t xml:space="preserve"> (FCC Form 683)</w:t>
      </w:r>
      <w:r w:rsidR="00A901C1">
        <w:rPr>
          <w:color w:val="000000"/>
          <w:szCs w:val="22"/>
        </w:rPr>
        <w:t>, which the Commission will review to determine if a winning bidder should be authorized to receive support for its winning bids.</w:t>
      </w:r>
      <w:r>
        <w:rPr>
          <w:rStyle w:val="FootnoteReference"/>
          <w:color w:val="000000"/>
          <w:szCs w:val="22"/>
        </w:rPr>
        <w:footnoteReference w:id="6"/>
      </w:r>
    </w:p>
    <w:p w:rsidR="00EB63A1" w:rsidRPr="009606CB" w:rsidP="005462EB">
      <w:pPr>
        <w:pStyle w:val="ParaNum"/>
        <w:rPr>
          <w:color w:val="000000"/>
          <w:szCs w:val="22"/>
        </w:rPr>
      </w:pPr>
      <w:r w:rsidRPr="005462EB">
        <w:rPr>
          <w:color w:val="000000"/>
          <w:szCs w:val="22"/>
        </w:rPr>
        <w:t xml:space="preserve">In the </w:t>
      </w:r>
      <w:r w:rsidRPr="005462EB" w:rsidR="005B0A61">
        <w:rPr>
          <w:i/>
          <w:iCs/>
          <w:color w:val="000000"/>
          <w:szCs w:val="22"/>
        </w:rPr>
        <w:t>Phase II Auction</w:t>
      </w:r>
      <w:r w:rsidRPr="005462EB">
        <w:rPr>
          <w:i/>
          <w:iCs/>
          <w:color w:val="000000"/>
          <w:szCs w:val="22"/>
        </w:rPr>
        <w:t xml:space="preserve"> Order</w:t>
      </w:r>
      <w:r w:rsidRPr="005462EB">
        <w:rPr>
          <w:color w:val="000000"/>
          <w:szCs w:val="22"/>
        </w:rPr>
        <w:t xml:space="preserve">, </w:t>
      </w:r>
      <w:r w:rsidRPr="00226964">
        <w:t xml:space="preserve">the Commission adopted </w:t>
      </w:r>
      <w:r w:rsidR="009606CB">
        <w:t>short-form application</w:t>
      </w:r>
      <w:r w:rsidR="009F3379">
        <w:t xml:space="preserve"> requirements for Auction 903 </w:t>
      </w:r>
      <w:r w:rsidR="004272E5">
        <w:t>relating to an applicant’s</w:t>
      </w:r>
      <w:r w:rsidR="009606CB">
        <w:t xml:space="preserve"> technical and financial qualifications to participate in Auction </w:t>
      </w:r>
      <w:r w:rsidR="009606CB">
        <w:t>903</w:t>
      </w:r>
      <w:r w:rsidR="003C59D9">
        <w:t>.</w:t>
      </w:r>
      <w:r>
        <w:rPr>
          <w:rStyle w:val="FootnoteReference"/>
        </w:rPr>
        <w:footnoteReference w:id="7"/>
      </w:r>
      <w:r w:rsidR="003C59D9">
        <w:t xml:space="preserve">  Relevant here, the Commission requires an applicant that has certified that it has provided voice and/or broadband services for at least two years</w:t>
      </w:r>
      <w:r w:rsidR="004752C6">
        <w:t xml:space="preserve"> prior to the short-form application filing deadline</w:t>
      </w:r>
      <w:r w:rsidR="005462EB">
        <w:t>,</w:t>
      </w:r>
      <w:r w:rsidR="003C59D9">
        <w:t xml:space="preserve"> or that it is the wholly-owned subsidiary of such an entity</w:t>
      </w:r>
      <w:r w:rsidR="005462EB">
        <w:t>,</w:t>
      </w:r>
      <w:r w:rsidR="003C59D9">
        <w:t xml:space="preserve"> to also certify</w:t>
      </w:r>
      <w:r w:rsidR="00A75655">
        <w:t xml:space="preserve"> that</w:t>
      </w:r>
      <w:r w:rsidR="003C59D9">
        <w:t xml:space="preserve"> it or its parent company has filed </w:t>
      </w:r>
      <w:r w:rsidR="005462EB">
        <w:t>FCC Form 477 Local Telephone Competition and Broadband Reports (FCC Form 477)</w:t>
      </w:r>
      <w:r w:rsidR="003C59D9">
        <w:t xml:space="preserve"> as required during that time period.</w:t>
      </w:r>
      <w:r>
        <w:rPr>
          <w:rStyle w:val="FootnoteReference"/>
        </w:rPr>
        <w:footnoteReference w:id="8"/>
      </w:r>
      <w:r w:rsidR="003C59D9">
        <w:t xml:space="preserve">  The applicant must identify the </w:t>
      </w:r>
      <w:r w:rsidR="00A75655">
        <w:t xml:space="preserve">FCC Registration Number(s) (FRN) </w:t>
      </w:r>
      <w:r w:rsidR="003C59D9">
        <w:t xml:space="preserve">it (or its parent company) used to file </w:t>
      </w:r>
      <w:r w:rsidR="00955F72">
        <w:t xml:space="preserve">its </w:t>
      </w:r>
      <w:r w:rsidR="003C59D9">
        <w:t>FCC Form 477 for the r</w:t>
      </w:r>
      <w:r w:rsidR="005462EB">
        <w:t>elevant filing periods—data as of June 30, 2017; data as of December 31, 2016; and data as of June 30, 2016.</w:t>
      </w:r>
      <w:r>
        <w:rPr>
          <w:rStyle w:val="FootnoteReference"/>
        </w:rPr>
        <w:footnoteReference w:id="9"/>
      </w:r>
      <w:r w:rsidR="003C59D9">
        <w:t xml:space="preserve"> </w:t>
      </w:r>
      <w:r w:rsidR="00236827">
        <w:t xml:space="preserve"> </w:t>
      </w:r>
      <w:r w:rsidR="00880653">
        <w:t xml:space="preserve">As set out in the </w:t>
      </w:r>
      <w:r w:rsidR="00880653">
        <w:rPr>
          <w:i/>
        </w:rPr>
        <w:t xml:space="preserve">Auction 903 Procedures Public Notice, </w:t>
      </w:r>
      <w:r w:rsidR="00546CEE">
        <w:t xml:space="preserve">FCC Form 477 data </w:t>
      </w:r>
      <w:r w:rsidR="00880653">
        <w:t xml:space="preserve">for these periods </w:t>
      </w:r>
      <w:r w:rsidR="00A75655">
        <w:t>on file as of Fe</w:t>
      </w:r>
      <w:r w:rsidR="009606CB">
        <w:t xml:space="preserve">bruary 5, 2018 </w:t>
      </w:r>
      <w:r w:rsidR="00E748DE">
        <w:t>are</w:t>
      </w:r>
      <w:r w:rsidR="004272E5">
        <w:t xml:space="preserve"> used </w:t>
      </w:r>
      <w:r w:rsidR="009606CB">
        <w:t xml:space="preserve">to </w:t>
      </w:r>
      <w:r w:rsidR="004272E5">
        <w:t>corroborate</w:t>
      </w:r>
      <w:r w:rsidR="004272E5">
        <w:t xml:space="preserve"> </w:t>
      </w:r>
      <w:r w:rsidR="009606CB">
        <w:t>each appli</w:t>
      </w:r>
      <w:r w:rsidR="00546CEE">
        <w:t>cant’s certification that it has</w:t>
      </w:r>
      <w:r w:rsidR="009606CB">
        <w:t xml:space="preserve"> been providing voice and/or broadband service for at least two years.</w:t>
      </w:r>
      <w:r>
        <w:rPr>
          <w:rStyle w:val="FootnoteReference"/>
        </w:rPr>
        <w:footnoteReference w:id="10"/>
      </w:r>
    </w:p>
    <w:p w:rsidR="009606CB" w:rsidP="005462EB">
      <w:pPr>
        <w:pStyle w:val="ParaNum"/>
        <w:rPr>
          <w:color w:val="000000"/>
          <w:szCs w:val="22"/>
        </w:rPr>
      </w:pPr>
      <w:r>
        <w:rPr>
          <w:color w:val="000000"/>
          <w:szCs w:val="22"/>
        </w:rPr>
        <w:t xml:space="preserve">In the </w:t>
      </w:r>
      <w:r w:rsidRPr="00CC1DD7">
        <w:rPr>
          <w:i/>
          <w:color w:val="000000"/>
          <w:szCs w:val="22"/>
        </w:rPr>
        <w:t>Phase II Auction Order</w:t>
      </w:r>
      <w:r>
        <w:rPr>
          <w:color w:val="000000"/>
          <w:szCs w:val="22"/>
        </w:rPr>
        <w:t>, t</w:t>
      </w:r>
      <w:r>
        <w:rPr>
          <w:color w:val="000000"/>
          <w:szCs w:val="22"/>
        </w:rPr>
        <w:t xml:space="preserve">he Commission also adopted an alternative for applicants that do not have at least two years of experience operating a voice, broadband, and/or electric distribution or transmission network to become qualified to participate in the auction.  Such applicants could instead submit </w:t>
      </w:r>
      <w:r w:rsidR="0020486E">
        <w:rPr>
          <w:color w:val="000000"/>
          <w:szCs w:val="22"/>
        </w:rPr>
        <w:t>(</w:t>
      </w:r>
      <w:r w:rsidR="0089597E">
        <w:rPr>
          <w:color w:val="000000"/>
          <w:szCs w:val="22"/>
        </w:rPr>
        <w:t xml:space="preserve">1) </w:t>
      </w:r>
      <w:r>
        <w:rPr>
          <w:color w:val="000000"/>
          <w:szCs w:val="22"/>
        </w:rPr>
        <w:t>audited financial statements from the three most recent fiscal years</w:t>
      </w:r>
      <w:r w:rsidR="0089597E">
        <w:rPr>
          <w:color w:val="000000"/>
          <w:szCs w:val="22"/>
        </w:rPr>
        <w:t xml:space="preserve"> and </w:t>
      </w:r>
      <w:r w:rsidR="0020486E">
        <w:rPr>
          <w:color w:val="000000"/>
          <w:szCs w:val="22"/>
        </w:rPr>
        <w:t>(</w:t>
      </w:r>
      <w:r w:rsidR="0089597E">
        <w:rPr>
          <w:color w:val="000000"/>
          <w:szCs w:val="22"/>
        </w:rPr>
        <w:t xml:space="preserve">2) </w:t>
      </w:r>
      <w:r>
        <w:rPr>
          <w:color w:val="000000"/>
          <w:szCs w:val="22"/>
        </w:rPr>
        <w:t xml:space="preserve">a letter of interest </w:t>
      </w:r>
      <w:r w:rsidR="0089597E">
        <w:rPr>
          <w:color w:val="000000"/>
          <w:szCs w:val="22"/>
        </w:rPr>
        <w:t>from a qualified bank stating that the bank would provide a letter of credit to the applicant if the applicant becomes a winning bidder.</w:t>
      </w:r>
      <w:r>
        <w:rPr>
          <w:rStyle w:val="FootnoteReference"/>
          <w:color w:val="000000"/>
          <w:szCs w:val="22"/>
        </w:rPr>
        <w:footnoteReference w:id="11"/>
      </w:r>
    </w:p>
    <w:p w:rsidR="004B0052" w:rsidP="005462EB">
      <w:pPr>
        <w:pStyle w:val="ParaNum"/>
        <w:rPr>
          <w:color w:val="000000"/>
          <w:szCs w:val="22"/>
        </w:rPr>
      </w:pPr>
      <w:r>
        <w:rPr>
          <w:color w:val="000000"/>
          <w:szCs w:val="22"/>
        </w:rPr>
        <w:t>E</w:t>
      </w:r>
      <w:r w:rsidR="00460DF1">
        <w:rPr>
          <w:color w:val="000000"/>
          <w:szCs w:val="22"/>
        </w:rPr>
        <w:t xml:space="preserve">ntities interested in participating in Auction 903 </w:t>
      </w:r>
      <w:r w:rsidR="00955F72">
        <w:rPr>
          <w:color w:val="000000"/>
          <w:szCs w:val="22"/>
        </w:rPr>
        <w:t xml:space="preserve">were invited to </w:t>
      </w:r>
      <w:r>
        <w:rPr>
          <w:color w:val="000000"/>
          <w:szCs w:val="22"/>
        </w:rPr>
        <w:t xml:space="preserve">file short-form applications between </w:t>
      </w:r>
      <w:r w:rsidR="003172F5">
        <w:rPr>
          <w:color w:val="000000"/>
          <w:szCs w:val="22"/>
        </w:rPr>
        <w:t>March 19, 2018 and March 30, 2018.</w:t>
      </w:r>
      <w:r>
        <w:rPr>
          <w:rStyle w:val="FootnoteReference"/>
          <w:color w:val="000000"/>
          <w:szCs w:val="22"/>
        </w:rPr>
        <w:footnoteReference w:id="12"/>
      </w:r>
      <w:r w:rsidR="003172F5">
        <w:rPr>
          <w:color w:val="000000"/>
          <w:szCs w:val="22"/>
        </w:rPr>
        <w:t xml:space="preserve">  </w:t>
      </w:r>
      <w:r w:rsidR="00955F72">
        <w:rPr>
          <w:color w:val="000000"/>
          <w:szCs w:val="22"/>
        </w:rPr>
        <w:t xml:space="preserve">Two hundred and seventy-seven </w:t>
      </w:r>
      <w:r w:rsidR="003172F5">
        <w:rPr>
          <w:color w:val="000000"/>
          <w:szCs w:val="22"/>
        </w:rPr>
        <w:t>applicants filed short-form applications.</w:t>
      </w:r>
      <w:r>
        <w:rPr>
          <w:rStyle w:val="FootnoteReference"/>
          <w:color w:val="000000"/>
          <w:szCs w:val="22"/>
        </w:rPr>
        <w:footnoteReference w:id="13"/>
      </w:r>
      <w:r w:rsidR="00546CEE">
        <w:rPr>
          <w:color w:val="000000"/>
          <w:szCs w:val="22"/>
        </w:rPr>
        <w:t xml:space="preserve">  A public notice announcing the status of the 277 short-form applications received for Auction 903 was released on May 14, 2018.</w:t>
      </w:r>
      <w:r>
        <w:rPr>
          <w:rStyle w:val="FootnoteReference"/>
          <w:color w:val="000000"/>
          <w:szCs w:val="22"/>
        </w:rPr>
        <w:footnoteReference w:id="14"/>
      </w:r>
      <w:r w:rsidR="00546CEE">
        <w:rPr>
          <w:color w:val="000000"/>
          <w:szCs w:val="22"/>
        </w:rPr>
        <w:t xml:space="preserve">  </w:t>
      </w:r>
      <w:r>
        <w:rPr>
          <w:color w:val="000000"/>
          <w:szCs w:val="22"/>
        </w:rPr>
        <w:t xml:space="preserve">The Bureaus then </w:t>
      </w:r>
      <w:r w:rsidR="007478F7">
        <w:rPr>
          <w:color w:val="000000"/>
          <w:szCs w:val="22"/>
        </w:rPr>
        <w:t xml:space="preserve">allowed </w:t>
      </w:r>
      <w:r>
        <w:rPr>
          <w:color w:val="000000"/>
          <w:szCs w:val="22"/>
        </w:rPr>
        <w:t xml:space="preserve">applicants that had their application deemed incomplete to address identified deficiencies in their applications </w:t>
      </w:r>
      <w:r w:rsidR="0055284F">
        <w:rPr>
          <w:color w:val="000000"/>
          <w:szCs w:val="22"/>
        </w:rPr>
        <w:t xml:space="preserve">between </w:t>
      </w:r>
      <w:r w:rsidR="007478F7">
        <w:rPr>
          <w:color w:val="000000"/>
          <w:szCs w:val="22"/>
        </w:rPr>
        <w:t>May 15, 2018</w:t>
      </w:r>
      <w:r w:rsidR="0055284F">
        <w:rPr>
          <w:color w:val="000000"/>
          <w:szCs w:val="22"/>
        </w:rPr>
        <w:t xml:space="preserve"> and </w:t>
      </w:r>
      <w:r>
        <w:rPr>
          <w:color w:val="000000"/>
          <w:szCs w:val="22"/>
        </w:rPr>
        <w:t>June 5, 2018.</w:t>
      </w:r>
      <w:r>
        <w:rPr>
          <w:rStyle w:val="FootnoteReference"/>
          <w:color w:val="000000"/>
          <w:szCs w:val="22"/>
        </w:rPr>
        <w:footnoteReference w:id="15"/>
      </w:r>
      <w:r>
        <w:rPr>
          <w:color w:val="000000"/>
          <w:szCs w:val="22"/>
        </w:rPr>
        <w:t xml:space="preserve">  </w:t>
      </w:r>
    </w:p>
    <w:p w:rsidR="00E116DE" w:rsidP="005462EB">
      <w:pPr>
        <w:pStyle w:val="ParaNum"/>
        <w:rPr>
          <w:color w:val="000000"/>
          <w:szCs w:val="22"/>
        </w:rPr>
      </w:pPr>
      <w:r w:rsidRPr="00E116DE">
        <w:rPr>
          <w:i/>
          <w:color w:val="000000"/>
          <w:szCs w:val="22"/>
        </w:rPr>
        <w:t>Petitions for Waiver.</w:t>
      </w:r>
      <w:r>
        <w:rPr>
          <w:color w:val="000000"/>
          <w:szCs w:val="22"/>
        </w:rPr>
        <w:t xml:space="preserve">  Eleven</w:t>
      </w:r>
      <w:r w:rsidR="003172F5">
        <w:rPr>
          <w:color w:val="000000"/>
          <w:szCs w:val="22"/>
        </w:rPr>
        <w:t xml:space="preserve"> </w:t>
      </w:r>
      <w:r w:rsidR="004B0052">
        <w:rPr>
          <w:color w:val="000000"/>
          <w:szCs w:val="22"/>
        </w:rPr>
        <w:t xml:space="preserve">applicants </w:t>
      </w:r>
      <w:r w:rsidR="003172F5">
        <w:rPr>
          <w:color w:val="000000"/>
          <w:szCs w:val="22"/>
        </w:rPr>
        <w:t>filed petitions for waiver of the Commission’</w:t>
      </w:r>
      <w:r w:rsidR="00183155">
        <w:rPr>
          <w:color w:val="000000"/>
          <w:szCs w:val="22"/>
        </w:rPr>
        <w:t xml:space="preserve">s decision to </w:t>
      </w:r>
      <w:r w:rsidR="003046C4">
        <w:rPr>
          <w:color w:val="000000"/>
          <w:szCs w:val="22"/>
        </w:rPr>
        <w:t xml:space="preserve">use data on file as of February 5, 2018 (collectively, FCC Form 477 </w:t>
      </w:r>
      <w:r w:rsidR="00EE24AA">
        <w:rPr>
          <w:color w:val="000000"/>
          <w:szCs w:val="22"/>
        </w:rPr>
        <w:t>petitions</w:t>
      </w:r>
      <w:r w:rsidR="003046C4">
        <w:rPr>
          <w:color w:val="000000"/>
          <w:szCs w:val="22"/>
        </w:rPr>
        <w:t>)</w:t>
      </w:r>
      <w:r w:rsidR="00D459AD">
        <w:rPr>
          <w:color w:val="000000"/>
          <w:szCs w:val="22"/>
        </w:rPr>
        <w:t xml:space="preserve"> to </w:t>
      </w:r>
      <w:r w:rsidR="00183155">
        <w:rPr>
          <w:color w:val="000000"/>
          <w:szCs w:val="22"/>
        </w:rPr>
        <w:t xml:space="preserve">validate </w:t>
      </w:r>
      <w:r w:rsidR="00D459AD">
        <w:rPr>
          <w:color w:val="000000"/>
          <w:szCs w:val="22"/>
        </w:rPr>
        <w:t xml:space="preserve">applicants’ </w:t>
      </w:r>
      <w:r w:rsidR="00183155">
        <w:rPr>
          <w:color w:val="000000"/>
          <w:szCs w:val="22"/>
        </w:rPr>
        <w:t>certification that they had been providing a voice and/or broadband service for at least two years.</w:t>
      </w:r>
      <w:r>
        <w:rPr>
          <w:rStyle w:val="FootnoteReference"/>
          <w:color w:val="000000"/>
          <w:szCs w:val="22"/>
        </w:rPr>
        <w:footnoteReference w:id="16"/>
      </w:r>
      <w:r w:rsidR="00183155">
        <w:rPr>
          <w:color w:val="000000"/>
          <w:szCs w:val="22"/>
        </w:rPr>
        <w:t xml:space="preserve">  In many cases, these applicants </w:t>
      </w:r>
      <w:r w:rsidR="004C1F89">
        <w:rPr>
          <w:color w:val="000000"/>
          <w:szCs w:val="22"/>
        </w:rPr>
        <w:t>discovered</w:t>
      </w:r>
      <w:r w:rsidR="00183155">
        <w:rPr>
          <w:color w:val="000000"/>
          <w:szCs w:val="22"/>
        </w:rPr>
        <w:t xml:space="preserve"> </w:t>
      </w:r>
      <w:r w:rsidR="00D459AD">
        <w:rPr>
          <w:color w:val="000000"/>
          <w:szCs w:val="22"/>
        </w:rPr>
        <w:t>through</w:t>
      </w:r>
      <w:r w:rsidR="00183155">
        <w:rPr>
          <w:color w:val="000000"/>
          <w:szCs w:val="22"/>
        </w:rPr>
        <w:t xml:space="preserve"> the application process that they had not filed </w:t>
      </w:r>
      <w:r w:rsidR="00183155">
        <w:rPr>
          <w:color w:val="000000"/>
          <w:szCs w:val="22"/>
        </w:rPr>
        <w:t>timely FCC Form 477</w:t>
      </w:r>
      <w:r w:rsidR="00955F72">
        <w:rPr>
          <w:color w:val="000000"/>
          <w:szCs w:val="22"/>
        </w:rPr>
        <w:t>s</w:t>
      </w:r>
      <w:r w:rsidR="00183155">
        <w:rPr>
          <w:color w:val="000000"/>
          <w:szCs w:val="22"/>
        </w:rPr>
        <w:t xml:space="preserve"> </w:t>
      </w:r>
      <w:r w:rsidR="004831C5">
        <w:rPr>
          <w:color w:val="000000"/>
          <w:szCs w:val="22"/>
        </w:rPr>
        <w:t xml:space="preserve">for one or more of the relevant filing periods </w:t>
      </w:r>
      <w:r w:rsidR="00183155">
        <w:rPr>
          <w:color w:val="000000"/>
          <w:szCs w:val="22"/>
        </w:rPr>
        <w:t>and</w:t>
      </w:r>
      <w:r w:rsidR="004831C5">
        <w:rPr>
          <w:color w:val="000000"/>
          <w:szCs w:val="22"/>
        </w:rPr>
        <w:t xml:space="preserve"> then</w:t>
      </w:r>
      <w:r w:rsidR="00183155">
        <w:rPr>
          <w:color w:val="000000"/>
          <w:szCs w:val="22"/>
        </w:rPr>
        <w:t xml:space="preserve"> </w:t>
      </w:r>
      <w:r w:rsidR="00D47FE1">
        <w:rPr>
          <w:color w:val="000000"/>
          <w:szCs w:val="22"/>
        </w:rPr>
        <w:t>all but one</w:t>
      </w:r>
      <w:r w:rsidR="004A39B4">
        <w:rPr>
          <w:color w:val="000000"/>
          <w:szCs w:val="22"/>
        </w:rPr>
        <w:t>—Net Vision Communications, LLC (Net Vision)—</w:t>
      </w:r>
      <w:r w:rsidR="00183155">
        <w:rPr>
          <w:color w:val="000000"/>
          <w:szCs w:val="22"/>
        </w:rPr>
        <w:t>submitted FCC Form 477</w:t>
      </w:r>
      <w:r w:rsidR="00955F72">
        <w:rPr>
          <w:color w:val="000000"/>
          <w:szCs w:val="22"/>
        </w:rPr>
        <w:t>s</w:t>
      </w:r>
      <w:r w:rsidR="00183155">
        <w:rPr>
          <w:color w:val="000000"/>
          <w:szCs w:val="22"/>
        </w:rPr>
        <w:t xml:space="preserve"> for</w:t>
      </w:r>
      <w:r w:rsidR="004A39B4">
        <w:rPr>
          <w:color w:val="000000"/>
          <w:szCs w:val="22"/>
        </w:rPr>
        <w:t xml:space="preserve"> all</w:t>
      </w:r>
      <w:r w:rsidR="00183155">
        <w:rPr>
          <w:color w:val="000000"/>
          <w:szCs w:val="22"/>
        </w:rPr>
        <w:t xml:space="preserve"> the relevant filing periods after </w:t>
      </w:r>
      <w:r w:rsidR="00D459AD">
        <w:rPr>
          <w:color w:val="000000"/>
          <w:szCs w:val="22"/>
        </w:rPr>
        <w:t xml:space="preserve">the Commission’s </w:t>
      </w:r>
      <w:r w:rsidR="00183155">
        <w:rPr>
          <w:color w:val="000000"/>
          <w:szCs w:val="22"/>
        </w:rPr>
        <w:t>February 5</w:t>
      </w:r>
      <w:r w:rsidR="00D459AD">
        <w:rPr>
          <w:color w:val="000000"/>
          <w:szCs w:val="22"/>
        </w:rPr>
        <w:t xml:space="preserve"> deadline</w:t>
      </w:r>
      <w:r w:rsidR="00183155">
        <w:rPr>
          <w:color w:val="000000"/>
          <w:szCs w:val="22"/>
        </w:rPr>
        <w:t xml:space="preserve">.  </w:t>
      </w:r>
      <w:r>
        <w:rPr>
          <w:color w:val="000000"/>
          <w:szCs w:val="22"/>
        </w:rPr>
        <w:t xml:space="preserve">Accordingly, </w:t>
      </w:r>
      <w:r w:rsidR="00D459AD">
        <w:rPr>
          <w:color w:val="000000"/>
          <w:szCs w:val="22"/>
        </w:rPr>
        <w:t xml:space="preserve">these applicants </w:t>
      </w:r>
      <w:r>
        <w:rPr>
          <w:color w:val="000000"/>
          <w:szCs w:val="22"/>
        </w:rPr>
        <w:t>request that the Commission accept their late-filed FCC Form 477</w:t>
      </w:r>
      <w:r w:rsidR="00955F72">
        <w:rPr>
          <w:color w:val="000000"/>
          <w:szCs w:val="22"/>
        </w:rPr>
        <w:t>s</w:t>
      </w:r>
      <w:r>
        <w:rPr>
          <w:color w:val="000000"/>
          <w:szCs w:val="22"/>
        </w:rPr>
        <w:t xml:space="preserve"> as evidence of their experience providing </w:t>
      </w:r>
      <w:r w:rsidR="006E2C4C">
        <w:rPr>
          <w:color w:val="000000"/>
          <w:szCs w:val="22"/>
        </w:rPr>
        <w:t xml:space="preserve">voice and/or </w:t>
      </w:r>
      <w:r>
        <w:rPr>
          <w:color w:val="000000"/>
          <w:szCs w:val="22"/>
        </w:rPr>
        <w:t xml:space="preserve">broadband services.  </w:t>
      </w:r>
    </w:p>
    <w:p w:rsidR="00E116DE" w:rsidRPr="004B0052" w:rsidP="004B0052">
      <w:pPr>
        <w:pStyle w:val="ParaNum"/>
        <w:rPr>
          <w:color w:val="000000"/>
          <w:szCs w:val="22"/>
        </w:rPr>
      </w:pPr>
      <w:r>
        <w:rPr>
          <w:color w:val="000000"/>
          <w:szCs w:val="22"/>
        </w:rPr>
        <w:t xml:space="preserve">Additionally, </w:t>
      </w:r>
      <w:r w:rsidR="00B650A5">
        <w:rPr>
          <w:color w:val="000000"/>
          <w:szCs w:val="22"/>
        </w:rPr>
        <w:t>Sonus Technologies</w:t>
      </w:r>
      <w:r w:rsidR="00A57149">
        <w:rPr>
          <w:color w:val="000000"/>
          <w:szCs w:val="22"/>
        </w:rPr>
        <w:t>, Inc. (Sonus)</w:t>
      </w:r>
      <w:r>
        <w:rPr>
          <w:color w:val="000000"/>
          <w:szCs w:val="22"/>
        </w:rPr>
        <w:t xml:space="preserve"> </w:t>
      </w:r>
      <w:r w:rsidR="004578AF">
        <w:rPr>
          <w:color w:val="000000"/>
          <w:szCs w:val="22"/>
        </w:rPr>
        <w:t xml:space="preserve">seeks waiver of the requirement </w:t>
      </w:r>
      <w:r>
        <w:rPr>
          <w:color w:val="000000"/>
          <w:szCs w:val="22"/>
        </w:rPr>
        <w:t xml:space="preserve">that applicants with </w:t>
      </w:r>
      <w:r w:rsidR="00E05E6B">
        <w:rPr>
          <w:color w:val="000000"/>
          <w:szCs w:val="22"/>
        </w:rPr>
        <w:t xml:space="preserve">fewer </w:t>
      </w:r>
      <w:r>
        <w:rPr>
          <w:color w:val="000000"/>
          <w:szCs w:val="22"/>
        </w:rPr>
        <w:t>than two</w:t>
      </w:r>
      <w:r w:rsidR="004578AF">
        <w:rPr>
          <w:color w:val="000000"/>
          <w:szCs w:val="22"/>
        </w:rPr>
        <w:t xml:space="preserve"> years of experience</w:t>
      </w:r>
      <w:r>
        <w:rPr>
          <w:color w:val="000000"/>
          <w:szCs w:val="22"/>
        </w:rPr>
        <w:t xml:space="preserve"> providing a voice, broadband, and/or electric transmission or distribution service</w:t>
      </w:r>
      <w:r w:rsidR="004578AF">
        <w:rPr>
          <w:color w:val="000000"/>
          <w:szCs w:val="22"/>
        </w:rPr>
        <w:t xml:space="preserve"> submit three years o</w:t>
      </w:r>
      <w:r>
        <w:rPr>
          <w:color w:val="000000"/>
          <w:szCs w:val="22"/>
        </w:rPr>
        <w:t>f audited financial statements.</w:t>
      </w:r>
      <w:r>
        <w:rPr>
          <w:rStyle w:val="FootnoteReference"/>
          <w:color w:val="000000"/>
          <w:szCs w:val="22"/>
        </w:rPr>
        <w:footnoteReference w:id="17"/>
      </w:r>
      <w:r>
        <w:rPr>
          <w:color w:val="000000"/>
          <w:szCs w:val="22"/>
        </w:rPr>
        <w:t xml:space="preserve">  </w:t>
      </w:r>
      <w:r w:rsidR="00E05E6B">
        <w:rPr>
          <w:color w:val="000000"/>
          <w:szCs w:val="22"/>
        </w:rPr>
        <w:t>Sonus</w:t>
      </w:r>
      <w:r>
        <w:rPr>
          <w:color w:val="000000"/>
          <w:szCs w:val="22"/>
        </w:rPr>
        <w:t xml:space="preserve"> submitted </w:t>
      </w:r>
      <w:r w:rsidR="00B650A5">
        <w:rPr>
          <w:color w:val="000000"/>
          <w:szCs w:val="22"/>
        </w:rPr>
        <w:t xml:space="preserve">three years of </w:t>
      </w:r>
      <w:r>
        <w:rPr>
          <w:color w:val="000000"/>
          <w:szCs w:val="22"/>
        </w:rPr>
        <w:t>unaudited financial statements</w:t>
      </w:r>
      <w:r w:rsidR="00B650A5">
        <w:rPr>
          <w:color w:val="000000"/>
          <w:szCs w:val="22"/>
        </w:rPr>
        <w:t xml:space="preserve"> and tax returns</w:t>
      </w:r>
      <w:r>
        <w:rPr>
          <w:color w:val="000000"/>
          <w:szCs w:val="22"/>
        </w:rPr>
        <w:t xml:space="preserve"> with its application</w:t>
      </w:r>
      <w:r w:rsidR="00B650A5">
        <w:rPr>
          <w:color w:val="000000"/>
          <w:szCs w:val="22"/>
        </w:rPr>
        <w:t xml:space="preserve"> and committed to </w:t>
      </w:r>
      <w:r w:rsidR="00E05E6B">
        <w:rPr>
          <w:color w:val="000000"/>
          <w:szCs w:val="22"/>
        </w:rPr>
        <w:t xml:space="preserve">providing </w:t>
      </w:r>
      <w:r w:rsidR="00B650A5">
        <w:rPr>
          <w:color w:val="000000"/>
          <w:szCs w:val="22"/>
        </w:rPr>
        <w:t xml:space="preserve">audited financial statements upon being </w:t>
      </w:r>
      <w:r w:rsidR="00546CEE">
        <w:rPr>
          <w:color w:val="000000"/>
          <w:szCs w:val="22"/>
        </w:rPr>
        <w:t xml:space="preserve">deemed qualified </w:t>
      </w:r>
      <w:r w:rsidR="00B650A5">
        <w:rPr>
          <w:color w:val="000000"/>
          <w:szCs w:val="22"/>
        </w:rPr>
        <w:t>to bid in the auction.</w:t>
      </w:r>
    </w:p>
    <w:p w:rsidR="00DD5DF8" w:rsidP="00DD5DF8">
      <w:pPr>
        <w:pStyle w:val="Heading1"/>
        <w:widowControl/>
      </w:pPr>
      <w:r w:rsidRPr="0019242C">
        <w:t>DISCUSSION</w:t>
      </w:r>
    </w:p>
    <w:p w:rsidR="00102F60" w:rsidRPr="00102F60" w:rsidP="00102F60">
      <w:pPr>
        <w:pStyle w:val="ParaNum"/>
      </w:pPr>
      <w:r>
        <w:t>Generally, the Commission’s rules may be waived for good cause shown.</w:t>
      </w:r>
      <w:r>
        <w:rPr>
          <w:rStyle w:val="FootnoteReference"/>
        </w:rPr>
        <w:footnoteReference w:id="18"/>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9"/>
      </w:r>
      <w:r w:rsidRPr="00F6751B">
        <w:t xml:space="preserve">  </w:t>
      </w:r>
      <w:r w:rsidR="00E05E6B">
        <w:t>W</w:t>
      </w:r>
      <w:r>
        <w:t>e</w:t>
      </w:r>
      <w:r>
        <w:t xml:space="preserve"> find good cause to</w:t>
      </w:r>
      <w:r>
        <w:t xml:space="preserve"> grant </w:t>
      </w:r>
      <w:r w:rsidR="00C56760">
        <w:t>10 of the 11</w:t>
      </w:r>
      <w:r w:rsidR="009B3424">
        <w:t xml:space="preserve"> </w:t>
      </w:r>
      <w:r>
        <w:t xml:space="preserve">FCC Form 477 </w:t>
      </w:r>
      <w:r w:rsidR="00EE24AA">
        <w:t>petitions</w:t>
      </w:r>
      <w:r>
        <w:t xml:space="preserve">, but </w:t>
      </w:r>
      <w:r w:rsidR="00C56760">
        <w:t xml:space="preserve">deny </w:t>
      </w:r>
      <w:r w:rsidR="00D47FE1">
        <w:t>the</w:t>
      </w:r>
      <w:r w:rsidR="00C56760">
        <w:t xml:space="preserve"> petitio</w:t>
      </w:r>
      <w:r w:rsidR="00D47FE1">
        <w:t xml:space="preserve">n filed by </w:t>
      </w:r>
      <w:r w:rsidR="004A39B4">
        <w:t>Net Vision</w:t>
      </w:r>
      <w:r w:rsidR="00C56760">
        <w:t xml:space="preserve"> because the applicant still has not filed </w:t>
      </w:r>
      <w:r w:rsidR="00955F72">
        <w:t xml:space="preserve">a </w:t>
      </w:r>
      <w:r w:rsidR="00C56760">
        <w:t>FCC Form 477 for one of the relevant filing periods</w:t>
      </w:r>
      <w:r w:rsidR="00E05E6B">
        <w:t xml:space="preserve">.  </w:t>
      </w:r>
      <w:r w:rsidR="00C56760">
        <w:t>We also</w:t>
      </w:r>
      <w:r>
        <w:t xml:space="preserve"> deny </w:t>
      </w:r>
      <w:r w:rsidR="00E05E6B">
        <w:t xml:space="preserve">Sonus’s </w:t>
      </w:r>
      <w:r>
        <w:t xml:space="preserve">petition for waiver of the requirement that an applicant with </w:t>
      </w:r>
      <w:r w:rsidR="00E05E6B">
        <w:t xml:space="preserve">fewer </w:t>
      </w:r>
      <w:r>
        <w:t xml:space="preserve">than two years of experience submit three years of audited financial statements.  </w:t>
      </w:r>
    </w:p>
    <w:p w:rsidR="00EE2802" w:rsidP="00EE2802">
      <w:pPr>
        <w:pStyle w:val="ParaNum"/>
      </w:pPr>
      <w:r w:rsidRPr="00102F60">
        <w:rPr>
          <w:i/>
        </w:rPr>
        <w:t>FCC Form 477 Petitions</w:t>
      </w:r>
      <w:r>
        <w:t>.  We find good cause to grant the FCC Form 477 petitions</w:t>
      </w:r>
      <w:r w:rsidR="00546CEE">
        <w:t xml:space="preserve"> </w:t>
      </w:r>
      <w:r w:rsidR="00C56760">
        <w:t>filed by applicants that</w:t>
      </w:r>
      <w:r w:rsidR="00F20B3E">
        <w:t xml:space="preserve"> have since</w:t>
      </w:r>
      <w:r w:rsidR="00C56760">
        <w:t xml:space="preserve"> filed FCC Form 477s for all</w:t>
      </w:r>
      <w:r w:rsidR="00F20B3E">
        <w:t xml:space="preserve"> three of the relevant filing periods</w:t>
      </w:r>
      <w:r w:rsidR="00C56760">
        <w:t xml:space="preserve"> </w:t>
      </w:r>
      <w:r w:rsidR="00546CEE">
        <w:t>for several reasons</w:t>
      </w:r>
      <w:r>
        <w:t xml:space="preserve">.  First, we find that special circumstances warrant deviating from the requirement that FCC Form 477 data be on file with the Commission as of February 5, 2018.  The Commission </w:t>
      </w:r>
      <w:r w:rsidR="00036888">
        <w:t xml:space="preserve">adopted </w:t>
      </w:r>
      <w:r>
        <w:t xml:space="preserve">this cut-off date </w:t>
      </w:r>
      <w:r w:rsidR="00D17A03">
        <w:t xml:space="preserve">for Auction 903 applications </w:t>
      </w:r>
      <w:r>
        <w:t xml:space="preserve">so that </w:t>
      </w:r>
      <w:r w:rsidR="001C13D4">
        <w:t>the</w:t>
      </w:r>
      <w:r>
        <w:t xml:space="preserve"> application system would be able to verify that the FCC Form 477 FRNs that were provided by the applicant were in fact used to file </w:t>
      </w:r>
      <w:r w:rsidR="00545F10">
        <w:t xml:space="preserve">FCC </w:t>
      </w:r>
      <w:r>
        <w:t xml:space="preserve">Form 477 data for the </w:t>
      </w:r>
      <w:r w:rsidR="00ED05EF">
        <w:t xml:space="preserve">relevant filing periods.  However, we </w:t>
      </w:r>
      <w:r w:rsidR="00036888">
        <w:t xml:space="preserve">were able to </w:t>
      </w:r>
      <w:r w:rsidR="00FC3395">
        <w:t>verif</w:t>
      </w:r>
      <w:r w:rsidR="00036888">
        <w:t>y</w:t>
      </w:r>
      <w:r w:rsidR="00ED05EF">
        <w:t xml:space="preserve"> that each</w:t>
      </w:r>
      <w:r w:rsidR="00D47FE1">
        <w:t xml:space="preserve"> of these</w:t>
      </w:r>
      <w:r w:rsidR="00ED05EF">
        <w:t xml:space="preserve"> applicant</w:t>
      </w:r>
      <w:r w:rsidR="00D47FE1">
        <w:t>s</w:t>
      </w:r>
      <w:r w:rsidR="000D30D2">
        <w:t xml:space="preserve"> </w:t>
      </w:r>
      <w:r w:rsidR="00ED05EF">
        <w:t>has since filed</w:t>
      </w:r>
      <w:r w:rsidR="00880653">
        <w:t>,</w:t>
      </w:r>
      <w:r w:rsidR="00546CEE">
        <w:t xml:space="preserve"> </w:t>
      </w:r>
      <w:r w:rsidR="00880653">
        <w:t xml:space="preserve">and certified to the accuracy of, </w:t>
      </w:r>
      <w:r w:rsidR="00ED05EF">
        <w:t>the required FCC Form 477 data</w:t>
      </w:r>
      <w:r w:rsidR="00546CEE">
        <w:t xml:space="preserve"> demonstrating</w:t>
      </w:r>
      <w:r w:rsidR="00036888">
        <w:t xml:space="preserve"> </w:t>
      </w:r>
      <w:r w:rsidR="00ED05EF">
        <w:t xml:space="preserve">that the applicant has been providing a broadband service for at least two years.  </w:t>
      </w:r>
      <w:r w:rsidR="00530958">
        <w:t xml:space="preserve">We conclude that </w:t>
      </w:r>
      <w:r w:rsidR="000D30D2">
        <w:t xml:space="preserve">because we were able to </w:t>
      </w:r>
      <w:r w:rsidR="00FC3395">
        <w:t xml:space="preserve">use alternative means to </w:t>
      </w:r>
      <w:r w:rsidR="000D30D2">
        <w:t>accomplish</w:t>
      </w:r>
      <w:r w:rsidR="00ED05EF">
        <w:t xml:space="preserve"> </w:t>
      </w:r>
      <w:r w:rsidR="00545F10">
        <w:t>the</w:t>
      </w:r>
      <w:r w:rsidR="00FC3395">
        <w:t xml:space="preserve"> </w:t>
      </w:r>
      <w:r w:rsidR="00ED05EF">
        <w:t>Commission’s objective of verifying that the a</w:t>
      </w:r>
      <w:r w:rsidR="009715EE">
        <w:t>pplicant has at least two years of experience</w:t>
      </w:r>
      <w:r w:rsidR="00ED05EF">
        <w:t xml:space="preserve"> </w:t>
      </w:r>
      <w:r>
        <w:t>based on its</w:t>
      </w:r>
      <w:r w:rsidR="00DC3C17">
        <w:t xml:space="preserve"> </w:t>
      </w:r>
      <w:r w:rsidR="00FC3395">
        <w:t xml:space="preserve">FCC Form 477 data, </w:t>
      </w:r>
      <w:r w:rsidR="000D30D2">
        <w:t>this</w:t>
      </w:r>
      <w:r w:rsidR="00530958">
        <w:t xml:space="preserve"> constitutes </w:t>
      </w:r>
      <w:r w:rsidR="00481B1B">
        <w:t xml:space="preserve">a </w:t>
      </w:r>
      <w:r w:rsidR="00530958">
        <w:t>special circumstance that warrant</w:t>
      </w:r>
      <w:r w:rsidR="00481B1B">
        <w:t>s</w:t>
      </w:r>
      <w:r w:rsidR="00530958">
        <w:t xml:space="preserve"> deviating from the February 5, 2018 cut-off date. </w:t>
      </w:r>
    </w:p>
    <w:p w:rsidR="00AB0386" w:rsidP="002664D2">
      <w:pPr>
        <w:pStyle w:val="ParaNum"/>
      </w:pPr>
      <w:r>
        <w:t xml:space="preserve"> </w:t>
      </w:r>
      <w:r w:rsidR="0029746D">
        <w:t>Second, we</w:t>
      </w:r>
      <w:r>
        <w:t xml:space="preserve"> conclude that it will serve the public interest to accept the late-filed FCC Form 477</w:t>
      </w:r>
      <w:r w:rsidR="00955F72">
        <w:t>s</w:t>
      </w:r>
      <w:r>
        <w:t xml:space="preserve"> </w:t>
      </w:r>
      <w:r w:rsidR="00F25DD0">
        <w:t>to verify each applicant’s experience</w:t>
      </w:r>
      <w:r>
        <w:t>.</w:t>
      </w:r>
      <w:r>
        <w:rPr>
          <w:rStyle w:val="FootnoteReference"/>
        </w:rPr>
        <w:footnoteReference w:id="20"/>
      </w:r>
      <w:r w:rsidR="007B2CEA">
        <w:t xml:space="preserve"> </w:t>
      </w:r>
      <w:r>
        <w:t xml:space="preserve">  </w:t>
      </w:r>
      <w:r w:rsidR="00F25DD0">
        <w:t xml:space="preserve">The Commission </w:t>
      </w:r>
      <w:r w:rsidR="00D23BC9">
        <w:t xml:space="preserve">noted when adopting the short-form application requirements that it was balancing maximizing participation in the auction with implementing appropriate safeguards to protect consumers in rural and high-cost areas </w:t>
      </w:r>
      <w:r w:rsidR="0029746D">
        <w:t xml:space="preserve">by ensuring that potential bidders </w:t>
      </w:r>
      <w:r w:rsidR="0029746D">
        <w:t>are financially and technically qualified to participate in the auction.</w:t>
      </w:r>
      <w:r>
        <w:rPr>
          <w:rStyle w:val="FootnoteReference"/>
        </w:rPr>
        <w:footnoteReference w:id="21"/>
      </w:r>
      <w:r w:rsidR="0029746D">
        <w:t xml:space="preserve">  </w:t>
      </w:r>
      <w:r w:rsidR="00FC3395">
        <w:t xml:space="preserve">Because </w:t>
      </w:r>
      <w:r w:rsidR="00444168">
        <w:t xml:space="preserve">these applicants have </w:t>
      </w:r>
      <w:r w:rsidR="00C47905">
        <w:t>d</w:t>
      </w:r>
      <w:r w:rsidR="00444168">
        <w:t>emonstrate</w:t>
      </w:r>
      <w:r w:rsidR="00C47905">
        <w:t>d</w:t>
      </w:r>
      <w:r w:rsidR="00444168">
        <w:t xml:space="preserve"> </w:t>
      </w:r>
      <w:r w:rsidR="00C47905">
        <w:t xml:space="preserve">that they have at least two years of experience </w:t>
      </w:r>
      <w:r w:rsidR="00444168">
        <w:t>by filing FCC Form 477</w:t>
      </w:r>
      <w:r w:rsidR="00F25C34">
        <w:t>s</w:t>
      </w:r>
      <w:r w:rsidR="00C47905">
        <w:t>—even after the February 5 deadline</w:t>
      </w:r>
      <w:r w:rsidR="000339D8">
        <w:t>—</w:t>
      </w:r>
      <w:r w:rsidR="00444168">
        <w:t>we have added assurance that these applicants have the requisite technical</w:t>
      </w:r>
      <w:r w:rsidR="00763E4E">
        <w:t xml:space="preserve"> </w:t>
      </w:r>
      <w:r w:rsidR="00444168">
        <w:t xml:space="preserve">qualifications to participate in the auction </w:t>
      </w:r>
      <w:r w:rsidR="00481B1B">
        <w:t xml:space="preserve">should they meet </w:t>
      </w:r>
      <w:r w:rsidR="00C47905">
        <w:t xml:space="preserve">all </w:t>
      </w:r>
      <w:r w:rsidR="00481B1B">
        <w:t xml:space="preserve">the </w:t>
      </w:r>
      <w:r w:rsidR="00C47905">
        <w:t>other application requirements</w:t>
      </w:r>
      <w:r w:rsidR="00444168">
        <w:t>.</w:t>
      </w:r>
      <w:r>
        <w:rPr>
          <w:rStyle w:val="FootnoteReference"/>
        </w:rPr>
        <w:footnoteReference w:id="22"/>
      </w:r>
      <w:r w:rsidR="00444168">
        <w:t xml:space="preserve">  </w:t>
      </w:r>
      <w:r w:rsidRPr="00E44E7E" w:rsidR="00C06F4F">
        <w:t>Moreover,</w:t>
      </w:r>
      <w:r w:rsidR="00C06F4F">
        <w:t xml:space="preserve"> based on our conclusion that these applicants have demonstrated the requisite experience for participation in Auction 903, we anticipate that granting this waiver will increase the likelihood of greater participation by verified experienced applicants in the auction, thereby enhancing competition for our finite Connect America Fund Phase II budget. </w:t>
      </w:r>
    </w:p>
    <w:p w:rsidR="00D0149B" w:rsidP="00AB0386">
      <w:pPr>
        <w:pStyle w:val="ParaNum"/>
      </w:pPr>
      <w:r>
        <w:t xml:space="preserve">We acknowledge that these applicants </w:t>
      </w:r>
      <w:r w:rsidR="007E4266">
        <w:t xml:space="preserve">seeking waivers </w:t>
      </w:r>
      <w:r>
        <w:t xml:space="preserve">violated the Commission’s rules by </w:t>
      </w:r>
      <w:r w:rsidR="007E4266">
        <w:t xml:space="preserve">failing to file their </w:t>
      </w:r>
      <w:r>
        <w:t>FCC Form 477</w:t>
      </w:r>
      <w:r w:rsidR="00F25C34">
        <w:t>s</w:t>
      </w:r>
      <w:r>
        <w:t xml:space="preserve"> </w:t>
      </w:r>
      <w:r w:rsidR="00DA581E">
        <w:t xml:space="preserve">by </w:t>
      </w:r>
      <w:r w:rsidR="007E4266">
        <w:t xml:space="preserve">the applicable </w:t>
      </w:r>
      <w:r w:rsidR="003C17CE">
        <w:t>deadlines</w:t>
      </w:r>
      <w:r>
        <w:t xml:space="preserve">.  It is </w:t>
      </w:r>
      <w:r w:rsidR="007E4266">
        <w:t xml:space="preserve">highly </w:t>
      </w:r>
      <w:r>
        <w:t xml:space="preserve">important that all entities </w:t>
      </w:r>
      <w:r w:rsidR="007E4266">
        <w:t xml:space="preserve">subject to these requirements </w:t>
      </w:r>
      <w:r>
        <w:t xml:space="preserve">file </w:t>
      </w:r>
      <w:r w:rsidR="007E4266">
        <w:t xml:space="preserve">their </w:t>
      </w:r>
      <w:r w:rsidR="003C17CE">
        <w:t>FCC Form 477</w:t>
      </w:r>
      <w:r w:rsidR="00F25C34">
        <w:t>s</w:t>
      </w:r>
      <w:r>
        <w:t xml:space="preserve"> on time</w:t>
      </w:r>
      <w:r w:rsidR="003C17CE">
        <w:t xml:space="preserve"> because the Commission relies on </w:t>
      </w:r>
      <w:r w:rsidR="007E4266">
        <w:t>these</w:t>
      </w:r>
      <w:r w:rsidR="00857709">
        <w:t xml:space="preserve"> data</w:t>
      </w:r>
      <w:r w:rsidR="003C17CE">
        <w:t xml:space="preserve"> to inform its policymaking.</w:t>
      </w:r>
      <w:r>
        <w:rPr>
          <w:rStyle w:val="FootnoteReference"/>
        </w:rPr>
        <w:footnoteReference w:id="23"/>
      </w:r>
      <w:r w:rsidR="003C17CE">
        <w:t xml:space="preserve">  </w:t>
      </w:r>
      <w:r w:rsidR="007E4266">
        <w:t>Nevertheless</w:t>
      </w:r>
      <w:r w:rsidR="003C17CE">
        <w:t xml:space="preserve">, in </w:t>
      </w:r>
      <w:r w:rsidR="007E4266">
        <w:t xml:space="preserve">the </w:t>
      </w:r>
      <w:r w:rsidR="003C17CE">
        <w:t>context</w:t>
      </w:r>
      <w:r w:rsidR="007E4266">
        <w:t xml:space="preserve"> of Auction 903 short-form applications</w:t>
      </w:r>
      <w:r w:rsidR="003C17CE">
        <w:t>, the FCC Form 477</w:t>
      </w:r>
      <w:r w:rsidR="00F25C34">
        <w:t>s</w:t>
      </w:r>
      <w:r w:rsidR="003C17CE">
        <w:t xml:space="preserve"> </w:t>
      </w:r>
      <w:r w:rsidR="00477D5D">
        <w:t>had a more limited utility—i</w:t>
      </w:r>
      <w:r w:rsidR="007E4266">
        <w:t xml:space="preserve">.e., </w:t>
      </w:r>
      <w:r w:rsidR="003C17CE">
        <w:t>to provide evidence of an applicant’s experience</w:t>
      </w:r>
      <w:r w:rsidR="00477D5D">
        <w:t>—</w:t>
      </w:r>
      <w:r w:rsidR="007E4266">
        <w:t xml:space="preserve">and we were able to </w:t>
      </w:r>
      <w:r w:rsidR="00780BF0">
        <w:t xml:space="preserve">overcome the absence of </w:t>
      </w:r>
      <w:r w:rsidR="007E4266">
        <w:t xml:space="preserve">such data </w:t>
      </w:r>
      <w:r w:rsidR="00780BF0">
        <w:t xml:space="preserve">with data </w:t>
      </w:r>
      <w:r w:rsidR="003C17CE">
        <w:t>filed after the Feb</w:t>
      </w:r>
      <w:r w:rsidR="00780BF0">
        <w:t>ruary 5 deadline</w:t>
      </w:r>
      <w:r w:rsidR="003C17CE">
        <w:t>.  Our decision to permit such applicants to participate in the auction if they are otherwi</w:t>
      </w:r>
      <w:r w:rsidR="008C74D6">
        <w:t xml:space="preserve">se deemed qualified does not </w:t>
      </w:r>
      <w:r w:rsidR="004E368F">
        <w:t>in any way serve as a waiver of our Form 477 filing deadlines and does not pre</w:t>
      </w:r>
      <w:r w:rsidR="003C17CE">
        <w:t xml:space="preserve">clude the Commission from </w:t>
      </w:r>
      <w:r w:rsidR="00780BF0">
        <w:t xml:space="preserve">initiating enforcement actions against parties that violate </w:t>
      </w:r>
      <w:r w:rsidR="003C17CE">
        <w:t>i</w:t>
      </w:r>
      <w:r w:rsidR="004E368F">
        <w:t>ts FCC Form 477 filing requirements</w:t>
      </w:r>
      <w:r w:rsidR="003C17CE">
        <w:t>.  Moreover, we remind applicants that they will be subject to reporting deadlines if they are authorized to receive Auction 903 support and non-compliance measures will be imposed if such filing deadlines are not met.</w:t>
      </w:r>
      <w:r>
        <w:rPr>
          <w:rStyle w:val="FootnoteReference"/>
        </w:rPr>
        <w:footnoteReference w:id="24"/>
      </w:r>
      <w:r w:rsidR="003C17CE">
        <w:t xml:space="preserve">  </w:t>
      </w:r>
    </w:p>
    <w:p w:rsidR="00444168" w:rsidP="00AB0386">
      <w:pPr>
        <w:pStyle w:val="ParaNum"/>
      </w:pPr>
      <w:r>
        <w:t xml:space="preserve">Finally, </w:t>
      </w:r>
      <w:r w:rsidR="00D0149B">
        <w:t>our decision to grant the</w:t>
      </w:r>
      <w:r w:rsidR="00780BF0">
        <w:t xml:space="preserve"> applicants’</w:t>
      </w:r>
      <w:r w:rsidR="00D0149B">
        <w:t xml:space="preserve"> petitions for </w:t>
      </w:r>
      <w:r>
        <w:t xml:space="preserve">waiver does not </w:t>
      </w:r>
      <w:r w:rsidR="00D0149B">
        <w:t xml:space="preserve">necessarily </w:t>
      </w:r>
      <w:r w:rsidR="00780BF0">
        <w:t xml:space="preserve">mean that </w:t>
      </w:r>
      <w:r w:rsidR="00D0149B">
        <w:t xml:space="preserve">these applicants </w:t>
      </w:r>
      <w:r w:rsidR="00780BF0">
        <w:t xml:space="preserve">are qualified </w:t>
      </w:r>
      <w:r w:rsidR="00D0149B">
        <w:t xml:space="preserve">to participate in Auction 903.  </w:t>
      </w:r>
      <w:r w:rsidR="00780BF0">
        <w:t xml:space="preserve">Our </w:t>
      </w:r>
      <w:r w:rsidR="00D0149B">
        <w:t xml:space="preserve">final decision about whether an applicant is qualified to </w:t>
      </w:r>
      <w:r w:rsidR="00780BF0">
        <w:t xml:space="preserve">bid </w:t>
      </w:r>
      <w:r w:rsidR="00D0149B">
        <w:t xml:space="preserve">in the auction will be based on each applicant’s entire application and </w:t>
      </w:r>
      <w:r w:rsidR="00D47FE1">
        <w:t>is</w:t>
      </w:r>
      <w:r w:rsidR="00D0149B">
        <w:t xml:space="preserve"> announced </w:t>
      </w:r>
      <w:r w:rsidR="00D47FE1">
        <w:t xml:space="preserve">in the </w:t>
      </w:r>
      <w:r w:rsidRPr="00B84856" w:rsidR="00D47FE1">
        <w:rPr>
          <w:i/>
        </w:rPr>
        <w:t>Qualified Bidders</w:t>
      </w:r>
      <w:r w:rsidRPr="00B84856" w:rsidR="00D0149B">
        <w:rPr>
          <w:i/>
        </w:rPr>
        <w:t xml:space="preserve"> </w:t>
      </w:r>
      <w:r w:rsidRPr="00B84856" w:rsidR="004A39B4">
        <w:rPr>
          <w:i/>
        </w:rPr>
        <w:t>P</w:t>
      </w:r>
      <w:r w:rsidRPr="00B84856" w:rsidR="00D0149B">
        <w:rPr>
          <w:i/>
        </w:rPr>
        <w:t xml:space="preserve">ublic </w:t>
      </w:r>
      <w:r w:rsidRPr="00B84856" w:rsidR="004A39B4">
        <w:rPr>
          <w:i/>
        </w:rPr>
        <w:t>N</w:t>
      </w:r>
      <w:r w:rsidRPr="00B84856" w:rsidR="00D0149B">
        <w:rPr>
          <w:i/>
        </w:rPr>
        <w:t>otice</w:t>
      </w:r>
      <w:r w:rsidR="00D47FE1">
        <w:t xml:space="preserve"> released today</w:t>
      </w:r>
      <w:r w:rsidR="00D0149B">
        <w:t>.</w:t>
      </w:r>
      <w:r>
        <w:rPr>
          <w:rStyle w:val="FootnoteReference"/>
        </w:rPr>
        <w:footnoteReference w:id="25"/>
      </w:r>
    </w:p>
    <w:p w:rsidR="00D47FE1" w:rsidP="00AB0386">
      <w:pPr>
        <w:pStyle w:val="ParaNum"/>
      </w:pPr>
      <w:r>
        <w:t xml:space="preserve">We do, however, deny the petition for waiver filed by Net Vision.  Net Vision still </w:t>
      </w:r>
      <w:r w:rsidR="00DA3D86">
        <w:t xml:space="preserve">has </w:t>
      </w:r>
      <w:r>
        <w:t xml:space="preserve">not filed </w:t>
      </w:r>
      <w:r w:rsidR="004A39B4">
        <w:t xml:space="preserve">a FCC Form 477 </w:t>
      </w:r>
      <w:r>
        <w:t xml:space="preserve">for the </w:t>
      </w:r>
      <w:r w:rsidR="00DA3D86">
        <w:t>data as of June 30, 2016 filing.  Thus,</w:t>
      </w:r>
      <w:r>
        <w:t xml:space="preserve"> we are not able to accomplish the Commission’s objective of verifying that</w:t>
      </w:r>
      <w:r w:rsidR="004E368F">
        <w:t>, on a timely basis,</w:t>
      </w:r>
      <w:r>
        <w:t xml:space="preserve"> the applicant has at least two years of experience based on its FCC Form 477 data</w:t>
      </w:r>
      <w:r w:rsidR="00DA3D86">
        <w:t xml:space="preserve">.  Net Vision also did not provide any other justification that would enable us </w:t>
      </w:r>
      <w:r>
        <w:t xml:space="preserve">to find </w:t>
      </w:r>
      <w:r w:rsidR="00DA3D86">
        <w:t>good cause for</w:t>
      </w:r>
      <w:r w:rsidR="001D335C">
        <w:t xml:space="preserve"> granting its</w:t>
      </w:r>
      <w:r>
        <w:t xml:space="preserve"> waiver.  </w:t>
      </w:r>
    </w:p>
    <w:p w:rsidR="00863366" w:rsidP="00AB0386">
      <w:pPr>
        <w:pStyle w:val="ParaNum"/>
      </w:pPr>
      <w:r>
        <w:rPr>
          <w:i/>
        </w:rPr>
        <w:t>Three-</w:t>
      </w:r>
      <w:r w:rsidRPr="006C217A" w:rsidR="006C217A">
        <w:rPr>
          <w:i/>
        </w:rPr>
        <w:t>Years Audited Financial Statements.</w:t>
      </w:r>
      <w:r w:rsidR="006C217A">
        <w:t xml:space="preserve">  </w:t>
      </w:r>
      <w:r w:rsidR="004B0052">
        <w:t>W</w:t>
      </w:r>
      <w:r w:rsidR="006C217A">
        <w:t xml:space="preserve">e decline to </w:t>
      </w:r>
      <w:r w:rsidR="00306E24">
        <w:t xml:space="preserve">waive </w:t>
      </w:r>
      <w:r w:rsidR="006C217A">
        <w:t xml:space="preserve">the requirement that an applicant with </w:t>
      </w:r>
      <w:r w:rsidR="00306E24">
        <w:t xml:space="preserve">fewer </w:t>
      </w:r>
      <w:r w:rsidR="006C217A">
        <w:t>than two years of experience submit three years of audited financ</w:t>
      </w:r>
      <w:r w:rsidR="00071674">
        <w:t>ial statements with its application.</w:t>
      </w:r>
      <w:r w:rsidR="006C217A">
        <w:t xml:space="preserve">  First, </w:t>
      </w:r>
      <w:r w:rsidR="00A57149">
        <w:t>Sonus</w:t>
      </w:r>
      <w:r w:rsidR="00071674">
        <w:t xml:space="preserve"> did </w:t>
      </w:r>
      <w:r w:rsidR="0082667A">
        <w:t xml:space="preserve">not </w:t>
      </w:r>
      <w:r w:rsidR="000F7787">
        <w:t>demonstrate that special circumstance</w:t>
      </w:r>
      <w:r w:rsidR="00763E4E">
        <w:t>s</w:t>
      </w:r>
      <w:r w:rsidR="000F7787">
        <w:t xml:space="preserve"> warrant deviating from this requirement.  </w:t>
      </w:r>
      <w:r w:rsidR="00A57149">
        <w:t>Sonus</w:t>
      </w:r>
      <w:r w:rsidR="000F7787">
        <w:t xml:space="preserve"> did not </w:t>
      </w:r>
      <w:r w:rsidR="00071674">
        <w:t>provide a</w:t>
      </w:r>
      <w:r w:rsidR="00306E24">
        <w:t xml:space="preserve"> detailed </w:t>
      </w:r>
      <w:r w:rsidR="00071674">
        <w:t xml:space="preserve">explanation </w:t>
      </w:r>
      <w:r w:rsidR="00011CAC">
        <w:t xml:space="preserve">in its petition </w:t>
      </w:r>
      <w:r w:rsidR="00306E24">
        <w:t xml:space="preserve">regarding </w:t>
      </w:r>
      <w:r w:rsidR="00071674">
        <w:t>why it was unable to submit audited financial statements with its application</w:t>
      </w:r>
      <w:r>
        <w:t>.  Instead, Sonus merely states</w:t>
      </w:r>
      <w:r w:rsidR="00071674">
        <w:t xml:space="preserve"> that it</w:t>
      </w:r>
      <w:r w:rsidR="00936450">
        <w:t xml:space="preserve"> “could not </w:t>
      </w:r>
      <w:r w:rsidR="00936450">
        <w:t>complete the audit process in the allocated time provided for updated responses” and</w:t>
      </w:r>
      <w:r w:rsidR="00071674">
        <w:t xml:space="preserve"> would </w:t>
      </w:r>
      <w:r w:rsidR="004B0052">
        <w:t xml:space="preserve">“commit” to submitting audited financial statements upon </w:t>
      </w:r>
      <w:r w:rsidR="00936450">
        <w:t>its “acceptance to the”</w:t>
      </w:r>
      <w:r w:rsidR="004B0052">
        <w:t xml:space="preserve"> auction</w:t>
      </w:r>
      <w:r w:rsidR="00071674">
        <w:t>.</w:t>
      </w:r>
      <w:r>
        <w:rPr>
          <w:rStyle w:val="FootnoteReference"/>
        </w:rPr>
        <w:footnoteReference w:id="26"/>
      </w:r>
      <w:r w:rsidR="00071674">
        <w:t xml:space="preserve">  </w:t>
      </w:r>
      <w:r w:rsidR="00936E52">
        <w:t xml:space="preserve">In contrast to our decision above with respect to </w:t>
      </w:r>
      <w:r w:rsidR="000F7787">
        <w:t>late-filed FCC Form 477 data, the</w:t>
      </w:r>
      <w:r w:rsidR="00936E52">
        <w:t xml:space="preserve">re are no other </w:t>
      </w:r>
      <w:r w:rsidR="000F7787">
        <w:t xml:space="preserve">means </w:t>
      </w:r>
      <w:r w:rsidR="00936E52">
        <w:t xml:space="preserve">available </w:t>
      </w:r>
      <w:r w:rsidR="000F7787">
        <w:t xml:space="preserve">to accomplish the Commission’s </w:t>
      </w:r>
      <w:r w:rsidR="00A10738">
        <w:t xml:space="preserve">objective </w:t>
      </w:r>
      <w:r w:rsidR="008B0C36">
        <w:t xml:space="preserve">of having applicants that lack two years of experience demonstrate their financial qualifications </w:t>
      </w:r>
      <w:r w:rsidR="00D15378">
        <w:t xml:space="preserve">through the use of </w:t>
      </w:r>
      <w:r w:rsidRPr="00D0149B" w:rsidR="008B0C36">
        <w:rPr>
          <w:i/>
        </w:rPr>
        <w:t>audited</w:t>
      </w:r>
      <w:r w:rsidR="008B0C36">
        <w:t xml:space="preserve"> financial information.</w:t>
      </w:r>
      <w:r w:rsidR="00011CAC">
        <w:t xml:space="preserve"> </w:t>
      </w:r>
      <w:r>
        <w:t xml:space="preserve"> </w:t>
      </w:r>
    </w:p>
    <w:p w:rsidR="005C2C97" w:rsidP="00AB0386">
      <w:pPr>
        <w:pStyle w:val="ParaNum"/>
      </w:pPr>
      <w:r>
        <w:t xml:space="preserve">All Auction 903 participants are required to submit audited financial statements prior to being authorized to receive support.  </w:t>
      </w:r>
      <w:r w:rsidR="00D17A03">
        <w:t>When the Commission adopted this rule in May 2016, it</w:t>
      </w:r>
      <w:r w:rsidR="00863366">
        <w:t xml:space="preserve"> emphasized the importance of being able to review financial statements that had been audited by an independent certified public accountant.</w:t>
      </w:r>
      <w:r>
        <w:rPr>
          <w:rStyle w:val="FootnoteReference"/>
        </w:rPr>
        <w:footnoteReference w:id="27"/>
      </w:r>
      <w:r w:rsidR="00863366">
        <w:t xml:space="preserve">  </w:t>
      </w:r>
      <w:r w:rsidR="009F10A8">
        <w:t xml:space="preserve">The Commission </w:t>
      </w:r>
      <w:r>
        <w:t xml:space="preserve">noted that auditors </w:t>
      </w:r>
      <w:r w:rsidR="009F10A8">
        <w:t>“develop a detailed understanding of the internal controls environment and conduct more in-depth testing of individual transactions posted to the general ledger.”</w:t>
      </w:r>
      <w:r>
        <w:rPr>
          <w:rStyle w:val="FootnoteReference"/>
        </w:rPr>
        <w:footnoteReference w:id="28"/>
      </w:r>
      <w:r>
        <w:t xml:space="preserve">  </w:t>
      </w:r>
      <w:r w:rsidR="009F10A8">
        <w:t>The</w:t>
      </w:r>
      <w:r w:rsidR="00863366">
        <w:t xml:space="preserve"> Commission gave experienced applicants </w:t>
      </w:r>
      <w:r w:rsidR="009848D8">
        <w:t xml:space="preserve">that are not audited in the ordinary course of business </w:t>
      </w:r>
      <w:r w:rsidR="00863366">
        <w:t xml:space="preserve">the option of submitting one year of </w:t>
      </w:r>
      <w:r w:rsidRPr="0082667A" w:rsidR="00863366">
        <w:rPr>
          <w:i/>
        </w:rPr>
        <w:t>unaudited</w:t>
      </w:r>
      <w:r w:rsidR="00863366">
        <w:t xml:space="preserve"> financial statements with their short-form applications if they certified they would provide </w:t>
      </w:r>
      <w:r w:rsidRPr="0082667A" w:rsidR="00863366">
        <w:rPr>
          <w:i/>
        </w:rPr>
        <w:t xml:space="preserve">audited </w:t>
      </w:r>
      <w:r w:rsidR="00863366">
        <w:t>financial statements within 180 days of bei</w:t>
      </w:r>
      <w:r w:rsidR="009F10A8">
        <w:t>ng announced as winning bidders.</w:t>
      </w:r>
      <w:r>
        <w:rPr>
          <w:rStyle w:val="FootnoteReference"/>
        </w:rPr>
        <w:footnoteReference w:id="29"/>
      </w:r>
      <w:r w:rsidR="009F10A8">
        <w:t xml:space="preserve">  However,</w:t>
      </w:r>
      <w:r w:rsidR="00863366">
        <w:t xml:space="preserve"> the Commission specifically declined to extend this option to applicants with fewer than two years of experience due to their lack of operating history</w:t>
      </w:r>
      <w:r w:rsidR="009F10A8">
        <w:t xml:space="preserve"> and instead required that such applicants submit audited financial statements with the short-form application</w:t>
      </w:r>
      <w:r w:rsidR="00863366">
        <w:t>.</w:t>
      </w:r>
      <w:r>
        <w:rPr>
          <w:rStyle w:val="FootnoteReference"/>
        </w:rPr>
        <w:footnoteReference w:id="30"/>
      </w:r>
    </w:p>
    <w:p w:rsidR="004F1FBD" w:rsidP="00AF264D">
      <w:pPr>
        <w:pStyle w:val="ParaNum"/>
      </w:pPr>
      <w:r>
        <w:t xml:space="preserve">Our conclusion that </w:t>
      </w:r>
      <w:r w:rsidR="00D15378">
        <w:t xml:space="preserve">Sonus has not </w:t>
      </w:r>
      <w:r w:rsidR="00477D5D">
        <w:t xml:space="preserve">demonstrated </w:t>
      </w:r>
      <w:r>
        <w:t>special circumstances is sufficient grounds for denying this petition.</w:t>
      </w:r>
      <w:r>
        <w:rPr>
          <w:rStyle w:val="FootnoteReference"/>
        </w:rPr>
        <w:footnoteReference w:id="31"/>
      </w:r>
      <w:r>
        <w:t xml:space="preserve">  Nevertheless, we </w:t>
      </w:r>
      <w:r w:rsidR="00F50E24">
        <w:t xml:space="preserve">also </w:t>
      </w:r>
      <w:r>
        <w:t xml:space="preserve">are not persuaded that granting this waiver petition would serve the public interest.  </w:t>
      </w:r>
      <w:r w:rsidR="001C6218">
        <w:t xml:space="preserve">For the reasons explained above, we </w:t>
      </w:r>
      <w:r w:rsidR="00011CAC">
        <w:t xml:space="preserve">conclude </w:t>
      </w:r>
      <w:r w:rsidR="00696ED7">
        <w:t xml:space="preserve">that it would undermine the Commission’s role as steward of the public funding to permit an </w:t>
      </w:r>
      <w:r w:rsidR="001C6218">
        <w:t xml:space="preserve">inexperienced </w:t>
      </w:r>
      <w:r w:rsidR="00696ED7">
        <w:t xml:space="preserve">applicant to </w:t>
      </w:r>
      <w:r w:rsidR="00D15378">
        <w:t xml:space="preserve">bid </w:t>
      </w:r>
      <w:r w:rsidR="00696ED7">
        <w:t xml:space="preserve">in the auction </w:t>
      </w:r>
      <w:r w:rsidR="001C6218">
        <w:t>when such an</w:t>
      </w:r>
      <w:r w:rsidR="00D15378">
        <w:t xml:space="preserve"> applicant had not provided </w:t>
      </w:r>
      <w:r w:rsidR="00696ED7">
        <w:t xml:space="preserve">audited financial statements </w:t>
      </w:r>
      <w:r w:rsidR="00D15378">
        <w:t xml:space="preserve">with its short-form application, thus denying </w:t>
      </w:r>
      <w:r w:rsidR="00696ED7">
        <w:t xml:space="preserve">the Bureaus </w:t>
      </w:r>
      <w:r w:rsidR="00D15378">
        <w:t xml:space="preserve">a sufficient opportunity </w:t>
      </w:r>
      <w:r w:rsidR="00696ED7">
        <w:t xml:space="preserve">to </w:t>
      </w:r>
      <w:r w:rsidR="004E368F">
        <w:t xml:space="preserve">accurately </w:t>
      </w:r>
      <w:r w:rsidR="00696ED7">
        <w:t>assess the appl</w:t>
      </w:r>
      <w:r w:rsidR="00C95CF6">
        <w:t>icant’s financial qualifications</w:t>
      </w:r>
      <w:r w:rsidR="003923C9">
        <w:t>.</w:t>
      </w:r>
      <w:r>
        <w:rPr>
          <w:rStyle w:val="FootnoteReference"/>
        </w:rPr>
        <w:footnoteReference w:id="32"/>
      </w:r>
      <w:r w:rsidR="00DB57AF">
        <w:t xml:space="preserve"> </w:t>
      </w:r>
    </w:p>
    <w:p w:rsidR="00DD5DF8" w:rsidRPr="0019242C" w:rsidP="00DD5DF8">
      <w:pPr>
        <w:pStyle w:val="Heading1"/>
        <w:widowControl/>
      </w:pPr>
      <w:r w:rsidRPr="0019242C">
        <w:t>ORDERING CLAUSES</w:t>
      </w:r>
    </w:p>
    <w:p w:rsidR="00DD5DF8" w:rsidRPr="0019242C" w:rsidP="00920C7C">
      <w:pPr>
        <w:pStyle w:val="ParaNum"/>
        <w:tabs>
          <w:tab w:val="clear" w:pos="1080"/>
        </w:tabs>
      </w:pPr>
      <w:r w:rsidRPr="0019242C">
        <w:t xml:space="preserve">Accordingly, IT IS ORDERED, pursuant to sections 1, 4(i), 5(c), and 254 of the Communications Act of 1934, as amended, 47 U.S.C. §§ 151, 154(i), 155(c), 254, and sections 0.91, </w:t>
      </w:r>
      <w:r w:rsidR="008B37E1">
        <w:t xml:space="preserve">0.131, </w:t>
      </w:r>
      <w:r w:rsidRPr="0019242C">
        <w:t>0.291,</w:t>
      </w:r>
      <w:r w:rsidR="008B37E1">
        <w:t xml:space="preserve"> 0.331,</w:t>
      </w:r>
      <w:r w:rsidRPr="0019242C">
        <w:t xml:space="preserve"> and 1.3 of the Commission’s rules, 47 CFR §§ 0.91, </w:t>
      </w:r>
      <w:r w:rsidR="008B37E1">
        <w:t xml:space="preserve">0.131, </w:t>
      </w:r>
      <w:r w:rsidRPr="0019242C">
        <w:t>0.291,</w:t>
      </w:r>
      <w:r w:rsidR="008B37E1">
        <w:t xml:space="preserve"> 0.331,</w:t>
      </w:r>
      <w:r w:rsidRPr="0019242C">
        <w:t xml:space="preserve"> 1.3, that this Order IS ADOPTED.</w:t>
      </w:r>
    </w:p>
    <w:p w:rsidR="000B34A4" w:rsidP="00B017B9">
      <w:pPr>
        <w:pStyle w:val="ParaNum"/>
      </w:pPr>
      <w:r w:rsidRPr="0019242C">
        <w:t>IT IS FURTHER ORDERED that</w:t>
      </w:r>
      <w:r>
        <w:t xml:space="preserve"> the </w:t>
      </w:r>
      <w:r w:rsidR="00580FEB">
        <w:t>petition</w:t>
      </w:r>
      <w:r w:rsidR="00574131">
        <w:t>s</w:t>
      </w:r>
      <w:r w:rsidR="00580FEB">
        <w:t xml:space="preserve"> for waiver filed by </w:t>
      </w:r>
      <w:r w:rsidRPr="00114CB1" w:rsidR="002B03BA">
        <w:t>Workable Programs and Systems, Inc.; Redzone Wireless, LLC; Emerald Cable Co LLC; Hankins Information Technology; Good Connections, LLC; Red Spectrum Communications LLC</w:t>
      </w:r>
      <w:r w:rsidRPr="00114CB1" w:rsidR="00AF264D">
        <w:t xml:space="preserve">; 360 Communications, Inc.; </w:t>
      </w:r>
      <w:r w:rsidRPr="00114CB1" w:rsidR="002B03BA">
        <w:t>Pueblo of Laguna Utility Authority, Inc.</w:t>
      </w:r>
      <w:r w:rsidRPr="00114CB1" w:rsidR="00AF264D">
        <w:t>; Northern Arapaho Tribal Industries, and Skyrunner, Inc.</w:t>
      </w:r>
      <w:r w:rsidR="002B03BA">
        <w:t xml:space="preserve"> </w:t>
      </w:r>
      <w:r w:rsidR="00574131">
        <w:t xml:space="preserve">ARE GRANTED </w:t>
      </w:r>
      <w:r w:rsidRPr="0019242C">
        <w:t>as described herein</w:t>
      </w:r>
      <w:r>
        <w:t>.</w:t>
      </w:r>
    </w:p>
    <w:p w:rsidR="00574131" w:rsidP="00B017B9">
      <w:pPr>
        <w:pStyle w:val="ParaNum"/>
      </w:pPr>
      <w:r>
        <w:t>IT IS FURTHER ORDERED that the petition</w:t>
      </w:r>
      <w:r w:rsidR="004A39B4">
        <w:t>s</w:t>
      </w:r>
      <w:r>
        <w:t xml:space="preserve"> for waiver filed by </w:t>
      </w:r>
      <w:r w:rsidR="004A39B4">
        <w:t xml:space="preserve">Net Vision Communications, LLC and </w:t>
      </w:r>
      <w:r w:rsidR="00AF264D">
        <w:t>Sonus Technologies</w:t>
      </w:r>
      <w:r w:rsidR="00A57149">
        <w:t>,</w:t>
      </w:r>
      <w:r w:rsidR="00AF264D">
        <w:t xml:space="preserve"> Inc. </w:t>
      </w:r>
      <w:r w:rsidR="004A39B4">
        <w:t>ARE</w:t>
      </w:r>
      <w:r w:rsidR="00AF264D">
        <w:t xml:space="preserve"> DENIED</w:t>
      </w:r>
      <w:r>
        <w:t xml:space="preserve"> as described herein.</w:t>
      </w:r>
    </w:p>
    <w:p w:rsidR="00DD5DF8" w:rsidRPr="0019242C" w:rsidP="00B017B9">
      <w:pPr>
        <w:pStyle w:val="ParaNum"/>
      </w:pPr>
      <w:r w:rsidRPr="0019242C">
        <w:t>IT IS FURTHER ORDERED that, pursuant to section 1.102(b)(1) of the Commission’s rules, 47 CFR § 1.102(b)(1), this Order SHALL BE EFFECTIVE upon release.</w:t>
      </w:r>
    </w:p>
    <w:p w:rsidR="00DD5DF8" w:rsidRPr="0019242C" w:rsidP="00B017B9">
      <w:pPr>
        <w:pStyle w:val="ParaNum"/>
        <w:numPr>
          <w:ilvl w:val="0"/>
          <w:numId w:val="0"/>
        </w:numPr>
      </w:pPr>
    </w:p>
    <w:p w:rsidR="00DD5DF8" w:rsidRPr="0019242C" w:rsidP="00DD5DF8">
      <w:pPr>
        <w:pStyle w:val="Header"/>
        <w:tabs>
          <w:tab w:val="clear" w:pos="4320"/>
          <w:tab w:val="clear" w:pos="8640"/>
        </w:tabs>
        <w:ind w:left="4320"/>
        <w:rPr>
          <w:szCs w:val="22"/>
        </w:rPr>
      </w:pPr>
      <w:r w:rsidRPr="0019242C">
        <w:rPr>
          <w:szCs w:val="22"/>
        </w:rPr>
        <w:t>FEDERAL COMMUNICATIONS COMMISSION</w:t>
      </w:r>
    </w:p>
    <w:p w:rsidR="00DD5DF8" w:rsidRPr="0019242C" w:rsidP="00DD5DF8">
      <w:pPr>
        <w:pStyle w:val="Header"/>
        <w:tabs>
          <w:tab w:val="clear" w:pos="4320"/>
          <w:tab w:val="clear" w:pos="8640"/>
        </w:tabs>
        <w:rPr>
          <w:szCs w:val="22"/>
        </w:rPr>
      </w:pPr>
    </w:p>
    <w:p w:rsidR="00DD5DF8" w:rsidRPr="0019242C" w:rsidP="00DD5DF8">
      <w:pPr>
        <w:pStyle w:val="Header"/>
        <w:tabs>
          <w:tab w:val="clear" w:pos="4320"/>
          <w:tab w:val="clear" w:pos="8640"/>
        </w:tabs>
        <w:rPr>
          <w:szCs w:val="22"/>
        </w:rPr>
      </w:pPr>
    </w:p>
    <w:p w:rsidR="0020415C" w:rsidRPr="0019242C" w:rsidP="00DD5DF8">
      <w:pPr>
        <w:pStyle w:val="Header"/>
        <w:tabs>
          <w:tab w:val="clear" w:pos="4320"/>
          <w:tab w:val="clear" w:pos="8640"/>
        </w:tabs>
        <w:rPr>
          <w:szCs w:val="22"/>
        </w:rPr>
      </w:pPr>
    </w:p>
    <w:p w:rsidR="0020415C" w:rsidRPr="0019242C" w:rsidP="00DD5DF8">
      <w:pPr>
        <w:pStyle w:val="Header"/>
        <w:tabs>
          <w:tab w:val="clear" w:pos="4320"/>
          <w:tab w:val="clear" w:pos="8640"/>
        </w:tabs>
        <w:rPr>
          <w:szCs w:val="22"/>
        </w:rPr>
      </w:pPr>
    </w:p>
    <w:p w:rsidR="00DD5DF8" w:rsidRPr="0019242C"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402621">
        <w:rPr>
          <w:szCs w:val="22"/>
        </w:rPr>
        <w:t>Kris A. Monteith</w:t>
      </w:r>
      <w:r w:rsidRPr="0019242C">
        <w:rPr>
          <w:szCs w:val="22"/>
        </w:rPr>
        <w:tab/>
      </w:r>
      <w:r w:rsidRPr="0019242C">
        <w:rPr>
          <w:szCs w:val="22"/>
        </w:rPr>
        <w:tab/>
      </w:r>
      <w:r w:rsidRPr="0019242C">
        <w:rPr>
          <w:szCs w:val="22"/>
        </w:rPr>
        <w:tab/>
      </w:r>
    </w:p>
    <w:p w:rsidR="00272AB3" w:rsidRPr="0019242C"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402621">
        <w:rPr>
          <w:szCs w:val="22"/>
        </w:rPr>
        <w:t>Chief</w:t>
      </w:r>
    </w:p>
    <w:p w:rsidR="003B41B5" w:rsidP="00B017B9">
      <w:pPr>
        <w:pStyle w:val="ParaNum"/>
        <w:numPr>
          <w:ilvl w:val="0"/>
          <w:numId w:val="0"/>
        </w:numPr>
        <w:ind w:left="720"/>
      </w:pPr>
      <w:r w:rsidRPr="0019242C">
        <w:tab/>
      </w:r>
      <w:r w:rsidRPr="0019242C">
        <w:tab/>
      </w:r>
      <w:r w:rsidRPr="0019242C">
        <w:tab/>
      </w:r>
      <w:r w:rsidRPr="0019242C">
        <w:tab/>
      </w:r>
      <w:r w:rsidRPr="0019242C">
        <w:tab/>
        <w:t>Wireline Competition Bureau</w:t>
      </w:r>
    </w:p>
    <w:p w:rsidR="00402621" w:rsidP="00B017B9">
      <w:pPr>
        <w:pStyle w:val="ParaNum"/>
        <w:numPr>
          <w:ilvl w:val="0"/>
          <w:numId w:val="0"/>
        </w:numPr>
        <w:ind w:left="720"/>
      </w:pPr>
    </w:p>
    <w:p w:rsidR="00402621" w:rsidP="00FB6FEA">
      <w:pPr>
        <w:pStyle w:val="ParaNum"/>
        <w:numPr>
          <w:ilvl w:val="0"/>
          <w:numId w:val="0"/>
        </w:numPr>
        <w:spacing w:after="0"/>
        <w:ind w:left="720"/>
      </w:pPr>
      <w:r>
        <w:tab/>
      </w:r>
      <w:r>
        <w:tab/>
      </w:r>
      <w:r>
        <w:tab/>
      </w:r>
      <w:r>
        <w:tab/>
      </w:r>
      <w:r>
        <w:tab/>
        <w:t>Donald K. Stockdale</w:t>
      </w:r>
    </w:p>
    <w:p w:rsidR="00402621" w:rsidP="00FB6FEA">
      <w:pPr>
        <w:pStyle w:val="ParaNum"/>
        <w:numPr>
          <w:ilvl w:val="0"/>
          <w:numId w:val="0"/>
        </w:numPr>
        <w:spacing w:after="0"/>
        <w:ind w:left="720"/>
      </w:pPr>
      <w:r>
        <w:tab/>
      </w:r>
      <w:r>
        <w:tab/>
      </w:r>
      <w:r>
        <w:tab/>
      </w:r>
      <w:r>
        <w:tab/>
      </w:r>
      <w:r>
        <w:tab/>
        <w:t>Chief</w:t>
      </w:r>
    </w:p>
    <w:p w:rsidR="00402621" w:rsidP="00FB6FEA">
      <w:pPr>
        <w:pStyle w:val="ParaNum"/>
        <w:numPr>
          <w:ilvl w:val="0"/>
          <w:numId w:val="0"/>
        </w:numPr>
        <w:spacing w:after="0"/>
        <w:ind w:left="720"/>
      </w:pPr>
      <w:r>
        <w:tab/>
      </w:r>
      <w:r>
        <w:tab/>
      </w:r>
      <w:r>
        <w:tab/>
      </w:r>
      <w:r>
        <w:tab/>
      </w:r>
      <w:r>
        <w:tab/>
        <w:t>Wireless Telecommunications Bureau</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8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764E">
      <w:pPr>
        <w:rPr>
          <w:sz w:val="20"/>
        </w:rPr>
      </w:pPr>
      <w:r>
        <w:rPr>
          <w:sz w:val="20"/>
        </w:rPr>
        <w:separator/>
      </w:r>
    </w:p>
  </w:footnote>
  <w:footnote w:type="continuationSeparator" w:id="1">
    <w:p w:rsidR="00E6764E">
      <w:pPr>
        <w:rPr>
          <w:sz w:val="20"/>
        </w:rPr>
      </w:pPr>
      <w:r>
        <w:rPr>
          <w:sz w:val="20"/>
        </w:rPr>
        <w:separator/>
      </w:r>
    </w:p>
    <w:p w:rsidR="00E6764E">
      <w:pPr>
        <w:rPr>
          <w:sz w:val="20"/>
        </w:rPr>
      </w:pPr>
      <w:r>
        <w:rPr>
          <w:sz w:val="20"/>
        </w:rPr>
        <w:t>(...continued from previous page)</w:t>
      </w:r>
    </w:p>
  </w:footnote>
  <w:footnote w:type="continuationNotice" w:id="2">
    <w:p w:rsidR="00E6764E">
      <w:pPr>
        <w:jc w:val="right"/>
        <w:rPr>
          <w:sz w:val="20"/>
        </w:rPr>
      </w:pPr>
      <w:r>
        <w:rPr>
          <w:sz w:val="20"/>
        </w:rPr>
        <w:t>(continued....)</w:t>
      </w:r>
    </w:p>
  </w:footnote>
  <w:footnote w:id="3">
    <w:p w:rsidR="00B91AA0">
      <w:pPr>
        <w:pStyle w:val="FootnoteText"/>
      </w:pPr>
      <w:r>
        <w:rPr>
          <w:rStyle w:val="FootnoteReference"/>
        </w:rPr>
        <w:footnoteRef/>
      </w:r>
      <w:r>
        <w:t xml:space="preserve"> </w:t>
      </w:r>
      <w:r>
        <w:rPr>
          <w:i/>
        </w:rPr>
        <w:t>Connect America Fund et al.</w:t>
      </w:r>
      <w:r>
        <w:t>, Report and Order and Further Notice of Proposed Rulemaking, 31 FCC Rcd 5949, 5980, para. 92 (2016) (</w:t>
      </w:r>
      <w:r w:rsidRPr="008461B0">
        <w:rPr>
          <w:i/>
        </w:rPr>
        <w:t>Phase II Auction Order</w:t>
      </w:r>
      <w:r>
        <w:t>).</w:t>
      </w:r>
    </w:p>
  </w:footnote>
  <w:footnote w:id="4">
    <w:p w:rsidR="005A6920" w:rsidP="00E05A78">
      <w:pPr>
        <w:pStyle w:val="FootnoteText"/>
        <w:jc w:val="left"/>
      </w:pPr>
      <w:r>
        <w:rPr>
          <w:rStyle w:val="FootnoteReference"/>
        </w:rPr>
        <w:footnoteRef/>
      </w:r>
      <w:r>
        <w:t xml:space="preserve"> </w:t>
      </w:r>
      <w:r w:rsidRPr="003172F5" w:rsidR="00B91AA0">
        <w:rPr>
          <w:i/>
        </w:rPr>
        <w:t>See Connect America Fund Phase II Auction Scheduled for July 24, 2018; Notice and Filing Requirements and Other Procedures for Auction 903</w:t>
      </w:r>
      <w:r w:rsidR="00B91AA0">
        <w:t>, Public Notice, 33 FCC Rcd 1428 (2018) (</w:t>
      </w:r>
      <w:r w:rsidRPr="003172F5" w:rsidR="00B91AA0">
        <w:rPr>
          <w:i/>
        </w:rPr>
        <w:t>Auction 903 Procedures Public Notice</w:t>
      </w:r>
      <w:r w:rsidR="00B91AA0">
        <w:t>)</w:t>
      </w:r>
    </w:p>
  </w:footnote>
  <w:footnote w:id="5">
    <w:p w:rsidR="009872F1" w:rsidP="009872F1">
      <w:pPr>
        <w:pStyle w:val="FootnoteText"/>
        <w:jc w:val="left"/>
      </w:pPr>
      <w:r>
        <w:rPr>
          <w:rStyle w:val="FootnoteReference"/>
        </w:rPr>
        <w:footnoteRef/>
      </w:r>
      <w:r w:rsidR="00B91AA0">
        <w:t xml:space="preserve"> </w:t>
      </w:r>
      <w:r w:rsidRPr="00B91AA0" w:rsidR="00B91AA0">
        <w:rPr>
          <w:i/>
        </w:rPr>
        <w:t>Id.</w:t>
      </w:r>
      <w:r w:rsidR="00B91AA0">
        <w:t>,</w:t>
      </w:r>
      <w:r w:rsidR="00A515DF">
        <w:t xml:space="preserve"> </w:t>
      </w:r>
      <w:r w:rsidRPr="00114CB1" w:rsidR="00A515DF">
        <w:rPr>
          <w:i/>
        </w:rPr>
        <w:t>220 Applicants Qualified to Bid in the Connect America Fund Phase II Auction</w:t>
      </w:r>
      <w:r w:rsidR="00A515DF">
        <w:rPr>
          <w:i/>
        </w:rPr>
        <w:t>; Bidding to Begin on July 24, 2018</w:t>
      </w:r>
      <w:r w:rsidR="00A515DF">
        <w:t>, Public Notice, DA 18-658 (</w:t>
      </w:r>
      <w:r w:rsidR="00BA252E">
        <w:t>W</w:t>
      </w:r>
      <w:r w:rsidR="00AB1A19">
        <w:t xml:space="preserve">CB/WTB </w:t>
      </w:r>
      <w:r w:rsidR="00A515DF">
        <w:t>June 25, 2018) (</w:t>
      </w:r>
      <w:r w:rsidR="00A515DF">
        <w:rPr>
          <w:i/>
        </w:rPr>
        <w:t>Qualified Bidders Public Notice</w:t>
      </w:r>
      <w:r w:rsidR="00A515DF">
        <w:t>).</w:t>
      </w:r>
      <w:r w:rsidR="00B91AA0">
        <w:t xml:space="preserve"> </w:t>
      </w:r>
    </w:p>
  </w:footnote>
  <w:footnote w:id="6">
    <w:p w:rsidR="00A901C1">
      <w:pPr>
        <w:pStyle w:val="FootnoteText"/>
      </w:pPr>
      <w:r>
        <w:rPr>
          <w:rStyle w:val="FootnoteReference"/>
        </w:rPr>
        <w:footnoteRef/>
      </w:r>
      <w:r>
        <w:t xml:space="preserve"> </w:t>
      </w:r>
      <w:r w:rsidR="00B91AA0">
        <w:rPr>
          <w:i/>
        </w:rPr>
        <w:t xml:space="preserve">Phase II Auction Order, </w:t>
      </w:r>
      <w:r w:rsidRPr="00B91AA0" w:rsidR="00B91AA0">
        <w:t>31 FCC Rcd at</w:t>
      </w:r>
      <w:r w:rsidR="00B91AA0">
        <w:t xml:space="preserve"> 5987-99, paras. 113-41.</w:t>
      </w:r>
    </w:p>
  </w:footnote>
  <w:footnote w:id="7">
    <w:p w:rsidR="003C59D9">
      <w:pPr>
        <w:pStyle w:val="FootnoteText"/>
      </w:pPr>
      <w:r>
        <w:rPr>
          <w:rStyle w:val="FootnoteReference"/>
        </w:rPr>
        <w:footnoteRef/>
      </w:r>
      <w:r>
        <w:t xml:space="preserve"> </w:t>
      </w:r>
      <w:r w:rsidR="00B91AA0">
        <w:rPr>
          <w:i/>
        </w:rPr>
        <w:t>Id.</w:t>
      </w:r>
      <w:r>
        <w:t xml:space="preserve"> at 5982, para. 100.</w:t>
      </w:r>
    </w:p>
  </w:footnote>
  <w:footnote w:id="8">
    <w:p w:rsidR="005462EB" w:rsidP="00727A87">
      <w:pPr>
        <w:pStyle w:val="FootnoteText"/>
        <w:jc w:val="left"/>
      </w:pPr>
      <w:r>
        <w:rPr>
          <w:rStyle w:val="FootnoteReference"/>
        </w:rPr>
        <w:footnoteRef/>
      </w:r>
      <w:r>
        <w:t xml:space="preserve"> 47 CFR </w:t>
      </w:r>
      <w:r w:rsidRPr="00805F1F">
        <w:t>§</w:t>
      </w:r>
      <w:r>
        <w:t xml:space="preserve"> 54.315</w:t>
      </w:r>
      <w:r w:rsidR="00727A87">
        <w:t>(a)</w:t>
      </w:r>
      <w:r w:rsidR="00B91AA0">
        <w:t>(7)</w:t>
      </w:r>
      <w:r w:rsidR="00727A87">
        <w:t xml:space="preserve">(i)(A); </w:t>
      </w:r>
      <w:r w:rsidRPr="0089597E" w:rsidR="00727A87">
        <w:rPr>
          <w:i/>
        </w:rPr>
        <w:t>Phase II Auction</w:t>
      </w:r>
      <w:r w:rsidR="00727A87">
        <w:t xml:space="preserve"> </w:t>
      </w:r>
      <w:r w:rsidRPr="00A75655" w:rsidR="00727A87">
        <w:rPr>
          <w:i/>
        </w:rPr>
        <w:t>Order</w:t>
      </w:r>
      <w:r w:rsidR="00727A87">
        <w:t xml:space="preserve">, 31 FCC Rcd at </w:t>
      </w:r>
      <w:r w:rsidR="00A75655">
        <w:t xml:space="preserve">5982, para. 100.  </w:t>
      </w:r>
      <w:r w:rsidRPr="00805F1F">
        <w:t xml:space="preserve">Twice a year, in FCC Form 477: (1) all facilities-based providers of broadband connections to end users and facilities-based providers of terrestrial mobile wireless broadband must file broadband deployment and subscription data; (2) all incumbent or competitive local exchange carriers and providers of interconnected VoIP must file voice subscription data; and (3) all facilities-based mobile voice providers must file voice deployment and subscription data.  47 CFR §§ 1.7001, 1.7002; FCC, FCC Form 477: Local Telephone Competition and Broadband Reporting Instructions at 5-9, </w:t>
      </w:r>
      <w:r>
        <w:fldChar w:fldCharType="begin"/>
      </w:r>
      <w:r>
        <w:instrText xml:space="preserve"> HYPERLINK "http://transition.fcc.gov/form477/477inst.pdf" </w:instrText>
      </w:r>
      <w:r>
        <w:fldChar w:fldCharType="separate"/>
      </w:r>
      <w:r w:rsidRPr="00206A73" w:rsidR="00CC1DD7">
        <w:rPr>
          <w:rStyle w:val="Hyperlink"/>
        </w:rPr>
        <w:t>http://transition.fcc.gov/form477/477inst.pdf</w:t>
      </w:r>
      <w:r>
        <w:fldChar w:fldCharType="end"/>
      </w:r>
      <w:r w:rsidR="00CC1DD7">
        <w:t xml:space="preserve">. </w:t>
      </w:r>
    </w:p>
  </w:footnote>
  <w:footnote w:id="9">
    <w:p w:rsidR="00A75655">
      <w:pPr>
        <w:pStyle w:val="FootnoteText"/>
      </w:pPr>
      <w:r>
        <w:rPr>
          <w:rStyle w:val="FootnoteReference"/>
        </w:rPr>
        <w:footnoteRef/>
      </w:r>
      <w:r>
        <w:t xml:space="preserve"> </w:t>
      </w:r>
      <w:r w:rsidRPr="00A75655">
        <w:rPr>
          <w:i/>
        </w:rPr>
        <w:t>Auction 903 Procedure</w:t>
      </w:r>
      <w:r w:rsidR="003172F5">
        <w:rPr>
          <w:i/>
        </w:rPr>
        <w:t>s</w:t>
      </w:r>
      <w:r w:rsidRPr="00A75655">
        <w:rPr>
          <w:i/>
        </w:rPr>
        <w:t xml:space="preserve"> Public Notice</w:t>
      </w:r>
      <w:r>
        <w:t xml:space="preserve">, 33 FCC Rcd at 1444, para. 42. </w:t>
      </w:r>
    </w:p>
  </w:footnote>
  <w:footnote w:id="10">
    <w:p w:rsidR="009606CB">
      <w:pPr>
        <w:pStyle w:val="FootnoteText"/>
      </w:pPr>
      <w:r>
        <w:rPr>
          <w:rStyle w:val="FootnoteReference"/>
        </w:rPr>
        <w:footnoteRef/>
      </w:r>
      <w:r>
        <w:t xml:space="preserve"> </w:t>
      </w:r>
      <w:r w:rsidRPr="009606CB">
        <w:rPr>
          <w:i/>
        </w:rPr>
        <w:t>Id.</w:t>
      </w:r>
    </w:p>
  </w:footnote>
  <w:footnote w:id="11">
    <w:p w:rsidR="0089597E">
      <w:pPr>
        <w:pStyle w:val="FootnoteText"/>
      </w:pPr>
      <w:r>
        <w:rPr>
          <w:rStyle w:val="FootnoteReference"/>
        </w:rPr>
        <w:footnoteRef/>
      </w:r>
      <w:r>
        <w:t xml:space="preserve"> 47 CFR </w:t>
      </w:r>
      <w:r w:rsidRPr="00805F1F">
        <w:t>§</w:t>
      </w:r>
      <w:r>
        <w:t xml:space="preserve"> 54.315(a)</w:t>
      </w:r>
      <w:r w:rsidR="00B91AA0">
        <w:t>(7)</w:t>
      </w:r>
      <w:r>
        <w:t xml:space="preserve">(ii); </w:t>
      </w:r>
      <w:r w:rsidRPr="0089597E">
        <w:rPr>
          <w:i/>
        </w:rPr>
        <w:t>Phase II Auction Order</w:t>
      </w:r>
      <w:r>
        <w:t xml:space="preserve">, 31 FCC Rcd at 5985, para. 106; </w:t>
      </w:r>
      <w:r w:rsidRPr="00A75655">
        <w:rPr>
          <w:i/>
        </w:rPr>
        <w:t>Auction 903 Procedure Public Notice</w:t>
      </w:r>
      <w:r>
        <w:t>, 33 FCC Rcd at 1445-46, para. 45.</w:t>
      </w:r>
    </w:p>
  </w:footnote>
  <w:footnote w:id="12">
    <w:p w:rsidR="003172F5">
      <w:pPr>
        <w:pStyle w:val="FootnoteText"/>
      </w:pPr>
      <w:r>
        <w:rPr>
          <w:rStyle w:val="FootnoteReference"/>
        </w:rPr>
        <w:footnoteRef/>
      </w:r>
      <w:r>
        <w:t xml:space="preserve"> </w:t>
      </w:r>
      <w:r w:rsidRPr="003172F5">
        <w:rPr>
          <w:i/>
        </w:rPr>
        <w:t>Auction 903 Procedures Public Notice</w:t>
      </w:r>
      <w:r>
        <w:t xml:space="preserve">, 33 FCC Rcd at 1432-33, para. 10. </w:t>
      </w:r>
    </w:p>
  </w:footnote>
  <w:footnote w:id="13">
    <w:p w:rsidR="00183155">
      <w:pPr>
        <w:pStyle w:val="FootnoteText"/>
      </w:pPr>
      <w:r>
        <w:rPr>
          <w:rStyle w:val="FootnoteReference"/>
        </w:rPr>
        <w:footnoteRef/>
      </w:r>
      <w:r>
        <w:t xml:space="preserve"> </w:t>
      </w:r>
      <w:r w:rsidRPr="00183155" w:rsidR="009848D8">
        <w:rPr>
          <w:i/>
        </w:rPr>
        <w:t>Connect America Fund Phase II Auction Status of Short-Form Applications to Participate in Auction 903; Corrections due June 5, 2018</w:t>
      </w:r>
      <w:r w:rsidR="009848D8">
        <w:t>, Public Notice, DA 18-484 (2018) (</w:t>
      </w:r>
      <w:r w:rsidRPr="00E116DE" w:rsidR="009848D8">
        <w:rPr>
          <w:i/>
        </w:rPr>
        <w:t>Auction 903 Status Public Notice</w:t>
      </w:r>
      <w:r w:rsidR="009848D8">
        <w:t xml:space="preserve">).  </w:t>
      </w:r>
    </w:p>
  </w:footnote>
  <w:footnote w:id="14">
    <w:p w:rsidR="00546CEE" w:rsidP="00546CEE">
      <w:pPr>
        <w:pStyle w:val="FootnoteText"/>
      </w:pPr>
      <w:r>
        <w:rPr>
          <w:rStyle w:val="FootnoteReference"/>
        </w:rPr>
        <w:footnoteRef/>
      </w:r>
      <w:r>
        <w:t xml:space="preserve"> </w:t>
      </w:r>
      <w:r w:rsidRPr="00650F6D">
        <w:rPr>
          <w:i/>
        </w:rPr>
        <w:t>Id.</w:t>
      </w:r>
    </w:p>
  </w:footnote>
  <w:footnote w:id="15">
    <w:p w:rsidR="008A76DC" w:rsidP="008A76DC">
      <w:pPr>
        <w:pStyle w:val="FootnoteText"/>
        <w:jc w:val="left"/>
      </w:pPr>
      <w:r>
        <w:rPr>
          <w:rStyle w:val="FootnoteReference"/>
        </w:rPr>
        <w:footnoteRef/>
      </w:r>
      <w:r>
        <w:t xml:space="preserve"> </w:t>
      </w:r>
      <w:r w:rsidR="009848D8">
        <w:rPr>
          <w:i/>
        </w:rPr>
        <w:t>Id.</w:t>
      </w:r>
      <w:r>
        <w:t xml:space="preserve">  </w:t>
      </w:r>
    </w:p>
  </w:footnote>
  <w:footnote w:id="16">
    <w:p w:rsidR="00777C39" w:rsidP="00A429D1">
      <w:pPr>
        <w:pStyle w:val="FootnoteText"/>
        <w:jc w:val="left"/>
      </w:pPr>
      <w:r w:rsidRPr="00473C96">
        <w:rPr>
          <w:rStyle w:val="FootnoteReference"/>
        </w:rPr>
        <w:footnoteRef/>
      </w:r>
      <w:r w:rsidRPr="00473C96">
        <w:t xml:space="preserve"> Waiver </w:t>
      </w:r>
      <w:r w:rsidRPr="00114CB1" w:rsidR="004A39B4">
        <w:t>p</w:t>
      </w:r>
      <w:r w:rsidRPr="00114CB1">
        <w:t xml:space="preserve">etitions </w:t>
      </w:r>
      <w:r w:rsidRPr="00114CB1" w:rsidR="00D0149B">
        <w:t xml:space="preserve">were </w:t>
      </w:r>
      <w:r w:rsidRPr="00114CB1">
        <w:t>filed by</w:t>
      </w:r>
      <w:r w:rsidR="00473C96">
        <w:t>:</w:t>
      </w:r>
      <w:r w:rsidRPr="00114CB1">
        <w:t xml:space="preserve"> </w:t>
      </w:r>
      <w:r w:rsidRPr="00114CB1" w:rsidR="00D0149B">
        <w:t>Workable Programs and Systems, Inc.; Redzone Wireless, LLC; Emerald Cable Co LLC; Hankins Information Technology; Net Vision Communications LLC; Good Connections, LLC; Red Spectrum Communications LLC; 360 Communications, Inc.; Pueblo of Laguna Utility Authority, Inc.; Northern Arapaho Tribal Industries, and Skyrunner, Inc.</w:t>
      </w:r>
      <w:r w:rsidRPr="00114CB1" w:rsidR="00110A62">
        <w:t xml:space="preserve"> </w:t>
      </w:r>
      <w:r w:rsidRPr="00114CB1" w:rsidR="003332C4">
        <w:t>Each of these applicants timely filed its short-form application on or before the due date of March 30, 2018.</w:t>
      </w:r>
      <w:r w:rsidR="003332C4">
        <w:t xml:space="preserve"> </w:t>
      </w:r>
    </w:p>
  </w:footnote>
  <w:footnote w:id="17">
    <w:p w:rsidR="008B37E1" w:rsidP="00546CEE">
      <w:pPr>
        <w:pStyle w:val="FootnoteText"/>
        <w:jc w:val="left"/>
      </w:pPr>
      <w:r>
        <w:rPr>
          <w:rStyle w:val="FootnoteReference"/>
        </w:rPr>
        <w:footnoteRef/>
      </w:r>
      <w:r>
        <w:t xml:space="preserve"> Waiver Petition filed by </w:t>
      </w:r>
      <w:r w:rsidR="00A57149">
        <w:t>Sonus Technologies, Inc.</w:t>
      </w:r>
      <w:r w:rsidR="00546CEE">
        <w:t xml:space="preserve">  Atlantic Fiber Networks, LLC also filed a petition for waiver of this requirement, but withdrew the petition after it submitted three years of audited financial statements during the resubmission window. </w:t>
      </w:r>
    </w:p>
  </w:footnote>
  <w:footnote w:id="18">
    <w:p w:rsidR="008A48C2" w:rsidP="008A48C2">
      <w:pPr>
        <w:pStyle w:val="FootnoteText"/>
      </w:pPr>
      <w:r>
        <w:rPr>
          <w:rStyle w:val="FootnoteReference"/>
        </w:rPr>
        <w:footnoteRef/>
      </w:r>
      <w:r>
        <w:t xml:space="preserve"> </w:t>
      </w:r>
      <w:r w:rsidRPr="007F4A5D">
        <w:t>47 CFR § 1.3</w:t>
      </w:r>
      <w:r>
        <w:t>.</w:t>
      </w:r>
    </w:p>
  </w:footnote>
  <w:footnote w:id="19">
    <w:p w:rsidR="008A48C2" w:rsidRPr="008C2A06" w:rsidP="008A48C2">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w:t>
      </w:r>
      <w:r w:rsidRPr="008C2A06">
        <w:rPr>
          <w:i/>
        </w:rPr>
        <w:t xml:space="preserve"> </w:t>
      </w:r>
    </w:p>
  </w:footnote>
  <w:footnote w:id="20">
    <w:p w:rsidR="007B2CEA" w:rsidRPr="003332C4" w:rsidP="007B2CEA">
      <w:pPr>
        <w:pStyle w:val="FootnoteText"/>
        <w:rPr>
          <w:i/>
        </w:rPr>
      </w:pPr>
      <w:r>
        <w:rPr>
          <w:rStyle w:val="FootnoteReference"/>
        </w:rPr>
        <w:footnoteRef/>
      </w:r>
      <w:r>
        <w:t xml:space="preserve"> </w:t>
      </w:r>
      <w:r>
        <w:rPr>
          <w:i/>
        </w:rPr>
        <w:t xml:space="preserve">See </w:t>
      </w:r>
      <w:r w:rsidRPr="00A75655">
        <w:rPr>
          <w:i/>
        </w:rPr>
        <w:t>Auction 903 Procedure</w:t>
      </w:r>
      <w:r>
        <w:rPr>
          <w:i/>
        </w:rPr>
        <w:t>s</w:t>
      </w:r>
      <w:r w:rsidRPr="00A75655">
        <w:rPr>
          <w:i/>
        </w:rPr>
        <w:t xml:space="preserve"> Public Notice</w:t>
      </w:r>
      <w:r>
        <w:t xml:space="preserve">, 33 FCC Rcd at 1486, para. 167 (finding good cause to provide a limited waiver of the red light rule for any applicant seeking to participate in Auction 903 because robust participation is critical to success of the Phase II auction). </w:t>
      </w:r>
    </w:p>
  </w:footnote>
  <w:footnote w:id="21">
    <w:p w:rsidR="0029746D">
      <w:pPr>
        <w:pStyle w:val="FootnoteText"/>
      </w:pPr>
      <w:r>
        <w:rPr>
          <w:rStyle w:val="FootnoteReference"/>
        </w:rPr>
        <w:footnoteRef/>
      </w:r>
      <w:r>
        <w:t xml:space="preserve"> </w:t>
      </w:r>
      <w:r w:rsidRPr="0029746D">
        <w:rPr>
          <w:i/>
        </w:rPr>
        <w:t>Phase II Auction Order</w:t>
      </w:r>
      <w:r>
        <w:t>, 31 FCC Rcd at 5986, para. 109.</w:t>
      </w:r>
    </w:p>
  </w:footnote>
  <w:footnote w:id="22">
    <w:p w:rsidR="00C06F4F" w:rsidP="00C06F4F">
      <w:pPr>
        <w:pStyle w:val="FootnoteText"/>
        <w:jc w:val="left"/>
      </w:pPr>
      <w:r>
        <w:rPr>
          <w:rStyle w:val="FootnoteReference"/>
        </w:rPr>
        <w:footnoteRef/>
      </w:r>
      <w:r>
        <w:t xml:space="preserve"> </w:t>
      </w:r>
      <w:r w:rsidRPr="00C06F4F">
        <w:t>Because, with these waivers, each of these applicants has sufficiently demonstrated that it has been providing a broadband service for at least two years, we dismiss as moot alternative requests for waiver of requirements that do not apply to such applicants.</w:t>
      </w:r>
    </w:p>
    <w:p w:rsidR="009869A3" w:rsidP="00C06F4F">
      <w:pPr>
        <w:pStyle w:val="FootnoteText"/>
        <w:jc w:val="left"/>
      </w:pPr>
      <w:r>
        <w:rPr>
          <w:szCs w:val="22"/>
        </w:rPr>
        <w:t xml:space="preserve">A </w:t>
      </w:r>
      <w:r w:rsidRPr="008F2585">
        <w:rPr>
          <w:szCs w:val="22"/>
        </w:rPr>
        <w:t xml:space="preserve">determination that an applicant is a qualified bidder is not determinative of an applicant’s qualifications to receive Connect America Fund Phase II support.  </w:t>
      </w:r>
      <w:r w:rsidRPr="008F2585">
        <w:rPr>
          <w:szCs w:val="22"/>
        </w:rPr>
        <w:t xml:space="preserve">Under the Commission’s two-phased auction application process, after the close of the auction, a </w:t>
      </w:r>
      <w:r>
        <w:rPr>
          <w:szCs w:val="22"/>
        </w:rPr>
        <w:t xml:space="preserve">qualified bidder that wins one or more bids </w:t>
      </w:r>
      <w:r w:rsidRPr="008F2585">
        <w:rPr>
          <w:szCs w:val="22"/>
        </w:rPr>
        <w:t xml:space="preserve">must submit a long-form application and meet various other requirements that are fully explained in the </w:t>
      </w:r>
      <w:r w:rsidRPr="008F2585">
        <w:rPr>
          <w:i/>
          <w:szCs w:val="22"/>
        </w:rPr>
        <w:t>Auction 903 Procedures Public Notice</w:t>
      </w:r>
      <w:r>
        <w:rPr>
          <w:szCs w:val="22"/>
        </w:rPr>
        <w:t xml:space="preserve">, </w:t>
      </w:r>
      <w:r>
        <w:t xml:space="preserve">33 FCC Rcd at 1512-20, </w:t>
      </w:r>
      <w:r w:rsidRPr="00BD65BF">
        <w:t>paras. 289-313</w:t>
      </w:r>
      <w:r>
        <w:t>.</w:t>
      </w:r>
    </w:p>
  </w:footnote>
  <w:footnote w:id="23">
    <w:p w:rsidR="003C17CE" w:rsidP="00A57149">
      <w:pPr>
        <w:pStyle w:val="FootnoteText"/>
        <w:jc w:val="left"/>
      </w:pPr>
      <w:r>
        <w:rPr>
          <w:rStyle w:val="FootnoteReference"/>
        </w:rPr>
        <w:footnoteRef/>
      </w:r>
      <w:r>
        <w:t xml:space="preserve"> </w:t>
      </w:r>
      <w:r w:rsidRPr="003C17CE">
        <w:rPr>
          <w:i/>
        </w:rPr>
        <w:t>See, e.g.</w:t>
      </w:r>
      <w:r>
        <w:t xml:space="preserve">, </w:t>
      </w:r>
      <w:r w:rsidRPr="0029746D" w:rsidR="00122693">
        <w:rPr>
          <w:i/>
        </w:rPr>
        <w:t>Phase II Auction Order</w:t>
      </w:r>
      <w:r w:rsidR="00122693">
        <w:t xml:space="preserve">, 31 FCC Rcd at </w:t>
      </w:r>
      <w:r w:rsidR="009640C2">
        <w:t xml:space="preserve">5969, para. 57 (deciding to rely on FCC Form 477 data to determine which areas are eligible for Auction 903). </w:t>
      </w:r>
    </w:p>
  </w:footnote>
  <w:footnote w:id="24">
    <w:p w:rsidR="009640C2" w:rsidRPr="0082667A">
      <w:pPr>
        <w:pStyle w:val="FootnoteText"/>
        <w:rPr>
          <w:i/>
        </w:rPr>
      </w:pPr>
      <w:r>
        <w:rPr>
          <w:rStyle w:val="FootnoteReference"/>
        </w:rPr>
        <w:footnoteRef/>
      </w:r>
      <w:r>
        <w:t xml:space="preserve"> </w:t>
      </w:r>
      <w:r w:rsidRPr="009640C2">
        <w:rPr>
          <w:i/>
        </w:rPr>
        <w:t>See, e.g.</w:t>
      </w:r>
      <w:r>
        <w:t xml:space="preserve">, 47 CFR </w:t>
      </w:r>
      <w:r w:rsidRPr="007B1FAB">
        <w:t>§§ 54.313, 54.316.</w:t>
      </w:r>
      <w:r w:rsidRPr="0082667A">
        <w:rPr>
          <w:i/>
        </w:rPr>
        <w:t xml:space="preserve"> </w:t>
      </w:r>
    </w:p>
  </w:footnote>
  <w:footnote w:id="25">
    <w:p w:rsidR="00A57149">
      <w:pPr>
        <w:pStyle w:val="FootnoteText"/>
      </w:pPr>
      <w:r>
        <w:rPr>
          <w:rStyle w:val="FootnoteReference"/>
        </w:rPr>
        <w:footnoteRef/>
      </w:r>
      <w:r>
        <w:t xml:space="preserve"> </w:t>
      </w:r>
      <w:r w:rsidR="00A515DF">
        <w:rPr>
          <w:i/>
        </w:rPr>
        <w:t xml:space="preserve">See </w:t>
      </w:r>
      <w:r w:rsidRPr="00114CB1" w:rsidR="00A515DF">
        <w:rPr>
          <w:i/>
        </w:rPr>
        <w:t>Qualified Bidders Public Notice</w:t>
      </w:r>
      <w:r w:rsidR="00A515DF">
        <w:t>.</w:t>
      </w:r>
    </w:p>
  </w:footnote>
  <w:footnote w:id="26">
    <w:p w:rsidR="007B1FAB" w:rsidP="00936450">
      <w:pPr>
        <w:pStyle w:val="FootnoteText"/>
        <w:jc w:val="left"/>
      </w:pPr>
      <w:r>
        <w:rPr>
          <w:rStyle w:val="FootnoteReference"/>
        </w:rPr>
        <w:footnoteRef/>
      </w:r>
      <w:r>
        <w:t xml:space="preserve"> </w:t>
      </w:r>
      <w:r w:rsidR="004B0052">
        <w:t>Sonus Technology, Inc. Waiver Petition.</w:t>
      </w:r>
      <w:r>
        <w:t xml:space="preserve"> </w:t>
      </w:r>
      <w:r w:rsidR="00936450">
        <w:t xml:space="preserve"> </w:t>
      </w:r>
    </w:p>
  </w:footnote>
  <w:footnote w:id="27">
    <w:p w:rsidR="00863366" w:rsidP="009F10A8">
      <w:pPr>
        <w:pStyle w:val="FootnoteText"/>
        <w:jc w:val="left"/>
      </w:pPr>
      <w:r>
        <w:rPr>
          <w:rStyle w:val="FootnoteReference"/>
        </w:rPr>
        <w:footnoteRef/>
      </w:r>
      <w:r>
        <w:t xml:space="preserve"> </w:t>
      </w:r>
      <w:r w:rsidRPr="00763E4E">
        <w:rPr>
          <w:i/>
        </w:rPr>
        <w:t>Phase II Auction Order</w:t>
      </w:r>
      <w:r>
        <w:t>, 31 FCC Rcd at 5983, para. 101</w:t>
      </w:r>
      <w:r w:rsidR="009F10A8">
        <w:t>.</w:t>
      </w:r>
    </w:p>
  </w:footnote>
  <w:footnote w:id="28">
    <w:p w:rsidR="009F10A8">
      <w:pPr>
        <w:pStyle w:val="FootnoteText"/>
      </w:pPr>
      <w:r>
        <w:rPr>
          <w:rStyle w:val="FootnoteReference"/>
        </w:rPr>
        <w:footnoteRef/>
      </w:r>
      <w:r>
        <w:t xml:space="preserve"> </w:t>
      </w:r>
      <w:r w:rsidRPr="009F10A8">
        <w:rPr>
          <w:i/>
        </w:rPr>
        <w:t>Id.</w:t>
      </w:r>
      <w:r>
        <w:t xml:space="preserve"> </w:t>
      </w:r>
    </w:p>
  </w:footnote>
  <w:footnote w:id="29">
    <w:p w:rsidR="009848D8">
      <w:pPr>
        <w:pStyle w:val="FootnoteText"/>
      </w:pPr>
      <w:r>
        <w:rPr>
          <w:rStyle w:val="FootnoteReference"/>
        </w:rPr>
        <w:footnoteRef/>
      </w:r>
      <w:r>
        <w:t xml:space="preserve"> 47 CFR 54.315(a)(7)(i); </w:t>
      </w:r>
      <w:r w:rsidRPr="00763E4E">
        <w:rPr>
          <w:i/>
        </w:rPr>
        <w:t>Phase II Auction Order</w:t>
      </w:r>
      <w:r>
        <w:t>, 31 FCC Rcd at 5983-84, para. 102.</w:t>
      </w:r>
    </w:p>
  </w:footnote>
  <w:footnote w:id="30">
    <w:p w:rsidR="00863366" w:rsidP="00863366">
      <w:pPr>
        <w:pStyle w:val="FootnoteText"/>
      </w:pPr>
      <w:r w:rsidRPr="0082667A">
        <w:rPr>
          <w:rStyle w:val="FootnoteReference"/>
          <w:i/>
        </w:rPr>
        <w:footnoteRef/>
      </w:r>
      <w:r w:rsidRPr="0082667A">
        <w:rPr>
          <w:i/>
        </w:rPr>
        <w:t xml:space="preserve"> </w:t>
      </w:r>
      <w:r w:rsidRPr="00763E4E" w:rsidR="009848D8">
        <w:rPr>
          <w:i/>
        </w:rPr>
        <w:t>Phase II Auction Order</w:t>
      </w:r>
      <w:r w:rsidR="009848D8">
        <w:t xml:space="preserve">, 31 FCC Rcd at </w:t>
      </w:r>
      <w:r>
        <w:t xml:space="preserve">5985, para. 106 n.210. </w:t>
      </w:r>
    </w:p>
  </w:footnote>
  <w:footnote w:id="31">
    <w:p w:rsidR="005108FE">
      <w:pPr>
        <w:pStyle w:val="FootnoteText"/>
      </w:pPr>
      <w:r>
        <w:rPr>
          <w:rStyle w:val="FootnoteReference"/>
        </w:rPr>
        <w:footnoteRef/>
      </w:r>
      <w:r>
        <w:t xml:space="preserve"> </w:t>
      </w:r>
      <w:r w:rsidRPr="00587322">
        <w:rPr>
          <w:i/>
        </w:rPr>
        <w:t>See</w:t>
      </w:r>
      <w:r>
        <w:t xml:space="preserve"> </w:t>
      </w:r>
      <w:r w:rsidRPr="008112C7">
        <w:rPr>
          <w:i/>
        </w:rPr>
        <w:t>Northeast Cellular</w:t>
      </w:r>
      <w:r>
        <w:t>, 897 F.2d at 1166.</w:t>
      </w:r>
    </w:p>
  </w:footnote>
  <w:footnote w:id="32">
    <w:p w:rsidR="003923C9" w:rsidP="009848D8">
      <w:pPr>
        <w:pStyle w:val="FootnoteText"/>
        <w:jc w:val="left"/>
      </w:pPr>
      <w:r>
        <w:rPr>
          <w:rStyle w:val="FootnoteReference"/>
        </w:rPr>
        <w:footnoteRef/>
      </w:r>
      <w:r>
        <w:t xml:space="preserve"> </w:t>
      </w:r>
      <w:r w:rsidRPr="003923C9">
        <w:rPr>
          <w:i/>
        </w:rPr>
        <w:t>Phase II Auction Order</w:t>
      </w:r>
      <w:r>
        <w:t xml:space="preserve">, 31 FCC Rcd at 5986, para. 109 (acknowledging that not all entities that </w:t>
      </w:r>
      <w:r w:rsidR="009848D8">
        <w:t>are interested in participating</w:t>
      </w:r>
      <w:r>
        <w:t xml:space="preserve"> in the auction will be able to meet the short-form application requirements). </w:t>
      </w:r>
      <w:r w:rsidR="00696ED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81E">
    <w:pPr>
      <w:pStyle w:val="Header"/>
      <w:tabs>
        <w:tab w:val="clear" w:pos="4320"/>
        <w:tab w:val="center" w:pos="4680"/>
        <w:tab w:val="clear" w:pos="8640"/>
        <w:tab w:val="right" w:pos="9360"/>
      </w:tabs>
      <w:rPr>
        <w:b/>
      </w:rPr>
    </w:pPr>
    <w:r>
      <w:rPr>
        <w:b/>
      </w:rPr>
      <w:tab/>
      <w:t>Feder</w:t>
    </w:r>
    <w:r w:rsidR="0024517E">
      <w:rPr>
        <w:b/>
      </w:rPr>
      <w:t>al</w:t>
    </w:r>
    <w:r w:rsidR="005B7FBC">
      <w:rPr>
        <w:b/>
      </w:rPr>
      <w:t xml:space="preserve"> Communications Commission</w:t>
    </w:r>
    <w:r w:rsidR="005B7FBC">
      <w:rPr>
        <w:b/>
      </w:rPr>
      <w:tab/>
      <w:t>DA 1</w:t>
    </w:r>
    <w:r w:rsidR="00D80CCE">
      <w:rPr>
        <w:b/>
      </w:rPr>
      <w:t>8</w:t>
    </w:r>
    <w:r w:rsidR="00942DB8">
      <w:rPr>
        <w:b/>
      </w:rPr>
      <w:t>-</w:t>
    </w:r>
    <w:r w:rsidR="008D2B42">
      <w:rPr>
        <w:b/>
      </w:rPr>
      <w:t>660</w:t>
    </w:r>
    <w:r>
      <w:rPr>
        <w:b/>
      </w:rPr>
      <w:t xml:space="preserve"> </w:t>
    </w:r>
  </w:p>
  <w:p w:rsidR="00E0581E">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E0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81E">
    <w:pPr>
      <w:pStyle w:val="Header"/>
      <w:tabs>
        <w:tab w:val="clear" w:pos="4320"/>
        <w:tab w:val="center" w:pos="4680"/>
        <w:tab w:val="clear" w:pos="8640"/>
        <w:tab w:val="right" w:pos="9360"/>
      </w:tabs>
      <w:rPr>
        <w:b/>
      </w:rPr>
    </w:pPr>
    <w:r>
      <w:rPr>
        <w:b/>
      </w:rPr>
      <w:tab/>
      <w:t>Federal Communications Commission</w:t>
    </w:r>
    <w:r>
      <w:rPr>
        <w:b/>
      </w:rPr>
      <w:tab/>
    </w:r>
    <w:r w:rsidR="00C25CE4">
      <w:rPr>
        <w:b/>
      </w:rPr>
      <w:t xml:space="preserve">DA </w:t>
    </w:r>
    <w:r w:rsidR="00DB4997">
      <w:rPr>
        <w:b/>
      </w:rPr>
      <w:t>18</w:t>
    </w:r>
    <w:r w:rsidR="00AB0386">
      <w:rPr>
        <w:b/>
      </w:rPr>
      <w:t>-</w:t>
    </w:r>
    <w:r w:rsidR="008D2B42">
      <w:rPr>
        <w:b/>
      </w:rPr>
      <w:t>660</w:t>
    </w:r>
    <w:r>
      <w:rPr>
        <w:b/>
      </w:rPr>
      <w:t xml:space="preserve"> </w:t>
    </w:r>
  </w:p>
  <w:p w:rsidR="00E0581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E2AA7"/>
    <w:multiLevelType w:val="hybridMultilevel"/>
    <w:tmpl w:val="B34AA8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AC2656A"/>
    <w:multiLevelType w:val="hybridMultilevel"/>
    <w:tmpl w:val="B6C8C144"/>
    <w:lvl w:ilvl="0">
      <w:start w:val="1"/>
      <w:numFmt w:val="decimal"/>
      <w:lvlText w:val="%1."/>
      <w:lvlJc w:val="left"/>
      <w:pPr>
        <w:ind w:left="1620" w:hanging="72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5C7178"/>
    <w:multiLevelType w:val="hybridMultilevel"/>
    <w:tmpl w:val="600AD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7D8000BE"/>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F4C4C32"/>
    <w:multiLevelType w:val="hybridMultilevel"/>
    <w:tmpl w:val="43D0F9D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6">
    <w:nsid w:val="6555464A"/>
    <w:multiLevelType w:val="hybridMultilevel"/>
    <w:tmpl w:val="94EA76C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7"/>
  </w:num>
  <w:num w:numId="3">
    <w:abstractNumId w:val="5"/>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3"/>
  </w:num>
  <w:num w:numId="16">
    <w:abstractNumId w:val="4"/>
  </w:num>
  <w:num w:numId="17">
    <w:abstractNumId w:val="11"/>
  </w:num>
  <w:num w:numId="18">
    <w:abstractNumId w:val="1"/>
  </w:num>
  <w:num w:numId="19">
    <w:abstractNumId w:val="12"/>
  </w:num>
  <w:num w:numId="20">
    <w:abstractNumId w:val="17"/>
  </w:num>
  <w:num w:numId="21">
    <w:abstractNumId w:val="19"/>
  </w:num>
  <w:num w:numId="22">
    <w:abstractNumId w:val="7"/>
  </w:num>
  <w:num w:numId="23">
    <w:abstractNumId w:val="0"/>
  </w:num>
  <w:num w:numId="24">
    <w:abstractNumId w:val="18"/>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6"/>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24"/>
  </w:num>
  <w:num w:numId="38">
    <w:abstractNumId w:val="26"/>
  </w:num>
  <w:num w:numId="39">
    <w:abstractNumId w:val="2"/>
  </w:num>
  <w:num w:numId="40">
    <w:abstractNumId w:val="15"/>
    <w:lvlOverride w:ilvl="0">
      <w:startOverride w:val="1"/>
    </w:lvlOverride>
  </w:num>
  <w:num w:numId="41">
    <w:abstractNumId w:val="15"/>
  </w:num>
  <w:num w:numId="42">
    <w:abstractNumId w:val="20"/>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left" w:pos="1440"/>
      </w:tabs>
      <w:spacing w:after="120"/>
    </w:p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basedOn w:val="Normal"/>
    <w:link w:val="FootnoteTextChar2"/>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1"/>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2 Char1 Char1 Char Char,Footnote Text Char3 Char1 Char Char,Footnote Text Char3 Char1 Char Char Char Char,fn Char1 Char,fn Char2"/>
    <w:rsid w:val="00CE5C40"/>
    <w:rPr>
      <w:sz w:val="22"/>
    </w:rPr>
  </w:style>
  <w:style w:type="paragraph" w:styleId="Revision">
    <w:name w:val="Revision"/>
    <w:hidden/>
    <w:uiPriority w:val="99"/>
    <w:semiHidden/>
    <w:rsid w:val="009079F2"/>
    <w:rPr>
      <w:sz w:val="22"/>
    </w:rPr>
  </w:style>
  <w:style w:type="character" w:customStyle="1" w:styleId="ParaNumCharChar">
    <w:name w:val="ParaNum Char Char"/>
    <w:uiPriority w:val="99"/>
    <w:rsid w:val="00AB0386"/>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B63A1"/>
    <w:pPr>
      <w:widowControl w:val="0"/>
      <w:ind w:left="720"/>
      <w:contextualSpacing/>
    </w:pPr>
    <w:rPr>
      <w:snapToGrid w:val="0"/>
      <w:kern w:val="28"/>
    </w:rPr>
  </w:style>
  <w:style w:type="character" w:customStyle="1" w:styleId="UnresolvedMention1">
    <w:name w:val="Unresolved Mention1"/>
    <w:basedOn w:val="DefaultParagraphFont"/>
    <w:uiPriority w:val="99"/>
    <w:semiHidden/>
    <w:unhideWhenUsed/>
    <w:rsid w:val="00CC1DD7"/>
    <w:rPr>
      <w:color w:val="808080"/>
      <w:shd w:val="clear" w:color="auto" w:fill="E6E6E6"/>
    </w:rPr>
  </w:style>
  <w:style w:type="character" w:styleId="FollowedHyperlink">
    <w:name w:val="FollowedHyperlink"/>
    <w:basedOn w:val="DefaultParagraphFont"/>
    <w:semiHidden/>
    <w:unhideWhenUsed/>
    <w:rsid w:val="00CC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