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4C2EE3" w14:paraId="28DD8A20" w14:textId="5FD54791">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14:paraId="5608C67D" w14:textId="77777777">
      <w:pPr>
        <w:pStyle w:val="StyleBoldCentered"/>
      </w:pPr>
      <w:r>
        <w:t>F</w:t>
      </w:r>
      <w:r>
        <w:rPr>
          <w:caps w:val="0"/>
        </w:rPr>
        <w:t>ederal Communications Commission</w:t>
      </w:r>
    </w:p>
    <w:p w:rsidR="004C2EE3" w:rsidP="00096D8C" w14:paraId="29B39396" w14:textId="77777777">
      <w:pPr>
        <w:pStyle w:val="StyleBoldCentered"/>
      </w:pPr>
      <w:r>
        <w:rPr>
          <w:caps w:val="0"/>
        </w:rPr>
        <w:t>Washington, D.C. 20554</w:t>
      </w:r>
    </w:p>
    <w:p w:rsidR="004C2EE3" w:rsidP="0070224F" w14:paraId="6931A3BA" w14:textId="77777777"/>
    <w:p w:rsidR="004C2EE3" w:rsidP="0070224F" w14:paraId="3063064A" w14:textId="77777777"/>
    <w:tbl>
      <w:tblPr>
        <w:tblW w:w="0" w:type="auto"/>
        <w:tblInd w:w="0" w:type="dxa"/>
        <w:tblLayout w:type="fixed"/>
        <w:tblCellMar>
          <w:top w:w="0" w:type="dxa"/>
          <w:left w:w="108" w:type="dxa"/>
          <w:bottom w:w="0" w:type="dxa"/>
          <w:right w:w="108" w:type="dxa"/>
        </w:tblCellMar>
        <w:tblLook w:val="0000"/>
      </w:tblPr>
      <w:tblGrid>
        <w:gridCol w:w="4698"/>
        <w:gridCol w:w="630"/>
        <w:gridCol w:w="4248"/>
      </w:tblGrid>
      <w:tr w14:paraId="63E4A3E2" w14:textId="77777777">
        <w:tblPrEx>
          <w:tblW w:w="0" w:type="auto"/>
          <w:tblInd w:w="0" w:type="dxa"/>
          <w:tblLayout w:type="fixed"/>
          <w:tblCellMar>
            <w:top w:w="0" w:type="dxa"/>
            <w:left w:w="108" w:type="dxa"/>
            <w:bottom w:w="0" w:type="dxa"/>
            <w:right w:w="108" w:type="dxa"/>
          </w:tblCellMar>
          <w:tblLook w:val="0000"/>
        </w:tblPrEx>
        <w:tc>
          <w:tcPr>
            <w:tcW w:w="4698" w:type="dxa"/>
          </w:tcPr>
          <w:p w:rsidR="004C2EE3" w14:paraId="61F5180D"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In the Matter of</w:t>
            </w:r>
          </w:p>
          <w:p w:rsidR="004C2EE3" w14:paraId="12A89C64" w14:textId="77777777">
            <w:pPr>
              <w:widowControl w:val="0"/>
              <w:tabs>
                <w:tab w:val="center" w:pos="4680"/>
              </w:tabs>
              <w:suppressAutoHyphens/>
              <w:rPr>
                <w:rStyle w:val="DefaultParagraphFont"/>
                <w:snapToGrid w:val="0"/>
                <w:spacing w:val="-2"/>
                <w:kern w:val="28"/>
                <w:sz w:val="22"/>
                <w:lang w:val="en-US" w:eastAsia="en-US" w:bidi="ar-SA"/>
              </w:rPr>
            </w:pPr>
          </w:p>
          <w:p w:rsidR="004C2EE3" w:rsidP="007115F7" w14:paraId="698470DB" w14:textId="52A982BD">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Grupo Multimedia</w:t>
            </w:r>
            <w:r w:rsidR="00E956EB">
              <w:rPr>
                <w:b/>
                <w:snapToGrid w:val="0"/>
                <w:spacing w:val="-2"/>
                <w:kern w:val="28"/>
                <w:sz w:val="22"/>
                <w:lang w:val="en-US" w:eastAsia="en-US" w:bidi="ar-SA"/>
              </w:rPr>
              <w:t xml:space="preserve"> LLC</w:t>
            </w:r>
            <w:r>
              <w:rPr>
                <w:b/>
                <w:snapToGrid w:val="0"/>
                <w:spacing w:val="-2"/>
                <w:kern w:val="28"/>
                <w:sz w:val="22"/>
                <w:lang w:val="en-US" w:eastAsia="en-US" w:bidi="ar-SA"/>
              </w:rPr>
              <w:t xml:space="preserve"> and Deportes </w:t>
            </w:r>
            <w:r w:rsidR="00BA22D1">
              <w:rPr>
                <w:b/>
                <w:snapToGrid w:val="0"/>
                <w:spacing w:val="-2"/>
                <w:kern w:val="28"/>
                <w:sz w:val="22"/>
                <w:lang w:val="en-US" w:eastAsia="en-US" w:bidi="ar-SA"/>
              </w:rPr>
              <w:t xml:space="preserve">y </w:t>
            </w:r>
            <w:r>
              <w:rPr>
                <w:b/>
                <w:snapToGrid w:val="0"/>
                <w:spacing w:val="-2"/>
                <w:kern w:val="28"/>
                <w:sz w:val="22"/>
                <w:lang w:val="en-US" w:eastAsia="en-US" w:bidi="ar-SA"/>
              </w:rPr>
              <w:t>Musica Comunicaciones LLC</w:t>
            </w:r>
          </w:p>
          <w:p w:rsidR="00181218" w:rsidP="007115F7" w14:paraId="18EA7B2B" w14:textId="77777777">
            <w:pPr>
              <w:widowControl w:val="0"/>
              <w:tabs>
                <w:tab w:val="center" w:pos="4680"/>
              </w:tabs>
              <w:suppressAutoHyphens/>
              <w:rPr>
                <w:rStyle w:val="DefaultParagraphFont"/>
                <w:b/>
                <w:snapToGrid w:val="0"/>
                <w:spacing w:val="-2"/>
                <w:kern w:val="28"/>
                <w:sz w:val="22"/>
                <w:lang w:val="en-US" w:eastAsia="en-US" w:bidi="ar-SA"/>
              </w:rPr>
            </w:pPr>
          </w:p>
          <w:p w:rsidR="00FA26D8" w:rsidP="005B7936" w14:paraId="7683F2E4"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Application for Consent to Transfer Control of Licenses</w:t>
            </w:r>
          </w:p>
          <w:p w:rsidR="00FA26D8" w:rsidP="005B7936" w14:paraId="3F09FF9A" w14:textId="77777777">
            <w:pPr>
              <w:widowControl w:val="0"/>
              <w:tabs>
                <w:tab w:val="center" w:pos="4680"/>
              </w:tabs>
              <w:suppressAutoHyphens/>
              <w:rPr>
                <w:rStyle w:val="DefaultParagraphFont"/>
                <w:snapToGrid w:val="0"/>
                <w:spacing w:val="-2"/>
                <w:kern w:val="28"/>
                <w:sz w:val="22"/>
                <w:lang w:val="en-US" w:eastAsia="en-US" w:bidi="ar-SA"/>
              </w:rPr>
            </w:pPr>
          </w:p>
          <w:p w:rsidR="00FA26D8" w:rsidP="005B7936" w14:paraId="7D9F8AA3"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and</w:t>
            </w:r>
          </w:p>
          <w:p w:rsidR="00FA26D8" w:rsidP="005B7936" w14:paraId="6C968B4B" w14:textId="77777777">
            <w:pPr>
              <w:widowControl w:val="0"/>
              <w:tabs>
                <w:tab w:val="center" w:pos="4680"/>
              </w:tabs>
              <w:suppressAutoHyphens/>
              <w:rPr>
                <w:rStyle w:val="DefaultParagraphFont"/>
                <w:snapToGrid w:val="0"/>
                <w:spacing w:val="-2"/>
                <w:kern w:val="28"/>
                <w:sz w:val="22"/>
                <w:lang w:val="en-US" w:eastAsia="en-US" w:bidi="ar-SA"/>
              </w:rPr>
            </w:pPr>
          </w:p>
          <w:p w:rsidR="005B7936" w:rsidRPr="00181218" w:rsidP="005B7936" w14:paraId="666AB4A7"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Petition for Declaratory Ruling</w:t>
            </w:r>
            <w:r w:rsidR="00DF5C9E">
              <w:rPr>
                <w:snapToGrid w:val="0"/>
                <w:spacing w:val="-2"/>
                <w:kern w:val="28"/>
                <w:sz w:val="22"/>
                <w:lang w:val="en-US" w:eastAsia="en-US" w:bidi="ar-SA"/>
              </w:rPr>
              <w:t xml:space="preserve"> Under Section </w:t>
            </w:r>
          </w:p>
          <w:p w:rsidR="00181218" w:rsidP="007115F7" w14:paraId="26A166FA"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310(b)(4) of the Communications</w:t>
            </w:r>
            <w:r w:rsidR="00212F11">
              <w:rPr>
                <w:snapToGrid w:val="0"/>
                <w:spacing w:val="-2"/>
                <w:kern w:val="28"/>
                <w:sz w:val="22"/>
                <w:lang w:val="en-US" w:eastAsia="en-US" w:bidi="ar-SA"/>
              </w:rPr>
              <w:t xml:space="preserve"> Act of 1934, as A</w:t>
            </w:r>
            <w:r>
              <w:rPr>
                <w:snapToGrid w:val="0"/>
                <w:spacing w:val="-2"/>
                <w:kern w:val="28"/>
                <w:sz w:val="22"/>
                <w:lang w:val="en-US" w:eastAsia="en-US" w:bidi="ar-SA"/>
              </w:rPr>
              <w:t>mended</w:t>
            </w:r>
          </w:p>
          <w:p w:rsidR="00EA2E8E" w:rsidP="007115F7" w14:paraId="18F84569" w14:textId="77777777">
            <w:pPr>
              <w:widowControl w:val="0"/>
              <w:tabs>
                <w:tab w:val="center" w:pos="4680"/>
              </w:tabs>
              <w:suppressAutoHyphens/>
              <w:rPr>
                <w:rStyle w:val="DefaultParagraphFont"/>
                <w:snapToGrid w:val="0"/>
                <w:spacing w:val="-2"/>
                <w:kern w:val="28"/>
                <w:sz w:val="22"/>
                <w:lang w:val="en-US" w:eastAsia="en-US" w:bidi="ar-SA"/>
              </w:rPr>
            </w:pPr>
          </w:p>
          <w:p w:rsidR="00EA2E8E" w:rsidRPr="00181218" w:rsidP="007115F7" w14:paraId="078B96A7" w14:textId="77777777">
            <w:pPr>
              <w:widowControl w:val="0"/>
              <w:tabs>
                <w:tab w:val="center" w:pos="4680"/>
              </w:tabs>
              <w:suppressAutoHyphens/>
              <w:rPr>
                <w:rStyle w:val="DefaultParagraphFont"/>
                <w:snapToGrid w:val="0"/>
                <w:spacing w:val="-2"/>
                <w:kern w:val="28"/>
                <w:sz w:val="22"/>
                <w:lang w:val="en-US" w:eastAsia="en-US" w:bidi="ar-SA"/>
              </w:rPr>
            </w:pPr>
          </w:p>
        </w:tc>
        <w:tc>
          <w:tcPr>
            <w:tcW w:w="630" w:type="dxa"/>
          </w:tcPr>
          <w:p w:rsidR="004C2EE3" w14:paraId="111F3F6A"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14:paraId="76D08891"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14:paraId="39141252"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14:paraId="520FA024"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14:paraId="3C7F6270"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14:paraId="7DF048F6"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14:paraId="062C0340"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9F0EDC" w14:paraId="618567B8"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9F0EDC" w14:paraId="55E8E3E5"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9F0EDC" w14:paraId="627BB12A"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9F0EDC" w14:paraId="3E488474"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9F0EDC" w14:paraId="7F0E3B11"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9F0EDC" w:rsidRPr="00181218" w14:paraId="5FFCEEB7" w14:textId="77777777">
            <w:pPr>
              <w:widowControl w:val="0"/>
              <w:tabs>
                <w:tab w:val="center" w:pos="4680"/>
              </w:tabs>
              <w:suppressAutoHyphens/>
              <w:rPr>
                <w:rStyle w:val="DefaultParagraphFont"/>
                <w:b/>
                <w:snapToGrid w:val="0"/>
                <w:spacing w:val="-2"/>
                <w:kern w:val="28"/>
                <w:sz w:val="22"/>
                <w:lang w:val="en-US" w:eastAsia="en-US" w:bidi="ar-SA"/>
              </w:rPr>
            </w:pPr>
          </w:p>
        </w:tc>
        <w:tc>
          <w:tcPr>
            <w:tcW w:w="4248" w:type="dxa"/>
          </w:tcPr>
          <w:p w:rsidR="004C2EE3" w14:paraId="055EBFEC" w14:textId="77777777">
            <w:pPr>
              <w:widowControl w:val="0"/>
              <w:tabs>
                <w:tab w:val="center" w:pos="4680"/>
              </w:tabs>
              <w:suppressAutoHyphens/>
              <w:rPr>
                <w:rStyle w:val="DefaultParagraphFont"/>
                <w:snapToGrid w:val="0"/>
                <w:spacing w:val="-2"/>
                <w:kern w:val="28"/>
                <w:sz w:val="22"/>
                <w:lang w:val="en-US" w:eastAsia="en-US" w:bidi="ar-SA"/>
              </w:rPr>
            </w:pPr>
          </w:p>
          <w:p w:rsidR="003D6FCD" w14:paraId="1EF56141" w14:textId="77777777">
            <w:pPr>
              <w:pStyle w:val="TOAHeading"/>
              <w:widowControl w:val="0"/>
              <w:tabs>
                <w:tab w:val="center" w:pos="4680"/>
                <w:tab w:val="clear" w:pos="9360"/>
              </w:tabs>
              <w:suppressAutoHyphens/>
              <w:rPr>
                <w:rStyle w:val="DefaultParagraphFont"/>
                <w:snapToGrid w:val="0"/>
                <w:spacing w:val="-2"/>
                <w:kern w:val="28"/>
                <w:sz w:val="22"/>
                <w:lang w:val="en-US" w:eastAsia="en-US" w:bidi="ar-SA"/>
              </w:rPr>
            </w:pPr>
          </w:p>
          <w:p w:rsidR="003D6FCD" w14:paraId="46A0CE02" w14:textId="77777777">
            <w:pPr>
              <w:pStyle w:val="TOAHeading"/>
              <w:widowControl w:val="0"/>
              <w:tabs>
                <w:tab w:val="center" w:pos="4680"/>
                <w:tab w:val="clear" w:pos="936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K</w:t>
            </w:r>
            <w:r w:rsidR="00922DBB">
              <w:rPr>
                <w:snapToGrid w:val="0"/>
                <w:spacing w:val="-2"/>
                <w:kern w:val="28"/>
                <w:sz w:val="22"/>
                <w:lang w:val="en-US" w:eastAsia="en-US" w:bidi="ar-SA"/>
              </w:rPr>
              <w:t>QMX</w:t>
            </w:r>
            <w:r w:rsidR="00C22A9F">
              <w:rPr>
                <w:snapToGrid w:val="0"/>
                <w:spacing w:val="-2"/>
                <w:kern w:val="28"/>
                <w:sz w:val="22"/>
                <w:lang w:val="en-US" w:eastAsia="en-US" w:bidi="ar-SA"/>
              </w:rPr>
              <w:t>(</w:t>
            </w:r>
            <w:r w:rsidR="006541E8">
              <w:rPr>
                <w:snapToGrid w:val="0"/>
                <w:spacing w:val="-2"/>
                <w:kern w:val="28"/>
                <w:sz w:val="22"/>
                <w:lang w:val="en-US" w:eastAsia="en-US" w:bidi="ar-SA"/>
              </w:rPr>
              <w:t>FM)</w:t>
            </w:r>
            <w:r>
              <w:rPr>
                <w:snapToGrid w:val="0"/>
                <w:spacing w:val="-2"/>
                <w:kern w:val="28"/>
                <w:sz w:val="22"/>
                <w:lang w:val="en-US" w:eastAsia="en-US" w:bidi="ar-SA"/>
              </w:rPr>
              <w:t xml:space="preserve">, </w:t>
            </w:r>
            <w:r w:rsidR="00922DBB">
              <w:rPr>
                <w:snapToGrid w:val="0"/>
                <w:spacing w:val="-2"/>
                <w:kern w:val="28"/>
                <w:sz w:val="22"/>
                <w:lang w:val="en-US" w:eastAsia="en-US" w:bidi="ar-SA"/>
              </w:rPr>
              <w:t>Lost Hills, CA</w:t>
            </w:r>
          </w:p>
          <w:p w:rsidR="003D6FCD" w:rsidRPr="003D6FCD" w:rsidP="003D6FCD" w14:paraId="220C02F0" w14:textId="77777777">
            <w:pPr>
              <w:widowControl w:val="0"/>
              <w:rPr>
                <w:rStyle w:val="DefaultParagraphFont"/>
                <w:snapToGrid w:val="0"/>
                <w:kern w:val="28"/>
                <w:sz w:val="22"/>
                <w:lang w:val="en-US" w:eastAsia="en-US" w:bidi="ar-SA"/>
              </w:rPr>
            </w:pPr>
            <w:r>
              <w:rPr>
                <w:snapToGrid w:val="0"/>
                <w:kern w:val="28"/>
                <w:sz w:val="22"/>
                <w:lang w:val="en-US" w:eastAsia="en-US" w:bidi="ar-SA"/>
              </w:rPr>
              <w:t xml:space="preserve">Facility ID No. </w:t>
            </w:r>
            <w:r w:rsidR="00922DBB">
              <w:rPr>
                <w:snapToGrid w:val="0"/>
                <w:kern w:val="28"/>
                <w:sz w:val="22"/>
                <w:lang w:val="en-US" w:eastAsia="en-US" w:bidi="ar-SA"/>
              </w:rPr>
              <w:t>166070</w:t>
            </w:r>
          </w:p>
          <w:p w:rsidR="003D6FCD" w:rsidRPr="000A562F" w14:paraId="41D96D5B" w14:textId="13CE58AD">
            <w:pPr>
              <w:pStyle w:val="TOAHeading"/>
              <w:widowControl w:val="0"/>
              <w:tabs>
                <w:tab w:val="center" w:pos="4680"/>
                <w:tab w:val="clear" w:pos="9360"/>
              </w:tabs>
              <w:suppressAutoHyphens/>
              <w:rPr>
                <w:rStyle w:val="DefaultParagraphFont"/>
                <w:i/>
                <w:snapToGrid w:val="0"/>
                <w:spacing w:val="-2"/>
                <w:kern w:val="28"/>
                <w:sz w:val="22"/>
                <w:lang w:val="en-US" w:eastAsia="en-US" w:bidi="ar-SA"/>
              </w:rPr>
            </w:pPr>
            <w:r>
              <w:rPr>
                <w:snapToGrid w:val="0"/>
                <w:spacing w:val="-2"/>
                <w:kern w:val="28"/>
                <w:sz w:val="22"/>
                <w:lang w:val="en-US" w:eastAsia="en-US" w:bidi="ar-SA"/>
              </w:rPr>
              <w:t xml:space="preserve">File No. </w:t>
            </w:r>
            <w:r w:rsidRPr="003D6FCD">
              <w:rPr>
                <w:snapToGrid w:val="0"/>
                <w:spacing w:val="-2"/>
                <w:kern w:val="28"/>
                <w:sz w:val="22"/>
                <w:lang w:val="en-US" w:eastAsia="en-US" w:bidi="ar-SA"/>
              </w:rPr>
              <w:t>BTCH-201</w:t>
            </w:r>
            <w:r w:rsidR="00922DBB">
              <w:rPr>
                <w:snapToGrid w:val="0"/>
                <w:spacing w:val="-2"/>
                <w:kern w:val="28"/>
                <w:sz w:val="22"/>
                <w:lang w:val="en-US" w:eastAsia="en-US" w:bidi="ar-SA"/>
              </w:rPr>
              <w:t>71120AAK</w:t>
            </w:r>
          </w:p>
          <w:p w:rsidR="003D6FCD" w14:paraId="4D45106D" w14:textId="77777777">
            <w:pPr>
              <w:pStyle w:val="TOAHeading"/>
              <w:widowControl w:val="0"/>
              <w:tabs>
                <w:tab w:val="center" w:pos="4680"/>
                <w:tab w:val="clear" w:pos="9360"/>
              </w:tabs>
              <w:suppressAutoHyphens/>
              <w:rPr>
                <w:rStyle w:val="DefaultParagraphFont"/>
                <w:snapToGrid w:val="0"/>
                <w:spacing w:val="-2"/>
                <w:kern w:val="28"/>
                <w:sz w:val="22"/>
                <w:lang w:val="en-US" w:eastAsia="en-US" w:bidi="ar-SA"/>
              </w:rPr>
            </w:pPr>
          </w:p>
          <w:p w:rsidR="00922DBB" w:rsidP="00922DBB" w14:paraId="6D9413AA" w14:textId="77777777">
            <w:pPr>
              <w:pStyle w:val="TOAHeading"/>
              <w:widowControl w:val="0"/>
              <w:tabs>
                <w:tab w:val="center" w:pos="4680"/>
                <w:tab w:val="clear" w:pos="936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K</w:t>
            </w:r>
            <w:r>
              <w:rPr>
                <w:snapToGrid w:val="0"/>
                <w:spacing w:val="-2"/>
                <w:kern w:val="28"/>
                <w:sz w:val="22"/>
                <w:lang w:val="en-US" w:eastAsia="en-US" w:bidi="ar-SA"/>
              </w:rPr>
              <w:t>RPH</w:t>
            </w:r>
            <w:r w:rsidR="00CB438A">
              <w:rPr>
                <w:snapToGrid w:val="0"/>
                <w:spacing w:val="-2"/>
                <w:kern w:val="28"/>
                <w:sz w:val="22"/>
                <w:lang w:val="en-US" w:eastAsia="en-US" w:bidi="ar-SA"/>
              </w:rPr>
              <w:t>(</w:t>
            </w:r>
            <w:r>
              <w:rPr>
                <w:snapToGrid w:val="0"/>
                <w:spacing w:val="-2"/>
                <w:kern w:val="28"/>
                <w:sz w:val="22"/>
                <w:lang w:val="en-US" w:eastAsia="en-US" w:bidi="ar-SA"/>
              </w:rPr>
              <w:t>FM</w:t>
            </w:r>
            <w:r w:rsidR="00CB438A">
              <w:rPr>
                <w:snapToGrid w:val="0"/>
                <w:spacing w:val="-2"/>
                <w:kern w:val="28"/>
                <w:sz w:val="22"/>
                <w:lang w:val="en-US" w:eastAsia="en-US" w:bidi="ar-SA"/>
              </w:rPr>
              <w:t>)</w:t>
            </w:r>
            <w:r>
              <w:rPr>
                <w:snapToGrid w:val="0"/>
                <w:spacing w:val="-2"/>
                <w:kern w:val="28"/>
                <w:sz w:val="22"/>
                <w:lang w:val="en-US" w:eastAsia="en-US" w:bidi="ar-SA"/>
              </w:rPr>
              <w:t xml:space="preserve">, </w:t>
            </w:r>
            <w:r>
              <w:rPr>
                <w:snapToGrid w:val="0"/>
                <w:spacing w:val="-2"/>
                <w:kern w:val="28"/>
                <w:sz w:val="22"/>
                <w:lang w:val="en-US" w:eastAsia="en-US" w:bidi="ar-SA"/>
              </w:rPr>
              <w:t>Morristown, AZ</w:t>
            </w:r>
          </w:p>
          <w:p w:rsidR="004E7C60" w:rsidRPr="004E7C60" w:rsidP="00922DBB" w14:paraId="64C35A70" w14:textId="77777777">
            <w:pPr>
              <w:pStyle w:val="TOAHeading"/>
              <w:widowControl w:val="0"/>
              <w:tabs>
                <w:tab w:val="center" w:pos="4680"/>
                <w:tab w:val="clear" w:pos="9360"/>
              </w:tabs>
              <w:suppressAutoHyphens/>
              <w:rPr>
                <w:rStyle w:val="DefaultParagraphFont"/>
                <w:snapToGrid w:val="0"/>
                <w:kern w:val="28"/>
                <w:sz w:val="22"/>
                <w:lang w:val="en-US" w:eastAsia="en-US" w:bidi="ar-SA"/>
              </w:rPr>
            </w:pPr>
            <w:r>
              <w:rPr>
                <w:snapToGrid w:val="0"/>
                <w:kern w:val="28"/>
                <w:sz w:val="22"/>
                <w:lang w:val="en-US" w:eastAsia="en-US" w:bidi="ar-SA"/>
              </w:rPr>
              <w:t xml:space="preserve">Facility ID No. </w:t>
            </w:r>
            <w:r w:rsidR="00922DBB">
              <w:rPr>
                <w:snapToGrid w:val="0"/>
                <w:kern w:val="28"/>
                <w:sz w:val="22"/>
                <w:lang w:val="en-US" w:eastAsia="en-US" w:bidi="ar-SA"/>
              </w:rPr>
              <w:t>166065</w:t>
            </w:r>
          </w:p>
          <w:p w:rsidR="004E7C60" w14:paraId="35717A4B" w14:textId="41AE24E0">
            <w:pPr>
              <w:pStyle w:val="TOAHeading"/>
              <w:widowControl w:val="0"/>
              <w:tabs>
                <w:tab w:val="center" w:pos="4680"/>
                <w:tab w:val="clear" w:pos="936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File No.</w:t>
            </w:r>
            <w:r w:rsidRPr="003D6FCD" w:rsidR="003D6FCD">
              <w:rPr>
                <w:snapToGrid w:val="0"/>
                <w:spacing w:val="-2"/>
                <w:kern w:val="28"/>
                <w:sz w:val="22"/>
                <w:lang w:val="en-US" w:eastAsia="en-US" w:bidi="ar-SA"/>
              </w:rPr>
              <w:t xml:space="preserve"> BTC</w:t>
            </w:r>
            <w:r w:rsidR="00922DBB">
              <w:rPr>
                <w:snapToGrid w:val="0"/>
                <w:spacing w:val="-2"/>
                <w:kern w:val="28"/>
                <w:sz w:val="22"/>
                <w:lang w:val="en-US" w:eastAsia="en-US" w:bidi="ar-SA"/>
              </w:rPr>
              <w:t>H</w:t>
            </w:r>
            <w:r w:rsidRPr="003D6FCD" w:rsidR="003D6FCD">
              <w:rPr>
                <w:snapToGrid w:val="0"/>
                <w:spacing w:val="-2"/>
                <w:kern w:val="28"/>
                <w:sz w:val="22"/>
                <w:lang w:val="en-US" w:eastAsia="en-US" w:bidi="ar-SA"/>
              </w:rPr>
              <w:t>-201</w:t>
            </w:r>
            <w:r w:rsidR="00922DBB">
              <w:rPr>
                <w:snapToGrid w:val="0"/>
                <w:spacing w:val="-2"/>
                <w:kern w:val="28"/>
                <w:sz w:val="22"/>
                <w:lang w:val="en-US" w:eastAsia="en-US" w:bidi="ar-SA"/>
              </w:rPr>
              <w:t>71120AAL</w:t>
            </w:r>
          </w:p>
          <w:p w:rsidR="004E7C60" w:rsidRPr="004E7C60" w:rsidP="004E7C60" w14:paraId="5D6D4F88" w14:textId="77777777">
            <w:pPr>
              <w:widowControl w:val="0"/>
              <w:rPr>
                <w:rStyle w:val="DefaultParagraphFont"/>
                <w:snapToGrid w:val="0"/>
                <w:kern w:val="28"/>
                <w:sz w:val="22"/>
                <w:lang w:val="en-US" w:eastAsia="en-US" w:bidi="ar-SA"/>
              </w:rPr>
            </w:pPr>
          </w:p>
          <w:p w:rsidR="00A55A55" w:rsidRPr="009F0EDC" w14:paraId="45910EC4" w14:textId="77777777">
            <w:pPr>
              <w:widowControl w:val="0"/>
              <w:tabs>
                <w:tab w:val="center" w:pos="4680"/>
              </w:tabs>
              <w:suppressAutoHyphens/>
              <w:rPr>
                <w:rStyle w:val="DefaultParagraphFont"/>
                <w:snapToGrid/>
                <w:kern w:val="0"/>
                <w:sz w:val="22"/>
                <w:szCs w:val="22"/>
                <w:lang w:val="en-US" w:eastAsia="en-US" w:bidi="ar-SA"/>
              </w:rPr>
            </w:pPr>
          </w:p>
          <w:p w:rsidR="00A55A55" w14:paraId="68F0406E" w14:textId="77777777">
            <w:pPr>
              <w:widowControl w:val="0"/>
              <w:tabs>
                <w:tab w:val="center" w:pos="4680"/>
              </w:tabs>
              <w:suppressAutoHyphens/>
              <w:rPr>
                <w:rStyle w:val="DefaultParagraphFont"/>
                <w:snapToGrid w:val="0"/>
                <w:spacing w:val="-2"/>
                <w:kern w:val="28"/>
                <w:sz w:val="22"/>
                <w:lang w:val="en-US" w:eastAsia="en-US" w:bidi="ar-SA"/>
              </w:rPr>
            </w:pPr>
            <w:r w:rsidRPr="009F0EDC">
              <w:rPr>
                <w:snapToGrid/>
                <w:kern w:val="0"/>
                <w:sz w:val="22"/>
                <w:szCs w:val="22"/>
                <w:lang w:val="en-US" w:eastAsia="en-US" w:bidi="ar-SA"/>
              </w:rPr>
              <w:t>MB Docket 1</w:t>
            </w:r>
            <w:r w:rsidR="003204F9">
              <w:rPr>
                <w:snapToGrid/>
                <w:kern w:val="0"/>
                <w:sz w:val="22"/>
                <w:szCs w:val="22"/>
                <w:lang w:val="en-US" w:eastAsia="en-US" w:bidi="ar-SA"/>
              </w:rPr>
              <w:t>7</w:t>
            </w:r>
            <w:r w:rsidRPr="009F0EDC">
              <w:rPr>
                <w:snapToGrid/>
                <w:kern w:val="0"/>
                <w:sz w:val="22"/>
                <w:szCs w:val="22"/>
                <w:lang w:val="en-US" w:eastAsia="en-US" w:bidi="ar-SA"/>
              </w:rPr>
              <w:t>-</w:t>
            </w:r>
            <w:r w:rsidR="003204F9">
              <w:rPr>
                <w:snapToGrid/>
                <w:kern w:val="0"/>
                <w:sz w:val="22"/>
                <w:szCs w:val="22"/>
                <w:lang w:val="en-US" w:eastAsia="en-US" w:bidi="ar-SA"/>
              </w:rPr>
              <w:t>360</w:t>
            </w:r>
          </w:p>
        </w:tc>
      </w:tr>
    </w:tbl>
    <w:p w:rsidR="004C2EE3" w:rsidP="0070224F" w14:paraId="557012D5" w14:textId="77777777"/>
    <w:p w:rsidR="00841AB1" w:rsidP="00F021FA" w14:paraId="478F4747" w14:textId="31AE593D">
      <w:pPr>
        <w:pStyle w:val="StyleBoldCentered"/>
      </w:pPr>
      <w:r>
        <w:t>D</w:t>
      </w:r>
      <w:r w:rsidR="00F64575">
        <w:t>ECLARATORY RULING</w:t>
      </w:r>
      <w:r w:rsidR="00550E8F">
        <w:t xml:space="preserve"> AND MEMORANDUM OPINION AND ORDER</w:t>
      </w:r>
    </w:p>
    <w:p w:rsidR="004C2EE3" w14:paraId="5EAE36B9" w14:textId="77777777">
      <w:pPr>
        <w:tabs>
          <w:tab w:val="left" w:pos="-720"/>
        </w:tabs>
        <w:suppressAutoHyphens/>
        <w:spacing w:line="227" w:lineRule="auto"/>
        <w:rPr>
          <w:spacing w:val="-2"/>
        </w:rPr>
      </w:pPr>
    </w:p>
    <w:p w:rsidR="004C2EE3" w:rsidP="00133F79" w14:paraId="5C763F6E" w14:textId="4D1537D6">
      <w:pPr>
        <w:tabs>
          <w:tab w:val="left" w:pos="720"/>
          <w:tab w:val="right" w:pos="9360"/>
        </w:tabs>
        <w:suppressAutoHyphens/>
        <w:spacing w:line="227" w:lineRule="auto"/>
        <w:rPr>
          <w:spacing w:val="-2"/>
        </w:rPr>
      </w:pPr>
      <w:r>
        <w:rPr>
          <w:b/>
          <w:spacing w:val="-2"/>
        </w:rPr>
        <w:t xml:space="preserve">Adopted:  </w:t>
      </w:r>
      <w:r w:rsidR="006D4D3C">
        <w:rPr>
          <w:b/>
          <w:spacing w:val="-2"/>
        </w:rPr>
        <w:t>May 1, 2018</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6D4D3C">
        <w:rPr>
          <w:b/>
          <w:spacing w:val="-2"/>
        </w:rPr>
        <w:t>May 1, 2018</w:t>
      </w:r>
    </w:p>
    <w:p w:rsidR="00822CE0" w14:paraId="3F6C5233" w14:textId="77777777"/>
    <w:p w:rsidR="002C00E8" w:rsidP="00AF5298" w14:paraId="399A564E" w14:textId="77777777">
      <w:pPr>
        <w:rPr>
          <w:spacing w:val="-2"/>
        </w:rPr>
      </w:pPr>
      <w:r>
        <w:t xml:space="preserve">By </w:t>
      </w:r>
      <w:r w:rsidR="004E4A22">
        <w:t>the</w:t>
      </w:r>
      <w:r w:rsidR="002A2D2E">
        <w:t xml:space="preserve"> </w:t>
      </w:r>
      <w:r w:rsidR="00F64575">
        <w:rPr>
          <w:spacing w:val="-2"/>
        </w:rPr>
        <w:t>Chief, Media Bureau</w:t>
      </w:r>
      <w:r>
        <w:rPr>
          <w:spacing w:val="-2"/>
        </w:rPr>
        <w:t>:</w:t>
      </w:r>
    </w:p>
    <w:p w:rsidR="005E59D3" w:rsidP="00AF5298" w14:paraId="70EDB7C3" w14:textId="77777777">
      <w:pPr>
        <w:rPr>
          <w:spacing w:val="-2"/>
        </w:rPr>
      </w:pPr>
    </w:p>
    <w:p w:rsidR="00AF5298" w:rsidRPr="00DB5EEE" w:rsidP="00DB5EEE" w14:paraId="6AAFB457" w14:textId="77777777">
      <w:pPr>
        <w:pStyle w:val="Heading1"/>
        <w:rPr>
          <w:spacing w:val="-2"/>
        </w:rPr>
      </w:pPr>
      <w:r w:rsidRPr="005E59D3">
        <w:t>INTRODUCTION</w:t>
      </w:r>
    </w:p>
    <w:p w:rsidR="005E59D3" w:rsidP="004F0B44" w14:paraId="71A65B39" w14:textId="75EB5548">
      <w:pPr>
        <w:pStyle w:val="ParaNum"/>
        <w:ind w:left="0"/>
      </w:pPr>
      <w:r>
        <w:t xml:space="preserve">In this </w:t>
      </w:r>
      <w:r w:rsidRPr="00212F11" w:rsidR="00212F11">
        <w:rPr>
          <w:i/>
        </w:rPr>
        <w:t>Declaratory Ruling</w:t>
      </w:r>
      <w:r w:rsidR="002A4DB1">
        <w:rPr>
          <w:i/>
        </w:rPr>
        <w:t xml:space="preserve"> and Memorandum Opinion and Order</w:t>
      </w:r>
      <w:r w:rsidR="00161F7B">
        <w:rPr>
          <w:i/>
        </w:rPr>
        <w:t>,</w:t>
      </w:r>
      <w:r>
        <w:rPr>
          <w:rStyle w:val="FootnoteReference"/>
          <w:i/>
        </w:rPr>
        <w:footnoteReference w:id="3"/>
      </w:r>
      <w:r w:rsidR="00AD05CD">
        <w:t xml:space="preserve"> the Media Bureau </w:t>
      </w:r>
      <w:r w:rsidR="00896F2B">
        <w:t xml:space="preserve">(Bureau) </w:t>
      </w:r>
      <w:r w:rsidR="00AD05CD">
        <w:t>a</w:t>
      </w:r>
      <w:r w:rsidR="005B7936">
        <w:t>ddresses a</w:t>
      </w:r>
      <w:r w:rsidR="00AD05CD">
        <w:t xml:space="preserve"> petition for declaratory ru</w:t>
      </w:r>
      <w:r w:rsidR="00591D03">
        <w:t>ling</w:t>
      </w:r>
      <w:r w:rsidR="007058E5">
        <w:t xml:space="preserve"> (Petition)</w:t>
      </w:r>
      <w:r w:rsidR="00591D03">
        <w:t xml:space="preserve"> filed by </w:t>
      </w:r>
      <w:r w:rsidR="004A1161">
        <w:t>Grupo Multimedia LLC (Grupo Multimedia) and Deportes y Musica Comunicaciones LLC</w:t>
      </w:r>
      <w:r w:rsidR="009618F0">
        <w:t xml:space="preserve"> </w:t>
      </w:r>
      <w:r w:rsidR="00DE6E60">
        <w:t xml:space="preserve">(Deportes) (collectively, the Petitioners) </w:t>
      </w:r>
      <w:r w:rsidR="009618F0">
        <w:t xml:space="preserve">on </w:t>
      </w:r>
      <w:r w:rsidR="00B563F3">
        <w:t>November 20, 2017</w:t>
      </w:r>
      <w:r w:rsidR="002D3988">
        <w:t>.</w:t>
      </w:r>
      <w:r w:rsidR="006E377A">
        <w:t xml:space="preserve">  </w:t>
      </w:r>
      <w:r w:rsidR="002A4DB1">
        <w:t>Deportes is the licensee of KQMX(FM), Lost Hills, California, and KRPH(FM), Morristown, Arizona (collectively, the Stations).</w:t>
      </w:r>
      <w:r w:rsidRPr="00680CEF" w:rsidR="00A3277E">
        <w:rPr>
          <w:vertAlign w:val="superscript"/>
        </w:rPr>
        <w:t xml:space="preserve"> </w:t>
      </w:r>
      <w:r>
        <w:rPr>
          <w:vertAlign w:val="superscript"/>
        </w:rPr>
        <w:footnoteReference w:id="4"/>
      </w:r>
      <w:r w:rsidR="002A4DB1">
        <w:t xml:space="preserve">  </w:t>
      </w:r>
      <w:r w:rsidR="005B7936">
        <w:t xml:space="preserve">The Petition </w:t>
      </w:r>
      <w:r w:rsidR="002D3988">
        <w:t xml:space="preserve">asks </w:t>
      </w:r>
      <w:r w:rsidR="005B7936">
        <w:t xml:space="preserve">the Commission to exercise its discretion to permit </w:t>
      </w:r>
      <w:r w:rsidR="00DE6E60">
        <w:t>SMG</w:t>
      </w:r>
      <w:r w:rsidR="007058E5">
        <w:t xml:space="preserve"> </w:t>
      </w:r>
      <w:r w:rsidR="005B7936">
        <w:t xml:space="preserve">to exceed the 25 percent foreign </w:t>
      </w:r>
      <w:r w:rsidR="000F2BB8">
        <w:t xml:space="preserve">indirect </w:t>
      </w:r>
      <w:r w:rsidR="005B7936">
        <w:t xml:space="preserve">ownership benchmark set out in Section 310(b)(4) of the Communications Act </w:t>
      </w:r>
      <w:r w:rsidRPr="0074744D" w:rsidR="005B7936">
        <w:t>of 1934, as amended</w:t>
      </w:r>
      <w:r w:rsidR="007058E5">
        <w:t>,</w:t>
      </w:r>
      <w:r w:rsidR="000A562F">
        <w:t xml:space="preserve"> </w:t>
      </w:r>
      <w:r w:rsidR="00371BA2">
        <w:t>(the Act)</w:t>
      </w:r>
      <w:r w:rsidR="007058E5">
        <w:t>,</w:t>
      </w:r>
      <w:r>
        <w:rPr>
          <w:rStyle w:val="FootnoteReference"/>
        </w:rPr>
        <w:footnoteReference w:id="5"/>
      </w:r>
      <w:r w:rsidR="007058E5">
        <w:t xml:space="preserve"> pursuant to Section 310(b)(4)</w:t>
      </w:r>
      <w:r w:rsidRPr="00E956EB" w:rsidR="00E956EB">
        <w:t xml:space="preserve"> and the Commission’s </w:t>
      </w:r>
      <w:r w:rsidR="002A1734">
        <w:t xml:space="preserve">recent </w:t>
      </w:r>
      <w:r w:rsidR="002A1734">
        <w:rPr>
          <w:i/>
        </w:rPr>
        <w:t>Foreign Ownership Order</w:t>
      </w:r>
      <w:r w:rsidR="000A562F">
        <w:t>.</w:t>
      </w:r>
      <w:r>
        <w:rPr>
          <w:rStyle w:val="FootnoteReference"/>
        </w:rPr>
        <w:footnoteReference w:id="6"/>
      </w:r>
      <w:r w:rsidRPr="00A63571" w:rsidR="005B7936">
        <w:rPr>
          <w:vertAlign w:val="superscript"/>
        </w:rPr>
        <w:t xml:space="preserve"> </w:t>
      </w:r>
      <w:r w:rsidRPr="0074744D">
        <w:t xml:space="preserve"> </w:t>
      </w:r>
      <w:r w:rsidRPr="00553424" w:rsidR="00553424">
        <w:t xml:space="preserve">Petitioners seek authorization for Roberto Medina to transfer his majority interest in Grupo Multimedia to the minority owner, SMG.  </w:t>
      </w:r>
      <w:r w:rsidRPr="002A4DB1" w:rsidR="002A4DB1">
        <w:t xml:space="preserve">In addition, we address the above-captioned application seeking Commission consent to the transfer of control (Application) of Grupo Multimedia and Deportes.  </w:t>
      </w:r>
      <w:r w:rsidR="00EA2E8E">
        <w:t>The Petition</w:t>
      </w:r>
      <w:r w:rsidR="00D25E3D">
        <w:t xml:space="preserve"> and the Application are</w:t>
      </w:r>
      <w:r w:rsidR="00EA2E8E">
        <w:t xml:space="preserve"> unopposed.  </w:t>
      </w:r>
      <w:r w:rsidRPr="0074744D">
        <w:t xml:space="preserve">As discussed below, </w:t>
      </w:r>
      <w:r w:rsidRPr="0074744D">
        <w:t xml:space="preserve">we find that it </w:t>
      </w:r>
      <w:r w:rsidR="00862579">
        <w:t>will</w:t>
      </w:r>
      <w:r w:rsidRPr="0074744D" w:rsidR="00862579">
        <w:t xml:space="preserve"> </w:t>
      </w:r>
      <w:r w:rsidRPr="0074744D">
        <w:t xml:space="preserve">serve the public interest to </w:t>
      </w:r>
      <w:r w:rsidR="0004032A">
        <w:t>grant the Petition</w:t>
      </w:r>
      <w:r w:rsidR="00B93DC0">
        <w:t>, subject to the conditions specified below,</w:t>
      </w:r>
      <w:r w:rsidR="005315EC">
        <w:t xml:space="preserve"> and </w:t>
      </w:r>
      <w:r w:rsidR="00B93DC0">
        <w:t xml:space="preserve">the </w:t>
      </w:r>
      <w:r w:rsidR="005315EC">
        <w:t>Application</w:t>
      </w:r>
      <w:r w:rsidR="00437FA4">
        <w:t>.</w:t>
      </w:r>
    </w:p>
    <w:p w:rsidR="009618F0" w:rsidP="00A37BAB" w14:paraId="16068FF2" w14:textId="77777777">
      <w:pPr>
        <w:pStyle w:val="Heading1"/>
      </w:pPr>
      <w:r>
        <w:t>Background</w:t>
      </w:r>
    </w:p>
    <w:p w:rsidR="00C24B24" w:rsidP="004F0B44" w14:paraId="14CD02AB" w14:textId="36970DA2">
      <w:pPr>
        <w:pStyle w:val="ParaNum"/>
        <w:ind w:left="0"/>
      </w:pPr>
      <w:r w:rsidRPr="00CD53AB">
        <w:rPr>
          <w:i/>
        </w:rPr>
        <w:t>Foreign Ownership</w:t>
      </w:r>
      <w:r w:rsidRPr="00680CEF">
        <w:rPr>
          <w:i/>
        </w:rPr>
        <w:t xml:space="preserve"> of </w:t>
      </w:r>
      <w:r w:rsidRPr="00CD53AB">
        <w:rPr>
          <w:i/>
        </w:rPr>
        <w:t>SMG</w:t>
      </w:r>
      <w:r w:rsidR="00CD53AB">
        <w:rPr>
          <w:i/>
        </w:rPr>
        <w:t>.</w:t>
      </w:r>
      <w:r w:rsidRPr="00FD3AAD" w:rsidR="00CD53AB">
        <w:t xml:space="preserve">  </w:t>
      </w:r>
      <w:r w:rsidR="00FD3AAD">
        <w:t xml:space="preserve">In this case, the Petitioners seek authority for 100 percent foreign ownership of SMG, the proposed 100 percent owner of Grupo Multimedia, U.S. parent company of licensee Deportes.  </w:t>
      </w:r>
      <w:r w:rsidR="00437FA4">
        <w:t xml:space="preserve">By the proposed transaction, </w:t>
      </w:r>
      <w:r>
        <w:t xml:space="preserve">SMG </w:t>
      </w:r>
      <w:r w:rsidR="00437FA4">
        <w:t xml:space="preserve">would </w:t>
      </w:r>
      <w:r w:rsidR="004E754E">
        <w:t xml:space="preserve">increase its 25 percent ownership interest in Grupo Multimedia to 100 percent by </w:t>
      </w:r>
      <w:r w:rsidR="00437FA4">
        <w:t>acquir</w:t>
      </w:r>
      <w:r w:rsidR="004E754E">
        <w:t>ing</w:t>
      </w:r>
      <w:r w:rsidR="00437FA4">
        <w:t xml:space="preserve"> the </w:t>
      </w:r>
      <w:r>
        <w:t>75</w:t>
      </w:r>
      <w:r w:rsidR="00437FA4">
        <w:t xml:space="preserve"> percent ownership interest </w:t>
      </w:r>
      <w:r w:rsidR="004E754E">
        <w:t xml:space="preserve">that Robert Medina </w:t>
      </w:r>
      <w:r w:rsidR="00437FA4">
        <w:t xml:space="preserve">currently </w:t>
      </w:r>
      <w:r w:rsidR="004E754E">
        <w:t>holds</w:t>
      </w:r>
      <w:r>
        <w:t xml:space="preserve">.  </w:t>
      </w:r>
      <w:r w:rsidR="004E754E">
        <w:t>A</w:t>
      </w:r>
      <w:r w:rsidR="00437FA4">
        <w:t xml:space="preserve">fter the proposed transaction, </w:t>
      </w:r>
      <w:r>
        <w:t>SMG</w:t>
      </w:r>
      <w:r w:rsidR="00437FA4">
        <w:t xml:space="preserve"> would hold 100 percent of the </w:t>
      </w:r>
      <w:r w:rsidR="00B64CD9">
        <w:t xml:space="preserve">direct </w:t>
      </w:r>
      <w:r>
        <w:t>voting and equity</w:t>
      </w:r>
      <w:r w:rsidR="00437FA4">
        <w:t xml:space="preserve"> interests in</w:t>
      </w:r>
      <w:r w:rsidR="002A469C">
        <w:t xml:space="preserve"> </w:t>
      </w:r>
      <w:r w:rsidR="00B64CD9">
        <w:t xml:space="preserve">Grupo Multimedia and indirectly in </w:t>
      </w:r>
      <w:r>
        <w:t>the licensee</w:t>
      </w:r>
      <w:r w:rsidR="005F14AA">
        <w:t>.</w:t>
      </w:r>
      <w:r>
        <w:t xml:space="preserve"> </w:t>
      </w:r>
      <w:r w:rsidR="004E754E">
        <w:t xml:space="preserve"> Grupo Multimedia would continue to hold 100 percent of the direct voting and equity interest in Deportes.</w:t>
      </w:r>
    </w:p>
    <w:p w:rsidR="008C4AB6" w:rsidP="00680CEF" w14:paraId="17EC261A" w14:textId="05F050AC">
      <w:pPr>
        <w:pStyle w:val="ParaNum"/>
        <w:ind w:left="0"/>
      </w:pPr>
      <w:r>
        <w:t xml:space="preserve">Petitioners </w:t>
      </w:r>
      <w:r w:rsidR="00437FA4">
        <w:t xml:space="preserve">assert that grant of the Petition would </w:t>
      </w:r>
      <w:r w:rsidR="00FB096D">
        <w:t>advance</w:t>
      </w:r>
      <w:r w:rsidR="00437FA4">
        <w:t xml:space="preserve"> the </w:t>
      </w:r>
      <w:r w:rsidR="0084014C">
        <w:t xml:space="preserve">Commission’s </w:t>
      </w:r>
      <w:r w:rsidR="00437FA4">
        <w:t xml:space="preserve">public interest goals </w:t>
      </w:r>
      <w:r w:rsidR="000D3246">
        <w:t>of</w:t>
      </w:r>
      <w:r w:rsidR="00437FA4">
        <w:t xml:space="preserve"> </w:t>
      </w:r>
      <w:r w:rsidR="003B1B76">
        <w:t>encouraging foreign</w:t>
      </w:r>
      <w:r w:rsidR="00437FA4">
        <w:t xml:space="preserve"> investment </w:t>
      </w:r>
      <w:r w:rsidR="00B31D73">
        <w:t xml:space="preserve">and ownership diversity </w:t>
      </w:r>
      <w:r w:rsidR="00437FA4">
        <w:t xml:space="preserve">in </w:t>
      </w:r>
      <w:r w:rsidR="00371BA2">
        <w:t>broadcasting</w:t>
      </w:r>
      <w:r w:rsidR="00437FA4">
        <w:t xml:space="preserve"> </w:t>
      </w:r>
      <w:r w:rsidR="000D3246">
        <w:t>while</w:t>
      </w:r>
      <w:r w:rsidR="00A41FBF">
        <w:t xml:space="preserve"> </w:t>
      </w:r>
      <w:r w:rsidR="000D3246">
        <w:t>permitting “Deportes to compete more effectively and better serve the public interest.”</w:t>
      </w:r>
      <w:r>
        <w:rPr>
          <w:rStyle w:val="FootnoteReference"/>
        </w:rPr>
        <w:footnoteReference w:id="7"/>
      </w:r>
      <w:r w:rsidR="000D3246">
        <w:t xml:space="preserve">  </w:t>
      </w:r>
      <w:r w:rsidR="00492342">
        <w:t>Further</w:t>
      </w:r>
      <w:r w:rsidR="00FB096D">
        <w:t>,</w:t>
      </w:r>
      <w:r w:rsidR="00492342">
        <w:t xml:space="preserve"> the Petitioners explain that </w:t>
      </w:r>
      <w:r w:rsidR="00B03124">
        <w:t xml:space="preserve">the </w:t>
      </w:r>
      <w:r w:rsidR="00C22A9F">
        <w:t>S</w:t>
      </w:r>
      <w:r w:rsidR="00492342">
        <w:t>tations “have been in danger of failing,” thus precipitating principal member, Roberto Medina’s “desires to transfer” his majority interest to SMG to avoid “depriv[ing] Hispanic listeners of what was always planned to be a valuable additional Spanish language program service in the Stations’ respective communities.”</w:t>
      </w:r>
      <w:r>
        <w:rPr>
          <w:rStyle w:val="FootnoteReference"/>
        </w:rPr>
        <w:footnoteReference w:id="8"/>
      </w:r>
      <w:r w:rsidR="00492342">
        <w:t xml:space="preserve">  </w:t>
      </w:r>
      <w:r w:rsidR="00437FA4">
        <w:t xml:space="preserve">In addition, the Petition </w:t>
      </w:r>
      <w:r w:rsidR="000D3246">
        <w:t>details</w:t>
      </w:r>
      <w:r w:rsidR="00437FA4">
        <w:t xml:space="preserve"> </w:t>
      </w:r>
      <w:r w:rsidR="000D3246">
        <w:t>the extensive broadcasting experience of SMG Managing Member, Juan Carlos Rodriguez, including his position as President of Univision Deportes since 2012.</w:t>
      </w:r>
      <w:r>
        <w:rPr>
          <w:rStyle w:val="FootnoteReference"/>
        </w:rPr>
        <w:footnoteReference w:id="9"/>
      </w:r>
      <w:r w:rsidR="00437FA4">
        <w:t xml:space="preserve">  </w:t>
      </w:r>
      <w:r w:rsidR="00C24B24">
        <w:t>The Petitioners</w:t>
      </w:r>
      <w:r w:rsidR="00437FA4">
        <w:t xml:space="preserve"> state that no national security concerns are implicated by the Petition.  </w:t>
      </w:r>
    </w:p>
    <w:p w:rsidR="000B0413" w:rsidRPr="000B0413" w:rsidP="004F0B44" w14:paraId="597E6DF7" w14:textId="7DC07D12">
      <w:pPr>
        <w:pStyle w:val="ParaNum"/>
        <w:ind w:left="0"/>
      </w:pPr>
      <w:r>
        <w:rPr>
          <w:i/>
        </w:rPr>
        <w:t xml:space="preserve">Section 310(b)(4) </w:t>
      </w:r>
      <w:r w:rsidR="000060AF">
        <w:rPr>
          <w:i/>
        </w:rPr>
        <w:t>S</w:t>
      </w:r>
      <w:r>
        <w:rPr>
          <w:i/>
        </w:rPr>
        <w:t xml:space="preserve">tandard. </w:t>
      </w:r>
      <w:r w:rsidRPr="00C7723C">
        <w:rPr>
          <w:i/>
          <w:szCs w:val="22"/>
        </w:rPr>
        <w:t xml:space="preserve"> </w:t>
      </w:r>
      <w:r w:rsidRPr="00C7723C">
        <w:rPr>
          <w:szCs w:val="22"/>
        </w:rPr>
        <w:t xml:space="preserve">We review the foreign ownership of </w:t>
      </w:r>
      <w:r>
        <w:rPr>
          <w:szCs w:val="22"/>
        </w:rPr>
        <w:t>SMG</w:t>
      </w:r>
      <w:r w:rsidRPr="00C7723C">
        <w:rPr>
          <w:szCs w:val="22"/>
        </w:rPr>
        <w:t xml:space="preserve"> under Section 310(b)(4) of the Act, which states that “[n]o broadcast … license shall be granted to or held by … any corporation directly or indirectly controlled by any other corporation of which more than one-fourth of the capital stock is owned of record or voted by aliens, their representatives, or by a foreign government or representative thereof, or by any corporation organized under the laws of a foreign country, if the Commission finds that the public interest will be served by the refusal or revocation of such license.”</w:t>
      </w:r>
      <w:r>
        <w:rPr>
          <w:rStyle w:val="FootnoteReference"/>
          <w:sz w:val="22"/>
          <w:szCs w:val="22"/>
        </w:rPr>
        <w:footnoteReference w:id="10"/>
      </w:r>
      <w:r w:rsidRPr="00C7723C">
        <w:rPr>
          <w:szCs w:val="22"/>
        </w:rPr>
        <w:t xml:space="preserve"> </w:t>
      </w:r>
    </w:p>
    <w:p w:rsidR="000B0413" w:rsidRPr="00446BC3" w:rsidP="007F0EF0" w14:paraId="624D713F" w14:textId="2377CD81">
      <w:pPr>
        <w:pStyle w:val="ParaNum"/>
        <w:ind w:left="0"/>
      </w:pPr>
      <w:r w:rsidRPr="00C7723C">
        <w:rPr>
          <w:szCs w:val="22"/>
        </w:rPr>
        <w:t xml:space="preserve">In the </w:t>
      </w:r>
      <w:r>
        <w:rPr>
          <w:i/>
        </w:rPr>
        <w:t>2013 Broadcast Clarification Ruling</w:t>
      </w:r>
      <w:r w:rsidRPr="00C7723C">
        <w:rPr>
          <w:szCs w:val="22"/>
        </w:rPr>
        <w:t>, the Commission</w:t>
      </w:r>
      <w:r w:rsidRPr="00757359">
        <w:t xml:space="preserve"> </w:t>
      </w:r>
      <w:r w:rsidRPr="00EF0AC2">
        <w:t>clarified the policies and procedures for evaluating potential foreign investment in broadcast licensees under Section 310(b)(4) of the Act.</w:t>
      </w:r>
      <w:r>
        <w:rPr>
          <w:rStyle w:val="FootnoteReference"/>
        </w:rPr>
        <w:footnoteReference w:id="11"/>
      </w:r>
      <w:r>
        <w:t xml:space="preserve">  Subsequently, in the recent </w:t>
      </w:r>
      <w:r w:rsidRPr="00D95D58">
        <w:rPr>
          <w:i/>
        </w:rPr>
        <w:t>Foreign Ownership Order</w:t>
      </w:r>
      <w:r>
        <w:t>,</w:t>
      </w:r>
      <w:r>
        <w:rPr>
          <w:i/>
        </w:rPr>
        <w:t xml:space="preserve"> </w:t>
      </w:r>
      <w:r>
        <w:t>the Commission modified</w:t>
      </w:r>
      <w:r w:rsidRPr="00EF0AC2">
        <w:t xml:space="preserve"> the </w:t>
      </w:r>
      <w:r>
        <w:t xml:space="preserve">broadcast licensee </w:t>
      </w:r>
      <w:r w:rsidRPr="00EF0AC2">
        <w:t>foreign ownership review</w:t>
      </w:r>
      <w:r>
        <w:t xml:space="preserve"> process</w:t>
      </w:r>
      <w:r w:rsidRPr="00EF0AC2">
        <w:t xml:space="preserve"> by extending the streamlined rules and procedures developed f</w:t>
      </w:r>
      <w:r>
        <w:t>or review of foreign ownership of</w:t>
      </w:r>
      <w:r w:rsidRPr="00EF0AC2">
        <w:t xml:space="preserve"> common carrier and certain aeronautical licensees under Section 310(b)(4) to the broadcast context</w:t>
      </w:r>
      <w:r>
        <w:t>, with certain limited exceptions.</w:t>
      </w:r>
      <w:r>
        <w:rPr>
          <w:rStyle w:val="FootnoteReference"/>
        </w:rPr>
        <w:footnoteReference w:id="12"/>
      </w:r>
      <w:r>
        <w:t xml:space="preserve">  Further, in evaluating petitions relating to foreign ownership, the Commission affords </w:t>
      </w:r>
      <w:r w:rsidRPr="00C7723C">
        <w:rPr>
          <w:szCs w:val="22"/>
        </w:rPr>
        <w:t>appropriate deference to the expertise of the Executive Branch agencies on issues related to national security, law enforcement, foreign policy, and trade policy.</w:t>
      </w:r>
      <w:r>
        <w:rPr>
          <w:rStyle w:val="FootnoteReference"/>
          <w:sz w:val="22"/>
          <w:szCs w:val="22"/>
        </w:rPr>
        <w:footnoteReference w:id="13"/>
      </w:r>
      <w:r w:rsidRPr="00C7723C">
        <w:rPr>
          <w:szCs w:val="22"/>
        </w:rPr>
        <w:t xml:space="preserve"> </w:t>
      </w:r>
      <w:r>
        <w:rPr>
          <w:i/>
        </w:rPr>
        <w:t xml:space="preserve"> </w:t>
      </w:r>
    </w:p>
    <w:p w:rsidR="00C36D55" w:rsidP="007F0EF0" w14:paraId="70971144" w14:textId="7AEED6C9">
      <w:pPr>
        <w:pStyle w:val="ParaNum"/>
        <w:ind w:left="0"/>
        <w:rPr>
          <w:szCs w:val="22"/>
        </w:rPr>
      </w:pPr>
      <w:r>
        <w:t xml:space="preserve">The Commission has explained that in the context of the Section 310(b)(4) review for broadcast licensees, </w:t>
      </w:r>
      <w:r w:rsidRPr="00EF0AC2">
        <w:t>the 25 percent benchmark “is only a trigger for the exercise of our discretion, which we then exercise based upon a more searching analysis of the circumstances of each case.”</w:t>
      </w:r>
      <w:r>
        <w:rPr>
          <w:rStyle w:val="FootnoteReference"/>
        </w:rPr>
        <w:footnoteReference w:id="14"/>
      </w:r>
      <w:r w:rsidR="00395B9C">
        <w:t xml:space="preserve">  Moreover, the </w:t>
      </w:r>
      <w:r w:rsidR="00395B9C">
        <w:rPr>
          <w:i/>
        </w:rPr>
        <w:t xml:space="preserve">Foreign Ownership Order </w:t>
      </w:r>
      <w:r w:rsidR="00395B9C">
        <w:t>expressly provides for</w:t>
      </w:r>
      <w:r w:rsidRPr="00F606B3" w:rsidR="00395B9C">
        <w:t xml:space="preserve"> </w:t>
      </w:r>
      <w:r w:rsidR="00395B9C">
        <w:t>processing</w:t>
      </w:r>
      <w:r w:rsidRPr="00F606B3" w:rsidR="00395B9C">
        <w:t xml:space="preserve"> of </w:t>
      </w:r>
      <w:r w:rsidR="00395B9C">
        <w:t xml:space="preserve">petitions involving </w:t>
      </w:r>
      <w:r w:rsidRPr="00F606B3" w:rsidR="00395B9C">
        <w:t>100 percent foreign ownership</w:t>
      </w:r>
      <w:r w:rsidR="00395B9C">
        <w:t xml:space="preserve"> of a broadcast licensee’s parent,</w:t>
      </w:r>
      <w:r>
        <w:rPr>
          <w:rStyle w:val="FootnoteReference"/>
        </w:rPr>
        <w:footnoteReference w:id="15"/>
      </w:r>
      <w:r w:rsidRPr="00F606B3" w:rsidR="00395B9C">
        <w:t xml:space="preserve"> </w:t>
      </w:r>
      <w:r w:rsidR="00395B9C">
        <w:t xml:space="preserve">such </w:t>
      </w:r>
      <w:r w:rsidRPr="00F606B3" w:rsidR="00395B9C">
        <w:t>as here</w:t>
      </w:r>
      <w:r w:rsidR="00395B9C">
        <w:t>.</w:t>
      </w:r>
      <w:r w:rsidR="005C0089">
        <w:t xml:space="preserve">  </w:t>
      </w:r>
      <w:r w:rsidRPr="00C36D55">
        <w:rPr>
          <w:szCs w:val="22"/>
        </w:rPr>
        <w:t>To</w:t>
      </w:r>
      <w:r w:rsidRPr="00C7723C">
        <w:rPr>
          <w:szCs w:val="22"/>
        </w:rPr>
        <w:t xml:space="preserve"> exercise in a meaningful way the discretion conferred by statute, the Commission must receive detailed information </w:t>
      </w:r>
      <w:r w:rsidR="00AA6550">
        <w:rPr>
          <w:szCs w:val="22"/>
        </w:rPr>
        <w:t xml:space="preserve">from the applicant </w:t>
      </w:r>
      <w:r w:rsidR="005F0488">
        <w:rPr>
          <w:szCs w:val="22"/>
        </w:rPr>
        <w:t xml:space="preserve">sufficient for </w:t>
      </w:r>
      <w:r w:rsidRPr="00C7723C">
        <w:rPr>
          <w:szCs w:val="22"/>
        </w:rPr>
        <w:t xml:space="preserve">the </w:t>
      </w:r>
      <w:r w:rsidR="005F0488">
        <w:rPr>
          <w:szCs w:val="22"/>
        </w:rPr>
        <w:t>Commission</w:t>
      </w:r>
      <w:r w:rsidRPr="00C7723C">
        <w:rPr>
          <w:szCs w:val="22"/>
        </w:rPr>
        <w:t xml:space="preserve"> to make the public interest finding the statute requires.</w:t>
      </w:r>
      <w:r>
        <w:rPr>
          <w:rStyle w:val="FootnoteReference"/>
          <w:sz w:val="22"/>
          <w:szCs w:val="22"/>
        </w:rPr>
        <w:footnoteReference w:id="16"/>
      </w:r>
    </w:p>
    <w:p w:rsidR="00DD6C39" w:rsidP="00276CBC" w14:paraId="6E7E5E0E" w14:textId="04177E1E">
      <w:pPr>
        <w:pStyle w:val="Heading1"/>
      </w:pPr>
      <w:r>
        <w:t>DISCUSSION</w:t>
      </w:r>
    </w:p>
    <w:p w:rsidR="00AB3097" w:rsidRPr="00BE2E6C" w:rsidP="002F6B75" w14:paraId="570843C2" w14:textId="77777777">
      <w:pPr>
        <w:pStyle w:val="ParaNum"/>
        <w:ind w:left="0"/>
        <w:rPr>
          <w:szCs w:val="22"/>
        </w:rPr>
      </w:pPr>
      <w:r>
        <w:rPr>
          <w:i/>
        </w:rPr>
        <w:t xml:space="preserve">Foreign Ownership </w:t>
      </w:r>
      <w:r w:rsidR="003768A5">
        <w:rPr>
          <w:i/>
        </w:rPr>
        <w:t xml:space="preserve">Declaratory Ruling.  </w:t>
      </w:r>
      <w:r>
        <w:t>We find that grant of this unopposed Petition is in the public interest.  Specifically, we find that grant of the Petition is likely to: (1) increase the likelihood of continued service to the Stations’ communities by authorizing investment by individuals who are ready, willing, and able to operate the Stations based on their current involvement and extensive broadcasting experience; (2) facilitate foreign investment in the U.S. broadcast radio market;</w:t>
      </w:r>
      <w:r w:rsidRPr="002014AE">
        <w:t xml:space="preserve"> </w:t>
      </w:r>
      <w:r>
        <w:t xml:space="preserve">and (3) potentially encourage reciprocal investment opportunities for U.S. companies in Mexico. </w:t>
      </w:r>
    </w:p>
    <w:p w:rsidR="00575AD9" w:rsidRPr="00575AD9" w:rsidP="00680CEF" w14:paraId="731C3B4C" w14:textId="048740A3">
      <w:pPr>
        <w:pStyle w:val="ParaNum"/>
        <w:ind w:left="0"/>
      </w:pPr>
      <w:r>
        <w:t>As stated above</w:t>
      </w:r>
      <w:r>
        <w:t xml:space="preserve">, </w:t>
      </w:r>
      <w:r w:rsidR="00010A8B">
        <w:t xml:space="preserve">the </w:t>
      </w:r>
      <w:r w:rsidR="00B31D73">
        <w:t>Petitioners</w:t>
      </w:r>
      <w:r w:rsidR="00010A8B">
        <w:t xml:space="preserve"> </w:t>
      </w:r>
      <w:r w:rsidR="002C2D61">
        <w:t>propose</w:t>
      </w:r>
      <w:r w:rsidR="00010A8B">
        <w:t xml:space="preserve"> 100</w:t>
      </w:r>
      <w:r w:rsidR="002A29D7">
        <w:t xml:space="preserve"> percent</w:t>
      </w:r>
      <w:r w:rsidR="00010A8B">
        <w:t xml:space="preserve"> foreign ownership of </w:t>
      </w:r>
      <w:r w:rsidR="005A01AD">
        <w:t xml:space="preserve">SMG, </w:t>
      </w:r>
      <w:r w:rsidR="002C2D61">
        <w:t>which would be the sole</w:t>
      </w:r>
      <w:r w:rsidR="007A6714">
        <w:t xml:space="preserve"> owner of Grupo</w:t>
      </w:r>
      <w:r w:rsidR="008215ED">
        <w:t xml:space="preserve"> Multimedia</w:t>
      </w:r>
      <w:r w:rsidR="007A6714">
        <w:t xml:space="preserve">, </w:t>
      </w:r>
      <w:r w:rsidR="009A1746">
        <w:t>U.S.</w:t>
      </w:r>
      <w:r w:rsidR="00010A8B">
        <w:t xml:space="preserve"> parent </w:t>
      </w:r>
      <w:r w:rsidR="009A1746">
        <w:t xml:space="preserve">company </w:t>
      </w:r>
      <w:r w:rsidR="00010A8B">
        <w:t>of licensee</w:t>
      </w:r>
      <w:r w:rsidR="007A6714">
        <w:t xml:space="preserve"> Deportes</w:t>
      </w:r>
      <w:r>
        <w:t>.  Following the procedure</w:t>
      </w:r>
      <w:r w:rsidR="0093440E">
        <w:t>s</w:t>
      </w:r>
      <w:r>
        <w:t xml:space="preserve"> outlined in the </w:t>
      </w:r>
      <w:r w:rsidR="0099697F">
        <w:rPr>
          <w:i/>
        </w:rPr>
        <w:t>2013 B</w:t>
      </w:r>
      <w:r>
        <w:rPr>
          <w:i/>
        </w:rPr>
        <w:t>roadcast Clarification Ruling</w:t>
      </w:r>
      <w:r>
        <w:t xml:space="preserve"> and </w:t>
      </w:r>
      <w:r w:rsidR="001917A6">
        <w:rPr>
          <w:i/>
        </w:rPr>
        <w:t>Foreign Ownership Orde</w:t>
      </w:r>
      <w:r w:rsidR="009A1746">
        <w:rPr>
          <w:i/>
        </w:rPr>
        <w:t>r</w:t>
      </w:r>
      <w:r>
        <w:t>, we have consulted with the relevant Executive Branch agencies with expertise on issues related to national security, law enforcement, foreign policy, and trade policy.</w:t>
      </w:r>
      <w:r>
        <w:rPr>
          <w:rStyle w:val="FootnoteReference"/>
        </w:rPr>
        <w:footnoteReference w:id="17"/>
      </w:r>
      <w:r w:rsidR="000D7A68">
        <w:t xml:space="preserve"> </w:t>
      </w:r>
      <w:r w:rsidR="00224324">
        <w:t xml:space="preserve"> </w:t>
      </w:r>
      <w:r w:rsidR="00440365">
        <w:t>T</w:t>
      </w:r>
      <w:r w:rsidR="000D7A68">
        <w:t>he Executive Branch agencies have filed a letter with the Commission stating that they have no objection to grant of the requests and have not requested that we impose any conditions on grant.</w:t>
      </w:r>
      <w:r>
        <w:rPr>
          <w:rStyle w:val="FootnoteReference"/>
        </w:rPr>
        <w:footnoteReference w:id="18"/>
      </w:r>
      <w:r w:rsidR="000D7A68">
        <w:t xml:space="preserve">  </w:t>
      </w:r>
      <w:r>
        <w:t xml:space="preserve">  </w:t>
      </w:r>
    </w:p>
    <w:p w:rsidR="00F80006" w:rsidRPr="000060AF" w:rsidP="00680CEF" w14:paraId="1D1BC567" w14:textId="2C062588">
      <w:pPr>
        <w:pStyle w:val="ParaNum"/>
        <w:widowControl/>
        <w:tabs>
          <w:tab w:val="num" w:pos="1440"/>
        </w:tabs>
        <w:ind w:left="0"/>
        <w:rPr>
          <w:szCs w:val="22"/>
        </w:rPr>
      </w:pPr>
      <w:r>
        <w:t>A</w:t>
      </w:r>
      <w:r w:rsidRPr="000060AF" w:rsidR="00440365">
        <w:rPr>
          <w:szCs w:val="22"/>
        </w:rPr>
        <w:t>ccordingly, u</w:t>
      </w:r>
      <w:r w:rsidRPr="000060AF" w:rsidR="00C7723C">
        <w:rPr>
          <w:szCs w:val="22"/>
        </w:rPr>
        <w:t>pon review of the facts and circumstances set out in the Petition, and pursuant to the p</w:t>
      </w:r>
      <w:r w:rsidRPr="000060AF" w:rsidR="00AF0571">
        <w:rPr>
          <w:szCs w:val="22"/>
        </w:rPr>
        <w:t>rocedures</w:t>
      </w:r>
      <w:r w:rsidRPr="000060AF" w:rsidR="00C7723C">
        <w:rPr>
          <w:szCs w:val="22"/>
        </w:rPr>
        <w:t xml:space="preserve"> </w:t>
      </w:r>
      <w:r w:rsidRPr="000060AF" w:rsidR="00AF0571">
        <w:rPr>
          <w:szCs w:val="22"/>
        </w:rPr>
        <w:t>adopted in</w:t>
      </w:r>
      <w:r w:rsidR="00B11019">
        <w:rPr>
          <w:szCs w:val="22"/>
        </w:rPr>
        <w:t xml:space="preserve"> the</w:t>
      </w:r>
      <w:r w:rsidRPr="000060AF" w:rsidR="00C7723C">
        <w:rPr>
          <w:szCs w:val="22"/>
        </w:rPr>
        <w:t xml:space="preserve"> </w:t>
      </w:r>
      <w:r w:rsidRPr="000060AF" w:rsidR="00AF0571">
        <w:rPr>
          <w:i/>
          <w:szCs w:val="22"/>
        </w:rPr>
        <w:t>Foreign Ownership Order</w:t>
      </w:r>
      <w:r w:rsidRPr="000060AF" w:rsidR="00C7723C">
        <w:rPr>
          <w:szCs w:val="22"/>
        </w:rPr>
        <w:t xml:space="preserve">, we find that the public interest would not be served by prohibiting the </w:t>
      </w:r>
      <w:r w:rsidRPr="000060AF" w:rsidR="00AF0571">
        <w:rPr>
          <w:szCs w:val="22"/>
        </w:rPr>
        <w:t xml:space="preserve">additional </w:t>
      </w:r>
      <w:r w:rsidRPr="000060AF" w:rsidR="00C7723C">
        <w:rPr>
          <w:szCs w:val="22"/>
        </w:rPr>
        <w:t xml:space="preserve">foreign ownership </w:t>
      </w:r>
      <w:r w:rsidRPr="000060AF" w:rsidR="009344D0">
        <w:rPr>
          <w:szCs w:val="22"/>
        </w:rPr>
        <w:t xml:space="preserve">by SMG </w:t>
      </w:r>
      <w:r w:rsidRPr="000060AF" w:rsidR="00C7723C">
        <w:rPr>
          <w:szCs w:val="22"/>
        </w:rPr>
        <w:t xml:space="preserve">of </w:t>
      </w:r>
      <w:r w:rsidRPr="000060AF" w:rsidR="009344D0">
        <w:rPr>
          <w:szCs w:val="22"/>
        </w:rPr>
        <w:t>Grupo</w:t>
      </w:r>
      <w:r w:rsidRPr="000060AF" w:rsidR="008B04FA">
        <w:rPr>
          <w:szCs w:val="22"/>
        </w:rPr>
        <w:t xml:space="preserve"> Multimedia</w:t>
      </w:r>
      <w:r w:rsidRPr="000060AF" w:rsidR="009344D0">
        <w:rPr>
          <w:szCs w:val="22"/>
        </w:rPr>
        <w:t>,</w:t>
      </w:r>
      <w:r w:rsidRPr="000060AF" w:rsidR="00C7723C">
        <w:rPr>
          <w:szCs w:val="22"/>
        </w:rPr>
        <w:t xml:space="preserve"> the controlling U.S. parent, in excess of the 25 percent benchmark in Section 310(b)(4) of the Act.  </w:t>
      </w:r>
      <w:r w:rsidRPr="000060AF" w:rsidR="00E56A25">
        <w:rPr>
          <w:szCs w:val="22"/>
        </w:rPr>
        <w:t>Specifically, this</w:t>
      </w:r>
      <w:r w:rsidRPr="000060AF" w:rsidR="00AB260B">
        <w:rPr>
          <w:szCs w:val="22"/>
        </w:rPr>
        <w:t xml:space="preserve"> </w:t>
      </w:r>
      <w:r w:rsidRPr="000060AF" w:rsidR="00AB260B">
        <w:rPr>
          <w:i/>
          <w:szCs w:val="22"/>
        </w:rPr>
        <w:t>Declaratory Ruling</w:t>
      </w:r>
      <w:r w:rsidRPr="000060AF" w:rsidR="00C7723C">
        <w:rPr>
          <w:szCs w:val="22"/>
        </w:rPr>
        <w:t xml:space="preserve"> </w:t>
      </w:r>
      <w:r w:rsidRPr="000060AF" w:rsidR="00B6407B">
        <w:rPr>
          <w:szCs w:val="22"/>
        </w:rPr>
        <w:t>grants</w:t>
      </w:r>
      <w:r w:rsidRPr="000060AF" w:rsidR="00040EE4">
        <w:rPr>
          <w:szCs w:val="22"/>
        </w:rPr>
        <w:t>, pursuant to Section 1.5001(i) of the rules,</w:t>
      </w:r>
      <w:r w:rsidRPr="000060AF" w:rsidR="00B6407B">
        <w:rPr>
          <w:szCs w:val="22"/>
        </w:rPr>
        <w:t xml:space="preserve"> the </w:t>
      </w:r>
      <w:r w:rsidRPr="000060AF" w:rsidR="00040EE4">
        <w:rPr>
          <w:szCs w:val="22"/>
        </w:rPr>
        <w:t>Petitioners</w:t>
      </w:r>
      <w:r w:rsidRPr="000060AF" w:rsidR="00781350">
        <w:rPr>
          <w:szCs w:val="22"/>
        </w:rPr>
        <w:t>’</w:t>
      </w:r>
      <w:r w:rsidRPr="000060AF" w:rsidR="00040EE4">
        <w:rPr>
          <w:szCs w:val="22"/>
        </w:rPr>
        <w:t xml:space="preserve"> </w:t>
      </w:r>
      <w:r w:rsidRPr="000060AF" w:rsidR="00B6407B">
        <w:rPr>
          <w:szCs w:val="22"/>
        </w:rPr>
        <w:t>request for specific approval</w:t>
      </w:r>
      <w:r w:rsidRPr="000060AF" w:rsidR="00040EE4">
        <w:rPr>
          <w:szCs w:val="22"/>
        </w:rPr>
        <w:t xml:space="preserve"> for</w:t>
      </w:r>
      <w:r w:rsidRPr="000060AF" w:rsidR="00C7723C">
        <w:rPr>
          <w:szCs w:val="22"/>
        </w:rPr>
        <w:t xml:space="preserve"> 100 percent of the equity and voting interests in </w:t>
      </w:r>
      <w:r w:rsidRPr="000060AF" w:rsidR="00AB260B">
        <w:rPr>
          <w:szCs w:val="22"/>
        </w:rPr>
        <w:t>SMG</w:t>
      </w:r>
      <w:r w:rsidRPr="000060AF" w:rsidR="00C7723C">
        <w:rPr>
          <w:szCs w:val="22"/>
        </w:rPr>
        <w:t xml:space="preserve"> to be held by</w:t>
      </w:r>
      <w:r w:rsidRPr="000060AF" w:rsidR="00AB260B">
        <w:rPr>
          <w:szCs w:val="22"/>
        </w:rPr>
        <w:t xml:space="preserve"> </w:t>
      </w:r>
      <w:r w:rsidRPr="000060AF" w:rsidR="00926D81">
        <w:rPr>
          <w:szCs w:val="22"/>
        </w:rPr>
        <w:t xml:space="preserve">two Mexican citizens: </w:t>
      </w:r>
      <w:r w:rsidRPr="000060AF" w:rsidR="00AB260B">
        <w:rPr>
          <w:szCs w:val="22"/>
        </w:rPr>
        <w:t>Juan Carlos Rodriguez (70 percent) and Francisco Gonzalez (30 percent)</w:t>
      </w:r>
      <w:r w:rsidRPr="000060AF" w:rsidR="00C7723C">
        <w:rPr>
          <w:szCs w:val="22"/>
        </w:rPr>
        <w:t>.</w:t>
      </w:r>
      <w:r>
        <w:rPr>
          <w:rStyle w:val="FootnoteReference"/>
          <w:szCs w:val="22"/>
        </w:rPr>
        <w:footnoteReference w:id="19"/>
      </w:r>
      <w:r w:rsidRPr="000060AF" w:rsidR="006B2A9B">
        <w:rPr>
          <w:szCs w:val="22"/>
        </w:rPr>
        <w:t xml:space="preserve">  </w:t>
      </w:r>
    </w:p>
    <w:p w:rsidR="00C7723C" w:rsidP="004F0B44" w14:paraId="4D70BE62" w14:textId="58CA7500">
      <w:pPr>
        <w:pStyle w:val="ParaNum"/>
        <w:ind w:left="0"/>
      </w:pPr>
      <w:r w:rsidRPr="00680CEF">
        <w:rPr>
          <w:u w:val="single"/>
        </w:rPr>
        <w:t>Scope</w:t>
      </w:r>
      <w:r w:rsidRPr="00680CEF" w:rsidR="00262A1B">
        <w:rPr>
          <w:u w:val="single"/>
        </w:rPr>
        <w:t xml:space="preserve"> of the </w:t>
      </w:r>
      <w:r w:rsidRPr="00DE6E61" w:rsidR="00DE6E61">
        <w:rPr>
          <w:u w:val="single"/>
        </w:rPr>
        <w:t>R</w:t>
      </w:r>
      <w:r w:rsidRPr="00DE6E61" w:rsidR="00262A1B">
        <w:rPr>
          <w:u w:val="single"/>
        </w:rPr>
        <w:t>uling</w:t>
      </w:r>
      <w:r>
        <w:t xml:space="preserve">.  This </w:t>
      </w:r>
      <w:r w:rsidR="00262A1B">
        <w:rPr>
          <w:i/>
        </w:rPr>
        <w:t>Declaratory Ruling</w:t>
      </w:r>
      <w:r>
        <w:t xml:space="preserve"> covers </w:t>
      </w:r>
      <w:r w:rsidR="00AB260B">
        <w:t>SMG</w:t>
      </w:r>
      <w:r w:rsidRPr="0057226F">
        <w:t xml:space="preserve">’s </w:t>
      </w:r>
      <w:r>
        <w:t xml:space="preserve">U.S.-organized </w:t>
      </w:r>
      <w:r w:rsidRPr="0057226F">
        <w:t>subsidiaries and affiliates,</w:t>
      </w:r>
      <w:r>
        <w:t xml:space="preserve"> </w:t>
      </w:r>
      <w:r w:rsidRPr="0057226F">
        <w:t>whether existing or formed or acquired subsequently, that are wholly owned and controlled by, or under</w:t>
      </w:r>
      <w:r>
        <w:t xml:space="preserve"> </w:t>
      </w:r>
      <w:r w:rsidRPr="0057226F">
        <w:t xml:space="preserve">100 percent common ownership </w:t>
      </w:r>
      <w:r>
        <w:t xml:space="preserve">and control with, </w:t>
      </w:r>
      <w:r w:rsidR="00AB260B">
        <w:t>SMG</w:t>
      </w:r>
      <w:r>
        <w:t xml:space="preserve">, provided that </w:t>
      </w:r>
      <w:r w:rsidR="00AB260B">
        <w:t>SMG</w:t>
      </w:r>
      <w:r>
        <w:t xml:space="preserve"> and the subsidiary and/or affiliate remain in compliance with the terms and conditions of this </w:t>
      </w:r>
      <w:r>
        <w:rPr>
          <w:i/>
        </w:rPr>
        <w:t xml:space="preserve">Declaratory Ruling </w:t>
      </w:r>
      <w:r>
        <w:t>and the Commission’s rules.</w:t>
      </w:r>
      <w:r>
        <w:rPr>
          <w:rStyle w:val="FootnoteReference"/>
        </w:rPr>
        <w:footnoteReference w:id="20"/>
      </w:r>
      <w:r>
        <w:t xml:space="preserve">  </w:t>
      </w:r>
      <w:r w:rsidR="00B41159">
        <w:t xml:space="preserve">The flexibility granted herein reflects the reality that it is not uncommon </w:t>
      </w:r>
      <w:r w:rsidR="00941BA3">
        <w:t>for companies to make changes within their corporate structure that in no way affect the operation, management, or control of those companies</w:t>
      </w:r>
      <w:r w:rsidR="003F1D75">
        <w:t xml:space="preserve">.  This flexibility does not detract in any way from the requirement under the Act and our </w:t>
      </w:r>
      <w:r w:rsidR="00C14385">
        <w:t>r</w:t>
      </w:r>
      <w:r w:rsidR="003F1D75">
        <w:t xml:space="preserve">ules to apply for and receive prior Commission consent to a voluntary assignment of license or transfer of control or to seek a new declaratory ruling before its foreign ownership exceeds the terms or conditions of this </w:t>
      </w:r>
      <w:r w:rsidR="003F1D75">
        <w:rPr>
          <w:i/>
        </w:rPr>
        <w:t>Declaratory Ruling</w:t>
      </w:r>
      <w:r w:rsidR="003F1D75">
        <w:t>.</w:t>
      </w:r>
    </w:p>
    <w:p w:rsidR="00FA26D8" w:rsidP="004F0B44" w14:paraId="794497C1" w14:textId="3BFFAAF0">
      <w:pPr>
        <w:pStyle w:val="ParaNum"/>
        <w:ind w:left="0"/>
      </w:pPr>
      <w:r w:rsidRPr="00DE6E61">
        <w:rPr>
          <w:u w:val="single"/>
        </w:rPr>
        <w:t>C</w:t>
      </w:r>
      <w:r w:rsidRPr="00DE6E61" w:rsidR="00C7723C">
        <w:rPr>
          <w:u w:val="single"/>
        </w:rPr>
        <w:t>onditions</w:t>
      </w:r>
      <w:r w:rsidR="00C7723C">
        <w:t>.</w:t>
      </w:r>
      <w:r w:rsidR="00C7723C">
        <w:rPr>
          <w:i/>
        </w:rPr>
        <w:t xml:space="preserve">  </w:t>
      </w:r>
      <w:r w:rsidR="00550A22">
        <w:t xml:space="preserve">We place certain </w:t>
      </w:r>
      <w:r w:rsidR="00B215D0">
        <w:t xml:space="preserve">conditions </w:t>
      </w:r>
      <w:r w:rsidR="00550A22">
        <w:t xml:space="preserve">on Deportes and its direct and indirect owners </w:t>
      </w:r>
      <w:r w:rsidR="00B215D0">
        <w:t>based on the facts on record,</w:t>
      </w:r>
      <w:r w:rsidRPr="004D014A" w:rsidR="00B215D0">
        <w:t xml:space="preserve"> the polic</w:t>
      </w:r>
      <w:r w:rsidR="00EF4C55">
        <w:t>ies</w:t>
      </w:r>
      <w:r w:rsidRPr="004D014A" w:rsidR="00B215D0">
        <w:t xml:space="preserve"> set out in the </w:t>
      </w:r>
      <w:r w:rsidRPr="00C04A25" w:rsidR="00C04A25">
        <w:rPr>
          <w:i/>
        </w:rPr>
        <w:t>2013 Broadcast Clarification Ruling</w:t>
      </w:r>
      <w:r w:rsidR="00CA77F1">
        <w:rPr>
          <w:i/>
        </w:rPr>
        <w:t>,</w:t>
      </w:r>
      <w:r w:rsidR="00EF4C55">
        <w:t xml:space="preserve"> the</w:t>
      </w:r>
      <w:r w:rsidR="00EF4C55">
        <w:rPr>
          <w:i/>
        </w:rPr>
        <w:t xml:space="preserve"> Foreign Ownership Order</w:t>
      </w:r>
      <w:r w:rsidRPr="004D014A" w:rsidR="00B215D0">
        <w:t xml:space="preserve">, </w:t>
      </w:r>
      <w:r w:rsidR="00CA77F1">
        <w:t xml:space="preserve">and </w:t>
      </w:r>
      <w:r w:rsidR="0078068A">
        <w:t xml:space="preserve">Sections 1.5000 </w:t>
      </w:r>
      <w:r w:rsidR="0078068A">
        <w:rPr>
          <w:i/>
        </w:rPr>
        <w:t>et.seq.</w:t>
      </w:r>
      <w:r>
        <w:rPr>
          <w:rStyle w:val="FootnoteReference"/>
        </w:rPr>
        <w:footnoteReference w:id="21"/>
      </w:r>
      <w:r w:rsidR="0078068A">
        <w:rPr>
          <w:i/>
        </w:rPr>
        <w:t xml:space="preserve"> </w:t>
      </w:r>
      <w:r w:rsidR="0078068A">
        <w:t>of the rules adopted therein</w:t>
      </w:r>
      <w:r w:rsidR="00CA77F1">
        <w:t>.</w:t>
      </w:r>
      <w:r w:rsidRPr="00CA77F1" w:rsidR="00CA77F1">
        <w:rPr>
          <w:rStyle w:val="FootnoteReference"/>
        </w:rPr>
        <w:t xml:space="preserve"> </w:t>
      </w:r>
      <w:r>
        <w:rPr>
          <w:rStyle w:val="FootnoteReference"/>
        </w:rPr>
        <w:footnoteReference w:id="22"/>
      </w:r>
      <w:r w:rsidR="0078068A">
        <w:t xml:space="preserve"> </w:t>
      </w:r>
      <w:r w:rsidR="00213383">
        <w:t xml:space="preserve"> </w:t>
      </w:r>
      <w:r w:rsidR="00B215D0">
        <w:t xml:space="preserve">Specifically, we </w:t>
      </w:r>
      <w:r w:rsidR="00CD2639">
        <w:t>require</w:t>
      </w:r>
      <w:r w:rsidR="00B215D0">
        <w:t xml:space="preserve"> </w:t>
      </w:r>
      <w:r w:rsidR="00AB260B">
        <w:t>SMG</w:t>
      </w:r>
      <w:r w:rsidR="00C7723C">
        <w:t xml:space="preserve"> </w:t>
      </w:r>
      <w:r w:rsidR="00CD2639">
        <w:t xml:space="preserve">to </w:t>
      </w:r>
      <w:r w:rsidR="00C7723C">
        <w:t xml:space="preserve">obtain prior Commission approval for any change in its ownership </w:t>
      </w:r>
      <w:r w:rsidR="00CA5AEE">
        <w:t>before</w:t>
      </w:r>
      <w:r w:rsidR="00C7723C">
        <w:t xml:space="preserve"> any individual foreign investor or “group” that is not specifically approved by this </w:t>
      </w:r>
      <w:r w:rsidR="00C7723C">
        <w:rPr>
          <w:i/>
        </w:rPr>
        <w:t>Declaratory Ruling</w:t>
      </w:r>
      <w:r w:rsidR="00CA5AEE">
        <w:t xml:space="preserve"> acquires </w:t>
      </w:r>
      <w:r w:rsidR="00C7723C">
        <w:t xml:space="preserve">a </w:t>
      </w:r>
      <w:r w:rsidR="006C36EF">
        <w:t xml:space="preserve">direct or indirect </w:t>
      </w:r>
      <w:r w:rsidR="00C7723C">
        <w:t xml:space="preserve">voting or equity interest in </w:t>
      </w:r>
      <w:r w:rsidR="00AB260B">
        <w:t>SMG</w:t>
      </w:r>
      <w:r w:rsidR="007373E3">
        <w:t>, whether or not the interest is insulated</w:t>
      </w:r>
      <w:r w:rsidR="00C7723C">
        <w:t>.</w:t>
      </w:r>
      <w:r>
        <w:rPr>
          <w:rStyle w:val="FootnoteReference"/>
        </w:rPr>
        <w:footnoteReference w:id="23"/>
      </w:r>
      <w:r w:rsidR="001D5A45">
        <w:t xml:space="preserve">  </w:t>
      </w:r>
      <w:r w:rsidR="002F46FC">
        <w:t xml:space="preserve">If, at any time, </w:t>
      </w:r>
      <w:r w:rsidR="00AB260B">
        <w:t>SMG</w:t>
      </w:r>
      <w:r w:rsidR="002F46FC">
        <w:t xml:space="preserve"> knows, or has reason to know, that it is no </w:t>
      </w:r>
      <w:r w:rsidR="00F27CC6">
        <w:t xml:space="preserve">longer in compliance with this </w:t>
      </w:r>
      <w:r w:rsidRPr="00F27CC6" w:rsidR="00F27CC6">
        <w:rPr>
          <w:i/>
        </w:rPr>
        <w:t>Declaratory R</w:t>
      </w:r>
      <w:r w:rsidRPr="00F27CC6" w:rsidR="002F46FC">
        <w:rPr>
          <w:i/>
        </w:rPr>
        <w:t>uling</w:t>
      </w:r>
      <w:r w:rsidR="002F46FC">
        <w:t xml:space="preserve">, Section 310(b) of the Act, or the Commission’s </w:t>
      </w:r>
      <w:r w:rsidR="00E63083">
        <w:t xml:space="preserve">foreign ownership </w:t>
      </w:r>
      <w:r w:rsidR="002F46FC">
        <w:t xml:space="preserve">rules </w:t>
      </w:r>
      <w:r w:rsidR="00E63083">
        <w:t>then in effect</w:t>
      </w:r>
      <w:r w:rsidR="002F46FC">
        <w:t>, it shall file a statement with the Commission explaining the circumstances within 30 days of the date that it knew or had reason to know that it was no longer in compliance and how it intends to correct the overage, either by filing a new petition for declaratory ruling or by reducing the foreign interest.</w:t>
      </w:r>
      <w:r>
        <w:rPr>
          <w:rStyle w:val="FootnoteReference"/>
        </w:rPr>
        <w:footnoteReference w:id="24"/>
      </w:r>
    </w:p>
    <w:p w:rsidR="00DD4FB5" w:rsidP="004F0B44" w14:paraId="577EC55E" w14:textId="08236824">
      <w:pPr>
        <w:pStyle w:val="ParaNum"/>
        <w:ind w:left="0"/>
      </w:pPr>
      <w:r>
        <w:rPr>
          <w:i/>
        </w:rPr>
        <w:t>Transfer of Control</w:t>
      </w:r>
      <w:r>
        <w:rPr>
          <w:i/>
        </w:rPr>
        <w:t xml:space="preserve"> Application</w:t>
      </w:r>
      <w:r w:rsidRPr="00680CEF">
        <w:rPr>
          <w:i/>
        </w:rPr>
        <w:t xml:space="preserve">. </w:t>
      </w:r>
      <w:r>
        <w:t xml:space="preserve">Following our routine processing procedures, we have reviewed the subject Application for compliance with the various statutory and regulatory requirements relating to transfer of control applications.  Other than the foreign ownership issue addressed </w:t>
      </w:r>
      <w:r w:rsidR="00DE02CB">
        <w:t>above</w:t>
      </w:r>
      <w:r>
        <w:t>, the record does not raise any issues that might preclude grant</w:t>
      </w:r>
      <w:r w:rsidR="007F0EF0">
        <w:t>.</w:t>
      </w:r>
      <w:r>
        <w:t xml:space="preserve">  Notably, the Application is unopposed.  </w:t>
      </w:r>
      <w:r w:rsidR="00B93DC0">
        <w:t>W</w:t>
      </w:r>
      <w:r>
        <w:t>e conclude that grant of the Application is consistent with the public interest, convenience, and necessity under Section 310(d) of the Act</w:t>
      </w:r>
      <w:r w:rsidRPr="001B2C9C">
        <w:t>.</w:t>
      </w:r>
      <w:r>
        <w:rPr>
          <w:rStyle w:val="FootnoteReference"/>
        </w:rPr>
        <w:footnoteReference w:id="25"/>
      </w:r>
      <w:r>
        <w:rPr>
          <w:i/>
        </w:rPr>
        <w:t xml:space="preserve">  </w:t>
      </w:r>
    </w:p>
    <w:p w:rsidR="00A37BAB" w:rsidP="000060AF" w14:paraId="38D0F730" w14:textId="77777777">
      <w:pPr>
        <w:pStyle w:val="Heading1"/>
      </w:pPr>
      <w:r w:rsidRPr="00A37BAB">
        <w:t>Ordering Clauses</w:t>
      </w:r>
      <w:r w:rsidR="004109D3">
        <w:t xml:space="preserve"> </w:t>
      </w:r>
    </w:p>
    <w:p w:rsidR="003600AD" w:rsidRPr="00700299" w:rsidP="004F0B44" w14:paraId="43A7ACCD" w14:textId="77777777">
      <w:pPr>
        <w:pStyle w:val="ParaNum"/>
        <w:ind w:left="0"/>
      </w:pPr>
      <w:r w:rsidRPr="003600AD">
        <w:t xml:space="preserve">Accordingly, IT IS ORDERED that, pursuant to </w:t>
      </w:r>
      <w:r w:rsidR="002561BE">
        <w:t>S</w:t>
      </w:r>
      <w:r w:rsidRPr="003600AD">
        <w:t xml:space="preserve">ection 310(b)(4) of the Communications Act of 1934, as amended, 47 </w:t>
      </w:r>
      <w:r w:rsidR="00E1098B">
        <w:t xml:space="preserve">U.S.C. </w:t>
      </w:r>
      <w:r w:rsidRPr="003600AD">
        <w:t>§ 310(b)(4), and pursuant to authority delegated to the</w:t>
      </w:r>
      <w:r w:rsidR="000E2400">
        <w:t xml:space="preserve"> Media</w:t>
      </w:r>
      <w:r w:rsidRPr="003600AD">
        <w:t xml:space="preserve"> Bureau in section 0.2</w:t>
      </w:r>
      <w:r w:rsidR="005C7CB7">
        <w:t>83</w:t>
      </w:r>
      <w:r w:rsidRPr="003600AD">
        <w:t xml:space="preserve"> of the Commission’s rules, </w:t>
      </w:r>
      <w:r w:rsidRPr="003600AD">
        <w:rPr>
          <w:color w:val="000000"/>
          <w:w w:val="0"/>
          <w:szCs w:val="24"/>
        </w:rPr>
        <w:t>47 CFR § 0.2</w:t>
      </w:r>
      <w:r w:rsidR="005C7CB7">
        <w:rPr>
          <w:color w:val="000000"/>
          <w:w w:val="0"/>
          <w:szCs w:val="24"/>
        </w:rPr>
        <w:t>83</w:t>
      </w:r>
      <w:r w:rsidRPr="003600AD">
        <w:rPr>
          <w:color w:val="000000"/>
          <w:w w:val="0"/>
          <w:szCs w:val="24"/>
        </w:rPr>
        <w:t xml:space="preserve">, </w:t>
      </w:r>
      <w:r w:rsidRPr="003600AD">
        <w:t xml:space="preserve">the Petition for </w:t>
      </w:r>
      <w:r w:rsidRPr="000E2400" w:rsidR="000E2400">
        <w:t>Declaratory Ruling</w:t>
      </w:r>
      <w:r w:rsidRPr="003600AD">
        <w:t xml:space="preserve"> filed by </w:t>
      </w:r>
      <w:r w:rsidR="00AB260B">
        <w:t>Grupo Multimedia and Deportes</w:t>
      </w:r>
      <w:r w:rsidR="003D6FCD">
        <w:t xml:space="preserve"> </w:t>
      </w:r>
      <w:r w:rsidRPr="003600AD">
        <w:t>IS GRANTED to the extent specified in this</w:t>
      </w:r>
      <w:r w:rsidRPr="003600AD">
        <w:rPr>
          <w:b/>
          <w:i/>
        </w:rPr>
        <w:t xml:space="preserve"> </w:t>
      </w:r>
      <w:r w:rsidRPr="000E2400" w:rsidR="000E2400">
        <w:rPr>
          <w:i/>
        </w:rPr>
        <w:t>Declaratory Ruling</w:t>
      </w:r>
      <w:r w:rsidR="00F03363">
        <w:rPr>
          <w:i/>
        </w:rPr>
        <w:t xml:space="preserve"> </w:t>
      </w:r>
      <w:r w:rsidR="00F03363">
        <w:t>and subject to the conditions specified herein</w:t>
      </w:r>
      <w:r w:rsidRPr="003600AD">
        <w:rPr>
          <w:i/>
        </w:rPr>
        <w:t>.</w:t>
      </w:r>
    </w:p>
    <w:p w:rsidR="00A47D19" w:rsidRPr="00700299" w:rsidP="003C0073" w14:paraId="129D0F70" w14:textId="77777777">
      <w:pPr>
        <w:pStyle w:val="ParaNum"/>
        <w:ind w:left="0"/>
        <w:rPr>
          <w:i/>
        </w:rPr>
      </w:pPr>
      <w:r>
        <w:t>IT IS FURTHER ORDERED that</w:t>
      </w:r>
      <w:r w:rsidR="006B15B7">
        <w:t xml:space="preserve">, </w:t>
      </w:r>
      <w:r w:rsidRPr="003600AD" w:rsidR="006B15B7">
        <w:t xml:space="preserve">pursuant to </w:t>
      </w:r>
      <w:r w:rsidR="006B15B7">
        <w:t>Section 310(d</w:t>
      </w:r>
      <w:r w:rsidRPr="003600AD" w:rsidR="006B15B7">
        <w:t xml:space="preserve">) of the Communications Act of 1934, as amended, 47 </w:t>
      </w:r>
      <w:r w:rsidR="006B15B7">
        <w:t>U.S.C. § 310(d</w:t>
      </w:r>
      <w:r w:rsidRPr="003600AD" w:rsidR="006B15B7">
        <w:t>), and pursuant to authority delegated to the</w:t>
      </w:r>
      <w:r w:rsidR="006B15B7">
        <w:t xml:space="preserve"> Media</w:t>
      </w:r>
      <w:r w:rsidRPr="003600AD" w:rsidR="006B15B7">
        <w:t xml:space="preserve"> Bureau in section 0.2</w:t>
      </w:r>
      <w:r w:rsidR="006B15B7">
        <w:t>83</w:t>
      </w:r>
      <w:r w:rsidRPr="003600AD" w:rsidR="006B15B7">
        <w:t xml:space="preserve"> of the Commission’s rules, </w:t>
      </w:r>
      <w:r w:rsidRPr="003600AD" w:rsidR="006B15B7">
        <w:rPr>
          <w:color w:val="000000"/>
          <w:w w:val="0"/>
          <w:szCs w:val="24"/>
        </w:rPr>
        <w:t>47 CFR § 0.2</w:t>
      </w:r>
      <w:r w:rsidR="006B15B7">
        <w:rPr>
          <w:color w:val="000000"/>
          <w:w w:val="0"/>
          <w:szCs w:val="24"/>
        </w:rPr>
        <w:t>83,</w:t>
      </w:r>
      <w:r>
        <w:t xml:space="preserve"> the transfer of control application filed by </w:t>
      </w:r>
      <w:r w:rsidR="00AB260B">
        <w:t>Deportes</w:t>
      </w:r>
      <w:r>
        <w:t xml:space="preserve"> on </w:t>
      </w:r>
      <w:r w:rsidR="00AB260B">
        <w:t>November 20, 2017</w:t>
      </w:r>
      <w:r>
        <w:t xml:space="preserve"> (</w:t>
      </w:r>
      <w:r w:rsidRPr="005315EC" w:rsidR="005315EC">
        <w:t>File Nos. BTCH-201</w:t>
      </w:r>
      <w:r w:rsidR="00AB260B">
        <w:t>71120AAK, AAL</w:t>
      </w:r>
      <w:r w:rsidR="005315EC">
        <w:t xml:space="preserve">) </w:t>
      </w:r>
      <w:r w:rsidR="00AB260B">
        <w:t>IS</w:t>
      </w:r>
      <w:r w:rsidR="005315EC">
        <w:t xml:space="preserve"> GRANTED.</w:t>
      </w:r>
      <w:r w:rsidR="00985C9D">
        <w:t xml:space="preserve"> </w:t>
      </w:r>
    </w:p>
    <w:p w:rsidR="003600AD" w:rsidRPr="003600AD" w:rsidP="00F82883" w14:paraId="2E6602CC" w14:textId="240F5806">
      <w:pPr>
        <w:pStyle w:val="ParaNum"/>
        <w:ind w:left="0"/>
      </w:pPr>
      <w:r>
        <w:t>IT IS FURTHER ORDERED that this</w:t>
      </w:r>
      <w:r w:rsidRPr="00A42CBC">
        <w:t xml:space="preserve"> </w:t>
      </w:r>
      <w:r>
        <w:rPr>
          <w:i/>
        </w:rPr>
        <w:t>Declaratory Ruling</w:t>
      </w:r>
      <w:r>
        <w:t xml:space="preserve"> </w:t>
      </w:r>
      <w:r w:rsidR="004F00DE">
        <w:rPr>
          <w:i/>
        </w:rPr>
        <w:t>and Memorandum Opinion and Order</w:t>
      </w:r>
      <w:r w:rsidRPr="00680CEF" w:rsidR="004F00DE">
        <w:rPr>
          <w:i/>
        </w:rPr>
        <w:t xml:space="preserve"> </w:t>
      </w:r>
      <w:r>
        <w:t>SHALL BE EFFECTIVE upon release</w:t>
      </w:r>
      <w:r w:rsidR="0061238D">
        <w:t>.</w:t>
      </w:r>
    </w:p>
    <w:p w:rsidR="00B60EE0" w:rsidP="002F6B75" w14:paraId="1A860E0D" w14:textId="77777777">
      <w:pPr>
        <w:pStyle w:val="ParaNum"/>
        <w:numPr>
          <w:ilvl w:val="0"/>
          <w:numId w:val="0"/>
        </w:numPr>
        <w:ind w:firstLine="720"/>
      </w:pPr>
    </w:p>
    <w:p w:rsidR="00FD6C12" w:rsidP="00680CEF" w14:paraId="23D5B635" w14:textId="77777777">
      <w:pPr>
        <w:pStyle w:val="ParaNum"/>
        <w:numPr>
          <w:ilvl w:val="0"/>
          <w:numId w:val="0"/>
        </w:numPr>
        <w:ind w:left="2880" w:firstLine="720"/>
      </w:pPr>
      <w:r>
        <w:t>FEDERAL COMMUNICATIONS COMMISSION</w:t>
      </w:r>
    </w:p>
    <w:p w:rsidR="00FD6C12" w:rsidP="00680CEF" w14:paraId="58BBCC8B" w14:textId="77777777">
      <w:pPr>
        <w:pStyle w:val="ParaNum"/>
        <w:numPr>
          <w:ilvl w:val="0"/>
          <w:numId w:val="0"/>
        </w:numPr>
        <w:ind w:firstLine="720"/>
      </w:pPr>
    </w:p>
    <w:p w:rsidR="00FD6C12" w:rsidP="00680CEF" w14:paraId="37A2E0AA" w14:textId="77777777">
      <w:pPr>
        <w:pStyle w:val="ParaNum"/>
        <w:numPr>
          <w:ilvl w:val="0"/>
          <w:numId w:val="0"/>
        </w:numPr>
        <w:ind w:firstLine="720"/>
      </w:pPr>
    </w:p>
    <w:p w:rsidR="00FD6C12" w:rsidP="004F0B44" w14:paraId="7E91B05F" w14:textId="47497553">
      <w:pPr>
        <w:pStyle w:val="ParaNum"/>
        <w:widowControl/>
        <w:numPr>
          <w:ilvl w:val="0"/>
          <w:numId w:val="0"/>
        </w:numPr>
        <w:tabs>
          <w:tab w:val="left" w:pos="0"/>
        </w:tabs>
        <w:spacing w:after="0"/>
      </w:pPr>
      <w:r>
        <w:tab/>
      </w:r>
      <w:r>
        <w:tab/>
      </w:r>
      <w:r>
        <w:tab/>
      </w:r>
      <w:r>
        <w:tab/>
      </w:r>
      <w:r>
        <w:tab/>
      </w:r>
      <w:r w:rsidR="00880589">
        <w:t>Albert Shuldiner</w:t>
      </w:r>
    </w:p>
    <w:p w:rsidR="00880589" w:rsidP="00880589" w14:paraId="050D0385" w14:textId="77777777">
      <w:pPr>
        <w:pStyle w:val="ParaNum"/>
        <w:widowControl/>
        <w:numPr>
          <w:ilvl w:val="0"/>
          <w:numId w:val="0"/>
        </w:numPr>
        <w:tabs>
          <w:tab w:val="left" w:pos="0"/>
        </w:tabs>
        <w:spacing w:after="0"/>
      </w:pPr>
      <w:r>
        <w:tab/>
      </w:r>
      <w:r>
        <w:tab/>
      </w:r>
      <w:r>
        <w:tab/>
      </w:r>
      <w:r>
        <w:tab/>
      </w:r>
      <w:r>
        <w:tab/>
        <w:t xml:space="preserve">Chief, </w:t>
      </w:r>
      <w:r>
        <w:t>Audio Division</w:t>
      </w:r>
    </w:p>
    <w:p w:rsidR="004109D3" w:rsidRPr="00DD6C39" w:rsidP="003C0073" w14:paraId="36282BD1" w14:textId="1F9F728C">
      <w:pPr>
        <w:pStyle w:val="ParaNum"/>
        <w:widowControl/>
        <w:numPr>
          <w:ilvl w:val="0"/>
          <w:numId w:val="0"/>
        </w:numPr>
        <w:tabs>
          <w:tab w:val="left" w:pos="0"/>
        </w:tabs>
      </w:pPr>
      <w:r>
        <w:tab/>
      </w:r>
      <w:r>
        <w:tab/>
      </w:r>
      <w:r>
        <w:tab/>
      </w:r>
      <w:r>
        <w:tab/>
      </w:r>
      <w:r>
        <w:tab/>
      </w:r>
      <w:r w:rsidR="00FD6C12">
        <w:t>Media Bureau</w:t>
      </w: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627F" w:rsidP="0055614C" w14:paraId="543F679A" w14:textId="77777777">
    <w:pPr>
      <w:pStyle w:val="Footer"/>
      <w:framePr w:wrap="around" w:vAnchor="text" w:hAnchor="margin" w:xAlign="center" w:y="1"/>
    </w:pPr>
    <w:r>
      <w:fldChar w:fldCharType="begin"/>
    </w:r>
    <w:r>
      <w:instrText xml:space="preserve">PAGE  </w:instrText>
    </w:r>
    <w:r>
      <w:fldChar w:fldCharType="separate"/>
    </w:r>
    <w:r>
      <w:fldChar w:fldCharType="end"/>
    </w:r>
  </w:p>
  <w:p w:rsidR="00EF627F" w14:paraId="1F76620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627F" w:rsidP="0055614C" w14:paraId="1018883F" w14:textId="0DCB2B99">
    <w:pPr>
      <w:pStyle w:val="Footer"/>
      <w:framePr w:wrap="around" w:vAnchor="text" w:hAnchor="margin" w:xAlign="center" w:y="1"/>
    </w:pPr>
    <w:r>
      <w:fldChar w:fldCharType="begin"/>
    </w:r>
    <w:r>
      <w:instrText xml:space="preserve">PAGE  </w:instrText>
    </w:r>
    <w:r>
      <w:fldChar w:fldCharType="separate"/>
    </w:r>
    <w:r w:rsidR="00C75F86">
      <w:rPr>
        <w:noProof/>
      </w:rPr>
      <w:t>5</w:t>
    </w:r>
    <w:r>
      <w:fldChar w:fldCharType="end"/>
    </w:r>
  </w:p>
  <w:p w:rsidR="00EF627F" w14:paraId="182F8878"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627F" w14:paraId="1A16724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F0B44" w14:paraId="6D5C4C97" w14:textId="77777777">
      <w:r>
        <w:separator/>
      </w:r>
    </w:p>
  </w:footnote>
  <w:footnote w:type="continuationSeparator" w:id="1">
    <w:p w:rsidR="004F0B44" w:rsidP="00C721AC" w14:paraId="77129344" w14:textId="77777777">
      <w:pPr>
        <w:spacing w:before="120"/>
        <w:rPr>
          <w:sz w:val="20"/>
        </w:rPr>
      </w:pPr>
      <w:r>
        <w:rPr>
          <w:sz w:val="20"/>
        </w:rPr>
        <w:t xml:space="preserve">(Continued from previous page)  </w:t>
      </w:r>
      <w:r>
        <w:rPr>
          <w:sz w:val="20"/>
        </w:rPr>
        <w:separator/>
      </w:r>
    </w:p>
  </w:footnote>
  <w:footnote w:type="continuationNotice" w:id="2">
    <w:p w:rsidR="004F0B44" w:rsidP="00C721AC" w14:paraId="40CABFCA" w14:textId="77777777">
      <w:pPr>
        <w:jc w:val="right"/>
        <w:rPr>
          <w:sz w:val="20"/>
        </w:rPr>
      </w:pPr>
      <w:r>
        <w:rPr>
          <w:sz w:val="20"/>
        </w:rPr>
        <w:t>(continued….)</w:t>
      </w:r>
    </w:p>
  </w:footnote>
  <w:footnote w:id="3">
    <w:p w:rsidR="00C958E9" w:rsidRPr="00C958E9" w14:paraId="4D9B07BB" w14:textId="534DAC64">
      <w:pPr>
        <w:pStyle w:val="FootnoteText"/>
      </w:pPr>
      <w:r>
        <w:rPr>
          <w:rStyle w:val="FootnoteReference"/>
        </w:rPr>
        <w:footnoteRef/>
      </w:r>
      <w:r>
        <w:t xml:space="preserve"> Hereinafter referred to as </w:t>
      </w:r>
      <w:r>
        <w:rPr>
          <w:i/>
        </w:rPr>
        <w:t>Declaratory Ruling</w:t>
      </w:r>
      <w:r>
        <w:t>.</w:t>
      </w:r>
    </w:p>
  </w:footnote>
  <w:footnote w:id="4">
    <w:p w:rsidR="00A3277E" w:rsidP="00A3277E" w14:paraId="7D6CBAA1" w14:textId="77777777">
      <w:pPr>
        <w:pStyle w:val="FootnoteText"/>
      </w:pPr>
      <w:r>
        <w:rPr>
          <w:rStyle w:val="FootnoteReference"/>
        </w:rPr>
        <w:footnoteRef/>
      </w:r>
      <w:r>
        <w:t xml:space="preserve"> Co-Petitioner Grupo Multimedia owns 100 percent of </w:t>
      </w:r>
      <w:r w:rsidR="00F14A26">
        <w:t xml:space="preserve">station licensee and Co-Petitioner </w:t>
      </w:r>
      <w:r>
        <w:t>Deportes.</w:t>
      </w:r>
      <w:r w:rsidR="00F14A26">
        <w:t xml:space="preserve">  Grupo Multimedia is owned by two members.  Roberto Medina holds a 75</w:t>
      </w:r>
      <w:r w:rsidR="00553424">
        <w:t xml:space="preserve"> percent</w:t>
      </w:r>
      <w:r w:rsidR="00F14A26">
        <w:t xml:space="preserve"> interest in Grupo Multimedia and SMG-MX, LLC (SMG) holds a 25</w:t>
      </w:r>
      <w:r w:rsidR="00553424">
        <w:t xml:space="preserve"> percent</w:t>
      </w:r>
      <w:r w:rsidR="00F14A26">
        <w:t xml:space="preserve"> interest.</w:t>
      </w:r>
      <w:r w:rsidR="00284AF8">
        <w:t xml:space="preserve">  SMG is a Delaware limited liability company owned by two members, who are citizens of Mexico:  Managing Member Juan Carlos Rodriguez (70 percent voting and equity interest) and Francisco Gonzalez (30 percent voting and equity interest).  </w:t>
      </w:r>
    </w:p>
  </w:footnote>
  <w:footnote w:id="5">
    <w:p w:rsidR="000A562F" w14:paraId="4F40A8E0" w14:textId="77777777">
      <w:pPr>
        <w:pStyle w:val="FootnoteText"/>
      </w:pPr>
      <w:r>
        <w:rPr>
          <w:rStyle w:val="FootnoteReference"/>
        </w:rPr>
        <w:footnoteRef/>
      </w:r>
      <w:r>
        <w:t xml:space="preserve"> </w:t>
      </w:r>
      <w:r w:rsidRPr="000A562F">
        <w:t xml:space="preserve"> 47 U.S.C. § 310(b)(4)</w:t>
      </w:r>
      <w:r w:rsidR="00371BA2">
        <w:t xml:space="preserve"> (Section 310(b)(4))</w:t>
      </w:r>
      <w:r>
        <w:t>.</w:t>
      </w:r>
    </w:p>
  </w:footnote>
  <w:footnote w:id="6">
    <w:p w:rsidR="000A562F" w14:paraId="7E9B72E9" w14:textId="77777777">
      <w:pPr>
        <w:pStyle w:val="FootnoteText"/>
      </w:pPr>
      <w:r>
        <w:rPr>
          <w:rStyle w:val="FootnoteReference"/>
        </w:rPr>
        <w:footnoteRef/>
      </w:r>
      <w:r>
        <w:t xml:space="preserve"> </w:t>
      </w:r>
      <w:r w:rsidR="002A1734">
        <w:rPr>
          <w:i/>
        </w:rPr>
        <w:t xml:space="preserve">Review of Foreign Ownership Policies for Broadcast, Common Carrier, and Aeronautical Radio Licensees Under Section 310(b)(4) of the Communications Act of 1934, as Amended, </w:t>
      </w:r>
      <w:r w:rsidR="002A1734">
        <w:t>Report and Order, 31 FCC Rcd 11272 (2016) (</w:t>
      </w:r>
      <w:r w:rsidR="002A1734">
        <w:rPr>
          <w:i/>
        </w:rPr>
        <w:t xml:space="preserve">Foreign Ownership </w:t>
      </w:r>
      <w:r w:rsidRPr="002A1734" w:rsidR="002A1734">
        <w:rPr>
          <w:i/>
        </w:rPr>
        <w:t>Order</w:t>
      </w:r>
      <w:r w:rsidR="002A1734">
        <w:t xml:space="preserve">); </w:t>
      </w:r>
      <w:r w:rsidR="002A1734">
        <w:rPr>
          <w:i/>
        </w:rPr>
        <w:t xml:space="preserve">see also </w:t>
      </w:r>
      <w:r w:rsidRPr="00E956EB">
        <w:rPr>
          <w:i/>
        </w:rPr>
        <w:t>Commission Policies and Procedures under Section 310(b)(4) of the Communications Act, Foreign Investment in Broadcast Licensees</w:t>
      </w:r>
      <w:r w:rsidRPr="00E956EB">
        <w:t>, Declaratory Ruling, 28 FCC Rcd 16244 (2013) (</w:t>
      </w:r>
      <w:r w:rsidR="00CD73EE">
        <w:rPr>
          <w:i/>
        </w:rPr>
        <w:t xml:space="preserve">2013 </w:t>
      </w:r>
      <w:r w:rsidR="001E2FA3">
        <w:rPr>
          <w:i/>
        </w:rPr>
        <w:t xml:space="preserve">Broadcast Clarification </w:t>
      </w:r>
      <w:r w:rsidRPr="00E956EB">
        <w:rPr>
          <w:i/>
        </w:rPr>
        <w:t>Ruling</w:t>
      </w:r>
      <w:r>
        <w:t>)</w:t>
      </w:r>
      <w:r w:rsidRPr="0074744D">
        <w:t>.</w:t>
      </w:r>
    </w:p>
  </w:footnote>
  <w:footnote w:id="7">
    <w:p w:rsidR="000D3246" w14:paraId="2C94572C" w14:textId="77777777">
      <w:pPr>
        <w:pStyle w:val="FootnoteText"/>
      </w:pPr>
      <w:r>
        <w:rPr>
          <w:rStyle w:val="FootnoteReference"/>
        </w:rPr>
        <w:footnoteRef/>
      </w:r>
      <w:r>
        <w:t xml:space="preserve"> Petition at 6.</w:t>
      </w:r>
    </w:p>
  </w:footnote>
  <w:footnote w:id="8">
    <w:p w:rsidR="00492342" w:rsidRPr="00492342" w14:paraId="51E0F6A5" w14:textId="77777777">
      <w:pPr>
        <w:pStyle w:val="FootnoteText"/>
      </w:pPr>
      <w:r>
        <w:rPr>
          <w:rStyle w:val="FootnoteReference"/>
        </w:rPr>
        <w:footnoteRef/>
      </w:r>
      <w:r>
        <w:t xml:space="preserve"> </w:t>
      </w:r>
      <w:r>
        <w:rPr>
          <w:i/>
        </w:rPr>
        <w:t xml:space="preserve">Id. </w:t>
      </w:r>
      <w:r>
        <w:t>at 2-3.</w:t>
      </w:r>
    </w:p>
  </w:footnote>
  <w:footnote w:id="9">
    <w:p w:rsidR="000D3246" w:rsidRPr="000D3246" w14:paraId="3E62F29B" w14:textId="77777777">
      <w:pPr>
        <w:pStyle w:val="FootnoteText"/>
      </w:pPr>
      <w:r>
        <w:rPr>
          <w:rStyle w:val="FootnoteReference"/>
        </w:rPr>
        <w:footnoteRef/>
      </w:r>
      <w:r>
        <w:t xml:space="preserve"> </w:t>
      </w:r>
      <w:r>
        <w:rPr>
          <w:i/>
        </w:rPr>
        <w:t xml:space="preserve">Id. </w:t>
      </w:r>
      <w:r>
        <w:t xml:space="preserve">at 3.  According to the Petitioners, Mr. Rodriguez was </w:t>
      </w:r>
      <w:r w:rsidR="00492342">
        <w:t>recognized as one of the top sports executives in the Americas by the Sports</w:t>
      </w:r>
      <w:r w:rsidR="007A6714">
        <w:t xml:space="preserve"> </w:t>
      </w:r>
      <w:r w:rsidR="00492342">
        <w:t xml:space="preserve">Business Journal in 2015.  He has also been recognized twice by CableFax as “Most Influential Minorities in Cable” and was named </w:t>
      </w:r>
      <w:r w:rsidR="00726E29">
        <w:t>to</w:t>
      </w:r>
      <w:r w:rsidR="00492342">
        <w:t xml:space="preserve"> the Sport Business Journal’s “50 Most Influential” list for 2013.</w:t>
      </w:r>
      <w:r w:rsidR="00BC354B">
        <w:t xml:space="preserve">  Prior to joining Univision Deportes he served as CEO of Televisa Deportes Network.</w:t>
      </w:r>
      <w:r w:rsidR="00492342">
        <w:t xml:space="preserve"> </w:t>
      </w:r>
    </w:p>
  </w:footnote>
  <w:footnote w:id="10">
    <w:p w:rsidR="000B0413" w:rsidP="000B0413" w14:paraId="7501F5E7" w14:textId="77777777">
      <w:pPr>
        <w:pStyle w:val="FootnoteText"/>
      </w:pPr>
      <w:r>
        <w:rPr>
          <w:rStyle w:val="FootnoteReference"/>
        </w:rPr>
        <w:footnoteRef/>
      </w:r>
      <w:r>
        <w:t xml:space="preserve"> 47 U.S.C. § 310(b)(4).</w:t>
      </w:r>
    </w:p>
  </w:footnote>
  <w:footnote w:id="11">
    <w:p w:rsidR="000B0413" w:rsidRPr="004D37DE" w:rsidP="000B0413" w14:paraId="674397B3" w14:textId="185EF6E3">
      <w:pPr>
        <w:pStyle w:val="FootnoteText"/>
      </w:pPr>
      <w:r>
        <w:rPr>
          <w:rStyle w:val="FootnoteReference"/>
        </w:rPr>
        <w:footnoteRef/>
      </w:r>
      <w:r>
        <w:t xml:space="preserve"> </w:t>
      </w:r>
      <w:r>
        <w:rPr>
          <w:i/>
        </w:rPr>
        <w:t xml:space="preserve">See 2013 Broadcast Clarification Ruling, supra </w:t>
      </w:r>
      <w:r>
        <w:t xml:space="preserve">note </w:t>
      </w:r>
      <w:r w:rsidR="00161F7B">
        <w:t>4</w:t>
      </w:r>
      <w:r>
        <w:t>.</w:t>
      </w:r>
    </w:p>
  </w:footnote>
  <w:footnote w:id="12">
    <w:p w:rsidR="000B0413" w:rsidRPr="00084CD3" w:rsidP="000B0413" w14:paraId="271FA6BD" w14:textId="363C647F">
      <w:pPr>
        <w:pStyle w:val="FootnoteText"/>
      </w:pPr>
      <w:r>
        <w:rPr>
          <w:rStyle w:val="FootnoteReference"/>
        </w:rPr>
        <w:footnoteRef/>
      </w:r>
      <w:r>
        <w:t xml:space="preserve"> </w:t>
      </w:r>
      <w:r>
        <w:rPr>
          <w:i/>
        </w:rPr>
        <w:t>Foreign Ownership Order</w:t>
      </w:r>
      <w:r>
        <w:t xml:space="preserve">, </w:t>
      </w:r>
      <w:r>
        <w:rPr>
          <w:i/>
        </w:rPr>
        <w:t xml:space="preserve">supra </w:t>
      </w:r>
      <w:r>
        <w:t xml:space="preserve">note </w:t>
      </w:r>
      <w:r w:rsidR="00161F7B">
        <w:t>4</w:t>
      </w:r>
      <w:r>
        <w:t xml:space="preserve">.  </w:t>
      </w:r>
    </w:p>
  </w:footnote>
  <w:footnote w:id="13">
    <w:p w:rsidR="000B0413" w:rsidRPr="001C327C" w:rsidP="000B0413" w14:paraId="044C6C0B" w14:textId="77777777">
      <w:pPr>
        <w:pStyle w:val="FootnoteText"/>
      </w:pPr>
      <w:r>
        <w:rPr>
          <w:rStyle w:val="FootnoteReference"/>
        </w:rPr>
        <w:footnoteRef/>
      </w:r>
      <w:r>
        <w:t xml:space="preserve"> </w:t>
      </w:r>
      <w:r>
        <w:rPr>
          <w:i/>
        </w:rPr>
        <w:t>See 2013 Broadcast Clarification Order</w:t>
      </w:r>
      <w:r>
        <w:t xml:space="preserve">, 28 FCC Rcd at 16251, para. 14; </w:t>
      </w:r>
      <w:r>
        <w:rPr>
          <w:i/>
        </w:rPr>
        <w:t>Foreign Ownership Order</w:t>
      </w:r>
      <w:r>
        <w:t>, 31 FCC Rcd at 11277, para. 6.</w:t>
      </w:r>
    </w:p>
  </w:footnote>
  <w:footnote w:id="14">
    <w:p w:rsidR="002709CA" w:rsidRPr="00651DF3" w:rsidP="002709CA" w14:paraId="02D98B23" w14:textId="73B6507C">
      <w:pPr>
        <w:pStyle w:val="FootnoteText"/>
      </w:pPr>
      <w:r w:rsidRPr="00EF0AC2">
        <w:rPr>
          <w:rStyle w:val="FootnoteReference"/>
        </w:rPr>
        <w:footnoteRef/>
      </w:r>
      <w:r w:rsidRPr="00EF0AC2">
        <w:t xml:space="preserve"> </w:t>
      </w:r>
      <w:r w:rsidRPr="00EF0AC2">
        <w:rPr>
          <w:i/>
        </w:rPr>
        <w:t>2013 Broadcast Clarification Order</w:t>
      </w:r>
      <w:r w:rsidRPr="00EF0AC2">
        <w:t xml:space="preserve">, 28 FCC Rcd at 16249-50, para. </w:t>
      </w:r>
      <w:r w:rsidRPr="00EF0AC2" w:rsidR="00CD652F">
        <w:t>11</w:t>
      </w:r>
      <w:r w:rsidR="00CD652F">
        <w:t>.</w:t>
      </w:r>
      <w:r w:rsidRPr="00651DF3" w:rsidR="00651DF3">
        <w:t xml:space="preserve"> </w:t>
      </w:r>
      <w:r w:rsidR="00651DF3">
        <w:t>The Commission recognized</w:t>
      </w:r>
      <w:r w:rsidRPr="00EF0AC2" w:rsidR="00651DF3">
        <w:t xml:space="preserve"> that “changes have occurred in the media landscape and marketplace since the foreign ownership restriction was enacted and that limited access to capital is a concern in the broadcast industry, especially for small business entities and new entrants, including minorities and women.”</w:t>
      </w:r>
      <w:r w:rsidR="00651DF3">
        <w:t xml:space="preserve">  </w:t>
      </w:r>
      <w:r w:rsidR="00651DF3">
        <w:rPr>
          <w:i/>
        </w:rPr>
        <w:t>Id</w:t>
      </w:r>
      <w:r w:rsidR="00651DF3">
        <w:t>. at 10.</w:t>
      </w:r>
    </w:p>
  </w:footnote>
  <w:footnote w:id="15">
    <w:p w:rsidR="00395B9C" w:rsidRPr="00791B04" w:rsidP="00395B9C" w14:paraId="6EBB6679" w14:textId="77777777">
      <w:pPr>
        <w:pStyle w:val="FootnoteText"/>
      </w:pPr>
      <w:r>
        <w:rPr>
          <w:rStyle w:val="FootnoteReference"/>
        </w:rPr>
        <w:footnoteRef/>
      </w:r>
      <w:r>
        <w:t xml:space="preserve"> </w:t>
      </w:r>
      <w:r w:rsidR="005F0488">
        <w:rPr>
          <w:i/>
        </w:rPr>
        <w:t>Foreign Ownership Order</w:t>
      </w:r>
      <w:r>
        <w:t xml:space="preserve">, 31 FCC Rcd at 11282, para. 15. </w:t>
      </w:r>
    </w:p>
  </w:footnote>
  <w:footnote w:id="16">
    <w:p w:rsidR="00C36D55" w:rsidRPr="000F1CCC" w:rsidP="00C36D55" w14:paraId="337964DC" w14:textId="6E9C3597">
      <w:pPr>
        <w:pStyle w:val="FootnoteText"/>
      </w:pPr>
      <w:r>
        <w:rPr>
          <w:rStyle w:val="FootnoteReference"/>
        </w:rPr>
        <w:footnoteRef/>
      </w:r>
      <w:r>
        <w:t xml:space="preserve"> </w:t>
      </w:r>
      <w:r>
        <w:rPr>
          <w:i/>
        </w:rPr>
        <w:t>Id</w:t>
      </w:r>
      <w:r>
        <w:t>. at 16250, para. 11.</w:t>
      </w:r>
      <w:r w:rsidR="00132539">
        <w:t xml:space="preserve">  </w:t>
      </w:r>
      <w:r w:rsidR="00132539">
        <w:rPr>
          <w:szCs w:val="22"/>
        </w:rPr>
        <w:t xml:space="preserve">Following the issuance of the </w:t>
      </w:r>
      <w:r w:rsidR="00132539">
        <w:rPr>
          <w:i/>
          <w:szCs w:val="22"/>
        </w:rPr>
        <w:t xml:space="preserve">2013 Broadcast Clarification Ruling, </w:t>
      </w:r>
      <w:r w:rsidR="00132539">
        <w:t xml:space="preserve">the Commission </w:t>
      </w:r>
      <w:r w:rsidRPr="00EF0AC2" w:rsidR="00132539">
        <w:t>granted a petition for declaratory ruling filed by Pandora Radio LLC</w:t>
      </w:r>
      <w:r w:rsidR="00132539">
        <w:t>, a publicly traded company,</w:t>
      </w:r>
      <w:r w:rsidRPr="00EF0AC2" w:rsidR="00132539">
        <w:t xml:space="preserve"> to exceed the 25 percent foreign ownership benchmark set out in Section 310(b)(4)</w:t>
      </w:r>
      <w:r w:rsidR="00132539">
        <w:t xml:space="preserve">.  </w:t>
      </w:r>
      <w:r w:rsidRPr="00EF0AC2" w:rsidR="00132539">
        <w:rPr>
          <w:i/>
        </w:rPr>
        <w:t>Pandora Radio LLC Petition for Declaratory Ruling Under Section 310(b)(4) of the Communications Act of 1934, as Amended</w:t>
      </w:r>
      <w:r w:rsidRPr="00EF0AC2" w:rsidR="00132539">
        <w:t>, Declaratory Ruling, 30 FCC Rcd 5094, 5095-96, para. 4 (2015) (</w:t>
      </w:r>
      <w:r w:rsidRPr="00EF0AC2" w:rsidR="00132539">
        <w:rPr>
          <w:i/>
        </w:rPr>
        <w:t>Pandora Declaratory Ruling</w:t>
      </w:r>
      <w:r w:rsidRPr="00EF0AC2" w:rsidR="00132539">
        <w:t xml:space="preserve">), </w:t>
      </w:r>
      <w:r w:rsidRPr="00EF0AC2" w:rsidR="00132539">
        <w:rPr>
          <w:i/>
        </w:rPr>
        <w:t>recon denied,</w:t>
      </w:r>
      <w:r w:rsidRPr="00EF0AC2" w:rsidR="00132539">
        <w:t xml:space="preserve"> 30 FCC Rcd 10570 (2015).</w:t>
      </w:r>
      <w:r w:rsidR="00132539">
        <w:t xml:space="preserve">  Subsequently, the Bureau granted two petitions for declaratory ruling allowing aggregate foreign investment in broadcast licensees of 49 percent, and a petition for declaratory ruling permitting 100 percent foreign ownership of the controlling U.S. parent company of a broadcast licensee.  </w:t>
      </w:r>
      <w:r w:rsidR="008A21BA">
        <w:rPr>
          <w:i/>
        </w:rPr>
        <w:t xml:space="preserve">See </w:t>
      </w:r>
      <w:r w:rsidR="00132539">
        <w:rPr>
          <w:i/>
        </w:rPr>
        <w:t>Univision Holdings, Inc.</w:t>
      </w:r>
      <w:r w:rsidR="00132539">
        <w:t>,</w:t>
      </w:r>
      <w:r w:rsidRPr="00344976" w:rsidR="00132539">
        <w:t xml:space="preserve"> </w:t>
      </w:r>
      <w:r w:rsidR="00132539">
        <w:t>Declaratory Ruling, 32 FCC Rcd 6 (2017) (</w:t>
      </w:r>
      <w:r w:rsidR="00132539">
        <w:rPr>
          <w:i/>
        </w:rPr>
        <w:t>Univision Declaratory Ruling</w:t>
      </w:r>
      <w:r w:rsidR="00132539">
        <w:t>)</w:t>
      </w:r>
      <w:r w:rsidR="00132539">
        <w:rPr>
          <w:i/>
        </w:rPr>
        <w:t xml:space="preserve"> </w:t>
      </w:r>
      <w:r w:rsidR="00132539">
        <w:t>(permitting aggregate foreign ownership of 49 percent voting and equity</w:t>
      </w:r>
      <w:r w:rsidR="005F0488">
        <w:t xml:space="preserve"> interests</w:t>
      </w:r>
      <w:r w:rsidR="00132539">
        <w:t xml:space="preserve">); </w:t>
      </w:r>
      <w:r w:rsidR="00132539">
        <w:rPr>
          <w:i/>
        </w:rPr>
        <w:t>Hemisphere Media Group, Inc.</w:t>
      </w:r>
      <w:r w:rsidR="00132539">
        <w:t>, Declaratory Ruling, 32 FCC Rcd 718 (2017) (</w:t>
      </w:r>
      <w:r w:rsidR="00132539">
        <w:rPr>
          <w:i/>
        </w:rPr>
        <w:t>Hemisphere Declaratory Ruling</w:t>
      </w:r>
      <w:r w:rsidR="00132539">
        <w:t xml:space="preserve">) (permitting up to 49.99 percent aggregate foreign ownership); </w:t>
      </w:r>
      <w:r w:rsidR="00132539">
        <w:rPr>
          <w:i/>
        </w:rPr>
        <w:t>Frontier Media</w:t>
      </w:r>
      <w:r w:rsidR="00132539">
        <w:t>, Memorandum Opinion and Order and Declaratory Ruling, 32 FCC Rcd 1427 (2017) (</w:t>
      </w:r>
      <w:r w:rsidR="00132539">
        <w:rPr>
          <w:i/>
        </w:rPr>
        <w:t>Frontier Declaratory Ruling</w:t>
      </w:r>
      <w:r w:rsidR="00132539">
        <w:t>) (permitting 100 percent foreign ownership of the licensee’s parent company).</w:t>
      </w:r>
      <w:r w:rsidR="000F1CCC">
        <w:t xml:space="preserve">  </w:t>
      </w:r>
      <w:r w:rsidR="000F1CCC">
        <w:rPr>
          <w:i/>
        </w:rPr>
        <w:t>See also Corvex Master Fund LP</w:t>
      </w:r>
      <w:r w:rsidR="000F1CCC">
        <w:t>, Declaratory Ruling, 32 FCC Rcd 1352 (2017) (</w:t>
      </w:r>
      <w:r w:rsidR="000F1CCC">
        <w:rPr>
          <w:i/>
        </w:rPr>
        <w:t>Corvex Declaratory Ruling</w:t>
      </w:r>
      <w:r w:rsidR="000F1CCC">
        <w:t>) (</w:t>
      </w:r>
      <w:r w:rsidR="00E83ECB">
        <w:t>permitting Corvex to increase its non-controlling voting and equity interest in Pandora up to 14.99 percent).</w:t>
      </w:r>
    </w:p>
  </w:footnote>
  <w:footnote w:id="17">
    <w:p w:rsidR="00575AD9" w:rsidRPr="000B7EFE" w:rsidP="00575AD9" w14:paraId="6BB689FE" w14:textId="77777777">
      <w:pPr>
        <w:pStyle w:val="FootnoteText"/>
      </w:pPr>
      <w:r>
        <w:rPr>
          <w:rStyle w:val="FootnoteReference"/>
        </w:rPr>
        <w:footnoteRef/>
      </w:r>
      <w:r>
        <w:t xml:space="preserve"> </w:t>
      </w:r>
      <w:r>
        <w:rPr>
          <w:i/>
        </w:rPr>
        <w:t>See</w:t>
      </w:r>
      <w:r w:rsidR="00C36221">
        <w:rPr>
          <w:i/>
        </w:rPr>
        <w:t>, e.g.,</w:t>
      </w:r>
      <w:r>
        <w:rPr>
          <w:i/>
        </w:rPr>
        <w:t xml:space="preserve"> Pandora Declaratory Ruling</w:t>
      </w:r>
      <w:r>
        <w:t>, 30 FCC Rcd at 5096, para. 5.</w:t>
      </w:r>
    </w:p>
  </w:footnote>
  <w:footnote w:id="18">
    <w:p w:rsidR="000D7A68" w:rsidP="000D7A68" w14:paraId="54D8D639" w14:textId="77777777">
      <w:pPr>
        <w:pStyle w:val="FootnoteText"/>
      </w:pPr>
      <w:r>
        <w:rPr>
          <w:rStyle w:val="FootnoteReference"/>
        </w:rPr>
        <w:footnoteRef/>
      </w:r>
      <w:r>
        <w:t xml:space="preserve"> </w:t>
      </w:r>
      <w:r>
        <w:rPr>
          <w:i/>
        </w:rPr>
        <w:t xml:space="preserve">See </w:t>
      </w:r>
      <w:r w:rsidRPr="003260BE">
        <w:t xml:space="preserve">Letter from </w:t>
      </w:r>
      <w:r>
        <w:t>Loyann Egal</w:t>
      </w:r>
      <w:r w:rsidRPr="003260BE">
        <w:t xml:space="preserve">, </w:t>
      </w:r>
      <w:r>
        <w:t>Deputy Chief</w:t>
      </w:r>
      <w:r w:rsidRPr="003260BE">
        <w:t xml:space="preserve">, </w:t>
      </w:r>
      <w:r>
        <w:t>Foreign Investment Review Staff</w:t>
      </w:r>
      <w:r w:rsidRPr="003260BE">
        <w:t xml:space="preserve">, </w:t>
      </w:r>
      <w:r w:rsidRPr="00837D80">
        <w:t>National Security Division, U.S. Department of Justice</w:t>
      </w:r>
      <w:r w:rsidRPr="003260BE">
        <w:t xml:space="preserve">, to </w:t>
      </w:r>
      <w:r>
        <w:t>Marlene H. Dortch, Secretary, FCC</w:t>
      </w:r>
      <w:r w:rsidRPr="003260BE">
        <w:t xml:space="preserve"> (</w:t>
      </w:r>
      <w:r>
        <w:t>March 19, 2018</w:t>
      </w:r>
      <w:r w:rsidRPr="003260BE">
        <w:t xml:space="preserve">) (on file in </w:t>
      </w:r>
      <w:r>
        <w:t>MB Docket No. 17-360</w:t>
      </w:r>
      <w:r w:rsidRPr="003260BE">
        <w:t>)</w:t>
      </w:r>
      <w:r>
        <w:t>.</w:t>
      </w:r>
    </w:p>
  </w:footnote>
  <w:footnote w:id="19">
    <w:p w:rsidR="00040EE4" w:rsidRPr="00040EE4" w14:paraId="1D9F39C7" w14:textId="77777777">
      <w:pPr>
        <w:pStyle w:val="FootnoteText"/>
      </w:pPr>
      <w:r>
        <w:rPr>
          <w:rStyle w:val="FootnoteReference"/>
        </w:rPr>
        <w:footnoteRef/>
      </w:r>
      <w:r>
        <w:t xml:space="preserve"> </w:t>
      </w:r>
      <w:r>
        <w:rPr>
          <w:i/>
        </w:rPr>
        <w:t xml:space="preserve">See </w:t>
      </w:r>
      <w:r>
        <w:t>47 CFR § 1.5001(i).</w:t>
      </w:r>
    </w:p>
  </w:footnote>
  <w:footnote w:id="20">
    <w:p w:rsidR="00C7723C" w:rsidRPr="004139F9" w:rsidP="00C7723C" w14:paraId="00783E72" w14:textId="1EA6AC9D">
      <w:pPr>
        <w:pStyle w:val="FootnoteText"/>
      </w:pPr>
      <w:r>
        <w:rPr>
          <w:rStyle w:val="FootnoteReference"/>
        </w:rPr>
        <w:footnoteRef/>
      </w:r>
      <w:r>
        <w:t xml:space="preserve"> </w:t>
      </w:r>
      <w:r>
        <w:rPr>
          <w:i/>
        </w:rPr>
        <w:t xml:space="preserve">See generally, Pandora Radio </w:t>
      </w:r>
      <w:r w:rsidRPr="00680CEF">
        <w:rPr>
          <w:i/>
        </w:rPr>
        <w:t>Declaratory Ruling</w:t>
      </w:r>
      <w:r>
        <w:t>, 30 FCC Rcd</w:t>
      </w:r>
      <w:r w:rsidR="00C14385">
        <w:t xml:space="preserve"> </w:t>
      </w:r>
      <w:r>
        <w:t>5094.</w:t>
      </w:r>
    </w:p>
  </w:footnote>
  <w:footnote w:id="21">
    <w:p w:rsidR="00CA77F1" w:rsidP="00CA77F1" w14:paraId="200042E7" w14:textId="77777777">
      <w:pPr>
        <w:pStyle w:val="FootnoteText"/>
      </w:pPr>
      <w:r>
        <w:rPr>
          <w:rStyle w:val="FootnoteReference"/>
        </w:rPr>
        <w:footnoteRef/>
      </w:r>
      <w:r>
        <w:t xml:space="preserve"> </w:t>
      </w:r>
      <w:r>
        <w:rPr>
          <w:i/>
        </w:rPr>
        <w:t xml:space="preserve">See </w:t>
      </w:r>
      <w:r>
        <w:t>47 CFR §§ 1.5000 – 1.5004.</w:t>
      </w:r>
    </w:p>
  </w:footnote>
  <w:footnote w:id="22">
    <w:p w:rsidR="00CA77F1" w:rsidRPr="006A6F0D" w:rsidP="00CA77F1" w14:paraId="45136731" w14:textId="0BBEE1BF">
      <w:pPr>
        <w:pStyle w:val="FootnoteText"/>
      </w:pPr>
      <w:r>
        <w:rPr>
          <w:rStyle w:val="FootnoteReference"/>
        </w:rPr>
        <w:footnoteRef/>
      </w:r>
      <w:r>
        <w:t xml:space="preserve"> </w:t>
      </w:r>
      <w:r>
        <w:rPr>
          <w:i/>
        </w:rPr>
        <w:t xml:space="preserve">See generally, Broadcast Clarification Ruling, </w:t>
      </w:r>
      <w:r>
        <w:t xml:space="preserve">28 FCC Rcd at 16252, para. 15 (“By their nature, these case-by-case reviews will lead to distinct, factually driven results.  Each application or petition will be assessed on its own merits, and we will determine, given the particular circumstances presented in a particular case, whether the public interest would be served by permitting the requested foreign ownership.”).  </w:t>
      </w:r>
      <w:r w:rsidR="00213383">
        <w:t xml:space="preserve">This </w:t>
      </w:r>
      <w:r w:rsidRPr="00213383" w:rsidR="00213383">
        <w:rPr>
          <w:i/>
        </w:rPr>
        <w:t>Declaratory Ruling</w:t>
      </w:r>
      <w:r w:rsidR="00213383">
        <w:t xml:space="preserve"> is also consistent with </w:t>
      </w:r>
      <w:r w:rsidRPr="004D014A" w:rsidR="00F643C6">
        <w:t xml:space="preserve">the precedent established by </w:t>
      </w:r>
      <w:r w:rsidR="00F643C6">
        <w:t xml:space="preserve">the </w:t>
      </w:r>
      <w:r w:rsidRPr="004D014A" w:rsidR="00F643C6">
        <w:rPr>
          <w:i/>
        </w:rPr>
        <w:t>Pandora</w:t>
      </w:r>
      <w:r w:rsidR="00F643C6">
        <w:t>,</w:t>
      </w:r>
      <w:r w:rsidRPr="004D014A" w:rsidR="00F643C6">
        <w:rPr>
          <w:i/>
        </w:rPr>
        <w:t xml:space="preserve"> </w:t>
      </w:r>
      <w:r w:rsidR="00F643C6">
        <w:rPr>
          <w:i/>
        </w:rPr>
        <w:t>Univision</w:t>
      </w:r>
      <w:r w:rsidR="00F643C6">
        <w:t xml:space="preserve">, </w:t>
      </w:r>
      <w:r w:rsidR="00F643C6">
        <w:rPr>
          <w:i/>
        </w:rPr>
        <w:t xml:space="preserve">Hemisphere, Frontier, and Corvex </w:t>
      </w:r>
      <w:r w:rsidRPr="00284FC2" w:rsidR="00F643C6">
        <w:rPr>
          <w:i/>
        </w:rPr>
        <w:t>Declaratory Rulings</w:t>
      </w:r>
      <w:r w:rsidR="00F643C6">
        <w:t xml:space="preserve">.  </w:t>
      </w:r>
      <w:r w:rsidRPr="00B821F7" w:rsidR="00B821F7">
        <w:rPr>
          <w:i/>
        </w:rPr>
        <w:t>See supra</w:t>
      </w:r>
      <w:r w:rsidR="00B821F7">
        <w:t xml:space="preserve"> note 1</w:t>
      </w:r>
      <w:r w:rsidR="00494E56">
        <w:t>4</w:t>
      </w:r>
      <w:r w:rsidR="00B821F7">
        <w:t>.</w:t>
      </w:r>
      <w:r>
        <w:t xml:space="preserve"> </w:t>
      </w:r>
    </w:p>
  </w:footnote>
  <w:footnote w:id="23">
    <w:p w:rsidR="00C7723C" w:rsidRPr="00187CAB" w:rsidP="00C7723C" w14:paraId="146AAEE3" w14:textId="77777777">
      <w:pPr>
        <w:pStyle w:val="FootnoteText"/>
      </w:pPr>
      <w:r>
        <w:rPr>
          <w:rStyle w:val="FootnoteReference"/>
        </w:rPr>
        <w:footnoteRef/>
      </w:r>
      <w:r>
        <w:t xml:space="preserve"> </w:t>
      </w:r>
      <w:r w:rsidR="00D33A36">
        <w:rPr>
          <w:i/>
        </w:rPr>
        <w:t>See</w:t>
      </w:r>
      <w:r w:rsidR="007A73A7">
        <w:rPr>
          <w:i/>
        </w:rPr>
        <w:t>, e.g.,</w:t>
      </w:r>
      <w:r w:rsidR="00D33A36">
        <w:rPr>
          <w:i/>
        </w:rPr>
        <w:t xml:space="preserve"> Pandora Declaratory Ruling</w:t>
      </w:r>
      <w:r w:rsidR="00D33A36">
        <w:t>, 30 FCC Rcd at 5101</w:t>
      </w:r>
      <w:r w:rsidR="00224324">
        <w:t>, para. 19</w:t>
      </w:r>
      <w:r w:rsidR="002A29D7">
        <w:t>.</w:t>
      </w:r>
      <w:r>
        <w:t xml:space="preserve">  </w:t>
      </w:r>
    </w:p>
  </w:footnote>
  <w:footnote w:id="24">
    <w:p w:rsidR="002F46FC" w:rsidP="002F46FC" w14:paraId="5BC401CC" w14:textId="77777777">
      <w:pPr>
        <w:pStyle w:val="FootnoteText"/>
      </w:pPr>
      <w:r>
        <w:rPr>
          <w:rStyle w:val="FootnoteReference"/>
        </w:rPr>
        <w:footnoteRef/>
      </w:r>
      <w:r>
        <w:t xml:space="preserve"> </w:t>
      </w:r>
      <w:r>
        <w:rPr>
          <w:i/>
        </w:rPr>
        <w:t>See</w:t>
      </w:r>
      <w:r w:rsidR="00695783">
        <w:rPr>
          <w:i/>
        </w:rPr>
        <w:t xml:space="preserve">, e.g., </w:t>
      </w:r>
      <w:r>
        <w:rPr>
          <w:i/>
        </w:rPr>
        <w:t xml:space="preserve">Pandora Declaratory Ruling, </w:t>
      </w:r>
      <w:r w:rsidR="00387080">
        <w:t>30 FCC Rcd at 5103, para.23</w:t>
      </w:r>
      <w:r>
        <w:t>.</w:t>
      </w:r>
      <w:r w:rsidR="00AC1A63">
        <w:t xml:space="preserve"> </w:t>
      </w:r>
      <w:r w:rsidR="00695783">
        <w:t xml:space="preserve"> </w:t>
      </w:r>
      <w:r w:rsidRPr="00E93DF3" w:rsidR="00AC1A63">
        <w:t>Subsequent action</w:t>
      </w:r>
      <w:r w:rsidR="00387080">
        <w:t xml:space="preserve">s taken by or on behalf of </w:t>
      </w:r>
      <w:r w:rsidR="0000397F">
        <w:t>SMG</w:t>
      </w:r>
      <w:r w:rsidR="00387080">
        <w:t xml:space="preserve"> or the </w:t>
      </w:r>
      <w:r w:rsidR="0000397F">
        <w:t>l</w:t>
      </w:r>
      <w:r w:rsidR="00387080">
        <w:t>i</w:t>
      </w:r>
      <w:r w:rsidRPr="00E93DF3" w:rsidR="00AC1A63">
        <w:t>censee</w:t>
      </w:r>
      <w:r w:rsidR="00387080">
        <w:t>s</w:t>
      </w:r>
      <w:r w:rsidRPr="00E93DF3" w:rsidR="00AC1A63">
        <w:t xml:space="preserve"> to remedy non</w:t>
      </w:r>
      <w:r w:rsidR="00387080">
        <w:t>-c</w:t>
      </w:r>
      <w:r w:rsidR="00F27CC6">
        <w:t>ompliance shall not relieve any such</w:t>
      </w:r>
      <w:r w:rsidR="00387080">
        <w:t xml:space="preserve"> entity </w:t>
      </w:r>
      <w:r w:rsidRPr="00E93DF3" w:rsidR="00AC1A63">
        <w:t xml:space="preserve">of the obligation to notify the Commission of the circumstances (including duration) of non-compliance. </w:t>
      </w:r>
      <w:r w:rsidR="00EA0C44">
        <w:t xml:space="preserve"> </w:t>
      </w:r>
      <w:r w:rsidR="005679AF">
        <w:t xml:space="preserve">Any such non-compliance may result in </w:t>
      </w:r>
      <w:r w:rsidRPr="00E93DF3" w:rsidR="00AC1A63">
        <w:t>enforcement action by the Commission for such non-compliance, including an order requiring divestiture of the investor's direct and/or indirect interests in such entities</w:t>
      </w:r>
      <w:r w:rsidR="00AC1A63">
        <w:t>.</w:t>
      </w:r>
    </w:p>
  </w:footnote>
  <w:footnote w:id="25">
    <w:p w:rsidR="00DD4FB5" w:rsidP="00DD4FB5" w14:paraId="0985C5F4" w14:textId="77777777">
      <w:pPr>
        <w:pStyle w:val="FootnoteText"/>
      </w:pPr>
      <w:r>
        <w:rPr>
          <w:rStyle w:val="FootnoteReference"/>
        </w:rPr>
        <w:footnoteRef/>
      </w:r>
      <w:r>
        <w:t xml:space="preserve"> 47 U.S.C. § 310(d).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1DB4" w14:paraId="3EB9DF7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627F" w:rsidP="00810B6F" w14:paraId="6C07E91F" w14:textId="6D84F10B">
    <w:pPr>
      <w:pStyle w:val="Header"/>
      <w:rPr>
        <w:b w:val="0"/>
      </w:rPr>
    </w:pPr>
    <w:r>
      <w:tab/>
      <w:t>Federal Communications Commission</w:t>
    </w:r>
    <w:r>
      <w:tab/>
    </w:r>
    <w:r w:rsidR="00C75F86">
      <w:t>DA 18-439</w:t>
    </w:r>
  </w:p>
  <w:p w:rsidR="00EF627F" w14:paraId="06872F0B" w14:textId="7777777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EF627F" w14:paraId="0B247850"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627F" w:rsidP="00810B6F" w14:paraId="11DFE895" w14:textId="69C0EFC0">
    <w:pPr>
      <w:pStyle w:val="Header"/>
      <w:rPr>
        <w:b w:val="0"/>
      </w:rPr>
    </w:pPr>
    <w:r>
      <w:rPr>
        <w:noProof/>
        <w:snapToGrid/>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C75F86">
      <w:t>DA 18-439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2"/>
    <w:multiLevelType w:val="singleLevel"/>
    <w:tmpl w:val="93E665D0"/>
    <w:lvl w:ilvl="0">
      <w:start w:val="1"/>
      <w:numFmt w:val="decimal"/>
      <w:lvlText w:val="%1."/>
      <w:lvlJc w:val="left"/>
      <w:pPr>
        <w:tabs>
          <w:tab w:val="num" w:pos="0"/>
        </w:tabs>
        <w:ind w:left="0" w:firstLine="720"/>
      </w:pPr>
      <w:rPr>
        <w:rFonts w:ascii="Times New Roman" w:hAnsi="Times New Roman" w:cs="Times New Roman"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02B400B"/>
    <w:multiLevelType w:val="hybridMultilevel"/>
    <w:tmpl w:val="5CB60738"/>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2300650E"/>
    <w:multiLevelType w:val="hybridMultilevel"/>
    <w:tmpl w:val="093CC4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4F86978"/>
    <w:multiLevelType w:val="hybridMultilevel"/>
    <w:tmpl w:val="31C6F38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03D45B4"/>
    <w:multiLevelType w:val="hybridMultilevel"/>
    <w:tmpl w:val="9D48443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84C0BA8"/>
    <w:multiLevelType w:val="hybridMultilevel"/>
    <w:tmpl w:val="D944AC9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3FD34EB8"/>
    <w:multiLevelType w:val="hybridMultilevel"/>
    <w:tmpl w:val="905CAB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4E6247B8"/>
    <w:multiLevelType w:val="hybridMultilevel"/>
    <w:tmpl w:val="BB08B6A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97406A2"/>
    <w:multiLevelType w:val="hybridMultilevel"/>
    <w:tmpl w:val="B964DA46"/>
    <w:lvl w:ilvl="0">
      <w:start w:val="1"/>
      <w:numFmt w:val="bullet"/>
      <w:lvlText w:val=""/>
      <w:lvlJc w:val="left"/>
      <w:pPr>
        <w:ind w:left="1872" w:hanging="360"/>
      </w:pPr>
      <w:rPr>
        <w:rFonts w:ascii="Symbol" w:hAnsi="Symbol" w:hint="default"/>
      </w:rPr>
    </w:lvl>
    <w:lvl w:ilvl="1" w:tentative="1">
      <w:start w:val="1"/>
      <w:numFmt w:val="bullet"/>
      <w:lvlText w:val="o"/>
      <w:lvlJc w:val="left"/>
      <w:pPr>
        <w:ind w:left="2592" w:hanging="360"/>
      </w:pPr>
      <w:rPr>
        <w:rFonts w:ascii="Courier New" w:hAnsi="Courier New" w:cs="Courier New" w:hint="default"/>
      </w:rPr>
    </w:lvl>
    <w:lvl w:ilvl="2" w:tentative="1">
      <w:start w:val="1"/>
      <w:numFmt w:val="bullet"/>
      <w:lvlText w:val=""/>
      <w:lvlJc w:val="left"/>
      <w:pPr>
        <w:ind w:left="3312" w:hanging="360"/>
      </w:pPr>
      <w:rPr>
        <w:rFonts w:ascii="Wingdings" w:hAnsi="Wingdings" w:hint="default"/>
      </w:rPr>
    </w:lvl>
    <w:lvl w:ilvl="3" w:tentative="1">
      <w:start w:val="1"/>
      <w:numFmt w:val="bullet"/>
      <w:lvlText w:val=""/>
      <w:lvlJc w:val="left"/>
      <w:pPr>
        <w:ind w:left="4032" w:hanging="360"/>
      </w:pPr>
      <w:rPr>
        <w:rFonts w:ascii="Symbol" w:hAnsi="Symbol" w:hint="default"/>
      </w:rPr>
    </w:lvl>
    <w:lvl w:ilvl="4" w:tentative="1">
      <w:start w:val="1"/>
      <w:numFmt w:val="bullet"/>
      <w:lvlText w:val="o"/>
      <w:lvlJc w:val="left"/>
      <w:pPr>
        <w:ind w:left="4752" w:hanging="360"/>
      </w:pPr>
      <w:rPr>
        <w:rFonts w:ascii="Courier New" w:hAnsi="Courier New" w:cs="Courier New" w:hint="default"/>
      </w:rPr>
    </w:lvl>
    <w:lvl w:ilvl="5" w:tentative="1">
      <w:start w:val="1"/>
      <w:numFmt w:val="bullet"/>
      <w:lvlText w:val=""/>
      <w:lvlJc w:val="left"/>
      <w:pPr>
        <w:ind w:left="5472" w:hanging="360"/>
      </w:pPr>
      <w:rPr>
        <w:rFonts w:ascii="Wingdings" w:hAnsi="Wingdings" w:hint="default"/>
      </w:rPr>
    </w:lvl>
    <w:lvl w:ilvl="6" w:tentative="1">
      <w:start w:val="1"/>
      <w:numFmt w:val="bullet"/>
      <w:lvlText w:val=""/>
      <w:lvlJc w:val="left"/>
      <w:pPr>
        <w:ind w:left="6192" w:hanging="360"/>
      </w:pPr>
      <w:rPr>
        <w:rFonts w:ascii="Symbol" w:hAnsi="Symbol" w:hint="default"/>
      </w:rPr>
    </w:lvl>
    <w:lvl w:ilvl="7" w:tentative="1">
      <w:start w:val="1"/>
      <w:numFmt w:val="bullet"/>
      <w:lvlText w:val="o"/>
      <w:lvlJc w:val="left"/>
      <w:pPr>
        <w:ind w:left="6912" w:hanging="360"/>
      </w:pPr>
      <w:rPr>
        <w:rFonts w:ascii="Courier New" w:hAnsi="Courier New" w:cs="Courier New" w:hint="default"/>
      </w:rPr>
    </w:lvl>
    <w:lvl w:ilvl="8" w:tentative="1">
      <w:start w:val="1"/>
      <w:numFmt w:val="bullet"/>
      <w:lvlText w:val=""/>
      <w:lvlJc w:val="left"/>
      <w:pPr>
        <w:ind w:left="7632" w:hanging="360"/>
      </w:pPr>
      <w:rPr>
        <w:rFonts w:ascii="Wingdings" w:hAnsi="Wingdings" w:hint="default"/>
      </w:rPr>
    </w:lvl>
  </w:abstractNum>
  <w:abstractNum w:abstractNumId="14">
    <w:nsid w:val="5FE80508"/>
    <w:multiLevelType w:val="hybridMultilevel"/>
    <w:tmpl w:val="6B88DB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1182925"/>
    <w:multiLevelType w:val="singleLevel"/>
    <w:tmpl w:val="FA1C90BC"/>
    <w:lvl w:ilvl="0">
      <w:start w:val="1"/>
      <w:numFmt w:val="decimal"/>
      <w:pStyle w:val="ParaNum"/>
      <w:lvlText w:val="%1."/>
      <w:lvlJc w:val="left"/>
      <w:pPr>
        <w:tabs>
          <w:tab w:val="num" w:pos="1620"/>
        </w:tabs>
        <w:ind w:left="540" w:firstLine="720"/>
      </w:pPr>
      <w:rPr>
        <w:i w:val="0"/>
      </w:rPr>
    </w:lvl>
  </w:abstractNum>
  <w:abstractNum w:abstractNumId="16">
    <w:nsid w:val="6A191772"/>
    <w:multiLevelType w:val="hybridMultilevel"/>
    <w:tmpl w:val="C324DC0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7">
    <w:nsid w:val="75016D31"/>
    <w:multiLevelType w:val="hybridMultilevel"/>
    <w:tmpl w:val="955420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7A393619"/>
    <w:multiLevelType w:val="hybridMultilevel"/>
    <w:tmpl w:val="5A5A9A22"/>
    <w:lvl w:ilvl="0">
      <w:start w:val="1"/>
      <w:numFmt w:val="upperRoman"/>
      <w:lvlText w:val="%1."/>
      <w:lvlJc w:val="left"/>
      <w:pPr>
        <w:ind w:left="1152" w:hanging="720"/>
      </w:pPr>
      <w:rPr>
        <w:rFonts w:hint="default"/>
        <w:b/>
      </w:rPr>
    </w:lvl>
    <w:lvl w:ilvl="1" w:tentative="1">
      <w:start w:val="1"/>
      <w:numFmt w:val="lowerLetter"/>
      <w:lvlText w:val="%2."/>
      <w:lvlJc w:val="left"/>
      <w:pPr>
        <w:ind w:left="1512" w:hanging="360"/>
      </w:pPr>
    </w:lvl>
    <w:lvl w:ilvl="2" w:tentative="1">
      <w:start w:val="1"/>
      <w:numFmt w:val="lowerRoman"/>
      <w:lvlText w:val="%3."/>
      <w:lvlJc w:val="right"/>
      <w:pPr>
        <w:ind w:left="2232" w:hanging="180"/>
      </w:pPr>
    </w:lvl>
    <w:lvl w:ilvl="3" w:tentative="1">
      <w:start w:val="1"/>
      <w:numFmt w:val="decimal"/>
      <w:lvlText w:val="%4."/>
      <w:lvlJc w:val="left"/>
      <w:pPr>
        <w:ind w:left="2952" w:hanging="360"/>
      </w:pPr>
    </w:lvl>
    <w:lvl w:ilvl="4" w:tentative="1">
      <w:start w:val="1"/>
      <w:numFmt w:val="lowerLetter"/>
      <w:lvlText w:val="%5."/>
      <w:lvlJc w:val="left"/>
      <w:pPr>
        <w:ind w:left="3672" w:hanging="360"/>
      </w:pPr>
    </w:lvl>
    <w:lvl w:ilvl="5" w:tentative="1">
      <w:start w:val="1"/>
      <w:numFmt w:val="lowerRoman"/>
      <w:lvlText w:val="%6."/>
      <w:lvlJc w:val="right"/>
      <w:pPr>
        <w:ind w:left="4392" w:hanging="180"/>
      </w:pPr>
    </w:lvl>
    <w:lvl w:ilvl="6" w:tentative="1">
      <w:start w:val="1"/>
      <w:numFmt w:val="decimal"/>
      <w:lvlText w:val="%7."/>
      <w:lvlJc w:val="left"/>
      <w:pPr>
        <w:ind w:left="5112" w:hanging="360"/>
      </w:pPr>
    </w:lvl>
    <w:lvl w:ilvl="7" w:tentative="1">
      <w:start w:val="1"/>
      <w:numFmt w:val="lowerLetter"/>
      <w:lvlText w:val="%8."/>
      <w:lvlJc w:val="left"/>
      <w:pPr>
        <w:ind w:left="5832" w:hanging="360"/>
      </w:pPr>
    </w:lvl>
    <w:lvl w:ilvl="8" w:tentative="1">
      <w:start w:val="1"/>
      <w:numFmt w:val="lowerRoman"/>
      <w:lvlText w:val="%9."/>
      <w:lvlJc w:val="right"/>
      <w:pPr>
        <w:ind w:left="6552" w:hanging="180"/>
      </w:pPr>
    </w:lvl>
  </w:abstractNum>
  <w:num w:numId="1">
    <w:abstractNumId w:val="4"/>
  </w:num>
  <w:num w:numId="2">
    <w:abstractNumId w:val="15"/>
  </w:num>
  <w:num w:numId="3">
    <w:abstractNumId w:val="7"/>
  </w:num>
  <w:num w:numId="4">
    <w:abstractNumId w:val="11"/>
  </w:num>
  <w:num w:numId="5">
    <w:abstractNumId w:val="5"/>
  </w:num>
  <w:num w:numId="6">
    <w:abstractNumId w:val="1"/>
  </w:num>
  <w:num w:numId="7">
    <w:abstractNumId w:val="14"/>
  </w:num>
  <w:num w:numId="8">
    <w:abstractNumId w:val="8"/>
  </w:num>
  <w:num w:numId="9">
    <w:abstractNumId w:val="6"/>
  </w:num>
  <w:num w:numId="10">
    <w:abstractNumId w:val="15"/>
    <w:lvlOverride w:ilvl="0">
      <w:startOverride w:val="1"/>
    </w:lvlOverride>
  </w:num>
  <w:num w:numId="11">
    <w:abstractNumId w:val="15"/>
  </w:num>
  <w:num w:numId="12">
    <w:abstractNumId w:val="7"/>
    <w:lvlOverride w:ilvl="0">
      <w:startOverride w:val="1"/>
    </w:lvlOverride>
    <w:lvlOverride w:ilvl="1">
      <w:startOverride w:val="1"/>
    </w:lvlOverride>
    <w:lvlOverride w:ilvl="2">
      <w:startOverride w:val="4"/>
    </w:lvlOverride>
  </w:num>
  <w:num w:numId="13">
    <w:abstractNumId w:val="1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0"/>
  </w:num>
  <w:num w:numId="19">
    <w:abstractNumId w:val="3"/>
  </w:num>
  <w:num w:numId="20">
    <w:abstractNumId w:val="18"/>
  </w:num>
  <w:num w:numId="21">
    <w:abstractNumId w:val="13"/>
  </w:num>
  <w:num w:numId="22">
    <w:abstractNumId w:val="15"/>
  </w:num>
  <w:num w:numId="23">
    <w:abstractNumId w:val="9"/>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num>
  <w:num w:numId="26">
    <w:abstractNumId w:val="15"/>
    <w:lvlOverride w:ilvl="0">
      <w:startOverride w:val="1"/>
    </w:lvlOverride>
  </w:num>
  <w:num w:numId="27">
    <w:abstractNumId w:val="15"/>
  </w:num>
  <w:num w:numId="28">
    <w:abstractNumId w:val="15"/>
  </w:num>
  <w:num w:numId="29">
    <w:abstractNumId w:val="15"/>
  </w:num>
  <w:num w:numId="30">
    <w:abstractNumId w:val="15"/>
  </w:num>
  <w:num w:numId="31">
    <w:abstractNumId w:val="0"/>
  </w:num>
  <w:num w:numId="32">
    <w:abstractNumId w:val="15"/>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218"/>
    <w:rsid w:val="0000397F"/>
    <w:rsid w:val="000060AF"/>
    <w:rsid w:val="00006256"/>
    <w:rsid w:val="00010A8B"/>
    <w:rsid w:val="00012982"/>
    <w:rsid w:val="00034A68"/>
    <w:rsid w:val="00036039"/>
    <w:rsid w:val="00037F90"/>
    <w:rsid w:val="0004032A"/>
    <w:rsid w:val="00040EE4"/>
    <w:rsid w:val="00052F5E"/>
    <w:rsid w:val="00054913"/>
    <w:rsid w:val="00054EA3"/>
    <w:rsid w:val="00054F60"/>
    <w:rsid w:val="00062DD9"/>
    <w:rsid w:val="00063260"/>
    <w:rsid w:val="000638A8"/>
    <w:rsid w:val="00064CDD"/>
    <w:rsid w:val="00076BA0"/>
    <w:rsid w:val="00080796"/>
    <w:rsid w:val="00082182"/>
    <w:rsid w:val="00084839"/>
    <w:rsid w:val="00084CD3"/>
    <w:rsid w:val="00084EE7"/>
    <w:rsid w:val="000875BF"/>
    <w:rsid w:val="00096D8C"/>
    <w:rsid w:val="000A0212"/>
    <w:rsid w:val="000A2F68"/>
    <w:rsid w:val="000A3929"/>
    <w:rsid w:val="000A562F"/>
    <w:rsid w:val="000B0413"/>
    <w:rsid w:val="000B35BB"/>
    <w:rsid w:val="000B76B1"/>
    <w:rsid w:val="000B7EFE"/>
    <w:rsid w:val="000C04B9"/>
    <w:rsid w:val="000C0B65"/>
    <w:rsid w:val="000D0BD4"/>
    <w:rsid w:val="000D1941"/>
    <w:rsid w:val="000D1C8D"/>
    <w:rsid w:val="000D25E1"/>
    <w:rsid w:val="000D3246"/>
    <w:rsid w:val="000D5FAE"/>
    <w:rsid w:val="000D7A68"/>
    <w:rsid w:val="000E05FE"/>
    <w:rsid w:val="000E2400"/>
    <w:rsid w:val="000E2D92"/>
    <w:rsid w:val="000E31FC"/>
    <w:rsid w:val="000E3D42"/>
    <w:rsid w:val="000E4F60"/>
    <w:rsid w:val="000F1CCC"/>
    <w:rsid w:val="000F2BB8"/>
    <w:rsid w:val="000F317B"/>
    <w:rsid w:val="00110DE2"/>
    <w:rsid w:val="00110E62"/>
    <w:rsid w:val="001126D4"/>
    <w:rsid w:val="00113CF2"/>
    <w:rsid w:val="00114820"/>
    <w:rsid w:val="00115619"/>
    <w:rsid w:val="001168D0"/>
    <w:rsid w:val="00121920"/>
    <w:rsid w:val="00122244"/>
    <w:rsid w:val="001229E8"/>
    <w:rsid w:val="00122BD5"/>
    <w:rsid w:val="00131F10"/>
    <w:rsid w:val="00132539"/>
    <w:rsid w:val="00133F79"/>
    <w:rsid w:val="00145B0A"/>
    <w:rsid w:val="00146D71"/>
    <w:rsid w:val="00153C8D"/>
    <w:rsid w:val="001549AE"/>
    <w:rsid w:val="00155D71"/>
    <w:rsid w:val="00161F7B"/>
    <w:rsid w:val="00162930"/>
    <w:rsid w:val="001639F3"/>
    <w:rsid w:val="00172E9A"/>
    <w:rsid w:val="00173AD6"/>
    <w:rsid w:val="00174048"/>
    <w:rsid w:val="00181218"/>
    <w:rsid w:val="00182124"/>
    <w:rsid w:val="00184B68"/>
    <w:rsid w:val="00185D62"/>
    <w:rsid w:val="00187121"/>
    <w:rsid w:val="00187CAB"/>
    <w:rsid w:val="00190650"/>
    <w:rsid w:val="0019167A"/>
    <w:rsid w:val="001917A6"/>
    <w:rsid w:val="00192277"/>
    <w:rsid w:val="00193992"/>
    <w:rsid w:val="00194A66"/>
    <w:rsid w:val="00194E16"/>
    <w:rsid w:val="001A4919"/>
    <w:rsid w:val="001B2C9C"/>
    <w:rsid w:val="001C1053"/>
    <w:rsid w:val="001C327C"/>
    <w:rsid w:val="001C45E1"/>
    <w:rsid w:val="001C7497"/>
    <w:rsid w:val="001D5A45"/>
    <w:rsid w:val="001D6350"/>
    <w:rsid w:val="001D6BCF"/>
    <w:rsid w:val="001E01CA"/>
    <w:rsid w:val="001E17F1"/>
    <w:rsid w:val="001E2FA3"/>
    <w:rsid w:val="001E3E27"/>
    <w:rsid w:val="001E6340"/>
    <w:rsid w:val="001E6374"/>
    <w:rsid w:val="001F02D2"/>
    <w:rsid w:val="001F0E4C"/>
    <w:rsid w:val="001F5537"/>
    <w:rsid w:val="002014AE"/>
    <w:rsid w:val="00212F11"/>
    <w:rsid w:val="00213383"/>
    <w:rsid w:val="00216CD0"/>
    <w:rsid w:val="002213F8"/>
    <w:rsid w:val="00224324"/>
    <w:rsid w:val="00227E1A"/>
    <w:rsid w:val="00233949"/>
    <w:rsid w:val="00241366"/>
    <w:rsid w:val="00246197"/>
    <w:rsid w:val="00247EF4"/>
    <w:rsid w:val="00251E84"/>
    <w:rsid w:val="00253DAE"/>
    <w:rsid w:val="002561BE"/>
    <w:rsid w:val="00262A1B"/>
    <w:rsid w:val="00266ED9"/>
    <w:rsid w:val="00267836"/>
    <w:rsid w:val="002702DF"/>
    <w:rsid w:val="002709CA"/>
    <w:rsid w:val="00275CF5"/>
    <w:rsid w:val="00276498"/>
    <w:rsid w:val="00276CBC"/>
    <w:rsid w:val="00277F5F"/>
    <w:rsid w:val="00280F1F"/>
    <w:rsid w:val="0028301F"/>
    <w:rsid w:val="00284A65"/>
    <w:rsid w:val="00284AF8"/>
    <w:rsid w:val="00284FC2"/>
    <w:rsid w:val="00285017"/>
    <w:rsid w:val="002850BC"/>
    <w:rsid w:val="00285EC2"/>
    <w:rsid w:val="0029529B"/>
    <w:rsid w:val="002A1734"/>
    <w:rsid w:val="002A29D7"/>
    <w:rsid w:val="002A2D2E"/>
    <w:rsid w:val="002A469C"/>
    <w:rsid w:val="002A4DB1"/>
    <w:rsid w:val="002B1E88"/>
    <w:rsid w:val="002C00E8"/>
    <w:rsid w:val="002C2D61"/>
    <w:rsid w:val="002C54BD"/>
    <w:rsid w:val="002D3988"/>
    <w:rsid w:val="002D5698"/>
    <w:rsid w:val="002E0C8F"/>
    <w:rsid w:val="002E4ABB"/>
    <w:rsid w:val="002F2D33"/>
    <w:rsid w:val="002F3CD9"/>
    <w:rsid w:val="002F46FC"/>
    <w:rsid w:val="002F6B75"/>
    <w:rsid w:val="003051C4"/>
    <w:rsid w:val="00310F8D"/>
    <w:rsid w:val="003204F9"/>
    <w:rsid w:val="0032101C"/>
    <w:rsid w:val="00321D19"/>
    <w:rsid w:val="00324D3E"/>
    <w:rsid w:val="0032563E"/>
    <w:rsid w:val="003260BE"/>
    <w:rsid w:val="003269B2"/>
    <w:rsid w:val="00330009"/>
    <w:rsid w:val="00331FBD"/>
    <w:rsid w:val="00332544"/>
    <w:rsid w:val="003371B7"/>
    <w:rsid w:val="00343749"/>
    <w:rsid w:val="00344976"/>
    <w:rsid w:val="003453B2"/>
    <w:rsid w:val="00351950"/>
    <w:rsid w:val="003525EE"/>
    <w:rsid w:val="003600AD"/>
    <w:rsid w:val="00363FF0"/>
    <w:rsid w:val="00365C18"/>
    <w:rsid w:val="003660ED"/>
    <w:rsid w:val="00371BA2"/>
    <w:rsid w:val="00373385"/>
    <w:rsid w:val="003768A5"/>
    <w:rsid w:val="00381002"/>
    <w:rsid w:val="00386B38"/>
    <w:rsid w:val="00387080"/>
    <w:rsid w:val="00387390"/>
    <w:rsid w:val="00387AF6"/>
    <w:rsid w:val="00392401"/>
    <w:rsid w:val="00395B9C"/>
    <w:rsid w:val="00396F03"/>
    <w:rsid w:val="003A7F56"/>
    <w:rsid w:val="003B0550"/>
    <w:rsid w:val="003B0E46"/>
    <w:rsid w:val="003B1742"/>
    <w:rsid w:val="003B1B76"/>
    <w:rsid w:val="003B1D93"/>
    <w:rsid w:val="003B451D"/>
    <w:rsid w:val="003B694F"/>
    <w:rsid w:val="003C0073"/>
    <w:rsid w:val="003C2EA2"/>
    <w:rsid w:val="003C5BCB"/>
    <w:rsid w:val="003D2ADC"/>
    <w:rsid w:val="003D4296"/>
    <w:rsid w:val="003D6FCD"/>
    <w:rsid w:val="003E1621"/>
    <w:rsid w:val="003E4B60"/>
    <w:rsid w:val="003F014F"/>
    <w:rsid w:val="003F171C"/>
    <w:rsid w:val="003F1D75"/>
    <w:rsid w:val="00401953"/>
    <w:rsid w:val="004043D7"/>
    <w:rsid w:val="004108B0"/>
    <w:rsid w:val="004109D3"/>
    <w:rsid w:val="00412FC5"/>
    <w:rsid w:val="004139F9"/>
    <w:rsid w:val="004209F6"/>
    <w:rsid w:val="00420C18"/>
    <w:rsid w:val="00422276"/>
    <w:rsid w:val="00422417"/>
    <w:rsid w:val="004242F1"/>
    <w:rsid w:val="0043132C"/>
    <w:rsid w:val="00435601"/>
    <w:rsid w:val="00437FA4"/>
    <w:rsid w:val="00440365"/>
    <w:rsid w:val="004433C2"/>
    <w:rsid w:val="00445A00"/>
    <w:rsid w:val="00445EC1"/>
    <w:rsid w:val="00446BC3"/>
    <w:rsid w:val="0045199F"/>
    <w:rsid w:val="00451B0F"/>
    <w:rsid w:val="004537EB"/>
    <w:rsid w:val="00453C37"/>
    <w:rsid w:val="00455743"/>
    <w:rsid w:val="004664F4"/>
    <w:rsid w:val="00474A9C"/>
    <w:rsid w:val="00477286"/>
    <w:rsid w:val="004839F1"/>
    <w:rsid w:val="004869B8"/>
    <w:rsid w:val="0048799F"/>
    <w:rsid w:val="00492342"/>
    <w:rsid w:val="004923EA"/>
    <w:rsid w:val="00494669"/>
    <w:rsid w:val="00494DB2"/>
    <w:rsid w:val="00494E56"/>
    <w:rsid w:val="0049510F"/>
    <w:rsid w:val="00495936"/>
    <w:rsid w:val="00495C9C"/>
    <w:rsid w:val="004A1161"/>
    <w:rsid w:val="004A1166"/>
    <w:rsid w:val="004A51C5"/>
    <w:rsid w:val="004B14E4"/>
    <w:rsid w:val="004B1FBA"/>
    <w:rsid w:val="004B75CC"/>
    <w:rsid w:val="004C2EE3"/>
    <w:rsid w:val="004C4E8B"/>
    <w:rsid w:val="004C796F"/>
    <w:rsid w:val="004D014A"/>
    <w:rsid w:val="004D1CD4"/>
    <w:rsid w:val="004D37DE"/>
    <w:rsid w:val="004E3A42"/>
    <w:rsid w:val="004E4A22"/>
    <w:rsid w:val="004E63E0"/>
    <w:rsid w:val="004E754E"/>
    <w:rsid w:val="004E778D"/>
    <w:rsid w:val="004E7C60"/>
    <w:rsid w:val="004F00DE"/>
    <w:rsid w:val="004F05F7"/>
    <w:rsid w:val="004F0B44"/>
    <w:rsid w:val="004F4710"/>
    <w:rsid w:val="004F71DA"/>
    <w:rsid w:val="004F7492"/>
    <w:rsid w:val="00511968"/>
    <w:rsid w:val="005121B4"/>
    <w:rsid w:val="00512735"/>
    <w:rsid w:val="0052132E"/>
    <w:rsid w:val="005315EC"/>
    <w:rsid w:val="00533038"/>
    <w:rsid w:val="00536516"/>
    <w:rsid w:val="00540FC2"/>
    <w:rsid w:val="00541BC3"/>
    <w:rsid w:val="00542B30"/>
    <w:rsid w:val="005468C3"/>
    <w:rsid w:val="005479D8"/>
    <w:rsid w:val="00550A22"/>
    <w:rsid w:val="00550E8F"/>
    <w:rsid w:val="00552DA5"/>
    <w:rsid w:val="00553424"/>
    <w:rsid w:val="0055614C"/>
    <w:rsid w:val="0056178A"/>
    <w:rsid w:val="0056311D"/>
    <w:rsid w:val="00564485"/>
    <w:rsid w:val="0056680A"/>
    <w:rsid w:val="005679AF"/>
    <w:rsid w:val="0057226F"/>
    <w:rsid w:val="00575AD9"/>
    <w:rsid w:val="00580A08"/>
    <w:rsid w:val="00580D22"/>
    <w:rsid w:val="00584677"/>
    <w:rsid w:val="005918EA"/>
    <w:rsid w:val="00591D03"/>
    <w:rsid w:val="005929EF"/>
    <w:rsid w:val="00596C7D"/>
    <w:rsid w:val="005A001E"/>
    <w:rsid w:val="005A01AD"/>
    <w:rsid w:val="005A47BF"/>
    <w:rsid w:val="005A495E"/>
    <w:rsid w:val="005B2E7B"/>
    <w:rsid w:val="005B3AFD"/>
    <w:rsid w:val="005B6491"/>
    <w:rsid w:val="005B7936"/>
    <w:rsid w:val="005C0089"/>
    <w:rsid w:val="005C31C3"/>
    <w:rsid w:val="005C7CB7"/>
    <w:rsid w:val="005D32A1"/>
    <w:rsid w:val="005E14C2"/>
    <w:rsid w:val="005E3927"/>
    <w:rsid w:val="005E4542"/>
    <w:rsid w:val="005E484D"/>
    <w:rsid w:val="005E59D3"/>
    <w:rsid w:val="005F0321"/>
    <w:rsid w:val="005F0488"/>
    <w:rsid w:val="005F14AA"/>
    <w:rsid w:val="005F6306"/>
    <w:rsid w:val="005F7AC2"/>
    <w:rsid w:val="0060549F"/>
    <w:rsid w:val="00606CA6"/>
    <w:rsid w:val="00607BA5"/>
    <w:rsid w:val="00610D8E"/>
    <w:rsid w:val="0061180A"/>
    <w:rsid w:val="0061238D"/>
    <w:rsid w:val="00614FF4"/>
    <w:rsid w:val="006156C3"/>
    <w:rsid w:val="006245D9"/>
    <w:rsid w:val="00624FD2"/>
    <w:rsid w:val="00626EB6"/>
    <w:rsid w:val="0062718F"/>
    <w:rsid w:val="00632A84"/>
    <w:rsid w:val="00640ABE"/>
    <w:rsid w:val="0064644E"/>
    <w:rsid w:val="006518C9"/>
    <w:rsid w:val="00651DF3"/>
    <w:rsid w:val="006541E8"/>
    <w:rsid w:val="00654D28"/>
    <w:rsid w:val="00655D03"/>
    <w:rsid w:val="00660A1A"/>
    <w:rsid w:val="006677FC"/>
    <w:rsid w:val="00673A16"/>
    <w:rsid w:val="00680CEF"/>
    <w:rsid w:val="00683388"/>
    <w:rsid w:val="00683F84"/>
    <w:rsid w:val="00695783"/>
    <w:rsid w:val="00696284"/>
    <w:rsid w:val="00696416"/>
    <w:rsid w:val="006973D9"/>
    <w:rsid w:val="006A6A81"/>
    <w:rsid w:val="006A6F0D"/>
    <w:rsid w:val="006A7C8A"/>
    <w:rsid w:val="006B15B7"/>
    <w:rsid w:val="006B2A9B"/>
    <w:rsid w:val="006C0ECC"/>
    <w:rsid w:val="006C36EF"/>
    <w:rsid w:val="006C4F63"/>
    <w:rsid w:val="006C52E8"/>
    <w:rsid w:val="006D4D3C"/>
    <w:rsid w:val="006E2080"/>
    <w:rsid w:val="006E377A"/>
    <w:rsid w:val="006F067A"/>
    <w:rsid w:val="006F7393"/>
    <w:rsid w:val="00700299"/>
    <w:rsid w:val="0070224F"/>
    <w:rsid w:val="00704E5B"/>
    <w:rsid w:val="007058E5"/>
    <w:rsid w:val="00707A79"/>
    <w:rsid w:val="007115F7"/>
    <w:rsid w:val="0071368A"/>
    <w:rsid w:val="007234D2"/>
    <w:rsid w:val="00726E29"/>
    <w:rsid w:val="007333D5"/>
    <w:rsid w:val="00736394"/>
    <w:rsid w:val="007373E3"/>
    <w:rsid w:val="00737FAE"/>
    <w:rsid w:val="0074060E"/>
    <w:rsid w:val="00746D00"/>
    <w:rsid w:val="0074744D"/>
    <w:rsid w:val="00747DD6"/>
    <w:rsid w:val="00751401"/>
    <w:rsid w:val="00752B71"/>
    <w:rsid w:val="00755EF5"/>
    <w:rsid w:val="00757359"/>
    <w:rsid w:val="007662C5"/>
    <w:rsid w:val="0078068A"/>
    <w:rsid w:val="00781350"/>
    <w:rsid w:val="00782D21"/>
    <w:rsid w:val="00785689"/>
    <w:rsid w:val="00791B04"/>
    <w:rsid w:val="007947E9"/>
    <w:rsid w:val="0079754B"/>
    <w:rsid w:val="00797B2C"/>
    <w:rsid w:val="007A1E6D"/>
    <w:rsid w:val="007A50F1"/>
    <w:rsid w:val="007A6714"/>
    <w:rsid w:val="007A73A7"/>
    <w:rsid w:val="007A747F"/>
    <w:rsid w:val="007B0EB2"/>
    <w:rsid w:val="007C5DE4"/>
    <w:rsid w:val="007D626E"/>
    <w:rsid w:val="007D6E7D"/>
    <w:rsid w:val="007E2A33"/>
    <w:rsid w:val="007E6DF4"/>
    <w:rsid w:val="007F05C7"/>
    <w:rsid w:val="007F0EF0"/>
    <w:rsid w:val="00805CC1"/>
    <w:rsid w:val="00810B6F"/>
    <w:rsid w:val="00811A1C"/>
    <w:rsid w:val="00816121"/>
    <w:rsid w:val="008215ED"/>
    <w:rsid w:val="008221C3"/>
    <w:rsid w:val="00822CE0"/>
    <w:rsid w:val="008234EA"/>
    <w:rsid w:val="008243DA"/>
    <w:rsid w:val="00836B7F"/>
    <w:rsid w:val="00837D80"/>
    <w:rsid w:val="0084014C"/>
    <w:rsid w:val="00841AB1"/>
    <w:rsid w:val="00842FFC"/>
    <w:rsid w:val="00846145"/>
    <w:rsid w:val="0084754E"/>
    <w:rsid w:val="00852A6C"/>
    <w:rsid w:val="00852E80"/>
    <w:rsid w:val="00853D65"/>
    <w:rsid w:val="00854C7F"/>
    <w:rsid w:val="008573CE"/>
    <w:rsid w:val="00862579"/>
    <w:rsid w:val="00864420"/>
    <w:rsid w:val="008700AD"/>
    <w:rsid w:val="00880589"/>
    <w:rsid w:val="00896F2B"/>
    <w:rsid w:val="008A07ED"/>
    <w:rsid w:val="008A21BA"/>
    <w:rsid w:val="008A50CE"/>
    <w:rsid w:val="008B04FA"/>
    <w:rsid w:val="008B550F"/>
    <w:rsid w:val="008C0C92"/>
    <w:rsid w:val="008C2E98"/>
    <w:rsid w:val="008C4703"/>
    <w:rsid w:val="008C4AB6"/>
    <w:rsid w:val="008C68F1"/>
    <w:rsid w:val="008C71D2"/>
    <w:rsid w:val="008D4100"/>
    <w:rsid w:val="008E5793"/>
    <w:rsid w:val="008E5F0F"/>
    <w:rsid w:val="00900A96"/>
    <w:rsid w:val="00902B81"/>
    <w:rsid w:val="00904AEA"/>
    <w:rsid w:val="00912969"/>
    <w:rsid w:val="00921386"/>
    <w:rsid w:val="00921803"/>
    <w:rsid w:val="00922DBB"/>
    <w:rsid w:val="00923770"/>
    <w:rsid w:val="0092468B"/>
    <w:rsid w:val="00924F19"/>
    <w:rsid w:val="00925A12"/>
    <w:rsid w:val="00926503"/>
    <w:rsid w:val="00926D81"/>
    <w:rsid w:val="00927884"/>
    <w:rsid w:val="0093440E"/>
    <w:rsid w:val="009344D0"/>
    <w:rsid w:val="009372E5"/>
    <w:rsid w:val="00941BA3"/>
    <w:rsid w:val="00942862"/>
    <w:rsid w:val="00950C2B"/>
    <w:rsid w:val="00955F0A"/>
    <w:rsid w:val="00960F14"/>
    <w:rsid w:val="009618F0"/>
    <w:rsid w:val="009726D8"/>
    <w:rsid w:val="0097592F"/>
    <w:rsid w:val="00976A69"/>
    <w:rsid w:val="00984550"/>
    <w:rsid w:val="00985C9D"/>
    <w:rsid w:val="009902CD"/>
    <w:rsid w:val="00993D41"/>
    <w:rsid w:val="0099587D"/>
    <w:rsid w:val="0099697F"/>
    <w:rsid w:val="009A1746"/>
    <w:rsid w:val="009A606D"/>
    <w:rsid w:val="009B176E"/>
    <w:rsid w:val="009B2B06"/>
    <w:rsid w:val="009B2DFE"/>
    <w:rsid w:val="009C45F8"/>
    <w:rsid w:val="009D1E55"/>
    <w:rsid w:val="009D6DB3"/>
    <w:rsid w:val="009D7FC5"/>
    <w:rsid w:val="009E3881"/>
    <w:rsid w:val="009E3FBE"/>
    <w:rsid w:val="009E66C9"/>
    <w:rsid w:val="009F0EDC"/>
    <w:rsid w:val="009F76DB"/>
    <w:rsid w:val="00A00B6F"/>
    <w:rsid w:val="00A0241C"/>
    <w:rsid w:val="00A044F2"/>
    <w:rsid w:val="00A11A47"/>
    <w:rsid w:val="00A12FFD"/>
    <w:rsid w:val="00A217F1"/>
    <w:rsid w:val="00A23C6C"/>
    <w:rsid w:val="00A25191"/>
    <w:rsid w:val="00A3277E"/>
    <w:rsid w:val="00A32C3B"/>
    <w:rsid w:val="00A36E31"/>
    <w:rsid w:val="00A37245"/>
    <w:rsid w:val="00A37BAB"/>
    <w:rsid w:val="00A41FBF"/>
    <w:rsid w:val="00A42CBC"/>
    <w:rsid w:val="00A45F4F"/>
    <w:rsid w:val="00A46346"/>
    <w:rsid w:val="00A47D19"/>
    <w:rsid w:val="00A519D5"/>
    <w:rsid w:val="00A55A55"/>
    <w:rsid w:val="00A600A9"/>
    <w:rsid w:val="00A62789"/>
    <w:rsid w:val="00A63571"/>
    <w:rsid w:val="00A64632"/>
    <w:rsid w:val="00A661F5"/>
    <w:rsid w:val="00A75819"/>
    <w:rsid w:val="00A85408"/>
    <w:rsid w:val="00AA1D7A"/>
    <w:rsid w:val="00AA55B7"/>
    <w:rsid w:val="00AA5B9E"/>
    <w:rsid w:val="00AA6550"/>
    <w:rsid w:val="00AB1968"/>
    <w:rsid w:val="00AB2407"/>
    <w:rsid w:val="00AB260B"/>
    <w:rsid w:val="00AB3097"/>
    <w:rsid w:val="00AB3842"/>
    <w:rsid w:val="00AB3F0B"/>
    <w:rsid w:val="00AB53DF"/>
    <w:rsid w:val="00AB5420"/>
    <w:rsid w:val="00AC1A63"/>
    <w:rsid w:val="00AC5865"/>
    <w:rsid w:val="00AC68B5"/>
    <w:rsid w:val="00AC74D7"/>
    <w:rsid w:val="00AD05CD"/>
    <w:rsid w:val="00AD19A6"/>
    <w:rsid w:val="00AD3714"/>
    <w:rsid w:val="00AE3296"/>
    <w:rsid w:val="00AE5A7C"/>
    <w:rsid w:val="00AE7DE7"/>
    <w:rsid w:val="00AF0571"/>
    <w:rsid w:val="00AF2A30"/>
    <w:rsid w:val="00AF2D39"/>
    <w:rsid w:val="00AF2FB0"/>
    <w:rsid w:val="00AF5298"/>
    <w:rsid w:val="00AF5A6A"/>
    <w:rsid w:val="00AF77D9"/>
    <w:rsid w:val="00B0056E"/>
    <w:rsid w:val="00B03124"/>
    <w:rsid w:val="00B07CF4"/>
    <w:rsid w:val="00B07E5C"/>
    <w:rsid w:val="00B11019"/>
    <w:rsid w:val="00B14AC0"/>
    <w:rsid w:val="00B20A6A"/>
    <w:rsid w:val="00B215D0"/>
    <w:rsid w:val="00B27AD1"/>
    <w:rsid w:val="00B27D65"/>
    <w:rsid w:val="00B31D73"/>
    <w:rsid w:val="00B337D4"/>
    <w:rsid w:val="00B3409E"/>
    <w:rsid w:val="00B34C5B"/>
    <w:rsid w:val="00B364AE"/>
    <w:rsid w:val="00B3794C"/>
    <w:rsid w:val="00B401E8"/>
    <w:rsid w:val="00B41159"/>
    <w:rsid w:val="00B44262"/>
    <w:rsid w:val="00B45533"/>
    <w:rsid w:val="00B46E6D"/>
    <w:rsid w:val="00B50309"/>
    <w:rsid w:val="00B50679"/>
    <w:rsid w:val="00B53416"/>
    <w:rsid w:val="00B53CD6"/>
    <w:rsid w:val="00B563F3"/>
    <w:rsid w:val="00B60867"/>
    <w:rsid w:val="00B60EE0"/>
    <w:rsid w:val="00B6407B"/>
    <w:rsid w:val="00B64CD9"/>
    <w:rsid w:val="00B703DB"/>
    <w:rsid w:val="00B71D21"/>
    <w:rsid w:val="00B726F9"/>
    <w:rsid w:val="00B73B8B"/>
    <w:rsid w:val="00B75066"/>
    <w:rsid w:val="00B811F7"/>
    <w:rsid w:val="00B820F7"/>
    <w:rsid w:val="00B821F7"/>
    <w:rsid w:val="00B91180"/>
    <w:rsid w:val="00B93390"/>
    <w:rsid w:val="00B93DC0"/>
    <w:rsid w:val="00B94BE9"/>
    <w:rsid w:val="00B97158"/>
    <w:rsid w:val="00BA02C3"/>
    <w:rsid w:val="00BA0B27"/>
    <w:rsid w:val="00BA22D1"/>
    <w:rsid w:val="00BA5B2E"/>
    <w:rsid w:val="00BA5DC6"/>
    <w:rsid w:val="00BA6196"/>
    <w:rsid w:val="00BB228B"/>
    <w:rsid w:val="00BB59F8"/>
    <w:rsid w:val="00BC354B"/>
    <w:rsid w:val="00BC5250"/>
    <w:rsid w:val="00BC6D8C"/>
    <w:rsid w:val="00BD1FC9"/>
    <w:rsid w:val="00BE1077"/>
    <w:rsid w:val="00BE277C"/>
    <w:rsid w:val="00BE2E6C"/>
    <w:rsid w:val="00BE2E7A"/>
    <w:rsid w:val="00BE38EE"/>
    <w:rsid w:val="00BE528D"/>
    <w:rsid w:val="00BF54EE"/>
    <w:rsid w:val="00C04A25"/>
    <w:rsid w:val="00C14385"/>
    <w:rsid w:val="00C1500B"/>
    <w:rsid w:val="00C22A9F"/>
    <w:rsid w:val="00C22F9A"/>
    <w:rsid w:val="00C24B24"/>
    <w:rsid w:val="00C34006"/>
    <w:rsid w:val="00C36221"/>
    <w:rsid w:val="00C36D55"/>
    <w:rsid w:val="00C417A4"/>
    <w:rsid w:val="00C426B1"/>
    <w:rsid w:val="00C432B6"/>
    <w:rsid w:val="00C576E9"/>
    <w:rsid w:val="00C66160"/>
    <w:rsid w:val="00C66FF0"/>
    <w:rsid w:val="00C70406"/>
    <w:rsid w:val="00C721AC"/>
    <w:rsid w:val="00C74137"/>
    <w:rsid w:val="00C7448D"/>
    <w:rsid w:val="00C75C9A"/>
    <w:rsid w:val="00C75F86"/>
    <w:rsid w:val="00C7723C"/>
    <w:rsid w:val="00C86EFF"/>
    <w:rsid w:val="00C90D6A"/>
    <w:rsid w:val="00C92D5C"/>
    <w:rsid w:val="00C957CF"/>
    <w:rsid w:val="00C958E9"/>
    <w:rsid w:val="00C96443"/>
    <w:rsid w:val="00CA1BFC"/>
    <w:rsid w:val="00CA1E99"/>
    <w:rsid w:val="00CA247E"/>
    <w:rsid w:val="00CA4800"/>
    <w:rsid w:val="00CA5AEE"/>
    <w:rsid w:val="00CA5C66"/>
    <w:rsid w:val="00CA6C52"/>
    <w:rsid w:val="00CA77F1"/>
    <w:rsid w:val="00CB2D93"/>
    <w:rsid w:val="00CB3D43"/>
    <w:rsid w:val="00CB438A"/>
    <w:rsid w:val="00CC107F"/>
    <w:rsid w:val="00CC2A10"/>
    <w:rsid w:val="00CC597C"/>
    <w:rsid w:val="00CC65E3"/>
    <w:rsid w:val="00CC72B6"/>
    <w:rsid w:val="00CD1A8F"/>
    <w:rsid w:val="00CD2639"/>
    <w:rsid w:val="00CD536D"/>
    <w:rsid w:val="00CD53AB"/>
    <w:rsid w:val="00CD652F"/>
    <w:rsid w:val="00CD73EE"/>
    <w:rsid w:val="00CE0B6A"/>
    <w:rsid w:val="00CF0F88"/>
    <w:rsid w:val="00D0038D"/>
    <w:rsid w:val="00D0218D"/>
    <w:rsid w:val="00D06DA6"/>
    <w:rsid w:val="00D104F5"/>
    <w:rsid w:val="00D11028"/>
    <w:rsid w:val="00D12640"/>
    <w:rsid w:val="00D146C1"/>
    <w:rsid w:val="00D14EDE"/>
    <w:rsid w:val="00D17A05"/>
    <w:rsid w:val="00D2054F"/>
    <w:rsid w:val="00D227AF"/>
    <w:rsid w:val="00D25E3D"/>
    <w:rsid w:val="00D25E59"/>
    <w:rsid w:val="00D25FB5"/>
    <w:rsid w:val="00D2763B"/>
    <w:rsid w:val="00D32879"/>
    <w:rsid w:val="00D33A36"/>
    <w:rsid w:val="00D33EBE"/>
    <w:rsid w:val="00D3511D"/>
    <w:rsid w:val="00D405D3"/>
    <w:rsid w:val="00D4179B"/>
    <w:rsid w:val="00D42136"/>
    <w:rsid w:val="00D44223"/>
    <w:rsid w:val="00D44A1A"/>
    <w:rsid w:val="00D4795D"/>
    <w:rsid w:val="00D5191B"/>
    <w:rsid w:val="00D530F0"/>
    <w:rsid w:val="00D5329B"/>
    <w:rsid w:val="00D57D8D"/>
    <w:rsid w:val="00D65A8A"/>
    <w:rsid w:val="00D76E92"/>
    <w:rsid w:val="00D90438"/>
    <w:rsid w:val="00D91CA1"/>
    <w:rsid w:val="00D936B0"/>
    <w:rsid w:val="00D93A48"/>
    <w:rsid w:val="00D95D58"/>
    <w:rsid w:val="00DA0D1F"/>
    <w:rsid w:val="00DA2529"/>
    <w:rsid w:val="00DB130A"/>
    <w:rsid w:val="00DB2EBB"/>
    <w:rsid w:val="00DB426C"/>
    <w:rsid w:val="00DB5EEE"/>
    <w:rsid w:val="00DC10A1"/>
    <w:rsid w:val="00DC1E3C"/>
    <w:rsid w:val="00DC472B"/>
    <w:rsid w:val="00DC4BF1"/>
    <w:rsid w:val="00DC655F"/>
    <w:rsid w:val="00DC68F5"/>
    <w:rsid w:val="00DD0B59"/>
    <w:rsid w:val="00DD4FB5"/>
    <w:rsid w:val="00DD6C39"/>
    <w:rsid w:val="00DD7EBD"/>
    <w:rsid w:val="00DE02CB"/>
    <w:rsid w:val="00DE220C"/>
    <w:rsid w:val="00DE27DD"/>
    <w:rsid w:val="00DE3BA3"/>
    <w:rsid w:val="00DE6260"/>
    <w:rsid w:val="00DE6E60"/>
    <w:rsid w:val="00DE6E61"/>
    <w:rsid w:val="00DF5C9E"/>
    <w:rsid w:val="00DF62B6"/>
    <w:rsid w:val="00E00CED"/>
    <w:rsid w:val="00E017BB"/>
    <w:rsid w:val="00E01B9A"/>
    <w:rsid w:val="00E0333D"/>
    <w:rsid w:val="00E03FCA"/>
    <w:rsid w:val="00E07225"/>
    <w:rsid w:val="00E0762C"/>
    <w:rsid w:val="00E1098B"/>
    <w:rsid w:val="00E11678"/>
    <w:rsid w:val="00E16DBD"/>
    <w:rsid w:val="00E24736"/>
    <w:rsid w:val="00E258D7"/>
    <w:rsid w:val="00E31D8F"/>
    <w:rsid w:val="00E33F21"/>
    <w:rsid w:val="00E34506"/>
    <w:rsid w:val="00E34EF7"/>
    <w:rsid w:val="00E4088A"/>
    <w:rsid w:val="00E4100A"/>
    <w:rsid w:val="00E5409F"/>
    <w:rsid w:val="00E56A25"/>
    <w:rsid w:val="00E63083"/>
    <w:rsid w:val="00E64422"/>
    <w:rsid w:val="00E66679"/>
    <w:rsid w:val="00E67546"/>
    <w:rsid w:val="00E74D75"/>
    <w:rsid w:val="00E80BBF"/>
    <w:rsid w:val="00E8348A"/>
    <w:rsid w:val="00E83ECB"/>
    <w:rsid w:val="00E913CA"/>
    <w:rsid w:val="00E93DF3"/>
    <w:rsid w:val="00E940EE"/>
    <w:rsid w:val="00E956EB"/>
    <w:rsid w:val="00E95BA8"/>
    <w:rsid w:val="00EA0C44"/>
    <w:rsid w:val="00EA2E8E"/>
    <w:rsid w:val="00EB0B79"/>
    <w:rsid w:val="00EB415C"/>
    <w:rsid w:val="00EC056F"/>
    <w:rsid w:val="00EC1BF9"/>
    <w:rsid w:val="00EC1FA7"/>
    <w:rsid w:val="00ED65AB"/>
    <w:rsid w:val="00EE5F86"/>
    <w:rsid w:val="00EE6488"/>
    <w:rsid w:val="00EE7A46"/>
    <w:rsid w:val="00EF0AC2"/>
    <w:rsid w:val="00EF4C55"/>
    <w:rsid w:val="00EF627F"/>
    <w:rsid w:val="00F018A8"/>
    <w:rsid w:val="00F021FA"/>
    <w:rsid w:val="00F02B4F"/>
    <w:rsid w:val="00F03363"/>
    <w:rsid w:val="00F14A26"/>
    <w:rsid w:val="00F15892"/>
    <w:rsid w:val="00F2082B"/>
    <w:rsid w:val="00F21292"/>
    <w:rsid w:val="00F21B83"/>
    <w:rsid w:val="00F27CC6"/>
    <w:rsid w:val="00F31422"/>
    <w:rsid w:val="00F37499"/>
    <w:rsid w:val="00F4213E"/>
    <w:rsid w:val="00F4709E"/>
    <w:rsid w:val="00F53E1B"/>
    <w:rsid w:val="00F606B3"/>
    <w:rsid w:val="00F6143B"/>
    <w:rsid w:val="00F616D5"/>
    <w:rsid w:val="00F62E97"/>
    <w:rsid w:val="00F63FD4"/>
    <w:rsid w:val="00F64209"/>
    <w:rsid w:val="00F643C6"/>
    <w:rsid w:val="00F64575"/>
    <w:rsid w:val="00F6480F"/>
    <w:rsid w:val="00F66F01"/>
    <w:rsid w:val="00F6798F"/>
    <w:rsid w:val="00F80006"/>
    <w:rsid w:val="00F814EC"/>
    <w:rsid w:val="00F81DB4"/>
    <w:rsid w:val="00F82883"/>
    <w:rsid w:val="00F840FB"/>
    <w:rsid w:val="00F86187"/>
    <w:rsid w:val="00F910FD"/>
    <w:rsid w:val="00F923FE"/>
    <w:rsid w:val="00F93BF5"/>
    <w:rsid w:val="00F94EE0"/>
    <w:rsid w:val="00FA26D8"/>
    <w:rsid w:val="00FA3C6B"/>
    <w:rsid w:val="00FA786C"/>
    <w:rsid w:val="00FB096D"/>
    <w:rsid w:val="00FC26D1"/>
    <w:rsid w:val="00FD280A"/>
    <w:rsid w:val="00FD3AAD"/>
    <w:rsid w:val="00FD5718"/>
    <w:rsid w:val="00FD6C12"/>
    <w:rsid w:val="00FD796B"/>
    <w:rsid w:val="00FF15C2"/>
    <w:rsid w:val="00FF50D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4F0B44"/>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f,fn,fn Char Char"/>
    <w:link w:val="FootnoteTextChar"/>
    <w:qFormat/>
    <w:rsid w:val="000E3D42"/>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D5191B"/>
    <w:rPr>
      <w:rFonts w:ascii="Tahoma" w:hAnsi="Tahoma" w:cs="Tahoma"/>
      <w:sz w:val="16"/>
      <w:szCs w:val="16"/>
    </w:rPr>
  </w:style>
  <w:style w:type="character" w:customStyle="1" w:styleId="BalloonTextChar">
    <w:name w:val="Balloon Text Char"/>
    <w:basedOn w:val="DefaultParagraphFont"/>
    <w:link w:val="BalloonText"/>
    <w:rsid w:val="00D5191B"/>
    <w:rPr>
      <w:rFonts w:ascii="Tahoma" w:hAnsi="Tahoma" w:cs="Tahoma"/>
      <w:snapToGrid w:val="0"/>
      <w:kern w:val="28"/>
      <w:sz w:val="16"/>
      <w:szCs w:val="16"/>
    </w:rPr>
  </w:style>
  <w:style w:type="paragraph" w:styleId="ListParagraph">
    <w:name w:val="List Paragraph"/>
    <w:basedOn w:val="Normal"/>
    <w:uiPriority w:val="34"/>
    <w:qFormat/>
    <w:rsid w:val="00B60EE0"/>
    <w:pPr>
      <w:ind w:left="720"/>
      <w:contextualSpacing/>
    </w:pPr>
  </w:style>
  <w:style w:type="character" w:styleId="CommentReference">
    <w:name w:val="annotation reference"/>
    <w:basedOn w:val="DefaultParagraphFont"/>
    <w:rsid w:val="005A001E"/>
    <w:rPr>
      <w:sz w:val="16"/>
      <w:szCs w:val="16"/>
    </w:rPr>
  </w:style>
  <w:style w:type="paragraph" w:styleId="CommentText">
    <w:name w:val="annotation text"/>
    <w:basedOn w:val="Normal"/>
    <w:link w:val="CommentTextChar"/>
    <w:rsid w:val="005A001E"/>
    <w:rPr>
      <w:sz w:val="20"/>
    </w:rPr>
  </w:style>
  <w:style w:type="character" w:customStyle="1" w:styleId="CommentTextChar">
    <w:name w:val="Comment Text Char"/>
    <w:basedOn w:val="DefaultParagraphFont"/>
    <w:link w:val="CommentText"/>
    <w:rsid w:val="005A001E"/>
    <w:rPr>
      <w:snapToGrid w:val="0"/>
      <w:kern w:val="28"/>
    </w:rPr>
  </w:style>
  <w:style w:type="paragraph" w:styleId="CommentSubject">
    <w:name w:val="annotation subject"/>
    <w:basedOn w:val="CommentText"/>
    <w:next w:val="CommentText"/>
    <w:link w:val="CommentSubjectChar"/>
    <w:rsid w:val="005A001E"/>
    <w:rPr>
      <w:b/>
      <w:bCs/>
    </w:rPr>
  </w:style>
  <w:style w:type="character" w:customStyle="1" w:styleId="CommentSubjectChar">
    <w:name w:val="Comment Subject Char"/>
    <w:basedOn w:val="CommentTextChar"/>
    <w:link w:val="CommentSubject"/>
    <w:rsid w:val="005A001E"/>
    <w:rPr>
      <w:b/>
      <w:bCs/>
      <w:snapToGrid w:val="0"/>
      <w:kern w:val="28"/>
    </w:rPr>
  </w:style>
  <w:style w:type="character" w:customStyle="1" w:styleId="ParaNumChar">
    <w:name w:val="ParaNum Char"/>
    <w:basedOn w:val="DefaultParagraphFont"/>
    <w:link w:val="ParaNum"/>
    <w:rsid w:val="003600AD"/>
    <w:rPr>
      <w:snapToGrid w:val="0"/>
      <w:kern w:val="28"/>
      <w:sz w:val="22"/>
    </w:rPr>
  </w:style>
  <w:style w:type="paragraph" w:styleId="Revision">
    <w:name w:val="Revision"/>
    <w:hidden/>
    <w:uiPriority w:val="99"/>
    <w:semiHidden/>
    <w:rsid w:val="0048799F"/>
    <w:rPr>
      <w:snapToGrid w:val="0"/>
      <w:kern w:val="28"/>
      <w:sz w:val="22"/>
    </w:rPr>
  </w:style>
  <w:style w:type="character" w:customStyle="1" w:styleId="emphi">
    <w:name w:val="emphi"/>
    <w:basedOn w:val="DefaultParagraphFont"/>
    <w:rsid w:val="00162930"/>
  </w:style>
  <w:style w:type="character" w:customStyle="1" w:styleId="FootnoteTextChar">
    <w:name w:val="Footnote Text Char"/>
    <w:aliases w:val="Footnote Text Char Char Char1 Char Char Char Char,Footnote Text Char1 Char1 Char Char Char Char,Footnote Text Char2 Char Char,Footnote Text Char2 Char Char Char Char,Footnote Text Char3 Char Char Char,f Char,fn Char,fn Char Char Char"/>
    <w:basedOn w:val="DefaultParagraphFont"/>
    <w:link w:val="FootnoteText"/>
    <w:uiPriority w:val="99"/>
    <w:rsid w:val="00C77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E813F-C8DA-448C-B722-DD3BF3334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1668</Words>
  <Characters>9509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11155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2018-05-01T12:56:52Z</dcterms:created>
  <dcterms:modified xsi:type="dcterms:W3CDTF">2018-05-01T12:56:52Z</dcterms:modified>
</cp:coreProperties>
</file>