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50150" w:rsidRPr="009614B0" w:rsidP="00BC5E66" w14:paraId="09F78237" w14:textId="3DB3E91C">
      <w:pPr>
        <w:ind w:left="5040"/>
        <w:jc w:val="center"/>
        <w:rPr>
          <w:b/>
          <w:szCs w:val="22"/>
        </w:rPr>
      </w:pPr>
      <w:bookmarkStart w:id="0" w:name="_GoBack"/>
      <w:bookmarkEnd w:id="0"/>
      <w:r w:rsidRPr="009614B0">
        <w:rPr>
          <w:b/>
          <w:szCs w:val="22"/>
        </w:rPr>
        <w:t>DA 1</w:t>
      </w:r>
      <w:r w:rsidR="007A0A87">
        <w:rPr>
          <w:b/>
          <w:szCs w:val="22"/>
        </w:rPr>
        <w:t>8</w:t>
      </w:r>
      <w:r w:rsidRPr="009614B0">
        <w:rPr>
          <w:b/>
          <w:szCs w:val="22"/>
        </w:rPr>
        <w:t>-</w:t>
      </w:r>
      <w:r w:rsidR="008D0E33">
        <w:rPr>
          <w:b/>
          <w:szCs w:val="22"/>
        </w:rPr>
        <w:t>372</w:t>
      </w:r>
    </w:p>
    <w:p w:rsidR="00750150" w:rsidP="00AB13F9" w14:paraId="774B2250" w14:textId="02154756">
      <w:pPr>
        <w:spacing w:after="120"/>
        <w:ind w:left="6480"/>
        <w:rPr>
          <w:b/>
          <w:szCs w:val="22"/>
        </w:rPr>
      </w:pPr>
      <w:r>
        <w:rPr>
          <w:b/>
          <w:szCs w:val="22"/>
        </w:rPr>
        <w:t xml:space="preserve">  </w:t>
      </w:r>
      <w:r w:rsidR="00D47955">
        <w:rPr>
          <w:b/>
          <w:szCs w:val="22"/>
        </w:rPr>
        <w:t xml:space="preserve"> </w:t>
      </w:r>
      <w:r w:rsidR="008D0E33">
        <w:rPr>
          <w:b/>
          <w:szCs w:val="22"/>
        </w:rPr>
        <w:t xml:space="preserve"> </w:t>
      </w:r>
      <w:r w:rsidRPr="009614B0" w:rsidR="00F41547">
        <w:rPr>
          <w:b/>
          <w:szCs w:val="22"/>
        </w:rPr>
        <w:t xml:space="preserve">Released:  </w:t>
      </w:r>
      <w:r w:rsidR="00D47955">
        <w:rPr>
          <w:b/>
          <w:szCs w:val="22"/>
        </w:rPr>
        <w:t xml:space="preserve">April </w:t>
      </w:r>
      <w:r w:rsidR="000F5B8C">
        <w:rPr>
          <w:b/>
          <w:szCs w:val="22"/>
        </w:rPr>
        <w:t>1</w:t>
      </w:r>
      <w:r w:rsidR="008D0E33">
        <w:rPr>
          <w:b/>
          <w:szCs w:val="22"/>
        </w:rPr>
        <w:t>6</w:t>
      </w:r>
      <w:r w:rsidR="000F5B8C">
        <w:rPr>
          <w:b/>
          <w:szCs w:val="22"/>
        </w:rPr>
        <w:t>,</w:t>
      </w:r>
      <w:r w:rsidRPr="009614B0" w:rsidR="00F41547">
        <w:rPr>
          <w:b/>
          <w:szCs w:val="22"/>
        </w:rPr>
        <w:t xml:space="preserve"> 201</w:t>
      </w:r>
      <w:r w:rsidR="007A0A87">
        <w:rPr>
          <w:b/>
          <w:szCs w:val="22"/>
        </w:rPr>
        <w:t>8</w:t>
      </w:r>
    </w:p>
    <w:p w:rsidR="00750150" w:rsidRPr="009614B0" w:rsidP="00750150" w14:paraId="187048F5" w14:textId="75258A49">
      <w:pPr>
        <w:spacing w:after="240"/>
        <w:jc w:val="center"/>
        <w:rPr>
          <w:b/>
          <w:caps/>
          <w:szCs w:val="22"/>
        </w:rPr>
      </w:pPr>
      <w:r w:rsidRPr="009614B0">
        <w:rPr>
          <w:b/>
          <w:caps/>
          <w:szCs w:val="22"/>
        </w:rPr>
        <w:t xml:space="preserve">INCENTIVE AUCTION TASK FORCE </w:t>
      </w:r>
      <w:r w:rsidRPr="009614B0" w:rsidR="00875A4B">
        <w:rPr>
          <w:b/>
          <w:caps/>
          <w:szCs w:val="22"/>
        </w:rPr>
        <w:t xml:space="preserve">AND MEDIA BUREAU </w:t>
      </w:r>
      <w:r w:rsidRPr="009614B0" w:rsidR="005641CE">
        <w:rPr>
          <w:b/>
          <w:caps/>
          <w:szCs w:val="22"/>
        </w:rPr>
        <w:t xml:space="preserve">ANNOUNCE </w:t>
      </w:r>
      <w:r w:rsidR="00EF74CF">
        <w:rPr>
          <w:b/>
          <w:caps/>
          <w:szCs w:val="22"/>
        </w:rPr>
        <w:t>A Further</w:t>
      </w:r>
      <w:r w:rsidR="007A0A87">
        <w:rPr>
          <w:b/>
          <w:caps/>
          <w:szCs w:val="22"/>
        </w:rPr>
        <w:t xml:space="preserve"> REIMBURSEMENT</w:t>
      </w:r>
      <w:r w:rsidR="00367EFD">
        <w:rPr>
          <w:b/>
          <w:caps/>
          <w:szCs w:val="22"/>
        </w:rPr>
        <w:t xml:space="preserve"> </w:t>
      </w:r>
      <w:r w:rsidRPr="009614B0" w:rsidR="0060582D">
        <w:rPr>
          <w:b/>
          <w:caps/>
          <w:szCs w:val="22"/>
        </w:rPr>
        <w:t>ALLOCATION</w:t>
      </w:r>
      <w:r w:rsidRPr="009614B0" w:rsidR="00C7091D">
        <w:rPr>
          <w:b/>
          <w:caps/>
          <w:szCs w:val="22"/>
        </w:rPr>
        <w:t xml:space="preserve"> for </w:t>
      </w:r>
      <w:r w:rsidR="00367EFD">
        <w:rPr>
          <w:b/>
          <w:caps/>
          <w:szCs w:val="22"/>
        </w:rPr>
        <w:t>Eligible BROADCASTERS</w:t>
      </w:r>
      <w:r w:rsidRPr="009614B0" w:rsidR="00C7091D">
        <w:rPr>
          <w:b/>
          <w:caps/>
          <w:szCs w:val="22"/>
        </w:rPr>
        <w:t xml:space="preserve"> and MVPDs</w:t>
      </w:r>
      <w:r w:rsidRPr="009614B0" w:rsidR="00241C4F">
        <w:rPr>
          <w:b/>
          <w:caps/>
          <w:szCs w:val="22"/>
        </w:rPr>
        <w:t xml:space="preserve"> </w:t>
      </w:r>
    </w:p>
    <w:p w:rsidR="00750150" w:rsidRPr="009614B0" w:rsidP="00750150" w14:paraId="26AB9614" w14:textId="77777777">
      <w:pPr>
        <w:jc w:val="center"/>
        <w:rPr>
          <w:b/>
          <w:szCs w:val="22"/>
        </w:rPr>
      </w:pPr>
      <w:r w:rsidRPr="009614B0">
        <w:rPr>
          <w:b/>
          <w:szCs w:val="22"/>
        </w:rPr>
        <w:t>MB Docket No. 16-306</w:t>
      </w:r>
    </w:p>
    <w:p w:rsidR="00750150" w:rsidRPr="001806AE" w:rsidP="001806AE" w14:paraId="1FA94426" w14:textId="77777777">
      <w:pPr>
        <w:spacing w:after="120"/>
        <w:jc w:val="center"/>
        <w:rPr>
          <w:b/>
          <w:szCs w:val="22"/>
        </w:rPr>
      </w:pPr>
      <w:r w:rsidRPr="009614B0">
        <w:rPr>
          <w:b/>
          <w:szCs w:val="22"/>
        </w:rPr>
        <w:t>GN Docket No. 12-26</w:t>
      </w:r>
      <w:r w:rsidR="001806AE">
        <w:rPr>
          <w:b/>
          <w:szCs w:val="22"/>
        </w:rPr>
        <w:t>8</w:t>
      </w:r>
    </w:p>
    <w:p w:rsidR="00CC144D" w:rsidP="00090364" w14:paraId="3BA83933" w14:textId="7275E384">
      <w:pPr>
        <w:spacing w:after="220"/>
        <w:ind w:firstLine="720"/>
        <w:rPr>
          <w:szCs w:val="22"/>
        </w:rPr>
      </w:pPr>
      <w:r>
        <w:rPr>
          <w:szCs w:val="22"/>
        </w:rPr>
        <w:t>T</w:t>
      </w:r>
      <w:r w:rsidRPr="009614B0">
        <w:rPr>
          <w:szCs w:val="22"/>
        </w:rPr>
        <w:t xml:space="preserve">he Incentive Auction Task Force and </w:t>
      </w:r>
      <w:r w:rsidRPr="009614B0" w:rsidR="009E1DD1">
        <w:rPr>
          <w:szCs w:val="22"/>
        </w:rPr>
        <w:t xml:space="preserve">the Media Bureau </w:t>
      </w:r>
      <w:r w:rsidRPr="009614B0" w:rsidR="00935F6C">
        <w:rPr>
          <w:szCs w:val="22"/>
        </w:rPr>
        <w:t>(Bureau)</w:t>
      </w:r>
      <w:r w:rsidR="00935F6C">
        <w:rPr>
          <w:szCs w:val="22"/>
        </w:rPr>
        <w:t xml:space="preserve"> </w:t>
      </w:r>
      <w:r w:rsidR="00AA61FD">
        <w:rPr>
          <w:szCs w:val="22"/>
        </w:rPr>
        <w:t xml:space="preserve">today </w:t>
      </w:r>
      <w:r w:rsidRPr="009614B0">
        <w:rPr>
          <w:szCs w:val="22"/>
        </w:rPr>
        <w:t xml:space="preserve">announce </w:t>
      </w:r>
      <w:r w:rsidR="00DE2332">
        <w:rPr>
          <w:szCs w:val="22"/>
        </w:rPr>
        <w:t xml:space="preserve">the issuance of </w:t>
      </w:r>
      <w:r w:rsidR="006544C7">
        <w:rPr>
          <w:szCs w:val="22"/>
        </w:rPr>
        <w:t>a further</w:t>
      </w:r>
      <w:r w:rsidR="00DE2332">
        <w:rPr>
          <w:szCs w:val="22"/>
        </w:rPr>
        <w:t xml:space="preserve"> </w:t>
      </w:r>
      <w:r w:rsidRPr="009614B0" w:rsidR="00DE2332">
        <w:rPr>
          <w:szCs w:val="22"/>
        </w:rPr>
        <w:t xml:space="preserve">allocation </w:t>
      </w:r>
      <w:r w:rsidR="00DE2332">
        <w:rPr>
          <w:szCs w:val="22"/>
        </w:rPr>
        <w:t xml:space="preserve">of the TV Broadcaster Relocation Fund (Fund) </w:t>
      </w:r>
      <w:r w:rsidRPr="009614B0" w:rsidR="00DE2332">
        <w:rPr>
          <w:szCs w:val="22"/>
        </w:rPr>
        <w:t xml:space="preserve">in the amount of </w:t>
      </w:r>
      <w:r w:rsidR="00DE2332">
        <w:rPr>
          <w:szCs w:val="22"/>
        </w:rPr>
        <w:t>$</w:t>
      </w:r>
      <w:r w:rsidRPr="008A6CD8" w:rsidR="00BB314B">
        <w:rPr>
          <w:szCs w:val="22"/>
        </w:rPr>
        <w:t>742</w:t>
      </w:r>
      <w:r w:rsidR="00DE2332">
        <w:rPr>
          <w:szCs w:val="22"/>
        </w:rPr>
        <w:t xml:space="preserve"> </w:t>
      </w:r>
      <w:r w:rsidR="00D155BF">
        <w:rPr>
          <w:szCs w:val="22"/>
        </w:rPr>
        <w:t>m</w:t>
      </w:r>
      <w:r w:rsidR="00DE2332">
        <w:rPr>
          <w:szCs w:val="22"/>
        </w:rPr>
        <w:t xml:space="preserve">illion to reimburse </w:t>
      </w:r>
      <w:r w:rsidRPr="009614B0" w:rsidR="00DE2332">
        <w:rPr>
          <w:szCs w:val="22"/>
        </w:rPr>
        <w:t xml:space="preserve">eligible </w:t>
      </w:r>
      <w:r w:rsidR="00DE2332">
        <w:rPr>
          <w:szCs w:val="22"/>
        </w:rPr>
        <w:t xml:space="preserve">full power and Class A </w:t>
      </w:r>
      <w:r w:rsidRPr="009614B0" w:rsidR="00DE2332">
        <w:rPr>
          <w:szCs w:val="22"/>
        </w:rPr>
        <w:t>broadcasters and multichannel video programming distributors (MVPDs</w:t>
      </w:r>
      <w:r w:rsidR="00DE2332">
        <w:rPr>
          <w:szCs w:val="22"/>
        </w:rPr>
        <w:t>) (together, Eligible Entities</w:t>
      </w:r>
      <w:r w:rsidRPr="009614B0" w:rsidR="00DE2332">
        <w:rPr>
          <w:szCs w:val="22"/>
        </w:rPr>
        <w:t>)</w:t>
      </w:r>
      <w:r w:rsidR="00DE2332">
        <w:rPr>
          <w:szCs w:val="22"/>
        </w:rPr>
        <w:t xml:space="preserve"> for expenses related to the construction of station facilities on reassigned </w:t>
      </w:r>
      <w:r w:rsidR="00092350">
        <w:rPr>
          <w:szCs w:val="22"/>
        </w:rPr>
        <w:t xml:space="preserve">television </w:t>
      </w:r>
      <w:r w:rsidR="00DE2332">
        <w:rPr>
          <w:szCs w:val="22"/>
        </w:rPr>
        <w:t>channels</w:t>
      </w:r>
      <w:r w:rsidRPr="009614B0" w:rsidR="00DE2332">
        <w:rPr>
          <w:szCs w:val="22"/>
        </w:rPr>
        <w:t>.</w:t>
      </w:r>
      <w:r>
        <w:rPr>
          <w:rStyle w:val="FootnoteReference"/>
          <w:sz w:val="22"/>
          <w:szCs w:val="22"/>
        </w:rPr>
        <w:footnoteReference w:id="3"/>
      </w:r>
      <w:r>
        <w:rPr>
          <w:szCs w:val="22"/>
        </w:rPr>
        <w:t xml:space="preserve"> </w:t>
      </w:r>
      <w:r w:rsidR="00DE2332">
        <w:rPr>
          <w:szCs w:val="22"/>
        </w:rPr>
        <w:t xml:space="preserve"> </w:t>
      </w:r>
      <w:r w:rsidR="005272AE">
        <w:rPr>
          <w:szCs w:val="22"/>
        </w:rPr>
        <w:t xml:space="preserve">With this </w:t>
      </w:r>
      <w:r w:rsidR="009207F9">
        <w:rPr>
          <w:szCs w:val="22"/>
        </w:rPr>
        <w:t xml:space="preserve">further </w:t>
      </w:r>
      <w:r w:rsidR="005272AE">
        <w:rPr>
          <w:szCs w:val="22"/>
        </w:rPr>
        <w:t>allocation</w:t>
      </w:r>
      <w:r w:rsidR="006E7015">
        <w:rPr>
          <w:szCs w:val="22"/>
        </w:rPr>
        <w:t>,</w:t>
      </w:r>
      <w:r w:rsidR="005272AE">
        <w:rPr>
          <w:szCs w:val="22"/>
        </w:rPr>
        <w:t xml:space="preserve"> Eligible Entities have access to </w:t>
      </w:r>
      <w:r w:rsidR="001A4531">
        <w:rPr>
          <w:szCs w:val="22"/>
        </w:rPr>
        <w:t xml:space="preserve">a total of </w:t>
      </w:r>
      <w:r w:rsidRPr="008A6CD8" w:rsidR="001A4531">
        <w:rPr>
          <w:szCs w:val="22"/>
        </w:rPr>
        <w:t>$1.</w:t>
      </w:r>
      <w:r w:rsidRPr="008A6CD8" w:rsidR="00F648AC">
        <w:rPr>
          <w:szCs w:val="22"/>
        </w:rPr>
        <w:t>74</w:t>
      </w:r>
      <w:r w:rsidRPr="008A6CD8" w:rsidR="00BB314B">
        <w:rPr>
          <w:szCs w:val="22"/>
        </w:rPr>
        <w:t>2</w:t>
      </w:r>
      <w:r w:rsidR="001A4531">
        <w:rPr>
          <w:szCs w:val="22"/>
        </w:rPr>
        <w:t xml:space="preserve"> </w:t>
      </w:r>
      <w:r w:rsidR="0098345C">
        <w:rPr>
          <w:szCs w:val="22"/>
        </w:rPr>
        <w:t>b</w:t>
      </w:r>
      <w:r w:rsidR="001A4531">
        <w:rPr>
          <w:szCs w:val="22"/>
        </w:rPr>
        <w:t>illion</w:t>
      </w:r>
      <w:r w:rsidR="006E7015">
        <w:rPr>
          <w:szCs w:val="22"/>
        </w:rPr>
        <w:t>.  This</w:t>
      </w:r>
      <w:r w:rsidR="001A4531">
        <w:rPr>
          <w:szCs w:val="22"/>
        </w:rPr>
        <w:t xml:space="preserve"> represent</w:t>
      </w:r>
      <w:r w:rsidR="006E7015">
        <w:rPr>
          <w:szCs w:val="22"/>
        </w:rPr>
        <w:t>s</w:t>
      </w:r>
      <w:r w:rsidR="001A4531">
        <w:rPr>
          <w:szCs w:val="22"/>
        </w:rPr>
        <w:t xml:space="preserve"> </w:t>
      </w:r>
      <w:r w:rsidR="005272AE">
        <w:rPr>
          <w:szCs w:val="22"/>
        </w:rPr>
        <w:t xml:space="preserve">approximately </w:t>
      </w:r>
      <w:r w:rsidRPr="008A6CD8" w:rsidR="00F648AC">
        <w:rPr>
          <w:szCs w:val="22"/>
        </w:rPr>
        <w:t>92.5</w:t>
      </w:r>
      <w:r w:rsidR="005272AE">
        <w:rPr>
          <w:szCs w:val="22"/>
        </w:rPr>
        <w:t xml:space="preserve"> percent of the</w:t>
      </w:r>
      <w:r w:rsidR="0098345C">
        <w:rPr>
          <w:szCs w:val="22"/>
        </w:rPr>
        <w:t>ir</w:t>
      </w:r>
      <w:r w:rsidR="005272AE">
        <w:rPr>
          <w:szCs w:val="22"/>
        </w:rPr>
        <w:t xml:space="preserve"> currently </w:t>
      </w:r>
      <w:r w:rsidR="000F632D">
        <w:rPr>
          <w:szCs w:val="22"/>
        </w:rPr>
        <w:t xml:space="preserve">verified cost </w:t>
      </w:r>
      <w:r w:rsidR="005272AE">
        <w:rPr>
          <w:szCs w:val="22"/>
        </w:rPr>
        <w:t>estimate</w:t>
      </w:r>
      <w:r w:rsidR="000F632D">
        <w:rPr>
          <w:szCs w:val="22"/>
        </w:rPr>
        <w:t>s</w:t>
      </w:r>
      <w:r w:rsidR="006E7015">
        <w:rPr>
          <w:szCs w:val="22"/>
        </w:rPr>
        <w:t xml:space="preserve">, but we stress that individual invoices </w:t>
      </w:r>
      <w:r w:rsidR="00F135E5">
        <w:rPr>
          <w:szCs w:val="22"/>
        </w:rPr>
        <w:t xml:space="preserve">that are approved for payment </w:t>
      </w:r>
      <w:r w:rsidR="006E7015">
        <w:rPr>
          <w:szCs w:val="22"/>
        </w:rPr>
        <w:t>are being paid in full (i.e. 100 percent)</w:t>
      </w:r>
      <w:r w:rsidR="00F135E5">
        <w:rPr>
          <w:szCs w:val="22"/>
        </w:rPr>
        <w:t>,</w:t>
      </w:r>
      <w:r w:rsidR="006E7015">
        <w:rPr>
          <w:szCs w:val="22"/>
        </w:rPr>
        <w:t xml:space="preserve"> up to the total amount of the station or MVPD’s allocation</w:t>
      </w:r>
      <w:r w:rsidR="005272AE">
        <w:rPr>
          <w:szCs w:val="22"/>
        </w:rPr>
        <w:t>.</w:t>
      </w:r>
      <w:r>
        <w:rPr>
          <w:rStyle w:val="FootnoteReference"/>
          <w:szCs w:val="22"/>
        </w:rPr>
        <w:footnoteReference w:id="4"/>
      </w:r>
    </w:p>
    <w:p w:rsidR="007B7DAF" w:rsidP="004709FC" w14:paraId="3FA739BC" w14:textId="0E10F057">
      <w:pPr>
        <w:spacing w:after="220"/>
        <w:ind w:firstLine="720"/>
      </w:pPr>
      <w:r>
        <w:rPr>
          <w:i/>
        </w:rPr>
        <w:t xml:space="preserve">Background.  </w:t>
      </w:r>
      <w:r w:rsidR="00EF74CF">
        <w:t>We</w:t>
      </w:r>
      <w:r w:rsidR="00EF74CF">
        <w:rPr>
          <w:rFonts w:ascii="TimesNewRoman" w:hAnsi="TimesNewRoman" w:cs="TimesNewRoman"/>
          <w:snapToGrid/>
          <w:kern w:val="0"/>
          <w:szCs w:val="22"/>
        </w:rPr>
        <w:t xml:space="preserve"> are engaged in an ongoing program</w:t>
      </w:r>
      <w:r w:rsidRPr="00E94F75" w:rsidR="00092350">
        <w:rPr>
          <w:rFonts w:ascii="TimesNewRoman" w:hAnsi="TimesNewRoman" w:cs="TimesNewRoman"/>
          <w:snapToGrid/>
          <w:kern w:val="0"/>
          <w:szCs w:val="22"/>
        </w:rPr>
        <w:t xml:space="preserve"> to “reimburse costs reasonably incurred” by </w:t>
      </w:r>
      <w:r w:rsidR="009207F9">
        <w:rPr>
          <w:rFonts w:ascii="TimesNewRoman" w:hAnsi="TimesNewRoman" w:cs="TimesNewRoman"/>
          <w:snapToGrid/>
          <w:kern w:val="0"/>
          <w:szCs w:val="22"/>
        </w:rPr>
        <w:t xml:space="preserve">full power and Class A </w:t>
      </w:r>
      <w:r w:rsidRPr="00E94F75" w:rsidR="00092350">
        <w:rPr>
          <w:rFonts w:ascii="TimesNewRoman" w:hAnsi="TimesNewRoman" w:cs="TimesNewRoman"/>
          <w:snapToGrid/>
          <w:kern w:val="0"/>
          <w:szCs w:val="22"/>
        </w:rPr>
        <w:t xml:space="preserve">broadcast television licensees that </w:t>
      </w:r>
      <w:r w:rsidR="00593AC1">
        <w:rPr>
          <w:rFonts w:ascii="TimesNewRoman" w:hAnsi="TimesNewRoman" w:cs="TimesNewRoman"/>
          <w:snapToGrid/>
          <w:kern w:val="0"/>
          <w:szCs w:val="22"/>
        </w:rPr>
        <w:t>we</w:t>
      </w:r>
      <w:r w:rsidRPr="00E94F75" w:rsidR="00092350">
        <w:rPr>
          <w:rFonts w:ascii="TimesNewRoman" w:hAnsi="TimesNewRoman" w:cs="TimesNewRoman"/>
          <w:snapToGrid/>
          <w:kern w:val="0"/>
          <w:szCs w:val="22"/>
        </w:rPr>
        <w:t>re involuntarily reassigned to new</w:t>
      </w:r>
      <w:r w:rsidRPr="00E94F75" w:rsidR="00092350">
        <w:rPr>
          <w:rFonts w:ascii="TimesNewRoman" w:hAnsi="TimesNewRoman" w:cs="TimesNewRoman"/>
          <w:szCs w:val="22"/>
        </w:rPr>
        <w:t xml:space="preserve"> </w:t>
      </w:r>
      <w:r w:rsidRPr="00E94F75" w:rsidR="00092350">
        <w:rPr>
          <w:rFonts w:ascii="TimesNewRoman" w:hAnsi="TimesNewRoman" w:cs="TimesNewRoman"/>
          <w:snapToGrid/>
          <w:kern w:val="0"/>
          <w:szCs w:val="22"/>
        </w:rPr>
        <w:t xml:space="preserve">channels as a </w:t>
      </w:r>
      <w:r w:rsidRPr="00E94F75" w:rsidR="00092350">
        <w:rPr>
          <w:rFonts w:ascii="TimesNewRoman" w:hAnsi="TimesNewRoman" w:cs="TimesNewRoman"/>
          <w:szCs w:val="22"/>
        </w:rPr>
        <w:t xml:space="preserve">result of the </w:t>
      </w:r>
      <w:r w:rsidRPr="00E94F75" w:rsidR="00593AC1">
        <w:rPr>
          <w:rFonts w:ascii="TimesNewRoman" w:hAnsi="TimesNewRoman" w:cs="TimesNewRoman"/>
          <w:szCs w:val="22"/>
        </w:rPr>
        <w:t>incentive auction</w:t>
      </w:r>
      <w:r w:rsidR="00593AC1">
        <w:rPr>
          <w:rFonts w:ascii="TimesNewRoman" w:hAnsi="TimesNewRoman" w:cs="TimesNewRoman"/>
          <w:szCs w:val="22"/>
        </w:rPr>
        <w:t xml:space="preserve"> and </w:t>
      </w:r>
      <w:r w:rsidRPr="00E94F75" w:rsidR="00092350">
        <w:rPr>
          <w:rFonts w:ascii="TimesNewRoman" w:hAnsi="TimesNewRoman" w:cs="TimesNewRoman"/>
          <w:szCs w:val="22"/>
        </w:rPr>
        <w:t>repacking process</w:t>
      </w:r>
      <w:r w:rsidR="006E7015">
        <w:rPr>
          <w:rFonts w:ascii="TimesNewRoman" w:hAnsi="TimesNewRoman" w:cs="TimesNewRoman"/>
          <w:szCs w:val="22"/>
        </w:rPr>
        <w:t>,</w:t>
      </w:r>
      <w:r w:rsidRPr="00E94F75" w:rsidR="00092350">
        <w:rPr>
          <w:rFonts w:ascii="TimesNewRoman" w:hAnsi="TimesNewRoman" w:cs="TimesNewRoman"/>
          <w:szCs w:val="22"/>
        </w:rPr>
        <w:t xml:space="preserve"> </w:t>
      </w:r>
      <w:r w:rsidRPr="00E94F75" w:rsidR="00092350">
        <w:rPr>
          <w:rFonts w:ascii="TimesNewRoman" w:hAnsi="TimesNewRoman" w:cs="TimesNewRoman"/>
          <w:snapToGrid/>
          <w:kern w:val="0"/>
          <w:szCs w:val="22"/>
        </w:rPr>
        <w:t xml:space="preserve">and by MVPDs in order to continue carrying the signals of </w:t>
      </w:r>
      <w:r w:rsidR="009207F9">
        <w:rPr>
          <w:rFonts w:ascii="TimesNewRoman" w:hAnsi="TimesNewRoman" w:cs="TimesNewRoman"/>
          <w:snapToGrid/>
          <w:kern w:val="0"/>
          <w:szCs w:val="22"/>
        </w:rPr>
        <w:t xml:space="preserve">those </w:t>
      </w:r>
      <w:r w:rsidRPr="00E94F75" w:rsidR="00092350">
        <w:rPr>
          <w:rFonts w:ascii="TimesNewRoman" w:hAnsi="TimesNewRoman" w:cs="TimesNewRoman"/>
          <w:snapToGrid/>
          <w:kern w:val="0"/>
          <w:szCs w:val="22"/>
        </w:rPr>
        <w:t>licensees</w:t>
      </w:r>
      <w:r w:rsidR="00092350">
        <w:rPr>
          <w:rFonts w:ascii="TimesNewRoman" w:hAnsi="TimesNewRoman" w:cs="TimesNewRoman"/>
        </w:rPr>
        <w:t xml:space="preserve"> </w:t>
      </w:r>
      <w:r w:rsidRPr="00E94F75" w:rsidR="00092350">
        <w:rPr>
          <w:rFonts w:ascii="TimesNewRoman" w:hAnsi="TimesNewRoman" w:cs="TimesNewRoman"/>
          <w:szCs w:val="22"/>
        </w:rPr>
        <w:t>reassigned to new channels.</w:t>
      </w:r>
      <w:r>
        <w:rPr>
          <w:rStyle w:val="FootnoteReference"/>
          <w:rFonts w:cs="TimesNewRoman"/>
          <w:szCs w:val="22"/>
        </w:rPr>
        <w:footnoteReference w:id="5"/>
      </w:r>
      <w:r w:rsidR="00092350">
        <w:rPr>
          <w:rFonts w:ascii="TimesNewRoman" w:hAnsi="TimesNewRoman" w:cs="TimesNewRoman"/>
          <w:szCs w:val="22"/>
        </w:rPr>
        <w:t xml:space="preserve">  </w:t>
      </w:r>
      <w:r w:rsidR="00EF74CF">
        <w:t>T</w:t>
      </w:r>
      <w:r w:rsidR="004E5F75">
        <w:t xml:space="preserve">o </w:t>
      </w:r>
      <w:r w:rsidR="00743A95">
        <w:t xml:space="preserve">be a </w:t>
      </w:r>
      <w:r w:rsidR="00093785">
        <w:t xml:space="preserve">prudent </w:t>
      </w:r>
      <w:r w:rsidR="00743A95">
        <w:t xml:space="preserve">steward of </w:t>
      </w:r>
      <w:r w:rsidR="00BD6600">
        <w:t>taxpayer</w:t>
      </w:r>
      <w:r w:rsidR="00743A95">
        <w:t xml:space="preserve"> money</w:t>
      </w:r>
      <w:r w:rsidR="0098345C">
        <w:t xml:space="preserve"> and prevent waste</w:t>
      </w:r>
      <w:r w:rsidR="002A20EF">
        <w:t>,</w:t>
      </w:r>
      <w:r w:rsidR="0098345C">
        <w:t xml:space="preserve"> fraud</w:t>
      </w:r>
      <w:r w:rsidR="002A20EF">
        <w:t>,</w:t>
      </w:r>
      <w:r w:rsidR="0098345C">
        <w:t xml:space="preserve"> and abuse</w:t>
      </w:r>
      <w:r w:rsidR="007C0F31">
        <w:t xml:space="preserve">, we </w:t>
      </w:r>
      <w:r w:rsidR="004E5F75">
        <w:t>carefully evaluat</w:t>
      </w:r>
      <w:r w:rsidR="007C0F31">
        <w:t>e</w:t>
      </w:r>
      <w:r w:rsidR="004E5F75">
        <w:t xml:space="preserve"> cost estimates and invoices </w:t>
      </w:r>
      <w:r w:rsidR="00743A95">
        <w:t xml:space="preserve">when administering the </w:t>
      </w:r>
      <w:r w:rsidR="00BA25DC">
        <w:t xml:space="preserve">Fund </w:t>
      </w:r>
      <w:r w:rsidR="00EF74CF">
        <w:t>and</w:t>
      </w:r>
      <w:r w:rsidR="0098345C">
        <w:t xml:space="preserve"> </w:t>
      </w:r>
      <w:r w:rsidR="00C12C84">
        <w:t>w</w:t>
      </w:r>
      <w:r w:rsidR="00033DDE">
        <w:t xml:space="preserve">e </w:t>
      </w:r>
      <w:r w:rsidR="006E7015">
        <w:t xml:space="preserve">are </w:t>
      </w:r>
      <w:r w:rsidR="00C12C84">
        <w:t>allocat</w:t>
      </w:r>
      <w:r w:rsidR="006E7015">
        <w:t>ing</w:t>
      </w:r>
      <w:r w:rsidR="00C12C84">
        <w:t xml:space="preserve"> funding in tranches</w:t>
      </w:r>
      <w:r w:rsidR="006E7015">
        <w:t xml:space="preserve"> to ensure that stations have the funding necessary to timely undertake their transition work while reducing the possibility of having to reduce future allocations to assure that funds are fairly distributed among all stations and MVPDs</w:t>
      </w:r>
      <w:r w:rsidR="00033DDE">
        <w:rPr>
          <w:szCs w:val="22"/>
        </w:rPr>
        <w:t>.</w:t>
      </w:r>
      <w:r>
        <w:rPr>
          <w:rStyle w:val="FootnoteReference"/>
          <w:sz w:val="22"/>
          <w:szCs w:val="22"/>
        </w:rPr>
        <w:footnoteReference w:id="6"/>
      </w:r>
    </w:p>
    <w:p w:rsidR="0098345C" w:rsidP="00474E30" w14:paraId="41CB344D" w14:textId="6448E0BE">
      <w:pPr>
        <w:widowControl/>
        <w:spacing w:after="220"/>
        <w:ind w:firstLine="720"/>
        <w:rPr>
          <w:szCs w:val="22"/>
        </w:rPr>
      </w:pPr>
      <w:r>
        <w:rPr>
          <w:szCs w:val="22"/>
        </w:rPr>
        <w:t>At the time we made the initial allocation on</w:t>
      </w:r>
      <w:r w:rsidR="00EF0812">
        <w:rPr>
          <w:szCs w:val="22"/>
        </w:rPr>
        <w:t xml:space="preserve"> October </w:t>
      </w:r>
      <w:r w:rsidR="00311EAE">
        <w:rPr>
          <w:szCs w:val="22"/>
        </w:rPr>
        <w:t>16</w:t>
      </w:r>
      <w:r w:rsidR="00EF0812">
        <w:rPr>
          <w:szCs w:val="22"/>
        </w:rPr>
        <w:t>, 201</w:t>
      </w:r>
      <w:r w:rsidR="00311EAE">
        <w:rPr>
          <w:szCs w:val="22"/>
        </w:rPr>
        <w:t>7</w:t>
      </w:r>
      <w:r w:rsidR="00EF0812">
        <w:rPr>
          <w:szCs w:val="22"/>
        </w:rPr>
        <w:t xml:space="preserve">, </w:t>
      </w:r>
      <w:r>
        <w:rPr>
          <w:szCs w:val="22"/>
        </w:rPr>
        <w:t>the total estimated demand on the Fund exceeded the amount available in the Fund.</w:t>
      </w:r>
      <w:r>
        <w:rPr>
          <w:rStyle w:val="FootnoteReference"/>
          <w:szCs w:val="22"/>
        </w:rPr>
        <w:footnoteReference w:id="7"/>
      </w:r>
      <w:r w:rsidR="0037669C">
        <w:rPr>
          <w:szCs w:val="22"/>
        </w:rPr>
        <w:t xml:space="preserve">  </w:t>
      </w:r>
      <w:r>
        <w:rPr>
          <w:szCs w:val="22"/>
        </w:rPr>
        <w:t xml:space="preserve">Specifically, </w:t>
      </w:r>
      <w:r w:rsidR="00B6065D">
        <w:rPr>
          <w:szCs w:val="22"/>
        </w:rPr>
        <w:t xml:space="preserve">the total amount of funds available to </w:t>
      </w:r>
      <w:r w:rsidR="00B6065D">
        <w:rPr>
          <w:szCs w:val="22"/>
        </w:rPr>
        <w:t>Eligible Entities was $1.75 billion</w:t>
      </w:r>
      <w:r w:rsidR="0037669C">
        <w:rPr>
          <w:szCs w:val="22"/>
        </w:rPr>
        <w:t>,</w:t>
      </w:r>
      <w:r w:rsidR="00B6065D">
        <w:rPr>
          <w:szCs w:val="22"/>
        </w:rPr>
        <w:t xml:space="preserve"> the total verified </w:t>
      </w:r>
      <w:r w:rsidR="000F632D">
        <w:rPr>
          <w:szCs w:val="22"/>
        </w:rPr>
        <w:t xml:space="preserve">cost </w:t>
      </w:r>
      <w:r w:rsidR="00B6065D">
        <w:rPr>
          <w:szCs w:val="22"/>
        </w:rPr>
        <w:t>estimates</w:t>
      </w:r>
      <w:r w:rsidRPr="00043B2F" w:rsidR="00043B2F">
        <w:rPr>
          <w:szCs w:val="22"/>
        </w:rPr>
        <w:t xml:space="preserve"> </w:t>
      </w:r>
      <w:r w:rsidR="00043B2F">
        <w:rPr>
          <w:szCs w:val="22"/>
        </w:rPr>
        <w:t xml:space="preserve">Eligible Entities submitted on the </w:t>
      </w:r>
      <w:r w:rsidR="00043B2F">
        <w:rPr>
          <w:noProof/>
        </w:rPr>
        <w:t>Form 2100, Schedule 399 (</w:t>
      </w:r>
      <w:r w:rsidR="00043B2F">
        <w:rPr>
          <w:szCs w:val="22"/>
        </w:rPr>
        <w:t>Reimbursement Form)</w:t>
      </w:r>
      <w:r w:rsidR="00B6065D">
        <w:rPr>
          <w:szCs w:val="22"/>
        </w:rPr>
        <w:t xml:space="preserve"> equaled $1.86 billion</w:t>
      </w:r>
      <w:r w:rsidR="00043B2F">
        <w:rPr>
          <w:szCs w:val="22"/>
        </w:rPr>
        <w:t>, and we concluded that the estimates were likely to rise during the course of the transition</w:t>
      </w:r>
      <w:r w:rsidR="00B6065D">
        <w:rPr>
          <w:szCs w:val="22"/>
        </w:rPr>
        <w:t>.</w:t>
      </w:r>
      <w:r>
        <w:rPr>
          <w:rStyle w:val="FootnoteReference"/>
          <w:szCs w:val="22"/>
        </w:rPr>
        <w:footnoteReference w:id="8"/>
      </w:r>
      <w:r w:rsidR="00B6065D">
        <w:rPr>
          <w:szCs w:val="22"/>
        </w:rPr>
        <w:t xml:space="preserve">  </w:t>
      </w:r>
      <w:r w:rsidR="005D34EC">
        <w:rPr>
          <w:szCs w:val="22"/>
        </w:rPr>
        <w:t>This situation imposed significant Fund management challenges</w:t>
      </w:r>
      <w:r w:rsidR="0011231D">
        <w:rPr>
          <w:szCs w:val="22"/>
        </w:rPr>
        <w:t>.</w:t>
      </w:r>
      <w:r>
        <w:rPr>
          <w:rStyle w:val="FootnoteReference"/>
          <w:szCs w:val="22"/>
        </w:rPr>
        <w:footnoteReference w:id="9"/>
      </w:r>
      <w:r w:rsidR="005D34EC">
        <w:rPr>
          <w:szCs w:val="22"/>
        </w:rPr>
        <w:t xml:space="preserve">  </w:t>
      </w:r>
      <w:r w:rsidR="00B6065D">
        <w:rPr>
          <w:szCs w:val="22"/>
        </w:rPr>
        <w:t xml:space="preserve">At that time, </w:t>
      </w:r>
      <w:r w:rsidR="00EF0812">
        <w:rPr>
          <w:szCs w:val="22"/>
        </w:rPr>
        <w:t xml:space="preserve">the </w:t>
      </w:r>
      <w:r w:rsidR="001F4477">
        <w:rPr>
          <w:szCs w:val="22"/>
        </w:rPr>
        <w:t>Bureau</w:t>
      </w:r>
      <w:r w:rsidR="00EF0812">
        <w:rPr>
          <w:szCs w:val="22"/>
        </w:rPr>
        <w:t xml:space="preserve"> allocate</w:t>
      </w:r>
      <w:r w:rsidR="003A7269">
        <w:rPr>
          <w:szCs w:val="22"/>
        </w:rPr>
        <w:t>d approximately $1 billion to Eligible Entities</w:t>
      </w:r>
      <w:r w:rsidR="00033DDE">
        <w:rPr>
          <w:szCs w:val="22"/>
        </w:rPr>
        <w:t>, which represented</w:t>
      </w:r>
      <w:r w:rsidR="00D02AF2">
        <w:rPr>
          <w:szCs w:val="22"/>
        </w:rPr>
        <w:t xml:space="preserve"> approximately 52 percent of th</w:t>
      </w:r>
      <w:r w:rsidR="001717BC">
        <w:rPr>
          <w:szCs w:val="22"/>
        </w:rPr>
        <w:t>e th</w:t>
      </w:r>
      <w:r w:rsidR="00D02AF2">
        <w:rPr>
          <w:szCs w:val="22"/>
        </w:rPr>
        <w:t>en</w:t>
      </w:r>
      <w:r w:rsidR="00AA2786">
        <w:rPr>
          <w:szCs w:val="22"/>
        </w:rPr>
        <w:t>-</w:t>
      </w:r>
      <w:r w:rsidR="00D02AF2">
        <w:rPr>
          <w:szCs w:val="22"/>
        </w:rPr>
        <w:t>current verified cost estimates for commercial stations and MVPDs</w:t>
      </w:r>
      <w:r w:rsidR="00AA2786">
        <w:rPr>
          <w:szCs w:val="22"/>
        </w:rPr>
        <w:t>,</w:t>
      </w:r>
      <w:r w:rsidR="00D02AF2">
        <w:rPr>
          <w:szCs w:val="22"/>
        </w:rPr>
        <w:t xml:space="preserve"> and 62 percent for noncommercial education</w:t>
      </w:r>
      <w:r w:rsidR="00625219">
        <w:rPr>
          <w:szCs w:val="22"/>
        </w:rPr>
        <w:t>al</w:t>
      </w:r>
      <w:r w:rsidR="00D02AF2">
        <w:rPr>
          <w:szCs w:val="22"/>
        </w:rPr>
        <w:t xml:space="preserve"> broadcasters (NCEs)</w:t>
      </w:r>
      <w:r w:rsidR="003A7269">
        <w:rPr>
          <w:szCs w:val="22"/>
        </w:rPr>
        <w:t>.</w:t>
      </w:r>
      <w:r>
        <w:rPr>
          <w:rStyle w:val="FootnoteReference"/>
          <w:sz w:val="22"/>
          <w:szCs w:val="22"/>
        </w:rPr>
        <w:footnoteReference w:id="10"/>
      </w:r>
      <w:r w:rsidR="00311EAE">
        <w:rPr>
          <w:szCs w:val="22"/>
        </w:rPr>
        <w:t xml:space="preserve"> </w:t>
      </w:r>
      <w:r w:rsidR="003A7269">
        <w:rPr>
          <w:szCs w:val="22"/>
        </w:rPr>
        <w:t xml:space="preserve"> </w:t>
      </w:r>
      <w:r w:rsidR="001F4477">
        <w:rPr>
          <w:szCs w:val="22"/>
        </w:rPr>
        <w:t>T</w:t>
      </w:r>
      <w:r w:rsidR="003A7269">
        <w:rPr>
          <w:szCs w:val="22"/>
        </w:rPr>
        <w:t xml:space="preserve">he </w:t>
      </w:r>
      <w:r w:rsidR="001F4477">
        <w:rPr>
          <w:szCs w:val="22"/>
        </w:rPr>
        <w:t xml:space="preserve">amount of the </w:t>
      </w:r>
      <w:r w:rsidR="00417C23">
        <w:rPr>
          <w:szCs w:val="22"/>
        </w:rPr>
        <w:t>i</w:t>
      </w:r>
      <w:r w:rsidR="003A7269">
        <w:rPr>
          <w:szCs w:val="22"/>
        </w:rPr>
        <w:t xml:space="preserve">nitial </w:t>
      </w:r>
      <w:r w:rsidR="00417C23">
        <w:rPr>
          <w:szCs w:val="22"/>
        </w:rPr>
        <w:t>a</w:t>
      </w:r>
      <w:r w:rsidR="003A7269">
        <w:rPr>
          <w:szCs w:val="22"/>
        </w:rPr>
        <w:t xml:space="preserve">llocation was informed </w:t>
      </w:r>
      <w:r w:rsidR="00EF0812">
        <w:rPr>
          <w:szCs w:val="22"/>
        </w:rPr>
        <w:t xml:space="preserve">by the </w:t>
      </w:r>
      <w:r w:rsidR="001F4477">
        <w:rPr>
          <w:szCs w:val="22"/>
        </w:rPr>
        <w:t xml:space="preserve">total </w:t>
      </w:r>
      <w:r w:rsidR="00EF0812">
        <w:rPr>
          <w:szCs w:val="22"/>
        </w:rPr>
        <w:t>verified cost estimates</w:t>
      </w:r>
      <w:r w:rsidR="00045D0A">
        <w:rPr>
          <w:szCs w:val="22"/>
        </w:rPr>
        <w:t xml:space="preserve"> a</w:t>
      </w:r>
      <w:r w:rsidR="001F4477">
        <w:rPr>
          <w:szCs w:val="22"/>
        </w:rPr>
        <w:t>n</w:t>
      </w:r>
      <w:r w:rsidR="005272AE">
        <w:rPr>
          <w:szCs w:val="22"/>
        </w:rPr>
        <w:t>d an</w:t>
      </w:r>
      <w:r w:rsidR="001F4477">
        <w:rPr>
          <w:szCs w:val="22"/>
        </w:rPr>
        <w:t xml:space="preserve"> assessment</w:t>
      </w:r>
      <w:r w:rsidR="00A56B80">
        <w:rPr>
          <w:szCs w:val="22"/>
        </w:rPr>
        <w:t xml:space="preserve"> of the </w:t>
      </w:r>
      <w:r w:rsidR="00045D0A">
        <w:rPr>
          <w:szCs w:val="22"/>
        </w:rPr>
        <w:t xml:space="preserve">reimbursement </w:t>
      </w:r>
      <w:r w:rsidR="00A56B80">
        <w:rPr>
          <w:szCs w:val="22"/>
        </w:rPr>
        <w:t>demand</w:t>
      </w:r>
      <w:r w:rsidR="00045D0A">
        <w:rPr>
          <w:szCs w:val="22"/>
        </w:rPr>
        <w:t>ed</w:t>
      </w:r>
      <w:r w:rsidR="00A56B80">
        <w:rPr>
          <w:szCs w:val="22"/>
        </w:rPr>
        <w:t xml:space="preserve"> </w:t>
      </w:r>
      <w:r w:rsidR="002F7616">
        <w:rPr>
          <w:szCs w:val="22"/>
        </w:rPr>
        <w:t>across</w:t>
      </w:r>
      <w:r w:rsidR="00A56B80">
        <w:rPr>
          <w:szCs w:val="22"/>
        </w:rPr>
        <w:t xml:space="preserve"> particular </w:t>
      </w:r>
      <w:r w:rsidR="001F4477">
        <w:rPr>
          <w:szCs w:val="22"/>
        </w:rPr>
        <w:t>cost categories</w:t>
      </w:r>
      <w:r w:rsidR="00510539">
        <w:rPr>
          <w:szCs w:val="22"/>
        </w:rPr>
        <w:t>.</w:t>
      </w:r>
      <w:r>
        <w:rPr>
          <w:rStyle w:val="FootnoteReference"/>
          <w:szCs w:val="22"/>
        </w:rPr>
        <w:footnoteReference w:id="11"/>
      </w:r>
      <w:r w:rsidR="002C23E1">
        <w:rPr>
          <w:szCs w:val="22"/>
        </w:rPr>
        <w:t xml:space="preserve">  </w:t>
      </w:r>
      <w:r w:rsidR="00DD31DB">
        <w:rPr>
          <w:szCs w:val="22"/>
        </w:rPr>
        <w:t>When we announced the initial allocation, we stated that we will “monitor closely the draw-down of Fund amounts and allocate additional amounts later in the transition period.”</w:t>
      </w:r>
      <w:r>
        <w:rPr>
          <w:rStyle w:val="FootnoteReference"/>
          <w:szCs w:val="22"/>
        </w:rPr>
        <w:footnoteReference w:id="12"/>
      </w:r>
      <w:r w:rsidR="00DD31DB">
        <w:rPr>
          <w:szCs w:val="22"/>
        </w:rPr>
        <w:t xml:space="preserve">  </w:t>
      </w:r>
      <w:r w:rsidR="005272AE">
        <w:rPr>
          <w:szCs w:val="22"/>
        </w:rPr>
        <w:t xml:space="preserve">Because we rely on </w:t>
      </w:r>
      <w:r w:rsidR="002C23E1">
        <w:rPr>
          <w:szCs w:val="22"/>
        </w:rPr>
        <w:t xml:space="preserve">draw-down amounts </w:t>
      </w:r>
      <w:r w:rsidR="00045D0A">
        <w:rPr>
          <w:szCs w:val="22"/>
        </w:rPr>
        <w:t xml:space="preserve">and </w:t>
      </w:r>
      <w:r w:rsidR="005272AE">
        <w:rPr>
          <w:szCs w:val="22"/>
        </w:rPr>
        <w:t xml:space="preserve">submitted </w:t>
      </w:r>
      <w:r w:rsidR="00510539">
        <w:rPr>
          <w:szCs w:val="22"/>
        </w:rPr>
        <w:t>estimate</w:t>
      </w:r>
      <w:r w:rsidR="005272AE">
        <w:rPr>
          <w:szCs w:val="22"/>
        </w:rPr>
        <w:t>s, including</w:t>
      </w:r>
      <w:r w:rsidR="00510539">
        <w:rPr>
          <w:szCs w:val="22"/>
        </w:rPr>
        <w:t xml:space="preserve"> revisions,</w:t>
      </w:r>
      <w:r w:rsidR="002C23E1">
        <w:rPr>
          <w:szCs w:val="22"/>
        </w:rPr>
        <w:t xml:space="preserve"> </w:t>
      </w:r>
      <w:r w:rsidR="005272AE">
        <w:rPr>
          <w:szCs w:val="22"/>
        </w:rPr>
        <w:t>to</w:t>
      </w:r>
      <w:r w:rsidR="002C23E1">
        <w:rPr>
          <w:szCs w:val="22"/>
        </w:rPr>
        <w:t xml:space="preserve"> make allocation </w:t>
      </w:r>
      <w:r w:rsidR="005272AE">
        <w:rPr>
          <w:szCs w:val="22"/>
        </w:rPr>
        <w:t>decisions, w</w:t>
      </w:r>
      <w:r w:rsidR="005874FD">
        <w:rPr>
          <w:szCs w:val="22"/>
        </w:rPr>
        <w:t xml:space="preserve">e </w:t>
      </w:r>
      <w:r w:rsidR="005272AE">
        <w:rPr>
          <w:szCs w:val="22"/>
        </w:rPr>
        <w:t>have</w:t>
      </w:r>
      <w:r w:rsidR="00A56B80">
        <w:rPr>
          <w:szCs w:val="22"/>
        </w:rPr>
        <w:t xml:space="preserve"> </w:t>
      </w:r>
      <w:r w:rsidR="005874FD">
        <w:rPr>
          <w:szCs w:val="22"/>
        </w:rPr>
        <w:t xml:space="preserve">encouraged </w:t>
      </w:r>
      <w:r w:rsidR="002B46B4">
        <w:rPr>
          <w:szCs w:val="22"/>
        </w:rPr>
        <w:t xml:space="preserve">Eligible Entities </w:t>
      </w:r>
      <w:r w:rsidR="005874FD">
        <w:rPr>
          <w:szCs w:val="22"/>
        </w:rPr>
        <w:t xml:space="preserve">to </w:t>
      </w:r>
      <w:r w:rsidR="002B46B4">
        <w:rPr>
          <w:szCs w:val="22"/>
        </w:rPr>
        <w:t xml:space="preserve">promptly </w:t>
      </w:r>
      <w:r w:rsidRPr="002B46B4" w:rsidR="002B46B4">
        <w:rPr>
          <w:szCs w:val="22"/>
        </w:rPr>
        <w:t xml:space="preserve">submit </w:t>
      </w:r>
      <w:r w:rsidRPr="002B46B4" w:rsidR="00FE3251">
        <w:rPr>
          <w:szCs w:val="22"/>
        </w:rPr>
        <w:t xml:space="preserve">incurred </w:t>
      </w:r>
      <w:r w:rsidRPr="002B46B4" w:rsidR="002B46B4">
        <w:rPr>
          <w:szCs w:val="22"/>
        </w:rPr>
        <w:t xml:space="preserve">costs </w:t>
      </w:r>
      <w:r w:rsidR="00FE3251">
        <w:rPr>
          <w:szCs w:val="22"/>
        </w:rPr>
        <w:t>f</w:t>
      </w:r>
      <w:r w:rsidR="00A56B80">
        <w:rPr>
          <w:szCs w:val="22"/>
        </w:rPr>
        <w:t xml:space="preserve">or reimbursement </w:t>
      </w:r>
      <w:r w:rsidRPr="002B46B4" w:rsidR="002B46B4">
        <w:rPr>
          <w:szCs w:val="22"/>
        </w:rPr>
        <w:t>and</w:t>
      </w:r>
      <w:r w:rsidR="00045D0A">
        <w:rPr>
          <w:szCs w:val="22"/>
        </w:rPr>
        <w:t xml:space="preserve"> to revise</w:t>
      </w:r>
      <w:r w:rsidR="004035CB">
        <w:rPr>
          <w:szCs w:val="22"/>
        </w:rPr>
        <w:t xml:space="preserve"> their</w:t>
      </w:r>
      <w:r w:rsidRPr="002B46B4" w:rsidR="002B46B4">
        <w:rPr>
          <w:szCs w:val="22"/>
        </w:rPr>
        <w:t xml:space="preserve"> </w:t>
      </w:r>
      <w:r w:rsidR="00045D0A">
        <w:rPr>
          <w:szCs w:val="22"/>
        </w:rPr>
        <w:t xml:space="preserve">cost </w:t>
      </w:r>
      <w:r w:rsidRPr="002B46B4" w:rsidR="002B46B4">
        <w:rPr>
          <w:szCs w:val="22"/>
        </w:rPr>
        <w:t>estimates</w:t>
      </w:r>
      <w:r w:rsidR="00045D0A">
        <w:rPr>
          <w:szCs w:val="22"/>
        </w:rPr>
        <w:t>, if applicable,</w:t>
      </w:r>
      <w:r w:rsidRPr="002B46B4" w:rsidR="002B46B4">
        <w:rPr>
          <w:szCs w:val="22"/>
        </w:rPr>
        <w:t xml:space="preserve"> based on more refined quotations from vendors</w:t>
      </w:r>
      <w:r w:rsidR="005A6CC3">
        <w:rPr>
          <w:szCs w:val="22"/>
        </w:rPr>
        <w:t xml:space="preserve"> and other </w:t>
      </w:r>
      <w:r w:rsidR="00103573">
        <w:rPr>
          <w:szCs w:val="22"/>
        </w:rPr>
        <w:t>current</w:t>
      </w:r>
      <w:r w:rsidR="005A6CC3">
        <w:rPr>
          <w:szCs w:val="22"/>
        </w:rPr>
        <w:t xml:space="preserve"> information</w:t>
      </w:r>
      <w:r w:rsidR="005874FD">
        <w:rPr>
          <w:szCs w:val="22"/>
        </w:rPr>
        <w:t>.</w:t>
      </w:r>
      <w:r>
        <w:rPr>
          <w:rStyle w:val="FootnoteReference"/>
          <w:szCs w:val="22"/>
        </w:rPr>
        <w:footnoteReference w:id="13"/>
      </w:r>
      <w:r w:rsidR="005874FD">
        <w:rPr>
          <w:szCs w:val="22"/>
        </w:rPr>
        <w:t xml:space="preserve"> </w:t>
      </w:r>
      <w:r w:rsidR="00DD31DB">
        <w:rPr>
          <w:szCs w:val="22"/>
        </w:rPr>
        <w:t xml:space="preserve"> </w:t>
      </w:r>
    </w:p>
    <w:p w:rsidR="00727B98" w:rsidP="001A6369" w14:paraId="3A25B884" w14:textId="4A785C90">
      <w:pPr>
        <w:widowControl/>
        <w:spacing w:after="220"/>
        <w:ind w:firstLine="720"/>
        <w:rPr>
          <w:szCs w:val="22"/>
        </w:rPr>
      </w:pPr>
      <w:r>
        <w:rPr>
          <w:szCs w:val="22"/>
        </w:rPr>
        <w:t>In a public notice issued March 8, 2018, we stated that our assessment of the draw-down amounts from the Fund indicated that it would be appropriate to issue a subsequent allocation of the available Fund in approximately four to six weeks.</w:t>
      </w:r>
      <w:r>
        <w:rPr>
          <w:rStyle w:val="FootnoteReference"/>
          <w:szCs w:val="22"/>
        </w:rPr>
        <w:footnoteReference w:id="14"/>
      </w:r>
      <w:r w:rsidRPr="0078579A">
        <w:rPr>
          <w:szCs w:val="22"/>
        </w:rPr>
        <w:t xml:space="preserve">  </w:t>
      </w:r>
      <w:r>
        <w:rPr>
          <w:szCs w:val="22"/>
        </w:rPr>
        <w:t>S</w:t>
      </w:r>
      <w:r w:rsidR="003A7269">
        <w:rPr>
          <w:szCs w:val="22"/>
        </w:rPr>
        <w:t xml:space="preserve">ince issuance of the </w:t>
      </w:r>
      <w:r w:rsidR="002F7616">
        <w:rPr>
          <w:szCs w:val="22"/>
        </w:rPr>
        <w:t>initial allocation</w:t>
      </w:r>
      <w:r w:rsidR="003A7269">
        <w:rPr>
          <w:szCs w:val="22"/>
        </w:rPr>
        <w:t xml:space="preserve">, numerous </w:t>
      </w:r>
      <w:r w:rsidR="00EF0812">
        <w:rPr>
          <w:szCs w:val="22"/>
        </w:rPr>
        <w:t xml:space="preserve">Eligible Entities </w:t>
      </w:r>
      <w:r w:rsidRPr="00F93E30" w:rsidR="00EF0812">
        <w:rPr>
          <w:szCs w:val="22"/>
        </w:rPr>
        <w:t xml:space="preserve">have </w:t>
      </w:r>
      <w:r w:rsidR="00103573">
        <w:rPr>
          <w:szCs w:val="22"/>
        </w:rPr>
        <w:t>claimed</w:t>
      </w:r>
      <w:r w:rsidRPr="00F93E30" w:rsidR="00EF0812">
        <w:rPr>
          <w:szCs w:val="22"/>
        </w:rPr>
        <w:t xml:space="preserve"> reimbursement for</w:t>
      </w:r>
      <w:r w:rsidR="00A56B80">
        <w:rPr>
          <w:szCs w:val="22"/>
        </w:rPr>
        <w:t xml:space="preserve"> their</w:t>
      </w:r>
      <w:r w:rsidRPr="00F93E30" w:rsidR="00EF0812">
        <w:rPr>
          <w:szCs w:val="22"/>
        </w:rPr>
        <w:t xml:space="preserve"> reasonabl</w:t>
      </w:r>
      <w:r w:rsidR="008D1EFF">
        <w:rPr>
          <w:szCs w:val="22"/>
        </w:rPr>
        <w:t>y</w:t>
      </w:r>
      <w:r w:rsidRPr="00F93E30" w:rsidR="00EF0812">
        <w:rPr>
          <w:szCs w:val="22"/>
        </w:rPr>
        <w:t xml:space="preserve"> </w:t>
      </w:r>
      <w:r w:rsidR="008D1EFF">
        <w:rPr>
          <w:szCs w:val="22"/>
        </w:rPr>
        <w:t>incurred</w:t>
      </w:r>
      <w:r w:rsidRPr="00F93E30" w:rsidR="00EF0812">
        <w:rPr>
          <w:szCs w:val="22"/>
        </w:rPr>
        <w:t xml:space="preserve"> </w:t>
      </w:r>
      <w:r w:rsidR="00A56B80">
        <w:rPr>
          <w:szCs w:val="22"/>
        </w:rPr>
        <w:t>costs</w:t>
      </w:r>
      <w:r w:rsidR="00B328A4">
        <w:rPr>
          <w:szCs w:val="22"/>
        </w:rPr>
        <w:t xml:space="preserve"> </w:t>
      </w:r>
      <w:r>
        <w:rPr>
          <w:szCs w:val="22"/>
        </w:rPr>
        <w:t>and</w:t>
      </w:r>
      <w:r w:rsidR="0078579A">
        <w:rPr>
          <w:szCs w:val="22"/>
        </w:rPr>
        <w:t>,</w:t>
      </w:r>
      <w:r w:rsidR="00B328A4">
        <w:rPr>
          <w:szCs w:val="22"/>
        </w:rPr>
        <w:t xml:space="preserve"> </w:t>
      </w:r>
      <w:r>
        <w:rPr>
          <w:szCs w:val="22"/>
        </w:rPr>
        <w:t>w</w:t>
      </w:r>
      <w:r w:rsidR="00A56B80">
        <w:rPr>
          <w:szCs w:val="22"/>
        </w:rPr>
        <w:t xml:space="preserve">hile </w:t>
      </w:r>
      <w:r w:rsidR="00257321">
        <w:rPr>
          <w:szCs w:val="22"/>
        </w:rPr>
        <w:t>the</w:t>
      </w:r>
      <w:r w:rsidR="00A56B80">
        <w:rPr>
          <w:szCs w:val="22"/>
        </w:rPr>
        <w:t xml:space="preserve"> </w:t>
      </w:r>
      <w:r w:rsidR="0098345C">
        <w:rPr>
          <w:szCs w:val="22"/>
        </w:rPr>
        <w:t xml:space="preserve">vast </w:t>
      </w:r>
      <w:r w:rsidR="00B328A4">
        <w:rPr>
          <w:szCs w:val="22"/>
        </w:rPr>
        <w:t xml:space="preserve">majority </w:t>
      </w:r>
      <w:r w:rsidR="00A56B80">
        <w:rPr>
          <w:szCs w:val="22"/>
        </w:rPr>
        <w:t xml:space="preserve">have not yet </w:t>
      </w:r>
      <w:r w:rsidR="00A16312">
        <w:rPr>
          <w:szCs w:val="22"/>
        </w:rPr>
        <w:t>approached</w:t>
      </w:r>
      <w:r w:rsidR="007C0F31">
        <w:rPr>
          <w:szCs w:val="22"/>
        </w:rPr>
        <w:t xml:space="preserve"> </w:t>
      </w:r>
      <w:r w:rsidR="00A16312">
        <w:rPr>
          <w:szCs w:val="22"/>
        </w:rPr>
        <w:t>exhaustion of</w:t>
      </w:r>
      <w:r w:rsidRPr="007C0F31" w:rsidR="007C0F31">
        <w:rPr>
          <w:szCs w:val="22"/>
        </w:rPr>
        <w:t xml:space="preserve"> their initial allocation</w:t>
      </w:r>
      <w:r w:rsidR="00257321">
        <w:rPr>
          <w:szCs w:val="22"/>
        </w:rPr>
        <w:t xml:space="preserve"> funding, </w:t>
      </w:r>
      <w:r w:rsidR="0041676F">
        <w:rPr>
          <w:szCs w:val="22"/>
        </w:rPr>
        <w:t>a number of</w:t>
      </w:r>
      <w:r w:rsidR="007C0F31">
        <w:rPr>
          <w:szCs w:val="22"/>
        </w:rPr>
        <w:t xml:space="preserve"> entities </w:t>
      </w:r>
      <w:r w:rsidR="00257321">
        <w:rPr>
          <w:szCs w:val="22"/>
        </w:rPr>
        <w:t>have reached</w:t>
      </w:r>
      <w:r w:rsidR="00AA2786">
        <w:rPr>
          <w:szCs w:val="22"/>
        </w:rPr>
        <w:t xml:space="preserve"> </w:t>
      </w:r>
      <w:r w:rsidR="00257321">
        <w:rPr>
          <w:szCs w:val="22"/>
        </w:rPr>
        <w:t xml:space="preserve">draw-down </w:t>
      </w:r>
      <w:r w:rsidR="00AA2786">
        <w:rPr>
          <w:szCs w:val="22"/>
        </w:rPr>
        <w:t>level</w:t>
      </w:r>
      <w:r w:rsidR="00257321">
        <w:rPr>
          <w:szCs w:val="22"/>
        </w:rPr>
        <w:t xml:space="preserve">s </w:t>
      </w:r>
      <w:r w:rsidR="00FE3251">
        <w:rPr>
          <w:szCs w:val="22"/>
        </w:rPr>
        <w:t>indicating</w:t>
      </w:r>
      <w:r w:rsidR="00257321">
        <w:rPr>
          <w:szCs w:val="22"/>
        </w:rPr>
        <w:t xml:space="preserve"> that </w:t>
      </w:r>
      <w:r w:rsidR="005874FD">
        <w:rPr>
          <w:szCs w:val="22"/>
        </w:rPr>
        <w:t xml:space="preserve">they will </w:t>
      </w:r>
      <w:r w:rsidR="002A4892">
        <w:rPr>
          <w:szCs w:val="22"/>
        </w:rPr>
        <w:t xml:space="preserve">soon </w:t>
      </w:r>
      <w:r w:rsidR="007C0F31">
        <w:rPr>
          <w:szCs w:val="22"/>
        </w:rPr>
        <w:t>reach</w:t>
      </w:r>
      <w:r w:rsidR="00257321">
        <w:rPr>
          <w:szCs w:val="22"/>
        </w:rPr>
        <w:t xml:space="preserve">, </w:t>
      </w:r>
      <w:r w:rsidR="007C0F31">
        <w:rPr>
          <w:szCs w:val="22"/>
        </w:rPr>
        <w:t>or</w:t>
      </w:r>
      <w:r w:rsidR="00257321">
        <w:rPr>
          <w:szCs w:val="22"/>
        </w:rPr>
        <w:t xml:space="preserve"> even </w:t>
      </w:r>
      <w:r w:rsidRPr="00F93E30" w:rsidR="00EF0812">
        <w:rPr>
          <w:szCs w:val="22"/>
        </w:rPr>
        <w:t>exceed</w:t>
      </w:r>
      <w:r w:rsidR="00257321">
        <w:rPr>
          <w:szCs w:val="22"/>
        </w:rPr>
        <w:t>,</w:t>
      </w:r>
      <w:r w:rsidRPr="00F93E30" w:rsidR="00EF0812">
        <w:rPr>
          <w:szCs w:val="22"/>
        </w:rPr>
        <w:t xml:space="preserve"> the</w:t>
      </w:r>
      <w:r w:rsidR="00257321">
        <w:rPr>
          <w:szCs w:val="22"/>
        </w:rPr>
        <w:t>ir remaining funding</w:t>
      </w:r>
      <w:r w:rsidRPr="00F93E30" w:rsidR="00EF0812">
        <w:rPr>
          <w:szCs w:val="22"/>
        </w:rPr>
        <w:t>.</w:t>
      </w:r>
      <w:r>
        <w:rPr>
          <w:rStyle w:val="FootnoteReference"/>
          <w:szCs w:val="22"/>
        </w:rPr>
        <w:footnoteReference w:id="15"/>
      </w:r>
      <w:r w:rsidR="007C0F31">
        <w:rPr>
          <w:szCs w:val="22"/>
        </w:rPr>
        <w:t xml:space="preserve"> </w:t>
      </w:r>
      <w:r w:rsidRPr="00F93E30" w:rsidR="00EF0812">
        <w:rPr>
          <w:szCs w:val="22"/>
        </w:rPr>
        <w:t xml:space="preserve"> </w:t>
      </w:r>
      <w:r w:rsidR="002F7616">
        <w:rPr>
          <w:szCs w:val="22"/>
        </w:rPr>
        <w:t>Additionally,</w:t>
      </w:r>
      <w:r w:rsidR="002E14AD">
        <w:rPr>
          <w:szCs w:val="22"/>
        </w:rPr>
        <w:t xml:space="preserve"> </w:t>
      </w:r>
      <w:r w:rsidR="00A16312">
        <w:rPr>
          <w:szCs w:val="22"/>
        </w:rPr>
        <w:t>several</w:t>
      </w:r>
      <w:r w:rsidR="002E14AD">
        <w:rPr>
          <w:szCs w:val="22"/>
        </w:rPr>
        <w:t xml:space="preserve"> Eligible Entities have </w:t>
      </w:r>
      <w:r w:rsidR="007C0F31">
        <w:rPr>
          <w:szCs w:val="22"/>
        </w:rPr>
        <w:t xml:space="preserve">revised </w:t>
      </w:r>
      <w:r w:rsidR="00257321">
        <w:rPr>
          <w:szCs w:val="22"/>
        </w:rPr>
        <w:t>their</w:t>
      </w:r>
      <w:r w:rsidR="00BC5E66">
        <w:rPr>
          <w:szCs w:val="22"/>
        </w:rPr>
        <w:t xml:space="preserve"> cost estimates </w:t>
      </w:r>
      <w:r w:rsidR="00257321">
        <w:rPr>
          <w:szCs w:val="22"/>
        </w:rPr>
        <w:t xml:space="preserve">with more detailed information </w:t>
      </w:r>
      <w:r w:rsidR="00BC5E66">
        <w:rPr>
          <w:szCs w:val="22"/>
        </w:rPr>
        <w:t xml:space="preserve">as </w:t>
      </w:r>
      <w:r w:rsidR="00045D0A">
        <w:rPr>
          <w:szCs w:val="22"/>
        </w:rPr>
        <w:t xml:space="preserve">construction </w:t>
      </w:r>
      <w:r w:rsidR="00AA2786">
        <w:rPr>
          <w:szCs w:val="22"/>
        </w:rPr>
        <w:t>planning</w:t>
      </w:r>
      <w:r w:rsidR="00045D0A">
        <w:rPr>
          <w:szCs w:val="22"/>
        </w:rPr>
        <w:t xml:space="preserve"> and execution</w:t>
      </w:r>
      <w:r w:rsidR="00AA2786">
        <w:rPr>
          <w:szCs w:val="22"/>
        </w:rPr>
        <w:t xml:space="preserve"> </w:t>
      </w:r>
      <w:r w:rsidR="00856255">
        <w:rPr>
          <w:szCs w:val="22"/>
        </w:rPr>
        <w:t>has</w:t>
      </w:r>
      <w:r w:rsidR="00257321">
        <w:rPr>
          <w:szCs w:val="22"/>
        </w:rPr>
        <w:t xml:space="preserve"> p</w:t>
      </w:r>
      <w:r w:rsidR="00AA2786">
        <w:rPr>
          <w:szCs w:val="22"/>
        </w:rPr>
        <w:t>roceeded</w:t>
      </w:r>
      <w:r w:rsidR="00F135E5">
        <w:rPr>
          <w:szCs w:val="22"/>
        </w:rPr>
        <w:t xml:space="preserve">, which has </w:t>
      </w:r>
      <w:r>
        <w:rPr>
          <w:szCs w:val="22"/>
        </w:rPr>
        <w:t>chang</w:t>
      </w:r>
      <w:r w:rsidR="00F135E5">
        <w:rPr>
          <w:szCs w:val="22"/>
        </w:rPr>
        <w:t>ed</w:t>
      </w:r>
      <w:r>
        <w:rPr>
          <w:szCs w:val="22"/>
        </w:rPr>
        <w:t xml:space="preserve"> the</w:t>
      </w:r>
      <w:r w:rsidR="00FE3251">
        <w:rPr>
          <w:szCs w:val="22"/>
        </w:rPr>
        <w:t xml:space="preserve"> </w:t>
      </w:r>
      <w:r w:rsidR="00D92436">
        <w:rPr>
          <w:szCs w:val="22"/>
        </w:rPr>
        <w:t>total</w:t>
      </w:r>
      <w:r w:rsidR="00A51DDC">
        <w:rPr>
          <w:szCs w:val="22"/>
        </w:rPr>
        <w:t xml:space="preserve"> </w:t>
      </w:r>
      <w:r w:rsidR="00025741">
        <w:rPr>
          <w:szCs w:val="22"/>
        </w:rPr>
        <w:t xml:space="preserve">reimbursement </w:t>
      </w:r>
      <w:r w:rsidR="00A51DDC">
        <w:rPr>
          <w:szCs w:val="22"/>
        </w:rPr>
        <w:t>demand</w:t>
      </w:r>
      <w:r w:rsidR="00BC5E66">
        <w:rPr>
          <w:szCs w:val="22"/>
        </w:rPr>
        <w:t>.</w:t>
      </w:r>
      <w:r w:rsidR="007C0F31">
        <w:rPr>
          <w:szCs w:val="22"/>
        </w:rPr>
        <w:t xml:space="preserve"> </w:t>
      </w:r>
      <w:r w:rsidR="00DC6107">
        <w:rPr>
          <w:szCs w:val="22"/>
        </w:rPr>
        <w:t xml:space="preserve"> </w:t>
      </w:r>
      <w:r w:rsidR="00FE3251">
        <w:rPr>
          <w:szCs w:val="22"/>
        </w:rPr>
        <w:t xml:space="preserve">In the </w:t>
      </w:r>
      <w:r w:rsidR="00BC5D03">
        <w:rPr>
          <w:i/>
        </w:rPr>
        <w:t>Forthcoming</w:t>
      </w:r>
      <w:r w:rsidRPr="00625219" w:rsidR="00BC5D03">
        <w:rPr>
          <w:i/>
        </w:rPr>
        <w:t xml:space="preserve"> Allocation PN</w:t>
      </w:r>
      <w:r w:rsidR="002C2A73">
        <w:rPr>
          <w:szCs w:val="22"/>
        </w:rPr>
        <w:t>,</w:t>
      </w:r>
      <w:r w:rsidR="00AB007E">
        <w:rPr>
          <w:szCs w:val="22"/>
        </w:rPr>
        <w:t xml:space="preserve"> we noted that</w:t>
      </w:r>
      <w:r w:rsidR="002F7616">
        <w:rPr>
          <w:szCs w:val="22"/>
        </w:rPr>
        <w:t xml:space="preserve"> </w:t>
      </w:r>
      <w:r w:rsidR="00FE3251">
        <w:rPr>
          <w:szCs w:val="22"/>
        </w:rPr>
        <w:t xml:space="preserve">the </w:t>
      </w:r>
      <w:r w:rsidR="00DF3D4C">
        <w:rPr>
          <w:szCs w:val="22"/>
        </w:rPr>
        <w:t xml:space="preserve">total verified and </w:t>
      </w:r>
      <w:r w:rsidR="005874FD">
        <w:rPr>
          <w:szCs w:val="22"/>
        </w:rPr>
        <w:t xml:space="preserve">unverified </w:t>
      </w:r>
      <w:r w:rsidR="000F632D">
        <w:rPr>
          <w:szCs w:val="22"/>
        </w:rPr>
        <w:t xml:space="preserve">cost </w:t>
      </w:r>
      <w:r w:rsidR="005874FD">
        <w:rPr>
          <w:szCs w:val="22"/>
        </w:rPr>
        <w:t>estimates submitted by Eligible Entities</w:t>
      </w:r>
      <w:r w:rsidRPr="000B4856" w:rsidR="002B46B4">
        <w:rPr>
          <w:szCs w:val="22"/>
        </w:rPr>
        <w:t xml:space="preserve"> </w:t>
      </w:r>
      <w:r w:rsidR="00F135E5">
        <w:rPr>
          <w:szCs w:val="22"/>
        </w:rPr>
        <w:t xml:space="preserve">as of March </w:t>
      </w:r>
      <w:r w:rsidRPr="000B4856" w:rsidR="00F135E5">
        <w:rPr>
          <w:szCs w:val="22"/>
        </w:rPr>
        <w:t>7, 201</w:t>
      </w:r>
      <w:r w:rsidR="00F135E5">
        <w:rPr>
          <w:szCs w:val="22"/>
        </w:rPr>
        <w:t xml:space="preserve">8, </w:t>
      </w:r>
      <w:r w:rsidRPr="000B4856" w:rsidR="00DF3D4C">
        <w:rPr>
          <w:szCs w:val="22"/>
        </w:rPr>
        <w:t xml:space="preserve">was </w:t>
      </w:r>
      <w:r w:rsidRPr="000B4856" w:rsidR="00EC2102">
        <w:rPr>
          <w:szCs w:val="22"/>
        </w:rPr>
        <w:t xml:space="preserve">approximately </w:t>
      </w:r>
      <w:r w:rsidRPr="000B4856" w:rsidR="005874FD">
        <w:rPr>
          <w:szCs w:val="22"/>
        </w:rPr>
        <w:t>$1.9</w:t>
      </w:r>
      <w:r w:rsidRPr="000B4856" w:rsidR="00DF3D4C">
        <w:rPr>
          <w:szCs w:val="22"/>
        </w:rPr>
        <w:t>5</w:t>
      </w:r>
      <w:r w:rsidR="002C2A73">
        <w:rPr>
          <w:szCs w:val="22"/>
        </w:rPr>
        <w:t xml:space="preserve"> billion.</w:t>
      </w:r>
      <w:r>
        <w:rPr>
          <w:rStyle w:val="FootnoteReference"/>
          <w:szCs w:val="22"/>
        </w:rPr>
        <w:footnoteReference w:id="16"/>
      </w:r>
      <w:r w:rsidR="005B10FF">
        <w:rPr>
          <w:szCs w:val="22"/>
        </w:rPr>
        <w:t xml:space="preserve"> </w:t>
      </w:r>
      <w:r w:rsidR="002C2A73">
        <w:rPr>
          <w:szCs w:val="22"/>
        </w:rPr>
        <w:t xml:space="preserve"> </w:t>
      </w:r>
    </w:p>
    <w:p w:rsidR="008B2546" w:rsidRPr="008B2546" w:rsidP="008B2546" w14:paraId="37CC2F0B" w14:textId="2A34F3E7">
      <w:pPr>
        <w:spacing w:after="220"/>
        <w:ind w:firstLine="720"/>
        <w:rPr>
          <w:szCs w:val="22"/>
        </w:rPr>
      </w:pPr>
      <w:r>
        <w:rPr>
          <w:szCs w:val="22"/>
        </w:rPr>
        <w:t>After</w:t>
      </w:r>
      <w:r w:rsidR="00B81306">
        <w:rPr>
          <w:szCs w:val="22"/>
        </w:rPr>
        <w:t xml:space="preserve"> the </w:t>
      </w:r>
      <w:r w:rsidR="00B81306">
        <w:rPr>
          <w:i/>
        </w:rPr>
        <w:t>Forthcoming</w:t>
      </w:r>
      <w:r w:rsidRPr="00625219" w:rsidR="00B81306">
        <w:rPr>
          <w:i/>
        </w:rPr>
        <w:t xml:space="preserve"> Allocation PN</w:t>
      </w:r>
      <w:r w:rsidR="00B81306">
        <w:rPr>
          <w:i/>
        </w:rPr>
        <w:t xml:space="preserve"> </w:t>
      </w:r>
      <w:r w:rsidR="00B81306">
        <w:t>was released</w:t>
      </w:r>
      <w:r w:rsidR="00643AC7">
        <w:rPr>
          <w:szCs w:val="22"/>
        </w:rPr>
        <w:t xml:space="preserve">, </w:t>
      </w:r>
      <w:r>
        <w:rPr>
          <w:szCs w:val="22"/>
        </w:rPr>
        <w:t xml:space="preserve">Congress </w:t>
      </w:r>
      <w:r w:rsidR="00BD3E59">
        <w:rPr>
          <w:szCs w:val="22"/>
        </w:rPr>
        <w:t>passe</w:t>
      </w:r>
      <w:r>
        <w:rPr>
          <w:szCs w:val="22"/>
        </w:rPr>
        <w:t>d</w:t>
      </w:r>
      <w:r w:rsidR="00BD3E59">
        <w:rPr>
          <w:szCs w:val="22"/>
        </w:rPr>
        <w:t xml:space="preserve"> </w:t>
      </w:r>
      <w:r w:rsidR="00B23D57">
        <w:rPr>
          <w:szCs w:val="22"/>
        </w:rPr>
        <w:t xml:space="preserve">the </w:t>
      </w:r>
      <w:r w:rsidR="007E7BA0">
        <w:rPr>
          <w:szCs w:val="22"/>
        </w:rPr>
        <w:t>Ray Baum’s Act,</w:t>
      </w:r>
      <w:r w:rsidR="0041676F">
        <w:rPr>
          <w:szCs w:val="22"/>
        </w:rPr>
        <w:t xml:space="preserve"> </w:t>
      </w:r>
      <w:r w:rsidR="00F135E5">
        <w:rPr>
          <w:szCs w:val="22"/>
        </w:rPr>
        <w:t xml:space="preserve">providing </w:t>
      </w:r>
      <w:r w:rsidR="0041676F">
        <w:rPr>
          <w:szCs w:val="22"/>
        </w:rPr>
        <w:t>that, upon certification from the Commission to the Secretary of the Treasury</w:t>
      </w:r>
      <w:r w:rsidR="00BD3E59">
        <w:rPr>
          <w:szCs w:val="22"/>
        </w:rPr>
        <w:t xml:space="preserve"> </w:t>
      </w:r>
      <w:r w:rsidR="0041676F">
        <w:rPr>
          <w:szCs w:val="22"/>
        </w:rPr>
        <w:t>that the Fund is likely to be insufficient to reimburse reasonably incurred costs</w:t>
      </w:r>
      <w:r w:rsidR="0011231D">
        <w:rPr>
          <w:szCs w:val="22"/>
        </w:rPr>
        <w:t>,</w:t>
      </w:r>
      <w:r w:rsidR="0041676F">
        <w:rPr>
          <w:szCs w:val="22"/>
        </w:rPr>
        <w:t xml:space="preserve"> </w:t>
      </w:r>
      <w:r>
        <w:rPr>
          <w:szCs w:val="22"/>
        </w:rPr>
        <w:t xml:space="preserve">the </w:t>
      </w:r>
      <w:r w:rsidR="0098345C">
        <w:rPr>
          <w:szCs w:val="22"/>
        </w:rPr>
        <w:t>F</w:t>
      </w:r>
      <w:r>
        <w:rPr>
          <w:szCs w:val="22"/>
        </w:rPr>
        <w:t xml:space="preserve">und </w:t>
      </w:r>
      <w:r w:rsidR="0041676F">
        <w:rPr>
          <w:szCs w:val="22"/>
        </w:rPr>
        <w:t>will be supplemented in an amount up to</w:t>
      </w:r>
      <w:r w:rsidR="00BD3E59">
        <w:rPr>
          <w:szCs w:val="22"/>
        </w:rPr>
        <w:t xml:space="preserve"> </w:t>
      </w:r>
      <w:r w:rsidR="00643AC7">
        <w:rPr>
          <w:szCs w:val="22"/>
        </w:rPr>
        <w:t>$</w:t>
      </w:r>
      <w:r>
        <w:rPr>
          <w:szCs w:val="22"/>
        </w:rPr>
        <w:t>7</w:t>
      </w:r>
      <w:r w:rsidR="00643AC7">
        <w:rPr>
          <w:szCs w:val="22"/>
        </w:rPr>
        <w:t xml:space="preserve">50 million </w:t>
      </w:r>
      <w:r w:rsidR="00362BFA">
        <w:rPr>
          <w:szCs w:val="22"/>
        </w:rPr>
        <w:t>t</w:t>
      </w:r>
      <w:r w:rsidR="00D92436">
        <w:rPr>
          <w:szCs w:val="22"/>
        </w:rPr>
        <w:t>o reimburse Eligible Entities</w:t>
      </w:r>
      <w:r w:rsidR="008C32BD">
        <w:rPr>
          <w:szCs w:val="22"/>
        </w:rPr>
        <w:t>.</w:t>
      </w:r>
      <w:r>
        <w:rPr>
          <w:rStyle w:val="FootnoteReference"/>
          <w:szCs w:val="22"/>
        </w:rPr>
        <w:footnoteReference w:id="17"/>
      </w:r>
      <w:r w:rsidR="0041676F">
        <w:rPr>
          <w:szCs w:val="22"/>
        </w:rPr>
        <w:t xml:space="preserve">  </w:t>
      </w:r>
      <w:r w:rsidR="00F135E5">
        <w:rPr>
          <w:szCs w:val="22"/>
        </w:rPr>
        <w:t xml:space="preserve">Upon such </w:t>
      </w:r>
      <w:r w:rsidR="0041676F">
        <w:rPr>
          <w:szCs w:val="22"/>
        </w:rPr>
        <w:t xml:space="preserve">certification, </w:t>
      </w:r>
      <w:r w:rsidR="00F135E5">
        <w:rPr>
          <w:szCs w:val="22"/>
        </w:rPr>
        <w:t xml:space="preserve">the </w:t>
      </w:r>
      <w:r w:rsidR="00362BFA">
        <w:rPr>
          <w:szCs w:val="22"/>
        </w:rPr>
        <w:t>total Fund</w:t>
      </w:r>
      <w:r w:rsidR="0011231D">
        <w:rPr>
          <w:szCs w:val="22"/>
        </w:rPr>
        <w:t xml:space="preserve"> available to Eligible Entities</w:t>
      </w:r>
      <w:r w:rsidR="00362BFA">
        <w:rPr>
          <w:szCs w:val="22"/>
        </w:rPr>
        <w:t xml:space="preserve"> </w:t>
      </w:r>
      <w:r w:rsidR="00F135E5">
        <w:rPr>
          <w:szCs w:val="22"/>
        </w:rPr>
        <w:t xml:space="preserve">will be </w:t>
      </w:r>
      <w:r w:rsidR="00C770AC">
        <w:rPr>
          <w:szCs w:val="22"/>
        </w:rPr>
        <w:t>$2.</w:t>
      </w:r>
      <w:r>
        <w:rPr>
          <w:szCs w:val="22"/>
        </w:rPr>
        <w:t>5</w:t>
      </w:r>
      <w:r w:rsidR="00C770AC">
        <w:rPr>
          <w:szCs w:val="22"/>
        </w:rPr>
        <w:t xml:space="preserve"> billion</w:t>
      </w:r>
      <w:r w:rsidR="00D92436">
        <w:rPr>
          <w:szCs w:val="22"/>
        </w:rPr>
        <w:t>.</w:t>
      </w:r>
      <w:r>
        <w:rPr>
          <w:rStyle w:val="FootnoteReference"/>
          <w:sz w:val="22"/>
          <w:szCs w:val="22"/>
        </w:rPr>
        <w:footnoteReference w:id="18"/>
      </w:r>
      <w:r w:rsidR="00BF5D2F">
        <w:t xml:space="preserve">  </w:t>
      </w:r>
      <w:r w:rsidR="00362BFA">
        <w:rPr>
          <w:szCs w:val="22"/>
        </w:rPr>
        <w:t>Th</w:t>
      </w:r>
      <w:r w:rsidR="00EE6EBF">
        <w:rPr>
          <w:szCs w:val="22"/>
        </w:rPr>
        <w:t>e</w:t>
      </w:r>
      <w:r w:rsidR="00362BFA">
        <w:rPr>
          <w:szCs w:val="22"/>
        </w:rPr>
        <w:t xml:space="preserve"> </w:t>
      </w:r>
      <w:r w:rsidR="00EE6EBF">
        <w:rPr>
          <w:szCs w:val="22"/>
        </w:rPr>
        <w:t xml:space="preserve">availability of these additional funds </w:t>
      </w:r>
      <w:r w:rsidR="00F135E5">
        <w:rPr>
          <w:szCs w:val="22"/>
        </w:rPr>
        <w:t xml:space="preserve">substantially mitigates </w:t>
      </w:r>
      <w:r w:rsidR="00EE6EBF">
        <w:rPr>
          <w:szCs w:val="22"/>
        </w:rPr>
        <w:t xml:space="preserve">the </w:t>
      </w:r>
      <w:r w:rsidR="00362BFA">
        <w:rPr>
          <w:szCs w:val="22"/>
        </w:rPr>
        <w:t>F</w:t>
      </w:r>
      <w:r w:rsidR="00C770AC">
        <w:rPr>
          <w:szCs w:val="22"/>
        </w:rPr>
        <w:t>und management challenge</w:t>
      </w:r>
      <w:r w:rsidR="001148FD">
        <w:rPr>
          <w:szCs w:val="22"/>
        </w:rPr>
        <w:t>s</w:t>
      </w:r>
      <w:r w:rsidR="00C770AC">
        <w:rPr>
          <w:szCs w:val="22"/>
        </w:rPr>
        <w:t xml:space="preserve"> </w:t>
      </w:r>
      <w:r w:rsidR="00EE6EBF">
        <w:rPr>
          <w:szCs w:val="22"/>
        </w:rPr>
        <w:t xml:space="preserve">described in our </w:t>
      </w:r>
      <w:r w:rsidRPr="002379DE" w:rsidR="00EE6EBF">
        <w:rPr>
          <w:i/>
        </w:rPr>
        <w:t>Initial Allocation PN</w:t>
      </w:r>
      <w:r w:rsidR="00C770AC">
        <w:rPr>
          <w:szCs w:val="22"/>
        </w:rPr>
        <w:t xml:space="preserve"> </w:t>
      </w:r>
      <w:r w:rsidR="00EE6EBF">
        <w:rPr>
          <w:szCs w:val="22"/>
        </w:rPr>
        <w:t xml:space="preserve">and allows us to make a further allocation in an amount greater than </w:t>
      </w:r>
      <w:r w:rsidR="00B6065D">
        <w:rPr>
          <w:szCs w:val="22"/>
        </w:rPr>
        <w:t xml:space="preserve">what </w:t>
      </w:r>
      <w:r w:rsidR="00EE6EBF">
        <w:rPr>
          <w:szCs w:val="22"/>
        </w:rPr>
        <w:t>otherwise would have been possible</w:t>
      </w:r>
      <w:r w:rsidR="005B36FD">
        <w:rPr>
          <w:szCs w:val="22"/>
        </w:rPr>
        <w:t xml:space="preserve"> prior to passage of the legislation</w:t>
      </w:r>
      <w:r w:rsidR="00EE6EBF">
        <w:rPr>
          <w:szCs w:val="22"/>
        </w:rPr>
        <w:t>.</w:t>
      </w:r>
      <w:r>
        <w:rPr>
          <w:rStyle w:val="FootnoteReference"/>
          <w:szCs w:val="22"/>
        </w:rPr>
        <w:footnoteReference w:id="19"/>
      </w:r>
      <w:r w:rsidR="00362BFA">
        <w:rPr>
          <w:szCs w:val="22"/>
        </w:rPr>
        <w:t xml:space="preserve"> </w:t>
      </w:r>
    </w:p>
    <w:p w:rsidR="00EE6EBF" w:rsidP="00D10975" w14:paraId="14BF5C9E" w14:textId="5C5E8060">
      <w:pPr>
        <w:spacing w:after="220"/>
        <w:ind w:firstLine="720"/>
        <w:rPr>
          <w:szCs w:val="22"/>
        </w:rPr>
      </w:pPr>
      <w:r>
        <w:rPr>
          <w:i/>
          <w:szCs w:val="22"/>
        </w:rPr>
        <w:t xml:space="preserve">Further Allocation.  </w:t>
      </w:r>
      <w:r>
        <w:rPr>
          <w:szCs w:val="22"/>
        </w:rPr>
        <w:t>In addition to the approximately $1 billion previously allocated, this further allocation will make available an additional $</w:t>
      </w:r>
      <w:r w:rsidRPr="008A6CD8" w:rsidR="00F648AC">
        <w:rPr>
          <w:szCs w:val="22"/>
        </w:rPr>
        <w:t>74</w:t>
      </w:r>
      <w:r w:rsidRPr="008A6CD8" w:rsidR="00BB314B">
        <w:rPr>
          <w:szCs w:val="22"/>
        </w:rPr>
        <w:t>2</w:t>
      </w:r>
      <w:r>
        <w:rPr>
          <w:szCs w:val="22"/>
        </w:rPr>
        <w:t xml:space="preserve"> million for a total allocation of $</w:t>
      </w:r>
      <w:r w:rsidRPr="008A6CD8" w:rsidR="00F648AC">
        <w:rPr>
          <w:szCs w:val="22"/>
        </w:rPr>
        <w:t>1</w:t>
      </w:r>
      <w:r w:rsidRPr="008A6CD8" w:rsidR="00B6065D">
        <w:rPr>
          <w:szCs w:val="22"/>
        </w:rPr>
        <w:t>.</w:t>
      </w:r>
      <w:r w:rsidRPr="008A6CD8" w:rsidR="00F648AC">
        <w:rPr>
          <w:szCs w:val="22"/>
        </w:rPr>
        <w:t>74</w:t>
      </w:r>
      <w:r w:rsidRPr="008A6CD8" w:rsidR="00BB314B">
        <w:rPr>
          <w:szCs w:val="22"/>
        </w:rPr>
        <w:t>2</w:t>
      </w:r>
      <w:r w:rsidR="00F648AC">
        <w:rPr>
          <w:szCs w:val="22"/>
        </w:rPr>
        <w:t xml:space="preserve"> </w:t>
      </w:r>
      <w:r w:rsidR="00B6065D">
        <w:rPr>
          <w:szCs w:val="22"/>
        </w:rPr>
        <w:t>b</w:t>
      </w:r>
      <w:r>
        <w:rPr>
          <w:szCs w:val="22"/>
        </w:rPr>
        <w:t xml:space="preserve">illion.  Based on the </w:t>
      </w:r>
      <w:r w:rsidR="000F632D">
        <w:rPr>
          <w:szCs w:val="22"/>
        </w:rPr>
        <w:t xml:space="preserve">aggregate verified cost </w:t>
      </w:r>
      <w:r>
        <w:rPr>
          <w:szCs w:val="22"/>
        </w:rPr>
        <w:t>estimate</w:t>
      </w:r>
      <w:r w:rsidR="000F632D">
        <w:rPr>
          <w:szCs w:val="22"/>
        </w:rPr>
        <w:t>s</w:t>
      </w:r>
      <w:r>
        <w:rPr>
          <w:szCs w:val="22"/>
        </w:rPr>
        <w:t xml:space="preserve"> as of April 9, 2018,</w:t>
      </w:r>
      <w:r w:rsidRPr="001520AF" w:rsidR="001520AF">
        <w:rPr>
          <w:szCs w:val="22"/>
        </w:rPr>
        <w:t xml:space="preserve"> </w:t>
      </w:r>
      <w:r w:rsidR="001520AF">
        <w:rPr>
          <w:szCs w:val="22"/>
        </w:rPr>
        <w:t>$</w:t>
      </w:r>
      <w:r w:rsidRPr="008A6CD8" w:rsidR="001520AF">
        <w:rPr>
          <w:szCs w:val="22"/>
        </w:rPr>
        <w:t>1.</w:t>
      </w:r>
      <w:r w:rsidRPr="008A6CD8" w:rsidR="005B17F9">
        <w:rPr>
          <w:szCs w:val="22"/>
        </w:rPr>
        <w:t>883</w:t>
      </w:r>
      <w:r w:rsidR="00F648AC">
        <w:rPr>
          <w:szCs w:val="22"/>
        </w:rPr>
        <w:t xml:space="preserve"> </w:t>
      </w:r>
      <w:r w:rsidR="001520AF">
        <w:rPr>
          <w:szCs w:val="22"/>
        </w:rPr>
        <w:t>billion,</w:t>
      </w:r>
      <w:r>
        <w:rPr>
          <w:rStyle w:val="FootnoteReference"/>
          <w:szCs w:val="22"/>
        </w:rPr>
        <w:footnoteReference w:id="20"/>
      </w:r>
      <w:r w:rsidR="001520AF">
        <w:rPr>
          <w:szCs w:val="22"/>
        </w:rPr>
        <w:t xml:space="preserve"> </w:t>
      </w:r>
      <w:r>
        <w:rPr>
          <w:szCs w:val="22"/>
        </w:rPr>
        <w:t>all Eligible Entities have access to</w:t>
      </w:r>
      <w:r w:rsidRPr="009614B0">
        <w:rPr>
          <w:szCs w:val="22"/>
        </w:rPr>
        <w:t xml:space="preserve"> </w:t>
      </w:r>
      <w:r>
        <w:rPr>
          <w:szCs w:val="22"/>
        </w:rPr>
        <w:t xml:space="preserve">approximately </w:t>
      </w:r>
      <w:r w:rsidRPr="008A6CD8" w:rsidR="00F648AC">
        <w:rPr>
          <w:szCs w:val="22"/>
        </w:rPr>
        <w:t>92.5</w:t>
      </w:r>
      <w:r>
        <w:rPr>
          <w:szCs w:val="22"/>
        </w:rPr>
        <w:t xml:space="preserve"> percent</w:t>
      </w:r>
      <w:r w:rsidRPr="009614B0">
        <w:rPr>
          <w:szCs w:val="22"/>
        </w:rPr>
        <w:t xml:space="preserve"> of </w:t>
      </w:r>
      <w:r>
        <w:rPr>
          <w:szCs w:val="22"/>
        </w:rPr>
        <w:t xml:space="preserve">their currently </w:t>
      </w:r>
      <w:r w:rsidR="000F632D">
        <w:rPr>
          <w:szCs w:val="22"/>
        </w:rPr>
        <w:t xml:space="preserve">verified cost </w:t>
      </w:r>
      <w:r w:rsidRPr="009614B0">
        <w:rPr>
          <w:szCs w:val="22"/>
        </w:rPr>
        <w:t>estimates.</w:t>
      </w:r>
      <w:r>
        <w:rPr>
          <w:rStyle w:val="FootnoteReference"/>
          <w:szCs w:val="22"/>
        </w:rPr>
        <w:footnoteReference w:id="21"/>
      </w:r>
      <w:r>
        <w:rPr>
          <w:szCs w:val="22"/>
        </w:rPr>
        <w:t xml:space="preserve"> </w:t>
      </w:r>
    </w:p>
    <w:p w:rsidR="00FE6E69" w:rsidP="00D10975" w14:paraId="184B0C4C" w14:textId="171E07A3">
      <w:pPr>
        <w:spacing w:after="220"/>
        <w:ind w:firstLine="720"/>
        <w:rPr>
          <w:szCs w:val="22"/>
        </w:rPr>
      </w:pPr>
      <w:r>
        <w:rPr>
          <w:szCs w:val="22"/>
        </w:rPr>
        <w:t>I</w:t>
      </w:r>
      <w:r w:rsidR="00727B98">
        <w:rPr>
          <w:szCs w:val="22"/>
        </w:rPr>
        <w:t xml:space="preserve">n determining the appropriate amount for the </w:t>
      </w:r>
      <w:r w:rsidR="00EE6EBF">
        <w:rPr>
          <w:szCs w:val="22"/>
        </w:rPr>
        <w:t>further</w:t>
      </w:r>
      <w:r w:rsidR="00727B98">
        <w:rPr>
          <w:szCs w:val="22"/>
        </w:rPr>
        <w:t xml:space="preserve"> allocation, t</w:t>
      </w:r>
      <w:r w:rsidR="002A1C94">
        <w:rPr>
          <w:szCs w:val="22"/>
        </w:rPr>
        <w:t xml:space="preserve">he Bureau, in consultation with the Fund Administrator, considered the </w:t>
      </w:r>
      <w:r w:rsidR="001148FD">
        <w:rPr>
          <w:szCs w:val="22"/>
        </w:rPr>
        <w:t xml:space="preserve">amount of funding available and the </w:t>
      </w:r>
      <w:r w:rsidR="002A1C94">
        <w:rPr>
          <w:szCs w:val="22"/>
        </w:rPr>
        <w:t>reimbursement demand</w:t>
      </w:r>
      <w:r w:rsidR="00727B98">
        <w:rPr>
          <w:szCs w:val="22"/>
        </w:rPr>
        <w:t>ed</w:t>
      </w:r>
      <w:r w:rsidR="002A1C94">
        <w:rPr>
          <w:szCs w:val="22"/>
        </w:rPr>
        <w:t xml:space="preserve"> by </w:t>
      </w:r>
      <w:r w:rsidR="00727B98">
        <w:rPr>
          <w:szCs w:val="22"/>
        </w:rPr>
        <w:t xml:space="preserve">Eligible Entities </w:t>
      </w:r>
      <w:r w:rsidR="002E0A45">
        <w:rPr>
          <w:szCs w:val="22"/>
        </w:rPr>
        <w:t>across several</w:t>
      </w:r>
      <w:r w:rsidR="00727B98">
        <w:rPr>
          <w:szCs w:val="22"/>
        </w:rPr>
        <w:t xml:space="preserve"> </w:t>
      </w:r>
      <w:r w:rsidR="002A1C94">
        <w:rPr>
          <w:szCs w:val="22"/>
        </w:rPr>
        <w:t xml:space="preserve">discrete cost categories.  </w:t>
      </w:r>
      <w:r w:rsidR="00B23D57">
        <w:rPr>
          <w:szCs w:val="22"/>
        </w:rPr>
        <w:t>Anal</w:t>
      </w:r>
      <w:r w:rsidR="00682898">
        <w:rPr>
          <w:szCs w:val="22"/>
        </w:rPr>
        <w:t xml:space="preserve">ysis of </w:t>
      </w:r>
      <w:r>
        <w:rPr>
          <w:szCs w:val="22"/>
        </w:rPr>
        <w:t xml:space="preserve">submitted </w:t>
      </w:r>
      <w:r w:rsidR="000F632D">
        <w:rPr>
          <w:szCs w:val="22"/>
        </w:rPr>
        <w:t xml:space="preserve">estimates and invoices </w:t>
      </w:r>
      <w:r w:rsidR="002E0A45">
        <w:rPr>
          <w:szCs w:val="22"/>
        </w:rPr>
        <w:t>indicat</w:t>
      </w:r>
      <w:r w:rsidR="00B23D57">
        <w:rPr>
          <w:szCs w:val="22"/>
        </w:rPr>
        <w:t>es</w:t>
      </w:r>
      <w:r w:rsidR="002E0A45">
        <w:rPr>
          <w:szCs w:val="22"/>
        </w:rPr>
        <w:t xml:space="preserve"> that</w:t>
      </w:r>
      <w:r w:rsidR="00682898">
        <w:rPr>
          <w:szCs w:val="22"/>
        </w:rPr>
        <w:t xml:space="preserve"> </w:t>
      </w:r>
      <w:r w:rsidR="001148FD">
        <w:rPr>
          <w:szCs w:val="22"/>
        </w:rPr>
        <w:t xml:space="preserve">an increasing number of </w:t>
      </w:r>
      <w:r w:rsidR="00682898">
        <w:rPr>
          <w:szCs w:val="22"/>
        </w:rPr>
        <w:t xml:space="preserve">stations </w:t>
      </w:r>
      <w:r w:rsidR="002E0A45">
        <w:rPr>
          <w:szCs w:val="22"/>
        </w:rPr>
        <w:t>will</w:t>
      </w:r>
      <w:r w:rsidR="00682898">
        <w:rPr>
          <w:szCs w:val="22"/>
        </w:rPr>
        <w:t xml:space="preserve"> </w:t>
      </w:r>
      <w:r w:rsidR="00315F9C">
        <w:rPr>
          <w:szCs w:val="22"/>
        </w:rPr>
        <w:t xml:space="preserve">continue to </w:t>
      </w:r>
      <w:r w:rsidR="00682898">
        <w:rPr>
          <w:szCs w:val="22"/>
        </w:rPr>
        <w:t>incur costs for major</w:t>
      </w:r>
      <w:r w:rsidR="002A1C94">
        <w:rPr>
          <w:szCs w:val="22"/>
        </w:rPr>
        <w:t xml:space="preserve"> equipment </w:t>
      </w:r>
      <w:r w:rsidR="00682898">
        <w:rPr>
          <w:szCs w:val="22"/>
        </w:rPr>
        <w:t xml:space="preserve">purchases </w:t>
      </w:r>
      <w:r w:rsidR="00727B98">
        <w:rPr>
          <w:szCs w:val="22"/>
        </w:rPr>
        <w:t>requiring</w:t>
      </w:r>
      <w:r w:rsidR="00682898">
        <w:rPr>
          <w:szCs w:val="22"/>
        </w:rPr>
        <w:t xml:space="preserve"> substantial</w:t>
      </w:r>
      <w:r w:rsidR="002A1C94">
        <w:rPr>
          <w:szCs w:val="22"/>
        </w:rPr>
        <w:t xml:space="preserve"> </w:t>
      </w:r>
      <w:r w:rsidR="0011231D">
        <w:rPr>
          <w:szCs w:val="22"/>
        </w:rPr>
        <w:t xml:space="preserve">payments </w:t>
      </w:r>
      <w:r>
        <w:rPr>
          <w:szCs w:val="22"/>
        </w:rPr>
        <w:t xml:space="preserve">and sometimes </w:t>
      </w:r>
      <w:r w:rsidR="0011231D">
        <w:rPr>
          <w:szCs w:val="22"/>
        </w:rPr>
        <w:t xml:space="preserve">incurring obligations for additional </w:t>
      </w:r>
      <w:r w:rsidR="00682898">
        <w:rPr>
          <w:szCs w:val="22"/>
        </w:rPr>
        <w:t xml:space="preserve">sequenced </w:t>
      </w:r>
      <w:r w:rsidR="00457BA4">
        <w:rPr>
          <w:szCs w:val="22"/>
        </w:rPr>
        <w:t>payments</w:t>
      </w:r>
      <w:r w:rsidR="001148FD">
        <w:rPr>
          <w:szCs w:val="22"/>
        </w:rPr>
        <w:t xml:space="preserve">.  </w:t>
      </w:r>
      <w:bookmarkStart w:id="1" w:name="_Hlk510715102"/>
      <w:r w:rsidR="00457BA4">
        <w:rPr>
          <w:szCs w:val="22"/>
        </w:rPr>
        <w:t xml:space="preserve">Consistent with our expectation in the </w:t>
      </w:r>
      <w:r w:rsidR="00457BA4">
        <w:rPr>
          <w:i/>
          <w:szCs w:val="22"/>
        </w:rPr>
        <w:t xml:space="preserve">Initial Allocation </w:t>
      </w:r>
      <w:r w:rsidRPr="00457BA4" w:rsidR="00457BA4">
        <w:rPr>
          <w:i/>
          <w:szCs w:val="22"/>
        </w:rPr>
        <w:t>PN</w:t>
      </w:r>
      <w:r w:rsidR="00457BA4">
        <w:rPr>
          <w:szCs w:val="22"/>
        </w:rPr>
        <w:t>, we anticipate that estimated costs will continue to rise.</w:t>
      </w:r>
      <w:r>
        <w:rPr>
          <w:rStyle w:val="FootnoteReference"/>
          <w:szCs w:val="22"/>
        </w:rPr>
        <w:footnoteReference w:id="22"/>
      </w:r>
      <w:r w:rsidR="00457BA4">
        <w:rPr>
          <w:szCs w:val="22"/>
        </w:rPr>
        <w:t xml:space="preserve">  </w:t>
      </w:r>
      <w:bookmarkEnd w:id="1"/>
      <w:r w:rsidRPr="00457BA4" w:rsidR="001148FD">
        <w:rPr>
          <w:szCs w:val="22"/>
        </w:rPr>
        <w:t>We</w:t>
      </w:r>
      <w:r w:rsidR="001148FD">
        <w:rPr>
          <w:szCs w:val="22"/>
        </w:rPr>
        <w:t xml:space="preserve"> have also considered the proximity of construction application and phase transition deadlines</w:t>
      </w:r>
      <w:r>
        <w:rPr>
          <w:szCs w:val="22"/>
        </w:rPr>
        <w:t xml:space="preserve"> especially for stations in early phases</w:t>
      </w:r>
      <w:r w:rsidR="001148FD">
        <w:rPr>
          <w:szCs w:val="22"/>
        </w:rPr>
        <w:t xml:space="preserve">.  </w:t>
      </w:r>
    </w:p>
    <w:p w:rsidR="00D92436" w:rsidRPr="00D10975" w:rsidP="00D10975" w14:paraId="30507183" w14:textId="7C190ADD">
      <w:pPr>
        <w:spacing w:after="220"/>
        <w:ind w:firstLine="720"/>
      </w:pPr>
      <w:r>
        <w:rPr>
          <w:szCs w:val="22"/>
        </w:rPr>
        <w:t>W</w:t>
      </w:r>
      <w:r w:rsidR="00682898">
        <w:rPr>
          <w:szCs w:val="22"/>
        </w:rPr>
        <w:t xml:space="preserve">e think </w:t>
      </w:r>
      <w:r>
        <w:rPr>
          <w:szCs w:val="22"/>
        </w:rPr>
        <w:t>that a</w:t>
      </w:r>
      <w:r w:rsidR="00B23D57">
        <w:rPr>
          <w:szCs w:val="22"/>
        </w:rPr>
        <w:t xml:space="preserve"> further</w:t>
      </w:r>
      <w:r>
        <w:rPr>
          <w:szCs w:val="22"/>
        </w:rPr>
        <w:t xml:space="preserve"> allocation of $</w:t>
      </w:r>
      <w:r w:rsidRPr="008A6CD8" w:rsidR="00F648AC">
        <w:rPr>
          <w:szCs w:val="22"/>
        </w:rPr>
        <w:t>74</w:t>
      </w:r>
      <w:r w:rsidRPr="008A6CD8" w:rsidR="00BB314B">
        <w:rPr>
          <w:szCs w:val="22"/>
        </w:rPr>
        <w:t>2</w:t>
      </w:r>
      <w:r>
        <w:rPr>
          <w:szCs w:val="22"/>
        </w:rPr>
        <w:t xml:space="preserve"> </w:t>
      </w:r>
      <w:r w:rsidR="00C05863">
        <w:rPr>
          <w:szCs w:val="22"/>
        </w:rPr>
        <w:t xml:space="preserve">million </w:t>
      </w:r>
      <w:r>
        <w:rPr>
          <w:szCs w:val="22"/>
        </w:rPr>
        <w:t xml:space="preserve">will permit </w:t>
      </w:r>
      <w:r w:rsidR="006624C3">
        <w:rPr>
          <w:szCs w:val="22"/>
        </w:rPr>
        <w:t xml:space="preserve">Eligible Entities to </w:t>
      </w:r>
      <w:r>
        <w:rPr>
          <w:szCs w:val="22"/>
        </w:rPr>
        <w:t>execute</w:t>
      </w:r>
      <w:r w:rsidR="006624C3">
        <w:rPr>
          <w:szCs w:val="22"/>
        </w:rPr>
        <w:t xml:space="preserve"> their post-auction construction</w:t>
      </w:r>
      <w:r w:rsidR="002A1C94">
        <w:rPr>
          <w:szCs w:val="22"/>
        </w:rPr>
        <w:t xml:space="preserve">. </w:t>
      </w:r>
      <w:r w:rsidR="006D329D">
        <w:rPr>
          <w:szCs w:val="22"/>
        </w:rPr>
        <w:t xml:space="preserve"> </w:t>
      </w:r>
      <w:r w:rsidR="006C0D96">
        <w:rPr>
          <w:szCs w:val="22"/>
        </w:rPr>
        <w:t xml:space="preserve">As the Commission has stated, holding back a percentage of the total estimated costs ensures that Eligible Entities “do not face an undue financial burden” </w:t>
      </w:r>
      <w:r w:rsidR="00AE4ACC">
        <w:rPr>
          <w:szCs w:val="22"/>
        </w:rPr>
        <w:t xml:space="preserve">while at the same time reducing </w:t>
      </w:r>
      <w:r w:rsidR="006C0D96">
        <w:t>the likelihood that excess funds are allocated that would require the Commission to claw-back payments that have already been drawn down by Eligible Entities.</w:t>
      </w:r>
      <w:r>
        <w:rPr>
          <w:rStyle w:val="FootnoteReference"/>
          <w:szCs w:val="22"/>
        </w:rPr>
        <w:footnoteReference w:id="23"/>
      </w:r>
      <w:r w:rsidR="00FE6E69">
        <w:rPr>
          <w:szCs w:val="22"/>
        </w:rPr>
        <w:t xml:space="preserve">  </w:t>
      </w:r>
      <w:r w:rsidR="00991541">
        <w:rPr>
          <w:szCs w:val="22"/>
        </w:rPr>
        <w:t xml:space="preserve">Although </w:t>
      </w:r>
      <w:r w:rsidR="001A6369">
        <w:rPr>
          <w:szCs w:val="22"/>
        </w:rPr>
        <w:t xml:space="preserve">only </w:t>
      </w:r>
      <w:r w:rsidR="00991541">
        <w:rPr>
          <w:szCs w:val="22"/>
        </w:rPr>
        <w:t>a</w:t>
      </w:r>
      <w:r w:rsidR="005F1F0B">
        <w:rPr>
          <w:szCs w:val="22"/>
        </w:rPr>
        <w:t xml:space="preserve"> small</w:t>
      </w:r>
      <w:r w:rsidR="00991541">
        <w:rPr>
          <w:szCs w:val="22"/>
        </w:rPr>
        <w:t xml:space="preserve"> </w:t>
      </w:r>
      <w:r w:rsidR="00AE4ACC">
        <w:rPr>
          <w:szCs w:val="22"/>
        </w:rPr>
        <w:t xml:space="preserve">fraction </w:t>
      </w:r>
      <w:r w:rsidR="00991541">
        <w:rPr>
          <w:szCs w:val="22"/>
        </w:rPr>
        <w:t xml:space="preserve">of Eligible Entities are currently approaching the limit of their initial allocation funding, </w:t>
      </w:r>
      <w:r w:rsidR="006D329D">
        <w:rPr>
          <w:szCs w:val="22"/>
        </w:rPr>
        <w:t>t</w:t>
      </w:r>
      <w:r w:rsidR="00BC5E66">
        <w:rPr>
          <w:szCs w:val="22"/>
        </w:rPr>
        <w:t>h</w:t>
      </w:r>
      <w:r w:rsidR="00EE6EBF">
        <w:rPr>
          <w:szCs w:val="22"/>
        </w:rPr>
        <w:t>is further</w:t>
      </w:r>
      <w:r w:rsidR="003621FF">
        <w:rPr>
          <w:szCs w:val="22"/>
        </w:rPr>
        <w:t xml:space="preserve"> </w:t>
      </w:r>
      <w:r w:rsidR="00643883">
        <w:rPr>
          <w:szCs w:val="22"/>
        </w:rPr>
        <w:t>allocation</w:t>
      </w:r>
      <w:r w:rsidR="00991541">
        <w:rPr>
          <w:szCs w:val="22"/>
        </w:rPr>
        <w:t xml:space="preserve"> </w:t>
      </w:r>
      <w:r w:rsidR="00EE6EBF">
        <w:rPr>
          <w:szCs w:val="22"/>
        </w:rPr>
        <w:t>ensures all</w:t>
      </w:r>
      <w:r w:rsidR="00643883">
        <w:rPr>
          <w:szCs w:val="22"/>
        </w:rPr>
        <w:t xml:space="preserve"> entities </w:t>
      </w:r>
      <w:r w:rsidR="00AE4ACC">
        <w:rPr>
          <w:szCs w:val="22"/>
        </w:rPr>
        <w:t xml:space="preserve">continue to </w:t>
      </w:r>
      <w:r w:rsidR="00EE6EBF">
        <w:rPr>
          <w:szCs w:val="22"/>
        </w:rPr>
        <w:t xml:space="preserve">have sufficient </w:t>
      </w:r>
      <w:r w:rsidR="000D5835">
        <w:rPr>
          <w:szCs w:val="22"/>
        </w:rPr>
        <w:t xml:space="preserve">ongoing </w:t>
      </w:r>
      <w:r w:rsidR="00643883">
        <w:rPr>
          <w:szCs w:val="22"/>
        </w:rPr>
        <w:t xml:space="preserve">access to reimbursement funding to </w:t>
      </w:r>
      <w:r w:rsidR="00C27A2E">
        <w:rPr>
          <w:szCs w:val="22"/>
        </w:rPr>
        <w:t xml:space="preserve">fully </w:t>
      </w:r>
      <w:r w:rsidR="001A6369">
        <w:rPr>
          <w:szCs w:val="22"/>
        </w:rPr>
        <w:t>pursue</w:t>
      </w:r>
      <w:r w:rsidR="00F70FF5">
        <w:rPr>
          <w:szCs w:val="22"/>
        </w:rPr>
        <w:t xml:space="preserve"> the</w:t>
      </w:r>
      <w:r w:rsidR="00C27A2E">
        <w:rPr>
          <w:szCs w:val="22"/>
        </w:rPr>
        <w:t>ir</w:t>
      </w:r>
      <w:r w:rsidR="00F70FF5">
        <w:rPr>
          <w:szCs w:val="22"/>
        </w:rPr>
        <w:t xml:space="preserve"> transition </w:t>
      </w:r>
      <w:r w:rsidR="00C27A2E">
        <w:rPr>
          <w:szCs w:val="22"/>
        </w:rPr>
        <w:t>projects</w:t>
      </w:r>
      <w:r w:rsidR="002275A4">
        <w:rPr>
          <w:szCs w:val="22"/>
        </w:rPr>
        <w:t>.</w:t>
      </w:r>
      <w:r w:rsidR="00D10975">
        <w:t xml:space="preserve"> </w:t>
      </w:r>
      <w:r w:rsidR="006C0D96">
        <w:t xml:space="preserve"> </w:t>
      </w:r>
      <w:r w:rsidR="001A6369">
        <w:t xml:space="preserve">We will continue to monitor closely the draw-down of the Fund to determine if additional allocations are warranted.  </w:t>
      </w:r>
      <w:r w:rsidRPr="00D92436" w:rsidR="00D10975">
        <w:t xml:space="preserve">At the end of the program, all Eligible Entities will provide information regarding any actual or remaining estimated costs and, if appropriate, will be issued a final allocation percentage out of the remainder of the Fund.  </w:t>
      </w:r>
      <w:r w:rsidRPr="00D92436" w:rsidR="00D10975">
        <w:rPr>
          <w:szCs w:val="22"/>
        </w:rPr>
        <w:t>If overpayment is discovered, entities will be required to return the excess funds to the Commission.</w:t>
      </w:r>
      <w:r>
        <w:rPr>
          <w:rStyle w:val="FootnoteReference"/>
        </w:rPr>
        <w:footnoteReference w:id="24"/>
      </w:r>
      <w:r w:rsidR="00D21896">
        <w:rPr>
          <w:szCs w:val="22"/>
        </w:rPr>
        <w:t xml:space="preserve">  </w:t>
      </w:r>
    </w:p>
    <w:p w:rsidR="00682898" w:rsidP="00682898" w14:paraId="7A8FDD02" w14:textId="3C2F4FAF">
      <w:pPr>
        <w:autoSpaceDE w:val="0"/>
        <w:autoSpaceDN w:val="0"/>
        <w:spacing w:after="220"/>
        <w:ind w:firstLine="720"/>
        <w:rPr>
          <w:szCs w:val="22"/>
        </w:rPr>
      </w:pPr>
      <w:r>
        <w:rPr>
          <w:i/>
          <w:szCs w:val="22"/>
        </w:rPr>
        <w:t xml:space="preserve">Individual Allocation Amounts.  </w:t>
      </w:r>
      <w:r w:rsidRPr="009614B0">
        <w:rPr>
          <w:szCs w:val="22"/>
        </w:rPr>
        <w:t xml:space="preserve">Stations and MVPDs </w:t>
      </w:r>
      <w:r>
        <w:rPr>
          <w:szCs w:val="22"/>
        </w:rPr>
        <w:t xml:space="preserve">may </w:t>
      </w:r>
      <w:r w:rsidRPr="009614B0">
        <w:rPr>
          <w:szCs w:val="22"/>
        </w:rPr>
        <w:t>view</w:t>
      </w:r>
      <w:r>
        <w:rPr>
          <w:szCs w:val="22"/>
        </w:rPr>
        <w:t xml:space="preserve"> </w:t>
      </w:r>
      <w:r w:rsidRPr="009614B0">
        <w:rPr>
          <w:szCs w:val="22"/>
        </w:rPr>
        <w:t xml:space="preserve">their </w:t>
      </w:r>
      <w:r w:rsidR="006624C3">
        <w:rPr>
          <w:szCs w:val="22"/>
        </w:rPr>
        <w:t xml:space="preserve">updated </w:t>
      </w:r>
      <w:r w:rsidRPr="009614B0">
        <w:rPr>
          <w:szCs w:val="22"/>
        </w:rPr>
        <w:t xml:space="preserve">individual allocations </w:t>
      </w:r>
      <w:r>
        <w:rPr>
          <w:szCs w:val="22"/>
        </w:rPr>
        <w:t>in</w:t>
      </w:r>
      <w:r w:rsidRPr="009614B0">
        <w:rPr>
          <w:szCs w:val="22"/>
        </w:rPr>
        <w:t xml:space="preserve"> the CORES Incentive Auction Financial Module pursuant to the procedures outlined in the </w:t>
      </w:r>
      <w:r w:rsidRPr="009614B0">
        <w:rPr>
          <w:i/>
          <w:szCs w:val="22"/>
        </w:rPr>
        <w:t>Financial Procedures Public Notice</w:t>
      </w:r>
      <w:r w:rsidRPr="009614B0">
        <w:rPr>
          <w:szCs w:val="22"/>
        </w:rPr>
        <w:t>.</w:t>
      </w:r>
      <w:r>
        <w:rPr>
          <w:rStyle w:val="FootnoteReference"/>
          <w:sz w:val="22"/>
          <w:szCs w:val="22"/>
        </w:rPr>
        <w:footnoteReference w:id="25"/>
      </w:r>
      <w:r>
        <w:rPr>
          <w:szCs w:val="22"/>
        </w:rPr>
        <w:t xml:space="preserve">  </w:t>
      </w:r>
      <w:r w:rsidRPr="00C935DC">
        <w:t>Authori</w:t>
      </w:r>
      <w:r>
        <w:t>zed Agent(s) for Eligible Entities</w:t>
      </w:r>
      <w:r w:rsidRPr="00C935DC">
        <w:t xml:space="preserve"> will be able to view the exact amount allocated to them</w:t>
      </w:r>
      <w:r>
        <w:t xml:space="preserve"> </w:t>
      </w:r>
      <w:r w:rsidRPr="00C935DC">
        <w:t>in the Auction Payments component of the CORES Incentive Auction Financial Module</w:t>
      </w:r>
      <w:r w:rsidR="00C476A3">
        <w:t xml:space="preserve"> shortly following the release of this Public Notice</w:t>
      </w:r>
      <w:r w:rsidRPr="00C935DC">
        <w:t>.</w:t>
      </w:r>
      <w:r>
        <w:rPr>
          <w:rStyle w:val="FootnoteReference"/>
        </w:rPr>
        <w:footnoteReference w:id="26"/>
      </w:r>
      <w:r>
        <w:rPr>
          <w:szCs w:val="22"/>
        </w:rPr>
        <w:t xml:space="preserve">  Eligible Entities</w:t>
      </w:r>
      <w:r w:rsidRPr="009614B0">
        <w:rPr>
          <w:szCs w:val="22"/>
        </w:rPr>
        <w:t xml:space="preserve"> </w:t>
      </w:r>
      <w:r>
        <w:rPr>
          <w:szCs w:val="22"/>
        </w:rPr>
        <w:t xml:space="preserve">may </w:t>
      </w:r>
      <w:r w:rsidR="00AE4ACC">
        <w:rPr>
          <w:szCs w:val="22"/>
        </w:rPr>
        <w:t xml:space="preserve">continue to </w:t>
      </w:r>
      <w:r w:rsidR="0001419A">
        <w:rPr>
          <w:szCs w:val="22"/>
        </w:rPr>
        <w:t xml:space="preserve">draw </w:t>
      </w:r>
      <w:r>
        <w:rPr>
          <w:szCs w:val="22"/>
        </w:rPr>
        <w:t>down against their individual allocations by uploading invoices or receipts and resubmitting the Reimbursement Form in t</w:t>
      </w:r>
      <w:r w:rsidRPr="00781CA1">
        <w:rPr>
          <w:szCs w:val="22"/>
        </w:rPr>
        <w:t>he</w:t>
      </w:r>
      <w:r>
        <w:rPr>
          <w:szCs w:val="22"/>
        </w:rPr>
        <w:t xml:space="preserve"> Bureau’s</w:t>
      </w:r>
      <w:r w:rsidRPr="00781CA1">
        <w:rPr>
          <w:szCs w:val="22"/>
        </w:rPr>
        <w:t xml:space="preserve"> Licensing and Management System</w:t>
      </w:r>
      <w:r>
        <w:rPr>
          <w:szCs w:val="22"/>
        </w:rPr>
        <w:t>.</w:t>
      </w:r>
      <w:r w:rsidRPr="009614B0">
        <w:rPr>
          <w:szCs w:val="22"/>
        </w:rPr>
        <w:t xml:space="preserve"> </w:t>
      </w:r>
      <w:r w:rsidR="00BD4676">
        <w:rPr>
          <w:szCs w:val="22"/>
        </w:rPr>
        <w:t xml:space="preserve"> As noted above, approved invoices will continue to be paid in full up to the full amount of a station’s or MVPD’s allocation, including the </w:t>
      </w:r>
      <w:r w:rsidR="004D27D6">
        <w:rPr>
          <w:szCs w:val="22"/>
        </w:rPr>
        <w:t>additional amount allocated today.</w:t>
      </w:r>
    </w:p>
    <w:p w:rsidR="007D60F3" w:rsidP="00682898" w14:paraId="24F426E2" w14:textId="6009FFDB">
      <w:pPr>
        <w:autoSpaceDE w:val="0"/>
        <w:autoSpaceDN w:val="0"/>
        <w:spacing w:after="220"/>
        <w:ind w:firstLine="720"/>
        <w:rPr>
          <w:szCs w:val="22"/>
        </w:rPr>
      </w:pPr>
      <w:r>
        <w:rPr>
          <w:i/>
          <w:szCs w:val="22"/>
        </w:rPr>
        <w:t xml:space="preserve">Phase Transition Deadlines. </w:t>
      </w:r>
      <w:r w:rsidR="003F1DB7">
        <w:rPr>
          <w:szCs w:val="22"/>
        </w:rPr>
        <w:t xml:space="preserve"> </w:t>
      </w:r>
      <w:r w:rsidR="006C622C">
        <w:rPr>
          <w:szCs w:val="22"/>
        </w:rPr>
        <w:t xml:space="preserve">We emphasis that all stations reassigned to new channels are subject to the applicable phase transition deadline the Commission has </w:t>
      </w:r>
      <w:r w:rsidR="003F1DB7">
        <w:rPr>
          <w:szCs w:val="22"/>
        </w:rPr>
        <w:t>imposed on th</w:t>
      </w:r>
      <w:r w:rsidR="00FE6E69">
        <w:rPr>
          <w:szCs w:val="22"/>
        </w:rPr>
        <w:t>e</w:t>
      </w:r>
      <w:r w:rsidR="003F1DB7">
        <w:rPr>
          <w:szCs w:val="22"/>
        </w:rPr>
        <w:t xml:space="preserve"> station.</w:t>
      </w:r>
      <w:r w:rsidR="006C622C">
        <w:rPr>
          <w:szCs w:val="22"/>
        </w:rPr>
        <w:t xml:space="preserve"> </w:t>
      </w:r>
      <w:r w:rsidR="005F1F0B">
        <w:rPr>
          <w:szCs w:val="22"/>
        </w:rPr>
        <w:t xml:space="preserve"> </w:t>
      </w:r>
      <w:r w:rsidR="003F1DB7">
        <w:rPr>
          <w:szCs w:val="22"/>
        </w:rPr>
        <w:t xml:space="preserve">All </w:t>
      </w:r>
      <w:r w:rsidRPr="002C13A1" w:rsidR="003F1DB7">
        <w:rPr>
          <w:szCs w:val="22"/>
        </w:rPr>
        <w:t>transition</w:t>
      </w:r>
      <w:r w:rsidR="003F1DB7">
        <w:rPr>
          <w:szCs w:val="22"/>
        </w:rPr>
        <w:t>ing stations must be mindful of their particular</w:t>
      </w:r>
      <w:r w:rsidRPr="006D329D" w:rsidR="003F1DB7">
        <w:rPr>
          <w:szCs w:val="22"/>
        </w:rPr>
        <w:t xml:space="preserve"> </w:t>
      </w:r>
      <w:r w:rsidR="003F1DB7">
        <w:rPr>
          <w:szCs w:val="22"/>
        </w:rPr>
        <w:t xml:space="preserve">transition phase deadlines, and plan for and initiate the various stages of their </w:t>
      </w:r>
      <w:r w:rsidRPr="00D52D86" w:rsidR="003F1DB7">
        <w:rPr>
          <w:szCs w:val="22"/>
        </w:rPr>
        <w:t>construction project</w:t>
      </w:r>
      <w:r w:rsidR="003F1DB7">
        <w:rPr>
          <w:szCs w:val="22"/>
        </w:rPr>
        <w:t>s in a timely manner to meet their deadlines.</w:t>
      </w:r>
      <w:r>
        <w:rPr>
          <w:rStyle w:val="FootnoteReference"/>
          <w:szCs w:val="22"/>
        </w:rPr>
        <w:footnoteReference w:id="27"/>
      </w:r>
      <w:r w:rsidR="003F1DB7">
        <w:rPr>
          <w:szCs w:val="22"/>
        </w:rPr>
        <w:t xml:space="preserve">  </w:t>
      </w:r>
      <w:bookmarkStart w:id="3" w:name="_Hlk510624912"/>
      <w:r>
        <w:rPr>
          <w:szCs w:val="22"/>
        </w:rPr>
        <w:t>We are closely tracking the progress of stations through the transition period by monitoring reimbursement activity and the content of individual Form 2100</w:t>
      </w:r>
      <w:r w:rsidR="00B9012A">
        <w:rPr>
          <w:szCs w:val="22"/>
        </w:rPr>
        <w:t xml:space="preserve">, </w:t>
      </w:r>
      <w:r>
        <w:rPr>
          <w:szCs w:val="22"/>
        </w:rPr>
        <w:t>Schedule 387 (Transition Progress Report) forms filed quarterly and at certain milestone dates in a station’s transition.</w:t>
      </w:r>
      <w:r>
        <w:rPr>
          <w:rStyle w:val="FootnoteReference"/>
          <w:szCs w:val="22"/>
        </w:rPr>
        <w:footnoteReference w:id="28"/>
      </w:r>
      <w:r>
        <w:rPr>
          <w:szCs w:val="22"/>
        </w:rPr>
        <w:t xml:space="preserve">  We have engaged in and will continue to </w:t>
      </w:r>
      <w:r w:rsidR="004D27D6">
        <w:rPr>
          <w:szCs w:val="22"/>
        </w:rPr>
        <w:t xml:space="preserve">undertake </w:t>
      </w:r>
      <w:r>
        <w:rPr>
          <w:szCs w:val="22"/>
        </w:rPr>
        <w:t>extensive outreach to transitioning stations to provide support, information, and guidance through</w:t>
      </w:r>
      <w:r w:rsidR="00D21896">
        <w:rPr>
          <w:szCs w:val="22"/>
        </w:rPr>
        <w:t>out</w:t>
      </w:r>
      <w:r>
        <w:rPr>
          <w:szCs w:val="22"/>
        </w:rPr>
        <w:t xml:space="preserve"> the transition.  Each station is assigned to a Regional Coordinator to enhance our ability to closely monitor station progress and provide a first point of contact at the Commission for stations to ensure a smooth and efficient transition.</w:t>
      </w:r>
      <w:r>
        <w:rPr>
          <w:rStyle w:val="FootnoteReference"/>
          <w:szCs w:val="22"/>
        </w:rPr>
        <w:footnoteReference w:id="29"/>
      </w:r>
      <w:r>
        <w:rPr>
          <w:szCs w:val="22"/>
        </w:rPr>
        <w:t xml:space="preserve">  </w:t>
      </w:r>
      <w:bookmarkEnd w:id="3"/>
    </w:p>
    <w:p w:rsidR="00682898" w:rsidRPr="009614B0" w:rsidP="00682898" w14:paraId="39ADC70E" w14:textId="35B978FC">
      <w:pPr>
        <w:autoSpaceDE w:val="0"/>
        <w:autoSpaceDN w:val="0"/>
        <w:spacing w:after="220"/>
        <w:ind w:firstLine="720"/>
        <w:rPr>
          <w:szCs w:val="22"/>
        </w:rPr>
      </w:pPr>
      <w:r>
        <w:t xml:space="preserve">Although </w:t>
      </w:r>
      <w:r w:rsidR="006D329D">
        <w:t xml:space="preserve">the </w:t>
      </w:r>
      <w:r w:rsidR="005F1F0B">
        <w:t>Ray Baum</w:t>
      </w:r>
      <w:r w:rsidR="001C6047">
        <w:t>’s</w:t>
      </w:r>
      <w:r w:rsidR="005F1F0B">
        <w:t xml:space="preserve"> Act</w:t>
      </w:r>
      <w:r w:rsidR="006624C3">
        <w:t xml:space="preserve"> </w:t>
      </w:r>
      <w:r w:rsidR="005F1F0B">
        <w:t xml:space="preserve">provides </w:t>
      </w:r>
      <w:r w:rsidR="001C6047">
        <w:t xml:space="preserve">a process by which the Commission could have additional time to </w:t>
      </w:r>
      <w:r w:rsidR="008858D4">
        <w:t xml:space="preserve">undertake a </w:t>
      </w:r>
      <w:r w:rsidR="006D329D">
        <w:t>final accounting of reimbursement payments</w:t>
      </w:r>
      <w:r w:rsidR="006624C3">
        <w:t xml:space="preserve"> at the conclusion</w:t>
      </w:r>
      <w:r w:rsidR="00C170D0">
        <w:t xml:space="preserve"> of the reimbursement </w:t>
      </w:r>
      <w:r w:rsidR="006D329D">
        <w:t>program</w:t>
      </w:r>
      <w:r>
        <w:t>,</w:t>
      </w:r>
      <w:r>
        <w:rPr>
          <w:rStyle w:val="FootnoteReference"/>
          <w:sz w:val="22"/>
          <w:szCs w:val="22"/>
        </w:rPr>
        <w:footnoteReference w:id="30"/>
      </w:r>
      <w:r w:rsidR="006624C3">
        <w:t xml:space="preserve"> </w:t>
      </w:r>
      <w:r w:rsidR="008858D4">
        <w:t xml:space="preserve"> </w:t>
      </w:r>
      <w:r w:rsidR="00EF0812">
        <w:t xml:space="preserve">the </w:t>
      </w:r>
      <w:r w:rsidRPr="00C170D0" w:rsidR="00EF0812">
        <w:t xml:space="preserve">39-month post-auction transition period that began with the release of </w:t>
      </w:r>
      <w:r w:rsidRPr="00E6655C" w:rsidR="00EF0812">
        <w:t xml:space="preserve">the </w:t>
      </w:r>
      <w:r w:rsidRPr="00EF0812" w:rsidR="00EF0812">
        <w:rPr>
          <w:i/>
        </w:rPr>
        <w:t>Closing and Channel Reassignment PN</w:t>
      </w:r>
      <w:r w:rsidRPr="00C170D0" w:rsidR="00EF0812">
        <w:t xml:space="preserve"> </w:t>
      </w:r>
      <w:r w:rsidR="00EF0812">
        <w:t>remains unchanged</w:t>
      </w:r>
      <w:r w:rsidR="00A512C7">
        <w:t>.</w:t>
      </w:r>
      <w:r>
        <w:rPr>
          <w:rStyle w:val="FootnoteReference"/>
          <w:sz w:val="22"/>
          <w:szCs w:val="22"/>
        </w:rPr>
        <w:footnoteReference w:id="31"/>
      </w:r>
      <w:r w:rsidR="00EF0812">
        <w:t xml:space="preserve"> </w:t>
      </w:r>
      <w:r w:rsidR="00A512C7">
        <w:t xml:space="preserve"> W</w:t>
      </w:r>
      <w:r w:rsidR="008858D4">
        <w:t xml:space="preserve">e emphasize that </w:t>
      </w:r>
      <w:r w:rsidR="006624C3">
        <w:t xml:space="preserve">the </w:t>
      </w:r>
      <w:r w:rsidR="00F626BF">
        <w:t xml:space="preserve">possibility of an </w:t>
      </w:r>
      <w:r w:rsidR="00EF0812">
        <w:t xml:space="preserve">extended </w:t>
      </w:r>
      <w:r w:rsidR="006624C3">
        <w:t>reimbursement period</w:t>
      </w:r>
      <w:r w:rsidR="008858D4">
        <w:t xml:space="preserve"> does not in any way alter the </w:t>
      </w:r>
      <w:r w:rsidR="007D60F3">
        <w:t xml:space="preserve">mandatory nature of </w:t>
      </w:r>
      <w:r w:rsidR="00F626BF">
        <w:t>applicable</w:t>
      </w:r>
      <w:r w:rsidR="008858D4">
        <w:t xml:space="preserve"> phase </w:t>
      </w:r>
      <w:r>
        <w:t xml:space="preserve">transition </w:t>
      </w:r>
      <w:r w:rsidR="008858D4">
        <w:t>deadlines.</w:t>
      </w:r>
      <w:r>
        <w:rPr>
          <w:szCs w:val="22"/>
        </w:rPr>
        <w:t xml:space="preserve">  </w:t>
      </w:r>
      <w:r w:rsidR="00532419">
        <w:rPr>
          <w:szCs w:val="22"/>
        </w:rPr>
        <w:t>As we have stated, t</w:t>
      </w:r>
      <w:r w:rsidR="00F605BB">
        <w:rPr>
          <w:szCs w:val="22"/>
        </w:rPr>
        <w:t xml:space="preserve">he Bureau will view unfavorably any application/request </w:t>
      </w:r>
      <w:r w:rsidR="00D96118">
        <w:rPr>
          <w:szCs w:val="22"/>
        </w:rPr>
        <w:t xml:space="preserve">for modifications of the transition schedule </w:t>
      </w:r>
      <w:r w:rsidR="00F605BB">
        <w:rPr>
          <w:szCs w:val="22"/>
        </w:rPr>
        <w:t xml:space="preserve">that would </w:t>
      </w:r>
      <w:r w:rsidR="00D96118">
        <w:rPr>
          <w:szCs w:val="22"/>
        </w:rPr>
        <w:t>likely</w:t>
      </w:r>
      <w:r w:rsidR="00F605BB">
        <w:rPr>
          <w:szCs w:val="22"/>
        </w:rPr>
        <w:t xml:space="preserve"> delay or disrupt the transition</w:t>
      </w:r>
      <w:r w:rsidR="00D84462">
        <w:rPr>
          <w:szCs w:val="22"/>
        </w:rPr>
        <w:t>.</w:t>
      </w:r>
      <w:r>
        <w:rPr>
          <w:rStyle w:val="FootnoteReference"/>
          <w:szCs w:val="22"/>
        </w:rPr>
        <w:footnoteReference w:id="32"/>
      </w:r>
      <w:r w:rsidR="00D96118">
        <w:rPr>
          <w:szCs w:val="22"/>
        </w:rPr>
        <w:t xml:space="preserve">  </w:t>
      </w:r>
      <w:r w:rsidR="00DC271C">
        <w:rPr>
          <w:szCs w:val="22"/>
        </w:rPr>
        <w:t xml:space="preserve">While the Bureau “does not intend to grant request that would </w:t>
      </w:r>
      <w:bookmarkStart w:id="5" w:name="_Hlk510800544"/>
      <w:r w:rsidR="00275C9E">
        <w:rPr>
          <w:szCs w:val="22"/>
        </w:rPr>
        <w:t>disrupt</w:t>
      </w:r>
      <w:r w:rsidR="00DC271C">
        <w:rPr>
          <w:szCs w:val="22"/>
        </w:rPr>
        <w:t xml:space="preserve"> the transition</w:t>
      </w:r>
      <w:bookmarkEnd w:id="5"/>
      <w:r w:rsidR="00DC271C">
        <w:rPr>
          <w:szCs w:val="22"/>
        </w:rPr>
        <w:t>,”</w:t>
      </w:r>
      <w:r>
        <w:rPr>
          <w:rStyle w:val="FootnoteReference"/>
          <w:szCs w:val="22"/>
        </w:rPr>
        <w:footnoteReference w:id="33"/>
      </w:r>
      <w:r w:rsidR="00DC271C">
        <w:rPr>
          <w:szCs w:val="22"/>
        </w:rPr>
        <w:t xml:space="preserve"> we have provided several tools that will allow us to provide alternative transition solutions that could resolve unforeseen </w:t>
      </w:r>
      <w:r w:rsidR="00275C9E">
        <w:rPr>
          <w:szCs w:val="22"/>
        </w:rPr>
        <w:t>circumstances</w:t>
      </w:r>
      <w:r w:rsidR="00DC271C">
        <w:rPr>
          <w:szCs w:val="22"/>
        </w:rPr>
        <w:t xml:space="preserve"> that could force a station to go dark</w:t>
      </w:r>
      <w:r w:rsidR="00532419">
        <w:rPr>
          <w:szCs w:val="22"/>
        </w:rPr>
        <w:t>.</w:t>
      </w:r>
      <w:r>
        <w:rPr>
          <w:rStyle w:val="FootnoteReference"/>
          <w:szCs w:val="22"/>
        </w:rPr>
        <w:footnoteReference w:id="34"/>
      </w:r>
      <w:r w:rsidR="00DC271C">
        <w:rPr>
          <w:szCs w:val="22"/>
        </w:rPr>
        <w:t xml:space="preserve"> </w:t>
      </w:r>
      <w:r w:rsidR="00935D2F">
        <w:rPr>
          <w:szCs w:val="22"/>
        </w:rPr>
        <w:t xml:space="preserve"> </w:t>
      </w:r>
      <w:r w:rsidR="00532419">
        <w:rPr>
          <w:szCs w:val="22"/>
        </w:rPr>
        <w:t>W</w:t>
      </w:r>
      <w:r w:rsidR="006D329D">
        <w:rPr>
          <w:szCs w:val="22"/>
        </w:rPr>
        <w:t>e reiterate</w:t>
      </w:r>
      <w:r w:rsidR="00532419">
        <w:rPr>
          <w:szCs w:val="22"/>
        </w:rPr>
        <w:t>, however,</w:t>
      </w:r>
      <w:r w:rsidR="006D329D">
        <w:rPr>
          <w:szCs w:val="22"/>
        </w:rPr>
        <w:t xml:space="preserve"> our prior admonition that f</w:t>
      </w:r>
      <w:r>
        <w:rPr>
          <w:szCs w:val="22"/>
        </w:rPr>
        <w:t xml:space="preserve">ailure to timely initiate a construction project or undertake necessary steps to complete the transition by the phase transition date due to the amount of any allocation will not be weighed favorably as a factor in considering grants of </w:t>
      </w:r>
      <w:r w:rsidR="00212424">
        <w:rPr>
          <w:szCs w:val="22"/>
        </w:rPr>
        <w:t xml:space="preserve">such </w:t>
      </w:r>
      <w:r>
        <w:rPr>
          <w:szCs w:val="22"/>
        </w:rPr>
        <w:t>relief.</w:t>
      </w:r>
      <w:r>
        <w:rPr>
          <w:rStyle w:val="FootnoteReference"/>
          <w:szCs w:val="22"/>
        </w:rPr>
        <w:footnoteReference w:id="35"/>
      </w:r>
    </w:p>
    <w:p w:rsidR="00682898" w:rsidRPr="006567A9" w:rsidP="00682898" w14:paraId="3C2B76FB" w14:textId="55FA203C">
      <w:pPr>
        <w:autoSpaceDE w:val="0"/>
        <w:autoSpaceDN w:val="0"/>
        <w:spacing w:after="220"/>
        <w:ind w:firstLine="720"/>
        <w:rPr>
          <w:color w:val="0000FF"/>
          <w:u w:val="single"/>
        </w:rPr>
      </w:pPr>
      <w:r>
        <w:rPr>
          <w:i/>
          <w:szCs w:val="22"/>
        </w:rPr>
        <w:t xml:space="preserve">Resources.  </w:t>
      </w:r>
      <w:r>
        <w:rPr>
          <w:szCs w:val="22"/>
        </w:rPr>
        <w:t>E</w:t>
      </w:r>
      <w:r w:rsidRPr="009614B0">
        <w:rPr>
          <w:szCs w:val="22"/>
        </w:rPr>
        <w:t xml:space="preserve">ducational and reference materials </w:t>
      </w:r>
      <w:r>
        <w:rPr>
          <w:szCs w:val="22"/>
        </w:rPr>
        <w:t>about</w:t>
      </w:r>
      <w:r w:rsidRPr="009614B0">
        <w:rPr>
          <w:szCs w:val="22"/>
        </w:rPr>
        <w:t xml:space="preserve"> </w:t>
      </w:r>
      <w:r>
        <w:rPr>
          <w:szCs w:val="22"/>
        </w:rPr>
        <w:t>the reimbursement process and the Reimbursement Form</w:t>
      </w:r>
      <w:r w:rsidRPr="009614B0">
        <w:rPr>
          <w:szCs w:val="22"/>
        </w:rPr>
        <w:t xml:space="preserve"> </w:t>
      </w:r>
      <w:r>
        <w:rPr>
          <w:szCs w:val="22"/>
        </w:rPr>
        <w:t>are</w:t>
      </w:r>
      <w:r w:rsidRPr="009614B0">
        <w:rPr>
          <w:szCs w:val="22"/>
        </w:rPr>
        <w:t xml:space="preserve"> accessible via the Commission’s website at</w:t>
      </w:r>
      <w:r>
        <w:rPr>
          <w:szCs w:val="22"/>
        </w:rPr>
        <w:t xml:space="preserve">: </w:t>
      </w:r>
      <w:r>
        <w:fldChar w:fldCharType="begin"/>
      </w:r>
      <w:r>
        <w:instrText xml:space="preserve"> HYPERLINK "https://www.fcc.gov/incentiveauctions/reimbursement" </w:instrText>
      </w:r>
      <w:r>
        <w:fldChar w:fldCharType="separate"/>
      </w:r>
      <w:r w:rsidRPr="00786109">
        <w:rPr>
          <w:rStyle w:val="Hyperlink"/>
          <w:szCs w:val="22"/>
        </w:rPr>
        <w:t>https://</w:t>
      </w:r>
      <w:r w:rsidRPr="00786109">
        <w:rPr>
          <w:rStyle w:val="Hyperlink"/>
        </w:rPr>
        <w:t>www.fcc.gov/incentiveauctions/reimbursement</w:t>
      </w:r>
      <w:r>
        <w:fldChar w:fldCharType="end"/>
      </w:r>
      <w:r w:rsidRPr="009614B0">
        <w:rPr>
          <w:szCs w:val="22"/>
        </w:rPr>
        <w:t xml:space="preserve">. These materials will </w:t>
      </w:r>
      <w:r w:rsidR="006D329D">
        <w:rPr>
          <w:szCs w:val="22"/>
        </w:rPr>
        <w:t xml:space="preserve">continue to </w:t>
      </w:r>
      <w:r w:rsidRPr="009614B0">
        <w:rPr>
          <w:szCs w:val="22"/>
        </w:rPr>
        <w:t>be updated periodically throughout the reimbursement period.</w:t>
      </w:r>
    </w:p>
    <w:p w:rsidR="00682898" w:rsidP="00682898" w14:paraId="6A805984" w14:textId="77777777">
      <w:pPr>
        <w:spacing w:after="120"/>
        <w:ind w:firstLine="720"/>
        <w:rPr>
          <w:szCs w:val="22"/>
        </w:rPr>
      </w:pPr>
      <w:r>
        <w:rPr>
          <w:i/>
          <w:szCs w:val="22"/>
        </w:rPr>
        <w:t xml:space="preserve">Additional Information.  </w:t>
      </w:r>
      <w:r w:rsidRPr="009614B0">
        <w:rPr>
          <w:szCs w:val="22"/>
        </w:rPr>
        <w:t xml:space="preserve">For questions about the reimbursement process, please call the Reimbursement Help Line at (202) 418-2009, or e-mail </w:t>
      </w:r>
      <w:r w:rsidRPr="00931E7E">
        <w:rPr>
          <w:rStyle w:val="Hyperlink"/>
        </w:rPr>
        <w:t>Reimburse@fcc.gov</w:t>
      </w:r>
      <w:r w:rsidRPr="009614B0">
        <w:rPr>
          <w:szCs w:val="22"/>
        </w:rPr>
        <w:t xml:space="preserve">.  Questions about this Public Notice may be directed to Raphael Sznajder at (202) 418-1648 or </w:t>
      </w:r>
      <w:r>
        <w:fldChar w:fldCharType="begin"/>
      </w:r>
      <w:r>
        <w:instrText xml:space="preserve"> HYPERLINK "mailto:Raphael.Sznajder@fcc.gov" </w:instrText>
      </w:r>
      <w:r>
        <w:fldChar w:fldCharType="separate"/>
      </w:r>
      <w:r w:rsidRPr="000C7258">
        <w:rPr>
          <w:rStyle w:val="Hyperlink"/>
          <w:szCs w:val="22"/>
        </w:rPr>
        <w:t>Raphael.Sznajder@fcc.gov</w:t>
      </w:r>
      <w:r>
        <w:fldChar w:fldCharType="end"/>
      </w:r>
      <w:r>
        <w:rPr>
          <w:szCs w:val="22"/>
        </w:rPr>
        <w:t>, or Jeffrey Neumann</w:t>
      </w:r>
      <w:r w:rsidRPr="009614B0">
        <w:rPr>
          <w:szCs w:val="22"/>
        </w:rPr>
        <w:t xml:space="preserve"> </w:t>
      </w:r>
      <w:r>
        <w:rPr>
          <w:szCs w:val="22"/>
        </w:rPr>
        <w:t xml:space="preserve">at </w:t>
      </w:r>
      <w:r w:rsidRPr="009614B0">
        <w:rPr>
          <w:szCs w:val="22"/>
        </w:rPr>
        <w:t>(202) 418-</w:t>
      </w:r>
      <w:r>
        <w:rPr>
          <w:szCs w:val="22"/>
        </w:rPr>
        <w:t xml:space="preserve">2046 or </w:t>
      </w:r>
      <w:r w:rsidRPr="0079127A">
        <w:rPr>
          <w:rStyle w:val="Hyperlink"/>
        </w:rPr>
        <w:t>Jeffrey.Neumann@fcc.gov</w:t>
      </w:r>
      <w:r>
        <w:rPr>
          <w:szCs w:val="22"/>
        </w:rPr>
        <w:t>,</w:t>
      </w:r>
      <w:r w:rsidRPr="009614B0">
        <w:rPr>
          <w:szCs w:val="22"/>
        </w:rPr>
        <w:t xml:space="preserve"> of the Media Bureau.  Press contact: Charlie Meisch, </w:t>
      </w:r>
      <w:r>
        <w:rPr>
          <w:szCs w:val="22"/>
        </w:rPr>
        <w:t xml:space="preserve">(202) </w:t>
      </w:r>
      <w:r w:rsidRPr="009614B0">
        <w:rPr>
          <w:szCs w:val="22"/>
        </w:rPr>
        <w:t>418-2943</w:t>
      </w:r>
      <w:r>
        <w:rPr>
          <w:szCs w:val="22"/>
        </w:rPr>
        <w:t xml:space="preserve"> or </w:t>
      </w:r>
      <w:r>
        <w:fldChar w:fldCharType="begin"/>
      </w:r>
      <w:r>
        <w:instrText xml:space="preserve"> HYPERLINK "mailto:Charles.Meisch@fcc.gov" </w:instrText>
      </w:r>
      <w:r>
        <w:fldChar w:fldCharType="separate"/>
      </w:r>
      <w:r w:rsidRPr="00856B81">
        <w:rPr>
          <w:rStyle w:val="Hyperlink"/>
          <w:szCs w:val="22"/>
        </w:rPr>
        <w:t>C</w:t>
      </w:r>
      <w:r w:rsidRPr="00856B81">
        <w:rPr>
          <w:rStyle w:val="Hyperlink"/>
        </w:rPr>
        <w:t>harles.Meisch@fcc.gov</w:t>
      </w:r>
      <w:r>
        <w:fldChar w:fldCharType="end"/>
      </w:r>
      <w:r w:rsidRPr="009614B0">
        <w:rPr>
          <w:szCs w:val="22"/>
        </w:rPr>
        <w:t>.</w:t>
      </w:r>
    </w:p>
    <w:p w:rsidR="00AE7786" w:rsidP="006A714B" w14:paraId="4C56193F" w14:textId="77777777">
      <w:pPr>
        <w:spacing w:after="120"/>
        <w:ind w:firstLine="720"/>
        <w:rPr>
          <w:szCs w:val="22"/>
        </w:rPr>
      </w:pPr>
    </w:p>
    <w:p w:rsidR="00AE7786" w:rsidRPr="009614B0" w:rsidP="006A714B" w14:paraId="1E136E30" w14:textId="77777777">
      <w:pPr>
        <w:spacing w:after="120"/>
        <w:ind w:firstLine="720"/>
        <w:rPr>
          <w:szCs w:val="22"/>
        </w:rPr>
      </w:pPr>
    </w:p>
    <w:p w:rsidR="00750150" w:rsidRPr="009614B0" w:rsidP="00F3180E" w14:paraId="6A76FB48" w14:textId="77777777">
      <w:pPr>
        <w:jc w:val="center"/>
        <w:rPr>
          <w:b/>
          <w:szCs w:val="22"/>
        </w:rPr>
      </w:pPr>
      <w:r w:rsidRPr="009614B0">
        <w:rPr>
          <w:b/>
          <w:szCs w:val="22"/>
        </w:rPr>
        <w:t xml:space="preserve">- FCC </w:t>
      </w:r>
      <w:r w:rsidRPr="009614B0" w:rsidR="00537D03">
        <w:rPr>
          <w:b/>
          <w:szCs w:val="22"/>
        </w:rPr>
        <w:t>–</w:t>
      </w:r>
      <w:r w:rsidRPr="009614B0">
        <w:rPr>
          <w:b/>
          <w:szCs w:val="22"/>
        </w:rPr>
        <w:t xml:space="preserve"> </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14:paraId="42323E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C627C6" w14:paraId="1C96F5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14:paraId="2E8DD4F7" w14:textId="6ECB3EEE">
    <w:pPr>
      <w:pStyle w:val="Footer"/>
      <w:framePr w:wrap="around" w:vAnchor="text" w:hAnchor="margin" w:xAlign="center" w:y="1"/>
    </w:pPr>
    <w:r>
      <w:fldChar w:fldCharType="begin"/>
    </w:r>
    <w:r>
      <w:instrText xml:space="preserve">PAGE  </w:instrText>
    </w:r>
    <w:r>
      <w:fldChar w:fldCharType="separate"/>
    </w:r>
    <w:r w:rsidR="00276EF8">
      <w:rPr>
        <w:noProof/>
      </w:rPr>
      <w:t>2</w:t>
    </w:r>
    <w:r>
      <w:fldChar w:fldCharType="end"/>
    </w:r>
  </w:p>
  <w:p w:rsidR="00C627C6" w14:paraId="122FDB3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14:paraId="73034C4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2804" w:rsidRPr="00FF55F7" w:rsidP="00FF55F7" w14:paraId="532486EC" w14:textId="77777777">
      <w:pPr>
        <w:pStyle w:val="Footer"/>
      </w:pPr>
      <w:r>
        <w:separator/>
      </w:r>
    </w:p>
  </w:footnote>
  <w:footnote w:type="continuationSeparator" w:id="1">
    <w:p w:rsidR="00232804" w:rsidRPr="00FF55F7" w:rsidP="00FF55F7" w14:paraId="5DE77900" w14:textId="77777777">
      <w:pPr>
        <w:pStyle w:val="Footer"/>
      </w:pPr>
      <w:r>
        <w:continuationSeparator/>
      </w:r>
    </w:p>
  </w:footnote>
  <w:footnote w:type="continuationNotice" w:id="2">
    <w:p w:rsidR="00232804" w:rsidRPr="00FF55F7" w:rsidP="00FF55F7" w14:paraId="41C6EA3D" w14:textId="77777777">
      <w:pPr>
        <w:pStyle w:val="Footer"/>
      </w:pPr>
    </w:p>
  </w:footnote>
  <w:footnote w:id="3">
    <w:p w:rsidR="00DE2332" w:rsidRPr="00C935DC" w:rsidP="00DE2332" w14:paraId="3588719B" w14:textId="77777777">
      <w:pPr>
        <w:widowControl/>
        <w:autoSpaceDE w:val="0"/>
        <w:autoSpaceDN w:val="0"/>
        <w:adjustRightInd w:val="0"/>
        <w:spacing w:after="120"/>
      </w:pPr>
      <w:r w:rsidRPr="00C935DC">
        <w:rPr>
          <w:rStyle w:val="FootnoteReference"/>
        </w:rPr>
        <w:footnoteRef/>
      </w:r>
      <w:r w:rsidRPr="00C935DC">
        <w:rPr>
          <w:sz w:val="20"/>
        </w:rPr>
        <w:t xml:space="preserve"> </w:t>
      </w:r>
      <w:r>
        <w:rPr>
          <w:i/>
          <w:sz w:val="20"/>
        </w:rPr>
        <w:t xml:space="preserve">See </w:t>
      </w:r>
      <w:r w:rsidRPr="00C935DC">
        <w:rPr>
          <w:rFonts w:ascii="TimesNewRoman,Italic" w:hAnsi="TimesNewRoman,Italic" w:cs="TimesNewRoman,Italic"/>
          <w:i/>
          <w:iCs/>
          <w:snapToGrid/>
          <w:kern w:val="0"/>
          <w:sz w:val="20"/>
        </w:rPr>
        <w:t>Middle Class Tax Relief and Job Creation Act of 2012</w:t>
      </w:r>
      <w:r w:rsidRPr="00C935DC">
        <w:rPr>
          <w:rFonts w:ascii="TimesNewRoman" w:hAnsi="TimesNewRoman" w:cs="TimesNewRoman"/>
          <w:snapToGrid/>
          <w:kern w:val="0"/>
          <w:sz w:val="20"/>
        </w:rPr>
        <w:t>, Pub. L. No. 112-96, §§ 6402, 6403, 125 Stat. 156 (2012)</w:t>
      </w:r>
      <w:r>
        <w:rPr>
          <w:rFonts w:ascii="TimesNewRoman" w:hAnsi="TimesNewRoman" w:cs="TimesNewRoman"/>
          <w:snapToGrid/>
          <w:kern w:val="0"/>
          <w:sz w:val="20"/>
        </w:rPr>
        <w:t xml:space="preserve"> </w:t>
      </w:r>
      <w:r w:rsidRPr="00C935DC">
        <w:rPr>
          <w:rFonts w:ascii="TimesNewRoman" w:hAnsi="TimesNewRoman" w:cs="TimesNewRoman"/>
          <w:snapToGrid/>
          <w:kern w:val="0"/>
          <w:sz w:val="20"/>
        </w:rPr>
        <w:t xml:space="preserve">(Spectrum Act) at § 6403(d)(1); 47 U.S.C. § 309(j)(8)(G)(iii)(I). </w:t>
      </w:r>
    </w:p>
  </w:footnote>
  <w:footnote w:id="4">
    <w:p w:rsidR="00DC1316" w:rsidRPr="00DC1316" w14:paraId="0FCF76F4" w14:textId="1676A36F">
      <w:pPr>
        <w:pStyle w:val="FootnoteText"/>
      </w:pPr>
      <w:r>
        <w:rPr>
          <w:rStyle w:val="FootnoteReference"/>
        </w:rPr>
        <w:footnoteRef/>
      </w:r>
      <w:r>
        <w:t xml:space="preserve"> This allocation does not include funds from the </w:t>
      </w:r>
      <w:r w:rsidRPr="00A3329D">
        <w:rPr>
          <w:rFonts w:ascii="TimesNewRoman" w:hAnsi="TimesNewRoman" w:cs="TimesNewRoman"/>
          <w:i/>
        </w:rPr>
        <w:t>R</w:t>
      </w:r>
      <w:r w:rsidRPr="00A3329D">
        <w:rPr>
          <w:i/>
        </w:rPr>
        <w:t>epack Airwaves Yielding Better Access for Users of Modern Services Act of 2018</w:t>
      </w:r>
      <w:r>
        <w:t xml:space="preserve">, </w:t>
      </w:r>
      <w:r w:rsidRPr="004C7DCB">
        <w:t>H.R.</w:t>
      </w:r>
      <w:r>
        <w:t xml:space="preserve"> </w:t>
      </w:r>
      <w:r w:rsidRPr="004C7DCB">
        <w:t>4986</w:t>
      </w:r>
      <w:r>
        <w:t>, 115</w:t>
      </w:r>
      <w:r w:rsidRPr="004C7DCB">
        <w:rPr>
          <w:vertAlign w:val="superscript"/>
        </w:rPr>
        <w:t>th</w:t>
      </w:r>
      <w:r>
        <w:t xml:space="preserve"> Cong. </w:t>
      </w:r>
      <w:r w:rsidRPr="00C935DC">
        <w:rPr>
          <w:rFonts w:ascii="TimesNewRoman" w:hAnsi="TimesNewRoman" w:cs="TimesNewRoman"/>
        </w:rPr>
        <w:t>§</w:t>
      </w:r>
      <w:r>
        <w:rPr>
          <w:rFonts w:ascii="TimesNewRoman" w:hAnsi="TimesNewRoman" w:cs="TimesNewRoman"/>
        </w:rPr>
        <w:t xml:space="preserve"> 601 (2018)</w:t>
      </w:r>
      <w:r w:rsidRPr="00F37C58">
        <w:t xml:space="preserve"> </w:t>
      </w:r>
      <w:r>
        <w:t>(codified at 47 U.S.C. §</w:t>
      </w:r>
      <w:r w:rsidRPr="00E63351">
        <w:t xml:space="preserve"> 1452</w:t>
      </w:r>
      <w:r>
        <w:rPr>
          <w:rFonts w:ascii="TimesNewRoman" w:hAnsi="TimesNewRoman" w:cs="TimesNewRoman"/>
        </w:rPr>
        <w:t>)</w:t>
      </w:r>
      <w:r w:rsidRPr="00D2591A">
        <w:t xml:space="preserve"> </w:t>
      </w:r>
      <w:r>
        <w:t xml:space="preserve">(Ray Baum’s Act), which is described below.  </w:t>
      </w:r>
    </w:p>
  </w:footnote>
  <w:footnote w:id="5">
    <w:p w:rsidR="00092350" w:rsidP="00092350" w14:paraId="0DC15119" w14:textId="77777777">
      <w:pPr>
        <w:pStyle w:val="FootnoteText"/>
      </w:pPr>
      <w:r>
        <w:rPr>
          <w:rStyle w:val="FootnoteReference"/>
        </w:rPr>
        <w:footnoteRef/>
      </w:r>
      <w:r>
        <w:t xml:space="preserve"> </w:t>
      </w:r>
      <w:r w:rsidRPr="00B975D8">
        <w:rPr>
          <w:rFonts w:ascii="TimesNewRoman" w:hAnsi="TimesNewRoman" w:cs="TimesNewRoman"/>
        </w:rPr>
        <w:t>47 U.S.C. § 1452(b)(4)(A)(i)-(ii).</w:t>
      </w:r>
    </w:p>
  </w:footnote>
  <w:footnote w:id="6">
    <w:p w:rsidR="00C627C6" w:rsidRPr="00625219" w:rsidP="008911F2" w14:paraId="05E4E735" w14:textId="3834CF7D">
      <w:pPr>
        <w:pStyle w:val="FootnoteText"/>
      </w:pPr>
      <w:r w:rsidRPr="00625219">
        <w:rPr>
          <w:rStyle w:val="FootnoteReference"/>
        </w:rPr>
        <w:footnoteRef/>
      </w:r>
      <w:r w:rsidRPr="00625219">
        <w:t xml:space="preserve"> </w:t>
      </w:r>
      <w:r w:rsidRPr="00625219" w:rsidR="00593AC1">
        <w:rPr>
          <w:i/>
        </w:rPr>
        <w:t>Incentive Auction Task Force and Media Bureau Announce the Initial Reimbursement Allocation for Eligible Broadcasters and MVPDs</w:t>
      </w:r>
      <w:r w:rsidRPr="00625219" w:rsidR="00593AC1">
        <w:t xml:space="preserve">, Public Notice, </w:t>
      </w:r>
      <w:r w:rsidR="00593AC1">
        <w:t>32</w:t>
      </w:r>
      <w:r w:rsidRPr="00365078" w:rsidR="00593AC1">
        <w:t xml:space="preserve"> FCC Rcd</w:t>
      </w:r>
      <w:r w:rsidR="00593AC1">
        <w:t xml:space="preserve"> 7556, 7556-57</w:t>
      </w:r>
      <w:r w:rsidRPr="00625219" w:rsidR="00593AC1">
        <w:t xml:space="preserve"> (IATF/MB 2017)</w:t>
      </w:r>
      <w:r w:rsidR="00593AC1">
        <w:t xml:space="preserve"> (</w:t>
      </w:r>
      <w:r w:rsidRPr="00625219" w:rsidR="00593AC1">
        <w:rPr>
          <w:i/>
        </w:rPr>
        <w:t>Initial Allocation PN</w:t>
      </w:r>
      <w:r w:rsidRPr="00625219" w:rsidR="00593AC1">
        <w:t>)</w:t>
      </w:r>
      <w:r w:rsidR="00593AC1">
        <w:t xml:space="preserve">; </w:t>
      </w:r>
      <w:r w:rsidRPr="0064627E" w:rsidR="00593AC1">
        <w:rPr>
          <w:i/>
        </w:rPr>
        <w:t>Expanding the Economic and Innovation Opportunities of Spectrum Through Incentive Auctions</w:t>
      </w:r>
      <w:r w:rsidRPr="0064627E" w:rsidR="00593AC1">
        <w:t>, Report and Order, 29 FCC Rcd 6567</w:t>
      </w:r>
      <w:r w:rsidRPr="00625219" w:rsidR="00593AC1">
        <w:t>,</w:t>
      </w:r>
      <w:r w:rsidRPr="0064627E" w:rsidR="00593AC1">
        <w:t xml:space="preserve"> </w:t>
      </w:r>
      <w:r w:rsidRPr="00625219" w:rsidR="00593AC1">
        <w:t>68</w:t>
      </w:r>
      <w:r w:rsidR="00593AC1">
        <w:t>12-26</w:t>
      </w:r>
      <w:r w:rsidRPr="00625219" w:rsidR="00593AC1">
        <w:t>, para</w:t>
      </w:r>
      <w:r w:rsidR="00593AC1">
        <w:t>s</w:t>
      </w:r>
      <w:r w:rsidRPr="00625219" w:rsidR="00593AC1">
        <w:t xml:space="preserve">. </w:t>
      </w:r>
      <w:r w:rsidR="006F1D76">
        <w:t>598-636</w:t>
      </w:r>
      <w:r w:rsidRPr="00625219" w:rsidR="00593AC1">
        <w:t xml:space="preserve"> (noting the importance of “maintaining the integrity of the Fund,” and delegating authority to the Bureau to “adopt the necessary policies and procedures relating to allocations, draw downs, payments, obligations, and expenditures of money from the [] Fund in order to protect against waste, fraud, and abuse and in the event of bankruptcy.”)</w:t>
      </w:r>
      <w:r w:rsidRPr="0064627E" w:rsidR="00593AC1">
        <w:t xml:space="preserve">, </w:t>
      </w:r>
      <w:r w:rsidRPr="0064627E" w:rsidR="00593AC1">
        <w:rPr>
          <w:i/>
        </w:rPr>
        <w:t>affirmed, National Association of Broadcasters v. FCC</w:t>
      </w:r>
      <w:r w:rsidRPr="0064627E" w:rsidR="00593AC1">
        <w:t>, 789 F.3d 165 (D.C. Cir. 2015) (</w:t>
      </w:r>
      <w:r w:rsidRPr="0064627E" w:rsidR="00593AC1">
        <w:rPr>
          <w:i/>
        </w:rPr>
        <w:t>Incentive Auction R&amp;O</w:t>
      </w:r>
      <w:r w:rsidRPr="0064627E" w:rsidR="00593AC1">
        <w:t>)</w:t>
      </w:r>
      <w:r w:rsidRPr="00625219" w:rsidR="00593AC1">
        <w:t>.</w:t>
      </w:r>
    </w:p>
  </w:footnote>
  <w:footnote w:id="7">
    <w:p w:rsidR="007E7BA0" w:rsidP="007E7BA0" w14:paraId="6A002850" w14:textId="1ED80AAF">
      <w:pPr>
        <w:pStyle w:val="FootnoteText"/>
      </w:pPr>
      <w:r>
        <w:rPr>
          <w:rStyle w:val="FootnoteReference"/>
        </w:rPr>
        <w:footnoteRef/>
      </w:r>
      <w:r>
        <w:t xml:space="preserve"> </w:t>
      </w:r>
      <w:r w:rsidRPr="008D20DA">
        <w:rPr>
          <w:i/>
        </w:rPr>
        <w:t>Initial Allocation P</w:t>
      </w:r>
      <w:r w:rsidR="001C1D64">
        <w:rPr>
          <w:i/>
        </w:rPr>
        <w:t xml:space="preserve">N, </w:t>
      </w:r>
      <w:r w:rsidR="001C1D64">
        <w:t>32</w:t>
      </w:r>
      <w:r w:rsidRPr="00365078" w:rsidR="001C1D64">
        <w:t xml:space="preserve"> FCC Rcd</w:t>
      </w:r>
      <w:r w:rsidR="001C1D64">
        <w:t xml:space="preserve"> </w:t>
      </w:r>
      <w:r w:rsidR="009262DD">
        <w:t>at 7557</w:t>
      </w:r>
      <w:r>
        <w:t>.</w:t>
      </w:r>
    </w:p>
  </w:footnote>
  <w:footnote w:id="8">
    <w:p w:rsidR="00B6065D" w:rsidRPr="00C92620" w:rsidP="00B6065D" w14:paraId="2BAE643A" w14:textId="575DF5E4">
      <w:pPr>
        <w:pStyle w:val="FootnoteText"/>
        <w:rPr>
          <w:i/>
        </w:rPr>
      </w:pPr>
      <w:r>
        <w:rPr>
          <w:rStyle w:val="FootnoteReference"/>
        </w:rPr>
        <w:footnoteRef/>
      </w:r>
      <w:r>
        <w:t xml:space="preserve"> </w:t>
      </w:r>
      <w:r>
        <w:rPr>
          <w:i/>
        </w:rPr>
        <w:t>In</w:t>
      </w:r>
      <w:r w:rsidR="005D34EC">
        <w:rPr>
          <w:i/>
        </w:rPr>
        <w:t>i</w:t>
      </w:r>
      <w:r>
        <w:rPr>
          <w:i/>
        </w:rPr>
        <w:t>tial Allocation PN</w:t>
      </w:r>
      <w:r w:rsidR="00B20687">
        <w:t>,</w:t>
      </w:r>
      <w:r>
        <w:rPr>
          <w:i/>
        </w:rPr>
        <w:t xml:space="preserve"> </w:t>
      </w:r>
      <w:r w:rsidR="00B20687">
        <w:t>32</w:t>
      </w:r>
      <w:r w:rsidRPr="00365078" w:rsidR="00B20687">
        <w:t xml:space="preserve"> FCC Rcd</w:t>
      </w:r>
      <w:r w:rsidRPr="006016FE" w:rsidR="00B20687">
        <w:t xml:space="preserve"> </w:t>
      </w:r>
      <w:r w:rsidRPr="006016FE">
        <w:t xml:space="preserve">at </w:t>
      </w:r>
      <w:r w:rsidRPr="006016FE" w:rsidR="005D34EC">
        <w:t>7</w:t>
      </w:r>
      <w:r w:rsidR="00B20687">
        <w:t>5</w:t>
      </w:r>
      <w:r w:rsidRPr="006016FE" w:rsidR="005D34EC">
        <w:t xml:space="preserve">58 </w:t>
      </w:r>
      <w:r w:rsidR="001520AF">
        <w:t>(</w:t>
      </w:r>
      <w:r w:rsidRPr="006016FE" w:rsidR="005D34EC">
        <w:t>stating</w:t>
      </w:r>
      <w:r w:rsidR="009262DD">
        <w:t>,</w:t>
      </w:r>
      <w:r w:rsidRPr="006016FE" w:rsidR="005D34EC">
        <w:t xml:space="preserve"> </w:t>
      </w:r>
      <w:r w:rsidR="001520AF">
        <w:rPr>
          <w:szCs w:val="22"/>
        </w:rPr>
        <w:t xml:space="preserve">“verified estimates </w:t>
      </w:r>
      <w:r w:rsidRPr="00324FED" w:rsidR="001520AF">
        <w:rPr>
          <w:szCs w:val="22"/>
        </w:rPr>
        <w:t>use</w:t>
      </w:r>
      <w:r w:rsidR="001520AF">
        <w:rPr>
          <w:szCs w:val="22"/>
        </w:rPr>
        <w:t>d</w:t>
      </w:r>
      <w:r w:rsidRPr="00324FED" w:rsidR="001520AF">
        <w:rPr>
          <w:szCs w:val="22"/>
        </w:rPr>
        <w:t xml:space="preserve"> for purposes of this initial allocation </w:t>
      </w:r>
      <w:r w:rsidR="001520AF">
        <w:rPr>
          <w:szCs w:val="22"/>
        </w:rPr>
        <w:t>are likely to rise</w:t>
      </w:r>
      <w:r w:rsidRPr="00324FED" w:rsidR="001520AF">
        <w:rPr>
          <w:szCs w:val="22"/>
        </w:rPr>
        <w:t xml:space="preserve"> as Eligible Entities are able to produce adequate justification for their unverified initial estimates and refine and supplement their estimates as their construction planning and execution continues</w:t>
      </w:r>
      <w:r w:rsidR="001520AF">
        <w:rPr>
          <w:szCs w:val="22"/>
        </w:rPr>
        <w:t>,</w:t>
      </w:r>
      <w:r w:rsidRPr="0040141E" w:rsidR="001520AF">
        <w:rPr>
          <w:szCs w:val="22"/>
        </w:rPr>
        <w:t xml:space="preserve"> </w:t>
      </w:r>
      <w:r w:rsidR="001520AF">
        <w:rPr>
          <w:szCs w:val="22"/>
        </w:rPr>
        <w:t>including, for instance, as stations more fully evaluate</w:t>
      </w:r>
      <w:r w:rsidRPr="00324FED" w:rsidR="001520AF">
        <w:rPr>
          <w:szCs w:val="22"/>
        </w:rPr>
        <w:t xml:space="preserve"> tower and rigging needs, </w:t>
      </w:r>
      <w:r w:rsidR="001520AF">
        <w:rPr>
          <w:szCs w:val="22"/>
        </w:rPr>
        <w:t xml:space="preserve">incur </w:t>
      </w:r>
      <w:r w:rsidRPr="00324FED" w:rsidR="001520AF">
        <w:rPr>
          <w:szCs w:val="22"/>
        </w:rPr>
        <w:t>engineering and other consulting cost</w:t>
      </w:r>
      <w:r w:rsidR="001520AF">
        <w:rPr>
          <w:szCs w:val="22"/>
        </w:rPr>
        <w:t>s</w:t>
      </w:r>
      <w:r w:rsidRPr="00324FED" w:rsidR="001520AF">
        <w:rPr>
          <w:szCs w:val="22"/>
        </w:rPr>
        <w:t xml:space="preserve">, and </w:t>
      </w:r>
      <w:r w:rsidR="001520AF">
        <w:rPr>
          <w:szCs w:val="22"/>
        </w:rPr>
        <w:t>realize the impact of</w:t>
      </w:r>
      <w:r w:rsidRPr="00324FED" w:rsidR="001520AF">
        <w:rPr>
          <w:szCs w:val="22"/>
        </w:rPr>
        <w:t xml:space="preserve"> cost increases in equipment and services over the </w:t>
      </w:r>
      <w:r w:rsidR="001520AF">
        <w:rPr>
          <w:szCs w:val="22"/>
        </w:rPr>
        <w:t>three</w:t>
      </w:r>
      <w:r w:rsidRPr="00324FED" w:rsidR="001520AF">
        <w:rPr>
          <w:szCs w:val="22"/>
        </w:rPr>
        <w:t>-year transition period.</w:t>
      </w:r>
      <w:r w:rsidR="001520AF">
        <w:rPr>
          <w:szCs w:val="22"/>
        </w:rPr>
        <w:t>”)</w:t>
      </w:r>
    </w:p>
  </w:footnote>
  <w:footnote w:id="9">
    <w:p w:rsidR="005D34EC" w:rsidP="005D34EC" w14:paraId="08408DA5" w14:textId="10E2D9F5">
      <w:pPr>
        <w:pStyle w:val="FootnoteText"/>
      </w:pPr>
      <w:r>
        <w:rPr>
          <w:rStyle w:val="FootnoteReference"/>
        </w:rPr>
        <w:footnoteRef/>
      </w:r>
      <w:r>
        <w:t xml:space="preserve"> </w:t>
      </w:r>
      <w:r w:rsidRPr="00EE6EBF">
        <w:t>In the Initial Allocation PN, we noted the “Fund management challenge of avoiding allocation reductions and claw-backs while assuring that we allocate funds fairly and consistently across all Eligible Entities is magnified by the estimated total demand on the Fund.”</w:t>
      </w:r>
      <w:r>
        <w:t xml:space="preserve"> </w:t>
      </w:r>
      <w:r w:rsidRPr="00EE6EBF">
        <w:rPr>
          <w:i/>
        </w:rPr>
        <w:t xml:space="preserve"> </w:t>
      </w:r>
      <w:r w:rsidR="00A30585">
        <w:rPr>
          <w:i/>
        </w:rPr>
        <w:t>Id</w:t>
      </w:r>
      <w:r w:rsidR="00A30585">
        <w:t>.</w:t>
      </w:r>
      <w:r>
        <w:t xml:space="preserve"> </w:t>
      </w:r>
      <w:r w:rsidRPr="00625219">
        <w:t xml:space="preserve">at </w:t>
      </w:r>
      <w:r>
        <w:t>7557.</w:t>
      </w:r>
    </w:p>
  </w:footnote>
  <w:footnote w:id="10">
    <w:p w:rsidR="00311EAE" w:rsidRPr="00625219" w:rsidP="00311EAE" w14:paraId="7B8C7BDC" w14:textId="05600167">
      <w:pPr>
        <w:pStyle w:val="FootnoteText"/>
      </w:pPr>
      <w:r w:rsidRPr="00625219">
        <w:rPr>
          <w:rStyle w:val="FootnoteReference"/>
        </w:rPr>
        <w:footnoteRef/>
      </w:r>
      <w:r w:rsidRPr="00625219">
        <w:t xml:space="preserve"> The precise allocation</w:t>
      </w:r>
      <w:r w:rsidRPr="00625219">
        <w:rPr>
          <w:i/>
        </w:rPr>
        <w:t xml:space="preserve"> </w:t>
      </w:r>
      <w:r w:rsidRPr="00625219" w:rsidR="00DF3D4C">
        <w:t>was</w:t>
      </w:r>
      <w:r w:rsidRPr="00625219">
        <w:t xml:space="preserve"> $1,</w:t>
      </w:r>
      <w:r w:rsidRPr="00625219" w:rsidR="00BC5E66">
        <w:t>000,003,751.80.</w:t>
      </w:r>
      <w:r w:rsidRPr="00625219" w:rsidR="00DF3D4C">
        <w:t xml:space="preserve">  </w:t>
      </w:r>
      <w:r w:rsidR="00572F71">
        <w:rPr>
          <w:i/>
        </w:rPr>
        <w:t>Id.</w:t>
      </w:r>
      <w:r w:rsidR="00705BC9">
        <w:t xml:space="preserve"> </w:t>
      </w:r>
      <w:r w:rsidRPr="00625219" w:rsidR="00705BC9">
        <w:t xml:space="preserve">at </w:t>
      </w:r>
      <w:r w:rsidR="00705BC9">
        <w:t>7558,</w:t>
      </w:r>
      <w:r w:rsidRPr="00625219" w:rsidR="00DF3D4C">
        <w:t xml:space="preserve"> n.15.</w:t>
      </w:r>
      <w:r w:rsidR="00DF77AC">
        <w:t xml:space="preserve"> </w:t>
      </w:r>
      <w:r w:rsidR="000700A8">
        <w:t xml:space="preserve"> As contemplated </w:t>
      </w:r>
      <w:r w:rsidR="000700A8">
        <w:rPr>
          <w:szCs w:val="22"/>
        </w:rPr>
        <w:t>i</w:t>
      </w:r>
      <w:r w:rsidRPr="0060582D" w:rsidR="000700A8">
        <w:rPr>
          <w:szCs w:val="22"/>
        </w:rPr>
        <w:t xml:space="preserve">n the </w:t>
      </w:r>
      <w:r w:rsidRPr="001516F3" w:rsidR="000700A8">
        <w:rPr>
          <w:i/>
          <w:szCs w:val="22"/>
        </w:rPr>
        <w:t>Incentive Auction R&amp;O</w:t>
      </w:r>
      <w:r w:rsidRPr="0060582D" w:rsidR="000700A8">
        <w:rPr>
          <w:szCs w:val="22"/>
        </w:rPr>
        <w:t xml:space="preserve">, </w:t>
      </w:r>
      <w:r w:rsidR="000700A8">
        <w:rPr>
          <w:szCs w:val="22"/>
        </w:rPr>
        <w:t>the initial allocation gave</w:t>
      </w:r>
      <w:r w:rsidRPr="0060582D" w:rsidR="000700A8">
        <w:rPr>
          <w:szCs w:val="22"/>
        </w:rPr>
        <w:t xml:space="preserve"> </w:t>
      </w:r>
      <w:r w:rsidR="000700A8">
        <w:rPr>
          <w:szCs w:val="22"/>
        </w:rPr>
        <w:t xml:space="preserve">NCEs access to 10 percent more </w:t>
      </w:r>
      <w:r w:rsidRPr="0060582D" w:rsidR="000700A8">
        <w:rPr>
          <w:szCs w:val="22"/>
        </w:rPr>
        <w:t xml:space="preserve">of their </w:t>
      </w:r>
      <w:r w:rsidR="000700A8">
        <w:rPr>
          <w:szCs w:val="22"/>
        </w:rPr>
        <w:t xml:space="preserve">then-currently </w:t>
      </w:r>
      <w:r w:rsidRPr="0060582D" w:rsidR="000700A8">
        <w:rPr>
          <w:szCs w:val="22"/>
        </w:rPr>
        <w:t>estimated</w:t>
      </w:r>
      <w:r w:rsidRPr="00947ED8" w:rsidR="000700A8">
        <w:rPr>
          <w:szCs w:val="22"/>
        </w:rPr>
        <w:t xml:space="preserve"> </w:t>
      </w:r>
      <w:r w:rsidR="000700A8">
        <w:rPr>
          <w:szCs w:val="22"/>
        </w:rPr>
        <w:t>total</w:t>
      </w:r>
      <w:r w:rsidRPr="0060582D" w:rsidR="000700A8">
        <w:rPr>
          <w:szCs w:val="22"/>
        </w:rPr>
        <w:t xml:space="preserve"> costs</w:t>
      </w:r>
      <w:r w:rsidR="000700A8">
        <w:rPr>
          <w:szCs w:val="22"/>
        </w:rPr>
        <w:t>, as compared to commercial stations and MVPDs,</w:t>
      </w:r>
      <w:r w:rsidRPr="0060582D" w:rsidR="000700A8">
        <w:rPr>
          <w:szCs w:val="22"/>
        </w:rPr>
        <w:t xml:space="preserve"> due to </w:t>
      </w:r>
      <w:r w:rsidR="000700A8">
        <w:rPr>
          <w:szCs w:val="22"/>
        </w:rPr>
        <w:t xml:space="preserve">their </w:t>
      </w:r>
      <w:r w:rsidRPr="0060582D" w:rsidR="000700A8">
        <w:rPr>
          <w:szCs w:val="22"/>
        </w:rPr>
        <w:t>“unique funding constraints</w:t>
      </w:r>
      <w:r w:rsidR="000700A8">
        <w:rPr>
          <w:szCs w:val="22"/>
        </w:rPr>
        <w:t>.”</w:t>
      </w:r>
      <w:r w:rsidRPr="000700A8" w:rsidR="000700A8">
        <w:rPr>
          <w:i/>
        </w:rPr>
        <w:t xml:space="preserve">  </w:t>
      </w:r>
      <w:r w:rsidRPr="00DA646D" w:rsidR="000700A8">
        <w:t>29 FCC Rcd</w:t>
      </w:r>
      <w:r w:rsidR="000700A8">
        <w:rPr>
          <w:rFonts w:ascii="TimesNewRoman,Italic" w:hAnsi="TimesNewRoman,Italic" w:cs="TimesNewRoman,Italic"/>
          <w:i/>
          <w:iCs/>
        </w:rPr>
        <w:t>.</w:t>
      </w:r>
      <w:r w:rsidRPr="00A5211E" w:rsidR="000700A8">
        <w:rPr>
          <w:rFonts w:ascii="TimesNewRoman" w:hAnsi="TimesNewRoman" w:cs="TimesNewRoman"/>
        </w:rPr>
        <w:t xml:space="preserve"> </w:t>
      </w:r>
      <w:r w:rsidR="000700A8">
        <w:rPr>
          <w:rFonts w:ascii="TimesNewRoman" w:hAnsi="TimesNewRoman" w:cs="TimesNewRoman"/>
        </w:rPr>
        <w:t>at</w:t>
      </w:r>
      <w:r w:rsidR="000700A8">
        <w:t xml:space="preserve"> 6818, para. 614</w:t>
      </w:r>
      <w:r w:rsidRPr="00A5211E" w:rsidR="000700A8">
        <w:rPr>
          <w:rFonts w:ascii="TimesNewRoman" w:hAnsi="TimesNewRoman" w:cs="TimesNewRoman"/>
        </w:rPr>
        <w:t xml:space="preserve"> (</w:t>
      </w:r>
      <w:r w:rsidRPr="00903D4F" w:rsidR="000700A8">
        <w:t>citing PTV Comments at 28–29)</w:t>
      </w:r>
      <w:r w:rsidRPr="002F418D" w:rsidR="000700A8">
        <w:t>.</w:t>
      </w:r>
    </w:p>
  </w:footnote>
  <w:footnote w:id="11">
    <w:p w:rsidR="001F4477" w:rsidRPr="00625219" w14:paraId="57789D3C" w14:textId="74D38A81">
      <w:pPr>
        <w:pStyle w:val="FootnoteText"/>
      </w:pPr>
      <w:r w:rsidRPr="00625219">
        <w:rPr>
          <w:rStyle w:val="FootnoteReference"/>
        </w:rPr>
        <w:footnoteRef/>
      </w:r>
      <w:r w:rsidRPr="00625219">
        <w:t xml:space="preserve"> </w:t>
      </w:r>
      <w:r w:rsidR="00510539">
        <w:rPr>
          <w:szCs w:val="22"/>
        </w:rPr>
        <w:t xml:space="preserve">Based on this review, the Bureau concluded that this amount would be sufficient to cover “up-front costs, down payments on equipment, and other associated starting costs, as well as other ‘pre-implementation’ and ‘early implementation’ costs billed in the ordinary course of trade.”  </w:t>
      </w:r>
      <w:r w:rsidRPr="00625219" w:rsidR="005D34EC">
        <w:rPr>
          <w:i/>
        </w:rPr>
        <w:t>Initial Allocation PN</w:t>
      </w:r>
      <w:r w:rsidR="00824A2C">
        <w:t>,</w:t>
      </w:r>
      <w:r w:rsidR="005D34EC">
        <w:rPr>
          <w:i/>
        </w:rPr>
        <w:t xml:space="preserve"> </w:t>
      </w:r>
      <w:r w:rsidR="00824A2C">
        <w:t>32</w:t>
      </w:r>
      <w:r w:rsidRPr="00365078" w:rsidR="00824A2C">
        <w:t xml:space="preserve"> FCC Rcd</w:t>
      </w:r>
      <w:r w:rsidR="00824A2C">
        <w:t xml:space="preserve"> </w:t>
      </w:r>
      <w:r w:rsidRPr="00625219" w:rsidR="002F7616">
        <w:t xml:space="preserve">at </w:t>
      </w:r>
      <w:r w:rsidR="00705BC9">
        <w:t>7558</w:t>
      </w:r>
      <w:r w:rsidRPr="00625219">
        <w:t>.</w:t>
      </w:r>
    </w:p>
  </w:footnote>
  <w:footnote w:id="12">
    <w:p w:rsidR="00DD31DB" w:rsidRPr="00625219" w:rsidP="00DD31DB" w14:paraId="12F5F425" w14:textId="46FCA399">
      <w:pPr>
        <w:pStyle w:val="FootnoteText"/>
      </w:pPr>
      <w:r w:rsidRPr="00625219">
        <w:rPr>
          <w:rStyle w:val="FootnoteReference"/>
        </w:rPr>
        <w:footnoteRef/>
      </w:r>
      <w:r w:rsidRPr="00625219">
        <w:t xml:space="preserve"> </w:t>
      </w:r>
      <w:r w:rsidR="00B20687">
        <w:rPr>
          <w:i/>
        </w:rPr>
        <w:t>Id</w:t>
      </w:r>
      <w:r w:rsidR="00B20687">
        <w:t>.</w:t>
      </w:r>
      <w:r w:rsidR="009262DD">
        <w:t xml:space="preserve"> at </w:t>
      </w:r>
      <w:r w:rsidR="005D34EC">
        <w:t>7556</w:t>
      </w:r>
      <w:r w:rsidRPr="00625219">
        <w:t>.</w:t>
      </w:r>
    </w:p>
  </w:footnote>
  <w:footnote w:id="13">
    <w:p w:rsidR="00D02AF2" w:rsidRPr="00625219" w14:paraId="4934D971" w14:textId="4383882D">
      <w:pPr>
        <w:pStyle w:val="FootnoteText"/>
      </w:pPr>
      <w:r w:rsidRPr="00625219">
        <w:rPr>
          <w:rStyle w:val="FootnoteReference"/>
        </w:rPr>
        <w:footnoteRef/>
      </w:r>
      <w:r w:rsidRPr="00625219">
        <w:t xml:space="preserve"> </w:t>
      </w:r>
      <w:r w:rsidR="00705BC9">
        <w:rPr>
          <w:i/>
        </w:rPr>
        <w:t>Id.</w:t>
      </w:r>
      <w:r w:rsidR="002F7616">
        <w:rPr>
          <w:i/>
        </w:rPr>
        <w:t xml:space="preserve"> </w:t>
      </w:r>
      <w:r w:rsidRPr="00625219" w:rsidR="002F7616">
        <w:t xml:space="preserve">at </w:t>
      </w:r>
      <w:r w:rsidR="00705BC9">
        <w:t>7559</w:t>
      </w:r>
      <w:r w:rsidR="0078579A">
        <w:t xml:space="preserve">.  </w:t>
      </w:r>
      <w:r w:rsidR="0078579A">
        <w:rPr>
          <w:i/>
        </w:rPr>
        <w:t xml:space="preserve">See also </w:t>
      </w:r>
      <w:r w:rsidRPr="00625219" w:rsidR="00237AB4">
        <w:rPr>
          <w:i/>
        </w:rPr>
        <w:t xml:space="preserve">Incentive Auction Task Force and Media Bureau Announce </w:t>
      </w:r>
      <w:r w:rsidR="00237AB4">
        <w:rPr>
          <w:i/>
        </w:rPr>
        <w:t>a Forthcoming</w:t>
      </w:r>
      <w:r w:rsidRPr="00625219" w:rsidR="00237AB4">
        <w:rPr>
          <w:i/>
        </w:rPr>
        <w:t xml:space="preserve"> Reimbursement Allocation for Eligible Broadcasters and MVPDs</w:t>
      </w:r>
      <w:r w:rsidRPr="00625219" w:rsidR="00237AB4">
        <w:t xml:space="preserve">, </w:t>
      </w:r>
      <w:r w:rsidR="00237AB4">
        <w:t xml:space="preserve">MB Docket No. 16-306 and GN Docket No. 12-268, </w:t>
      </w:r>
      <w:r w:rsidRPr="00625219" w:rsidR="00237AB4">
        <w:t xml:space="preserve">Public Notice, </w:t>
      </w:r>
      <w:r w:rsidR="00237AB4">
        <w:t>DA-18-223</w:t>
      </w:r>
      <w:r w:rsidRPr="00625219" w:rsidR="00237AB4">
        <w:t xml:space="preserve"> </w:t>
      </w:r>
      <w:r w:rsidR="00824A2C">
        <w:t xml:space="preserve">at 1 </w:t>
      </w:r>
      <w:r w:rsidRPr="00625219" w:rsidR="00237AB4">
        <w:t>(IATF/MB</w:t>
      </w:r>
      <w:r w:rsidR="00237AB4">
        <w:t xml:space="preserve"> Mar. 8, 2018</w:t>
      </w:r>
      <w:r w:rsidRPr="00625219" w:rsidR="00237AB4">
        <w:t>)</w:t>
      </w:r>
      <w:r w:rsidR="00237AB4">
        <w:t xml:space="preserve"> (</w:t>
      </w:r>
      <w:r w:rsidR="00237AB4">
        <w:rPr>
          <w:i/>
        </w:rPr>
        <w:t>Forthcoming</w:t>
      </w:r>
      <w:r w:rsidRPr="00625219" w:rsidR="00237AB4">
        <w:rPr>
          <w:i/>
        </w:rPr>
        <w:t xml:space="preserve"> Allocation PN</w:t>
      </w:r>
      <w:r w:rsidRPr="00625219" w:rsidR="00237AB4">
        <w:t>).</w:t>
      </w:r>
    </w:p>
  </w:footnote>
  <w:footnote w:id="14">
    <w:p w:rsidR="00DD31DB" w:rsidRPr="00625219" w:rsidP="00DD31DB" w14:paraId="1D07CC28" w14:textId="0C871127">
      <w:pPr>
        <w:pStyle w:val="FootnoteText"/>
      </w:pPr>
      <w:r w:rsidRPr="00625219">
        <w:rPr>
          <w:rStyle w:val="FootnoteReference"/>
        </w:rPr>
        <w:footnoteRef/>
      </w:r>
      <w:r w:rsidRPr="00625219">
        <w:t xml:space="preserve"> </w:t>
      </w:r>
      <w:r w:rsidR="00237AB4">
        <w:rPr>
          <w:i/>
        </w:rPr>
        <w:t>Forthcoming</w:t>
      </w:r>
      <w:r w:rsidRPr="00625219" w:rsidR="00237AB4">
        <w:rPr>
          <w:i/>
        </w:rPr>
        <w:t xml:space="preserve"> Allocation PN</w:t>
      </w:r>
      <w:r w:rsidR="0078579A">
        <w:t xml:space="preserve"> at 1</w:t>
      </w:r>
      <w:r w:rsidRPr="00625219">
        <w:t>.</w:t>
      </w:r>
    </w:p>
  </w:footnote>
  <w:footnote w:id="15">
    <w:p w:rsidR="00F135E5" w:rsidRPr="00625219" w:rsidP="00F135E5" w14:paraId="7D6ACB9E" w14:textId="77777777">
      <w:pPr>
        <w:pStyle w:val="FootnoteText"/>
      </w:pPr>
      <w:r w:rsidRPr="00625219">
        <w:rPr>
          <w:rStyle w:val="FootnoteReference"/>
        </w:rPr>
        <w:footnoteRef/>
      </w:r>
      <w:r w:rsidRPr="00625219">
        <w:t xml:space="preserve"> </w:t>
      </w:r>
      <w:r>
        <w:rPr>
          <w:i/>
        </w:rPr>
        <w:t xml:space="preserve">Id. </w:t>
      </w:r>
      <w:r>
        <w:t>at 2</w:t>
      </w:r>
      <w:r w:rsidRPr="00625219">
        <w:t>.</w:t>
      </w:r>
    </w:p>
  </w:footnote>
  <w:footnote w:id="16">
    <w:p w:rsidR="00AB007E" w:rsidRPr="00625219" w:rsidP="00AB007E" w14:paraId="48668E5A" w14:textId="737C67F7">
      <w:pPr>
        <w:pStyle w:val="FootnoteText"/>
      </w:pPr>
      <w:r w:rsidRPr="00625219">
        <w:rPr>
          <w:rStyle w:val="FootnoteReference"/>
        </w:rPr>
        <w:footnoteRef/>
      </w:r>
      <w:r w:rsidRPr="00625219">
        <w:t xml:space="preserve"> </w:t>
      </w:r>
      <w:r w:rsidR="0078579A">
        <w:rPr>
          <w:i/>
        </w:rPr>
        <w:t>Id</w:t>
      </w:r>
      <w:r w:rsidRPr="00625219" w:rsidR="000700A8">
        <w:t>.</w:t>
      </w:r>
    </w:p>
  </w:footnote>
  <w:footnote w:id="17">
    <w:p w:rsidR="00F135E5" w:rsidP="00F135E5" w14:paraId="037F8719" w14:textId="73F634C7">
      <w:pPr>
        <w:pStyle w:val="FootnoteText"/>
      </w:pPr>
      <w:r>
        <w:rPr>
          <w:rStyle w:val="FootnoteReference"/>
        </w:rPr>
        <w:footnoteRef/>
      </w:r>
      <w:r>
        <w:t xml:space="preserve"> Upon certification, the legislation makes $350 million available to full power and Class A stations in fiscal year 2018, and $400 million in fiscal year 2019.</w:t>
      </w:r>
      <w:r>
        <w:rPr>
          <w:rFonts w:ascii="TimesNewRoman" w:hAnsi="TimesNewRoman" w:cs="TimesNewRoman"/>
        </w:rPr>
        <w:t xml:space="preserve"> </w:t>
      </w:r>
      <w:r>
        <w:t xml:space="preserve"> Congress also made available $250 million for other purposes not relevant to today’s allocation.  </w:t>
      </w:r>
      <w:r>
        <w:rPr>
          <w:i/>
        </w:rPr>
        <w:t>See</w:t>
      </w:r>
      <w:r w:rsidR="00DC1316">
        <w:rPr>
          <w:i/>
        </w:rPr>
        <w:t xml:space="preserve"> </w:t>
      </w:r>
      <w:r w:rsidR="00DC1316">
        <w:t>Ray Baum’s Act</w:t>
      </w:r>
      <w:r>
        <w:rPr>
          <w:rFonts w:ascii="TimesNewRoman" w:hAnsi="TimesNewRoman" w:cs="TimesNewRoman"/>
        </w:rPr>
        <w:t>.</w:t>
      </w:r>
    </w:p>
  </w:footnote>
  <w:footnote w:id="18">
    <w:p w:rsidR="00F37C58" w:rsidRPr="003B0C40" w:rsidP="00F37C58" w14:paraId="7AC6E0C9" w14:textId="2D512242">
      <w:pPr>
        <w:widowControl/>
        <w:autoSpaceDE w:val="0"/>
        <w:autoSpaceDN w:val="0"/>
        <w:adjustRightInd w:val="0"/>
        <w:spacing w:after="120"/>
        <w:rPr>
          <w:sz w:val="20"/>
        </w:rPr>
      </w:pPr>
      <w:r w:rsidRPr="00C935DC">
        <w:rPr>
          <w:rStyle w:val="FootnoteReference"/>
        </w:rPr>
        <w:footnoteRef/>
      </w:r>
      <w:r w:rsidRPr="00C935DC">
        <w:rPr>
          <w:sz w:val="20"/>
        </w:rPr>
        <w:t xml:space="preserve"> </w:t>
      </w:r>
      <w:r w:rsidRPr="00E240E0">
        <w:rPr>
          <w:i/>
          <w:sz w:val="20"/>
        </w:rPr>
        <w:t>See</w:t>
      </w:r>
      <w:r w:rsidRPr="00A829F1">
        <w:rPr>
          <w:sz w:val="20"/>
        </w:rPr>
        <w:t xml:space="preserve"> </w:t>
      </w:r>
      <w:r w:rsidRPr="00A829F1" w:rsidR="006D1E77">
        <w:rPr>
          <w:sz w:val="20"/>
        </w:rPr>
        <w:t>Ray Baum’s Act</w:t>
      </w:r>
      <w:r w:rsidRPr="00A829F1" w:rsidR="00052912">
        <w:rPr>
          <w:sz w:val="20"/>
        </w:rPr>
        <w:t>.</w:t>
      </w:r>
      <w:r w:rsidR="00052912">
        <w:rPr>
          <w:sz w:val="20"/>
        </w:rPr>
        <w:t xml:space="preserve">  </w:t>
      </w:r>
    </w:p>
  </w:footnote>
  <w:footnote w:id="19">
    <w:p w:rsidR="00E94B6E" w:rsidRPr="00E94B6E" w14:paraId="7C479034" w14:textId="2D2FA485">
      <w:pPr>
        <w:pStyle w:val="FootnoteText"/>
      </w:pPr>
      <w:r>
        <w:rPr>
          <w:rStyle w:val="FootnoteReference"/>
        </w:rPr>
        <w:footnoteRef/>
      </w:r>
      <w:r>
        <w:t xml:space="preserve"> </w:t>
      </w:r>
      <w:r>
        <w:rPr>
          <w:i/>
        </w:rPr>
        <w:t xml:space="preserve">See supra </w:t>
      </w:r>
      <w:r>
        <w:t xml:space="preserve">note </w:t>
      </w:r>
      <w:r w:rsidRPr="008A6CD8">
        <w:t>7</w:t>
      </w:r>
      <w:r>
        <w:t>.</w:t>
      </w:r>
    </w:p>
  </w:footnote>
  <w:footnote w:id="20">
    <w:p w:rsidR="001520AF" w:rsidP="001520AF" w14:paraId="630760C9" w14:textId="642EE871">
      <w:pPr>
        <w:pStyle w:val="FootnoteText"/>
      </w:pPr>
      <w:r>
        <w:rPr>
          <w:rStyle w:val="FootnoteReference"/>
        </w:rPr>
        <w:footnoteRef/>
      </w:r>
      <w:r>
        <w:t xml:space="preserve"> </w:t>
      </w:r>
      <w:r w:rsidRPr="005B17F9">
        <w:t xml:space="preserve">The precise </w:t>
      </w:r>
      <w:r w:rsidR="005B17F9">
        <w:t xml:space="preserve">value of the further </w:t>
      </w:r>
      <w:r w:rsidRPr="005B17F9">
        <w:t>allocation</w:t>
      </w:r>
      <w:r w:rsidRPr="005B17F9">
        <w:rPr>
          <w:i/>
        </w:rPr>
        <w:t xml:space="preserve"> </w:t>
      </w:r>
      <w:r w:rsidRPr="005B17F9">
        <w:t xml:space="preserve">is </w:t>
      </w:r>
      <w:r w:rsidRPr="008A6CD8">
        <w:t>$</w:t>
      </w:r>
      <w:r w:rsidRPr="008A6CD8" w:rsidR="005359C8">
        <w:t>741,567,128.08.</w:t>
      </w:r>
      <w:r w:rsidRPr="005B17F9" w:rsidR="005359C8">
        <w:t xml:space="preserve">  Together with the precise</w:t>
      </w:r>
      <w:r w:rsidRPr="005B17F9" w:rsidR="005B17F9">
        <w:t xml:space="preserve"> value of the initial allocation of </w:t>
      </w:r>
      <w:r w:rsidR="005B17F9">
        <w:t>$</w:t>
      </w:r>
      <w:r w:rsidRPr="008A6CD8" w:rsidR="005B17F9">
        <w:t>1,000,003,751.80</w:t>
      </w:r>
      <w:r w:rsidRPr="005B17F9" w:rsidR="005B17F9">
        <w:t xml:space="preserve"> the total allocation is $</w:t>
      </w:r>
      <w:r w:rsidRPr="008A6CD8" w:rsidR="005B17F9">
        <w:t>1,741,570,879.88.</w:t>
      </w:r>
    </w:p>
  </w:footnote>
  <w:footnote w:id="21">
    <w:p w:rsidR="00EE6EBF" w:rsidRPr="00625219" w:rsidP="00EE6EBF" w14:paraId="6AEB11B2" w14:textId="2F889A02">
      <w:pPr>
        <w:pStyle w:val="FootnoteText"/>
      </w:pPr>
      <w:r w:rsidRPr="00625219">
        <w:rPr>
          <w:rStyle w:val="FootnoteReference"/>
        </w:rPr>
        <w:footnoteRef/>
      </w:r>
      <w:r w:rsidRPr="00625219">
        <w:t xml:space="preserve"> </w:t>
      </w:r>
      <w:r w:rsidR="006C0D96">
        <w:t xml:space="preserve">As a result of the significant amount of the allocation </w:t>
      </w:r>
      <w:r w:rsidR="00611332">
        <w:t xml:space="preserve">we are able to make </w:t>
      </w:r>
      <w:r w:rsidR="006C0D96">
        <w:t>available</w:t>
      </w:r>
      <w:r w:rsidR="00611332">
        <w:t xml:space="preserve"> </w:t>
      </w:r>
      <w:r w:rsidR="001520AF">
        <w:t>in</w:t>
      </w:r>
      <w:r w:rsidR="00611332">
        <w:t xml:space="preserve"> this further allocation</w:t>
      </w:r>
      <w:r w:rsidR="006C0D96">
        <w:t xml:space="preserve"> to</w:t>
      </w:r>
      <w:r w:rsidR="006D1E77">
        <w:t xml:space="preserve"> </w:t>
      </w:r>
      <w:r w:rsidR="00FE6E69">
        <w:t>all Eligible Entities</w:t>
      </w:r>
      <w:r w:rsidR="006C0D96">
        <w:t>, despite our prediction</w:t>
      </w:r>
      <w:r>
        <w:rPr>
          <w:szCs w:val="22"/>
        </w:rPr>
        <w:t xml:space="preserve"> in the </w:t>
      </w:r>
      <w:r w:rsidRPr="007E1B3D">
        <w:rPr>
          <w:i/>
          <w:szCs w:val="22"/>
        </w:rPr>
        <w:t>Forthcoming Allocation PN</w:t>
      </w:r>
      <w:r w:rsidRPr="00991541">
        <w:rPr>
          <w:szCs w:val="22"/>
        </w:rPr>
        <w:t xml:space="preserve">, </w:t>
      </w:r>
      <w:r>
        <w:rPr>
          <w:szCs w:val="22"/>
        </w:rPr>
        <w:t xml:space="preserve">we no longer think that </w:t>
      </w:r>
      <w:r w:rsidR="006C0D96">
        <w:rPr>
          <w:szCs w:val="22"/>
        </w:rPr>
        <w:t xml:space="preserve">it is necessary to </w:t>
      </w:r>
      <w:r w:rsidRPr="00D10975">
        <w:rPr>
          <w:szCs w:val="22"/>
        </w:rPr>
        <w:t>continue to provide NCEs</w:t>
      </w:r>
      <w:r>
        <w:rPr>
          <w:szCs w:val="22"/>
        </w:rPr>
        <w:t xml:space="preserve"> with</w:t>
      </w:r>
      <w:r w:rsidRPr="00D10975">
        <w:rPr>
          <w:szCs w:val="22"/>
        </w:rPr>
        <w:t xml:space="preserve"> access to 10 percent more of their verified cost estimates </w:t>
      </w:r>
      <w:r>
        <w:rPr>
          <w:szCs w:val="22"/>
        </w:rPr>
        <w:t xml:space="preserve">relative commercial stations and MVPDs.  </w:t>
      </w:r>
      <w:r w:rsidR="006C0D96">
        <w:rPr>
          <w:i/>
          <w:szCs w:val="22"/>
        </w:rPr>
        <w:t xml:space="preserve">See </w:t>
      </w:r>
      <w:r>
        <w:rPr>
          <w:i/>
        </w:rPr>
        <w:t>Forthcoming</w:t>
      </w:r>
      <w:r w:rsidRPr="00625219">
        <w:rPr>
          <w:i/>
        </w:rPr>
        <w:t xml:space="preserve"> Allocation PN</w:t>
      </w:r>
      <w:r>
        <w:rPr>
          <w:i/>
        </w:rPr>
        <w:t xml:space="preserve"> </w:t>
      </w:r>
      <w:r>
        <w:t xml:space="preserve">at </w:t>
      </w:r>
      <w:r w:rsidRPr="00C05863">
        <w:t>2</w:t>
      </w:r>
      <w:r>
        <w:t>.</w:t>
      </w:r>
    </w:p>
  </w:footnote>
  <w:footnote w:id="22">
    <w:p w:rsidR="00457BA4" w:rsidRPr="00457BA4" w14:paraId="592911B4" w14:textId="5F90CB64">
      <w:pPr>
        <w:pStyle w:val="FootnoteText"/>
      </w:pPr>
      <w:r>
        <w:rPr>
          <w:rStyle w:val="FootnoteReference"/>
        </w:rPr>
        <w:footnoteRef/>
      </w:r>
      <w:r>
        <w:t xml:space="preserve"> </w:t>
      </w:r>
      <w:r>
        <w:rPr>
          <w:i/>
        </w:rPr>
        <w:t>Initial Allocation PN</w:t>
      </w:r>
      <w:r w:rsidR="00B20687">
        <w:t>,</w:t>
      </w:r>
      <w:r w:rsidRPr="00B20687" w:rsidR="00B20687">
        <w:t xml:space="preserve"> </w:t>
      </w:r>
      <w:r w:rsidR="00B20687">
        <w:t>32</w:t>
      </w:r>
      <w:r w:rsidRPr="00365078" w:rsidR="00B20687">
        <w:t xml:space="preserve"> FCC Rcd</w:t>
      </w:r>
      <w:r>
        <w:t xml:space="preserve"> at </w:t>
      </w:r>
      <w:r w:rsidRPr="006016FE" w:rsidR="007330FE">
        <w:t>7758</w:t>
      </w:r>
      <w:r w:rsidR="007330FE">
        <w:t>.</w:t>
      </w:r>
    </w:p>
  </w:footnote>
  <w:footnote w:id="23">
    <w:p w:rsidR="006C0D96" w:rsidP="006C0D96" w14:paraId="3BAAA29F" w14:textId="55CB9749">
      <w:pPr>
        <w:pStyle w:val="FootnoteText"/>
      </w:pPr>
      <w:r>
        <w:rPr>
          <w:rStyle w:val="FootnoteReference"/>
        </w:rPr>
        <w:footnoteRef/>
      </w:r>
      <w:r>
        <w:t xml:space="preserve"> </w:t>
      </w:r>
      <w:r>
        <w:rPr>
          <w:i/>
        </w:rPr>
        <w:t xml:space="preserve">See </w:t>
      </w:r>
      <w:r w:rsidRPr="00625219">
        <w:rPr>
          <w:i/>
        </w:rPr>
        <w:t>Incentive Auction R&amp;O</w:t>
      </w:r>
      <w:r w:rsidRPr="00625219">
        <w:t>, 29 FCC Rcd</w:t>
      </w:r>
      <w:r w:rsidRPr="0064627E">
        <w:t xml:space="preserve"> at</w:t>
      </w:r>
      <w:r w:rsidRPr="00625219">
        <w:t xml:space="preserve"> 681</w:t>
      </w:r>
      <w:r>
        <w:t>9</w:t>
      </w:r>
      <w:r w:rsidRPr="00625219">
        <w:t>, para</w:t>
      </w:r>
      <w:r>
        <w:t>s</w:t>
      </w:r>
      <w:r w:rsidRPr="00625219">
        <w:t>.</w:t>
      </w:r>
      <w:r>
        <w:t xml:space="preserve"> </w:t>
      </w:r>
      <w:r w:rsidR="00D21896">
        <w:t>614-16</w:t>
      </w:r>
      <w:r>
        <w:t xml:space="preserve"> (providing, “</w:t>
      </w:r>
      <w:r w:rsidRPr="002275A4">
        <w:rPr>
          <w:szCs w:val="22"/>
        </w:rPr>
        <w:t>If a</w:t>
      </w:r>
      <w:r>
        <w:rPr>
          <w:szCs w:val="22"/>
        </w:rPr>
        <w:t xml:space="preserve">ny allocated funds remain in an </w:t>
      </w:r>
      <w:r w:rsidRPr="002275A4">
        <w:rPr>
          <w:szCs w:val="22"/>
        </w:rPr>
        <w:t>entity’s Treasury account in</w:t>
      </w:r>
      <w:r>
        <w:rPr>
          <w:szCs w:val="22"/>
        </w:rPr>
        <w:t xml:space="preserve"> </w:t>
      </w:r>
      <w:r w:rsidRPr="002275A4">
        <w:rPr>
          <w:szCs w:val="22"/>
        </w:rPr>
        <w:t>excess of the entity’s actual costs determined to be eligible for reimbursement, those funds will revert</w:t>
      </w:r>
      <w:r>
        <w:rPr>
          <w:szCs w:val="22"/>
        </w:rPr>
        <w:t xml:space="preserve"> back to the Reimbursement Fund</w:t>
      </w:r>
      <w:r w:rsidRPr="002275A4">
        <w:rPr>
          <w:szCs w:val="22"/>
        </w:rPr>
        <w:t>.</w:t>
      </w:r>
      <w:r>
        <w:rPr>
          <w:szCs w:val="22"/>
        </w:rPr>
        <w:t>”)</w:t>
      </w:r>
      <w:r>
        <w:t>.</w:t>
      </w:r>
    </w:p>
  </w:footnote>
  <w:footnote w:id="24">
    <w:p w:rsidR="00D10975" w:rsidRPr="00CC27BF" w:rsidP="00D10975" w14:paraId="3EC4B42D" w14:textId="599BEFF9">
      <w:pPr>
        <w:pStyle w:val="FootnoteText"/>
      </w:pPr>
      <w:r w:rsidRPr="00CC27BF">
        <w:rPr>
          <w:rStyle w:val="FootnoteReference"/>
        </w:rPr>
        <w:footnoteRef/>
      </w:r>
      <w:r w:rsidRPr="00CC27BF">
        <w:t xml:space="preserve"> </w:t>
      </w:r>
      <w:r>
        <w:rPr>
          <w:i/>
        </w:rPr>
        <w:t>Id.</w:t>
      </w:r>
      <w:r w:rsidRPr="00F650CA">
        <w:rPr>
          <w:i/>
        </w:rPr>
        <w:t xml:space="preserve"> </w:t>
      </w:r>
      <w:r w:rsidRPr="00F650CA">
        <w:t xml:space="preserve">at 6815-16, para. 607; </w:t>
      </w:r>
      <w:r>
        <w:rPr>
          <w:i/>
        </w:rPr>
        <w:t xml:space="preserve">and see </w:t>
      </w:r>
      <w:r w:rsidRPr="00DA646D">
        <w:rPr>
          <w:i/>
        </w:rPr>
        <w:t>Incentive Auction Closing and Channel Reassignment Pub. Notice the Broad. TV Incentive Auction Closes; Reverse Auction and Forward Auction Results A</w:t>
      </w:r>
      <w:r>
        <w:rPr>
          <w:i/>
        </w:rPr>
        <w:t xml:space="preserve">nnounced; Final TV Band Channel </w:t>
      </w:r>
      <w:r w:rsidRPr="00DA646D">
        <w:rPr>
          <w:i/>
        </w:rPr>
        <w:t>Assignments Announced; Post-Auction Deadlines Announced</w:t>
      </w:r>
      <w:r w:rsidRPr="00DA646D">
        <w:t>, Public Notice, 32 FCC Rcd 2786,</w:t>
      </w:r>
      <w:r>
        <w:t xml:space="preserve"> 2816, para. </w:t>
      </w:r>
      <w:r w:rsidRPr="00F650CA">
        <w:t>90</w:t>
      </w:r>
      <w:r>
        <w:t xml:space="preserve"> </w:t>
      </w:r>
      <w:r w:rsidRPr="00DA646D">
        <w:t>(2017)</w:t>
      </w:r>
      <w:r w:rsidR="006D1E77">
        <w:t xml:space="preserve"> (</w:t>
      </w:r>
      <w:r w:rsidR="006D1E77">
        <w:rPr>
          <w:i/>
        </w:rPr>
        <w:t>Closing and Channel Reassignment PN)</w:t>
      </w:r>
      <w:r>
        <w:t>.</w:t>
      </w:r>
    </w:p>
  </w:footnote>
  <w:footnote w:id="25">
    <w:p w:rsidR="00682898" w:rsidRPr="00C935DC" w:rsidP="00682898" w14:paraId="58F71117" w14:textId="77777777">
      <w:pPr>
        <w:pStyle w:val="FootnoteText"/>
      </w:pPr>
      <w:r w:rsidRPr="00C935DC">
        <w:rPr>
          <w:rStyle w:val="FootnoteReference"/>
        </w:rPr>
        <w:footnoteRef/>
      </w:r>
      <w:r>
        <w:t xml:space="preserve"> </w:t>
      </w:r>
      <w:r w:rsidRPr="00C935DC">
        <w:rPr>
          <w:i/>
        </w:rPr>
        <w:t>See</w:t>
      </w:r>
      <w:r w:rsidRPr="00C935DC">
        <w:t xml:space="preserve"> </w:t>
      </w:r>
      <w:r w:rsidRPr="00C935DC">
        <w:rPr>
          <w:i/>
        </w:rPr>
        <w:t xml:space="preserve">Procedures for Submitting Financial Information Required for the Disbursement of Incentive Payments and Reimbursement Payments </w:t>
      </w:r>
      <w:r>
        <w:rPr>
          <w:i/>
        </w:rPr>
        <w:t>a</w:t>
      </w:r>
      <w:r w:rsidRPr="00C935DC">
        <w:rPr>
          <w:i/>
        </w:rPr>
        <w:t>fter the Incentive Auction Closes</w:t>
      </w:r>
      <w:r>
        <w:t>, Public Notice</w:t>
      </w:r>
      <w:r w:rsidRPr="00C935DC">
        <w:t>, 32 FCC Rcd 2003, 2029, para. 96 (</w:t>
      </w:r>
      <w:r>
        <w:t>2017).</w:t>
      </w:r>
    </w:p>
  </w:footnote>
  <w:footnote w:id="26">
    <w:p w:rsidR="00682898" w:rsidP="00682898" w14:paraId="19578E07" w14:textId="70D4C006">
      <w:pPr>
        <w:pStyle w:val="FootnoteText"/>
      </w:pPr>
      <w:r>
        <w:rPr>
          <w:rStyle w:val="FootnoteReference"/>
        </w:rPr>
        <w:footnoteRef/>
      </w:r>
      <w:r>
        <w:t xml:space="preserve"> </w:t>
      </w:r>
      <w:r>
        <w:rPr>
          <w:snapToGrid w:val="0"/>
        </w:rPr>
        <w:t xml:space="preserve">If the eligible entity has consummated a change in ownership since the </w:t>
      </w:r>
      <w:r w:rsidR="00F626BF">
        <w:rPr>
          <w:snapToGrid w:val="0"/>
        </w:rPr>
        <w:t xml:space="preserve">most recent </w:t>
      </w:r>
      <w:r>
        <w:rPr>
          <w:snapToGrid w:val="0"/>
        </w:rPr>
        <w:t>submission of the Reimbursement Form, allocations will not be visible until that station returns to the Form, verifies and corrects the contact information, and certifies and resubmits the Reimbursement Form.</w:t>
      </w:r>
    </w:p>
  </w:footnote>
  <w:footnote w:id="27">
    <w:p w:rsidR="006D1E77" w14:paraId="09BB37A7" w14:textId="00057B8D">
      <w:pPr>
        <w:pStyle w:val="FootnoteText"/>
      </w:pPr>
      <w:r>
        <w:rPr>
          <w:rStyle w:val="FootnoteReference"/>
        </w:rPr>
        <w:footnoteRef/>
      </w:r>
      <w:r>
        <w:t xml:space="preserve"> </w:t>
      </w:r>
      <w:r w:rsidR="00935D2F">
        <w:rPr>
          <w:i/>
        </w:rPr>
        <w:t>Closing and Channel Reassignment PN</w:t>
      </w:r>
      <w:r w:rsidR="00A30585">
        <w:t>,</w:t>
      </w:r>
      <w:r w:rsidRPr="00A30585" w:rsidR="00A30585">
        <w:t xml:space="preserve"> </w:t>
      </w:r>
      <w:r w:rsidR="00A30585">
        <w:t>32</w:t>
      </w:r>
      <w:r w:rsidRPr="00365078" w:rsidR="00A30585">
        <w:t xml:space="preserve"> FCC Rcd</w:t>
      </w:r>
      <w:r w:rsidR="00011062">
        <w:rPr>
          <w:i/>
        </w:rPr>
        <w:t xml:space="preserve"> </w:t>
      </w:r>
      <w:r w:rsidR="00011062">
        <w:t xml:space="preserve">at </w:t>
      </w:r>
      <w:bookmarkStart w:id="2" w:name="_Hlk511200715"/>
      <w:r w:rsidR="00011062">
        <w:t xml:space="preserve">2805-09, 2816, </w:t>
      </w:r>
      <w:r w:rsidRPr="00C922B4" w:rsidR="00011062">
        <w:t>para</w:t>
      </w:r>
      <w:r w:rsidR="00011062">
        <w:t>s</w:t>
      </w:r>
      <w:r w:rsidRPr="00C922B4" w:rsidR="00011062">
        <w:t>. 61-65, 69</w:t>
      </w:r>
      <w:r w:rsidR="00011062">
        <w:t>, 90</w:t>
      </w:r>
      <w:bookmarkEnd w:id="2"/>
      <w:r w:rsidR="00935D2F">
        <w:t>;</w:t>
      </w:r>
      <w:r w:rsidRPr="00793835" w:rsidR="00935D2F">
        <w:rPr>
          <w:i/>
        </w:rPr>
        <w:t xml:space="preserve"> </w:t>
      </w:r>
      <w:r w:rsidRPr="00793835">
        <w:rPr>
          <w:i/>
        </w:rPr>
        <w:t>Incentive Auction Task Force and Media Bureau Announce Procedures for the Post-Incentive Auction Broadcast Transition</w:t>
      </w:r>
      <w:r w:rsidRPr="00BA1817">
        <w:t>, Public Notice, 32 FCC Rcd 858 (IATF/MB 2017) (</w:t>
      </w:r>
      <w:r w:rsidRPr="00793835">
        <w:rPr>
          <w:i/>
        </w:rPr>
        <w:t xml:space="preserve">Transition </w:t>
      </w:r>
      <w:r>
        <w:rPr>
          <w:i/>
        </w:rPr>
        <w:t>Procedures</w:t>
      </w:r>
      <w:r w:rsidRPr="00793835">
        <w:rPr>
          <w:i/>
        </w:rPr>
        <w:t xml:space="preserve"> PN</w:t>
      </w:r>
      <w:r w:rsidRPr="00BA1817">
        <w:t>)</w:t>
      </w:r>
      <w:r>
        <w:t xml:space="preserve">; </w:t>
      </w:r>
      <w:r w:rsidRPr="005C5C60">
        <w:rPr>
          <w:i/>
          <w:szCs w:val="22"/>
        </w:rPr>
        <w:t>Incentive Auction Task Force and Media Bureau Adopt a Post-Incentive Auction Transition Scheduling Plan</w:t>
      </w:r>
      <w:r w:rsidRPr="005C5C60">
        <w:rPr>
          <w:szCs w:val="22"/>
        </w:rPr>
        <w:t xml:space="preserve">, </w:t>
      </w:r>
      <w:r>
        <w:rPr>
          <w:szCs w:val="22"/>
        </w:rPr>
        <w:t>Public Notice, 32 FCC Rcd 890</w:t>
      </w:r>
      <w:r w:rsidRPr="005C5C60">
        <w:rPr>
          <w:szCs w:val="22"/>
        </w:rPr>
        <w:t xml:space="preserve"> (IATF/MB 2017</w:t>
      </w:r>
      <w:r>
        <w:rPr>
          <w:szCs w:val="22"/>
        </w:rPr>
        <w:t>) (</w:t>
      </w:r>
      <w:r>
        <w:rPr>
          <w:i/>
          <w:szCs w:val="22"/>
        </w:rPr>
        <w:t>Transition Scheduling PN)</w:t>
      </w:r>
      <w:r>
        <w:rPr>
          <w:i/>
        </w:rPr>
        <w:t>.</w:t>
      </w:r>
    </w:p>
  </w:footnote>
  <w:footnote w:id="28">
    <w:p w:rsidR="007D60F3" w:rsidP="007D60F3" w14:paraId="4F85E163" w14:textId="78776DBD">
      <w:pPr>
        <w:pStyle w:val="FootnoteText"/>
      </w:pPr>
      <w:r>
        <w:rPr>
          <w:rStyle w:val="FootnoteReference"/>
        </w:rPr>
        <w:footnoteRef/>
      </w:r>
      <w:r>
        <w:t xml:space="preserve"> </w:t>
      </w:r>
      <w:r w:rsidR="009B1401">
        <w:rPr>
          <w:i/>
        </w:rPr>
        <w:t xml:space="preserve">See e.g., </w:t>
      </w:r>
      <w:r w:rsidRPr="00B9012A" w:rsidR="00B9012A">
        <w:rPr>
          <w:i/>
        </w:rPr>
        <w:t>Incentive Auction Task Force and Media Bureau Release Transition Progress Report and Filing Requirements for Stations Eligible for Reimbursement from the TV Broadcast Relocation Fund &amp; Seek Comment on the Filing of the Report by Non-Reimbursable Stations</w:t>
      </w:r>
      <w:r w:rsidR="00B9012A">
        <w:t xml:space="preserve">, Public Notice, </w:t>
      </w:r>
      <w:r w:rsidRPr="00B9012A" w:rsidR="00B9012A">
        <w:t>32 FCC Rcd 256</w:t>
      </w:r>
      <w:r w:rsidR="00B9012A">
        <w:t xml:space="preserve"> (IATF/MB 2017)</w:t>
      </w:r>
      <w:r w:rsidR="009B1401">
        <w:t xml:space="preserve">; </w:t>
      </w:r>
      <w:r w:rsidRPr="009B1401" w:rsidR="009B1401">
        <w:rPr>
          <w:i/>
        </w:rPr>
        <w:t xml:space="preserve">The Incentive Auction Task Force and Media Bureau Adopt Filing Requirements for the Transition Progress Report Form by Stations </w:t>
      </w:r>
      <w:r w:rsidR="009B1401">
        <w:rPr>
          <w:i/>
        </w:rPr>
        <w:t>that are Not Eligible f</w:t>
      </w:r>
      <w:r w:rsidRPr="009B1401" w:rsidR="009B1401">
        <w:rPr>
          <w:i/>
        </w:rPr>
        <w:t>or Reimbursement From the TV Broadcast Relocation Fund</w:t>
      </w:r>
      <w:r w:rsidR="009B1401">
        <w:t>, Public Notice, 32 FCC Rcd 4029 (IATF/MB 201</w:t>
      </w:r>
      <w:r w:rsidR="00867FAA">
        <w:t>7</w:t>
      </w:r>
      <w:r w:rsidR="009B1401">
        <w:t>)</w:t>
      </w:r>
      <w:r>
        <w:t>.</w:t>
      </w:r>
    </w:p>
  </w:footnote>
  <w:footnote w:id="29">
    <w:p w:rsidR="007D60F3" w:rsidRPr="009B1401" w:rsidP="007D60F3" w14:paraId="5E245FC4" w14:textId="0A163C60">
      <w:pPr>
        <w:pStyle w:val="FootnoteText"/>
      </w:pPr>
      <w:r>
        <w:rPr>
          <w:rStyle w:val="FootnoteReference"/>
        </w:rPr>
        <w:footnoteRef/>
      </w:r>
      <w:r>
        <w:t xml:space="preserve"> </w:t>
      </w:r>
      <w:r w:rsidR="00867FAA">
        <w:rPr>
          <w:i/>
        </w:rPr>
        <w:t xml:space="preserve">See </w:t>
      </w:r>
      <w:r w:rsidRPr="009B1401" w:rsidR="009B1401">
        <w:rPr>
          <w:i/>
        </w:rPr>
        <w:t>Incentive Auction Task Force and Media Bureau Announce Regional Coordinators to Facilitate Post-Auction Transition for Broadcast Stations</w:t>
      </w:r>
      <w:r w:rsidR="009B1401">
        <w:t xml:space="preserve">, Public Notice, </w:t>
      </w:r>
      <w:r w:rsidRPr="009B1401" w:rsidR="009B1401">
        <w:t>32 FCC Rcd 3113</w:t>
      </w:r>
      <w:r w:rsidR="009B1401">
        <w:t xml:space="preserve"> (IATF/MB 201</w:t>
      </w:r>
      <w:r w:rsidR="00867FAA">
        <w:t>7</w:t>
      </w:r>
      <w:r w:rsidR="009B1401">
        <w:t>).</w:t>
      </w:r>
    </w:p>
  </w:footnote>
  <w:footnote w:id="30">
    <w:p w:rsidR="00A44DCE" w:rsidRPr="006C3348" w:rsidP="00E446CC" w14:paraId="0D068641" w14:textId="635D3544">
      <w:pPr>
        <w:widowControl/>
        <w:autoSpaceDE w:val="0"/>
        <w:autoSpaceDN w:val="0"/>
        <w:adjustRightInd w:val="0"/>
        <w:spacing w:after="120"/>
        <w:rPr>
          <w:sz w:val="20"/>
        </w:rPr>
      </w:pPr>
      <w:r w:rsidRPr="00C935DC">
        <w:rPr>
          <w:rStyle w:val="FootnoteReference"/>
        </w:rPr>
        <w:footnoteRef/>
      </w:r>
      <w:r w:rsidR="001C6047">
        <w:rPr>
          <w:sz w:val="20"/>
        </w:rPr>
        <w:t xml:space="preserve"> </w:t>
      </w:r>
      <w:bookmarkStart w:id="4" w:name="_Hlk510625528"/>
      <w:r w:rsidR="001C6047">
        <w:rPr>
          <w:sz w:val="20"/>
        </w:rPr>
        <w:t xml:space="preserve">Pursuant to the Ray Baum’s Act, the reimbursement period could be extended until July 3, 2023.  </w:t>
      </w:r>
      <w:r w:rsidR="001C6047">
        <w:rPr>
          <w:i/>
          <w:sz w:val="20"/>
        </w:rPr>
        <w:t xml:space="preserve">See </w:t>
      </w:r>
      <w:r w:rsidR="001C6047">
        <w:rPr>
          <w:sz w:val="20"/>
        </w:rPr>
        <w:t xml:space="preserve">Ray Baum’s Act </w:t>
      </w:r>
      <w:r w:rsidRPr="00E63351" w:rsidR="001C6047">
        <w:rPr>
          <w:sz w:val="20"/>
        </w:rPr>
        <w:t>§ 1452</w:t>
      </w:r>
      <w:r w:rsidRPr="00C935DC" w:rsidR="001C6047">
        <w:rPr>
          <w:rFonts w:ascii="TimesNewRoman" w:hAnsi="TimesNewRoman" w:cs="TimesNewRoman"/>
          <w:snapToGrid/>
          <w:kern w:val="0"/>
          <w:sz w:val="20"/>
        </w:rPr>
        <w:t>(</w:t>
      </w:r>
      <w:r w:rsidR="001C6047">
        <w:rPr>
          <w:rFonts w:ascii="TimesNewRoman" w:hAnsi="TimesNewRoman" w:cs="TimesNewRoman"/>
          <w:snapToGrid/>
          <w:kern w:val="0"/>
          <w:sz w:val="20"/>
        </w:rPr>
        <w:t>j</w:t>
      </w:r>
      <w:r w:rsidRPr="00C935DC" w:rsidR="001C6047">
        <w:rPr>
          <w:rFonts w:ascii="TimesNewRoman" w:hAnsi="TimesNewRoman" w:cs="TimesNewRoman"/>
          <w:snapToGrid/>
          <w:kern w:val="0"/>
          <w:sz w:val="20"/>
        </w:rPr>
        <w:t>)</w:t>
      </w:r>
      <w:r w:rsidR="001C6047">
        <w:rPr>
          <w:rFonts w:ascii="TimesNewRoman" w:hAnsi="TimesNewRoman" w:cs="TimesNewRoman"/>
          <w:snapToGrid/>
          <w:kern w:val="0"/>
          <w:sz w:val="20"/>
        </w:rPr>
        <w:t>(2)(B)(ii)</w:t>
      </w:r>
      <w:r w:rsidR="001C6047">
        <w:rPr>
          <w:sz w:val="20"/>
        </w:rPr>
        <w:t xml:space="preserve">.  </w:t>
      </w:r>
      <w:bookmarkEnd w:id="4"/>
    </w:p>
  </w:footnote>
  <w:footnote w:id="31">
    <w:p w:rsidR="00EF0812" w:rsidRPr="006C3348" w:rsidP="00EF0812" w14:paraId="0A98DA81" w14:textId="1A73D54E">
      <w:pPr>
        <w:widowControl/>
        <w:autoSpaceDE w:val="0"/>
        <w:autoSpaceDN w:val="0"/>
        <w:adjustRightInd w:val="0"/>
        <w:spacing w:after="120"/>
        <w:rPr>
          <w:sz w:val="20"/>
        </w:rPr>
      </w:pPr>
      <w:r w:rsidRPr="00C935DC">
        <w:rPr>
          <w:rStyle w:val="FootnoteReference"/>
        </w:rPr>
        <w:footnoteRef/>
      </w:r>
      <w:r w:rsidRPr="00C935DC">
        <w:rPr>
          <w:sz w:val="20"/>
        </w:rPr>
        <w:t xml:space="preserve"> </w:t>
      </w:r>
      <w:r w:rsidR="00E240E0">
        <w:rPr>
          <w:sz w:val="20"/>
        </w:rPr>
        <w:t xml:space="preserve">Currently, the reimbursement period is circumscribed to April 13, 2020, </w:t>
      </w:r>
      <w:r w:rsidRPr="006C3348" w:rsidR="00E240E0">
        <w:rPr>
          <w:sz w:val="20"/>
        </w:rPr>
        <w:t xml:space="preserve">three years </w:t>
      </w:r>
      <w:r w:rsidR="00E240E0">
        <w:rPr>
          <w:sz w:val="20"/>
        </w:rPr>
        <w:t>following</w:t>
      </w:r>
      <w:r w:rsidRPr="006C3348" w:rsidR="00E240E0">
        <w:rPr>
          <w:sz w:val="20"/>
        </w:rPr>
        <w:t xml:space="preserve"> completion of the forward auction</w:t>
      </w:r>
      <w:r w:rsidR="00E240E0">
        <w:rPr>
          <w:sz w:val="20"/>
        </w:rPr>
        <w:t xml:space="preserve">. </w:t>
      </w:r>
      <w:r w:rsidRPr="006C3348" w:rsidR="00E240E0">
        <w:rPr>
          <w:sz w:val="20"/>
        </w:rPr>
        <w:t xml:space="preserve"> </w:t>
      </w:r>
      <w:r w:rsidRPr="006C3348" w:rsidR="00E240E0">
        <w:rPr>
          <w:i/>
          <w:sz w:val="20"/>
        </w:rPr>
        <w:t>See</w:t>
      </w:r>
      <w:r w:rsidRPr="006C3348" w:rsidR="00E240E0">
        <w:rPr>
          <w:sz w:val="20"/>
        </w:rPr>
        <w:t xml:space="preserve"> Spectrum Act § </w:t>
      </w:r>
      <w:r w:rsidRPr="00E63351" w:rsidR="00E240E0">
        <w:rPr>
          <w:sz w:val="20"/>
        </w:rPr>
        <w:t>1452</w:t>
      </w:r>
      <w:r w:rsidRPr="006C3348" w:rsidR="00E240E0">
        <w:rPr>
          <w:sz w:val="20"/>
        </w:rPr>
        <w:t xml:space="preserve"> (b)(4)(D)</w:t>
      </w:r>
      <w:r w:rsidR="00E240E0">
        <w:rPr>
          <w:sz w:val="20"/>
        </w:rPr>
        <w:t xml:space="preserve"> (“</w:t>
      </w:r>
      <w:r w:rsidRPr="00462071" w:rsidR="00E240E0">
        <w:rPr>
          <w:sz w:val="20"/>
        </w:rPr>
        <w:t xml:space="preserve">The Commission shall make all reimbursements </w:t>
      </w:r>
      <w:r w:rsidR="00E240E0">
        <w:rPr>
          <w:sz w:val="20"/>
        </w:rPr>
        <w:t xml:space="preserve">… </w:t>
      </w:r>
      <w:r w:rsidRPr="00462071" w:rsidR="00E240E0">
        <w:rPr>
          <w:sz w:val="20"/>
        </w:rPr>
        <w:t>not later than the date that is 3 years after the completion of the forward auction</w:t>
      </w:r>
      <w:r w:rsidR="00E240E0">
        <w:rPr>
          <w:sz w:val="20"/>
        </w:rPr>
        <w:t xml:space="preserve">…”); </w:t>
      </w:r>
      <w:r w:rsidR="00E240E0">
        <w:rPr>
          <w:i/>
          <w:sz w:val="20"/>
        </w:rPr>
        <w:t xml:space="preserve">see also </w:t>
      </w:r>
      <w:r w:rsidRPr="006C3348" w:rsidR="00E240E0">
        <w:rPr>
          <w:i/>
          <w:sz w:val="20"/>
        </w:rPr>
        <w:t>Incentive Auction R&amp;O</w:t>
      </w:r>
      <w:r w:rsidR="00E240E0">
        <w:rPr>
          <w:sz w:val="20"/>
        </w:rPr>
        <w:t>, 29 FCC Rcd at 6782, 6796, paras. 525, 559 (“</w:t>
      </w:r>
      <w:r w:rsidRPr="00E446CC" w:rsidR="00E240E0">
        <w:rPr>
          <w:sz w:val="20"/>
        </w:rPr>
        <w:t>With these goals in mind, we adopt a 3</w:t>
      </w:r>
      <w:r w:rsidR="00E240E0">
        <w:rPr>
          <w:sz w:val="20"/>
        </w:rPr>
        <w:t>9-month transition period</w:t>
      </w:r>
      <w:r w:rsidRPr="00E446CC" w:rsidR="00E240E0">
        <w:rPr>
          <w:sz w:val="20"/>
        </w:rPr>
        <w:t>.</w:t>
      </w:r>
      <w:r w:rsidR="00E240E0">
        <w:rPr>
          <w:sz w:val="20"/>
        </w:rPr>
        <w:t xml:space="preserve">”); </w:t>
      </w:r>
      <w:r w:rsidRPr="00A829F1" w:rsidR="00E240E0">
        <w:rPr>
          <w:i/>
          <w:sz w:val="20"/>
        </w:rPr>
        <w:t>Closing and Channel Reassignment PN</w:t>
      </w:r>
      <w:r w:rsidR="00290DC4">
        <w:rPr>
          <w:sz w:val="20"/>
        </w:rPr>
        <w:t>, 32 FCC Rcd</w:t>
      </w:r>
      <w:r w:rsidR="00212424">
        <w:rPr>
          <w:sz w:val="20"/>
        </w:rPr>
        <w:t xml:space="preserve"> at</w:t>
      </w:r>
      <w:r w:rsidR="004A77ED">
        <w:rPr>
          <w:sz w:val="20"/>
        </w:rPr>
        <w:t xml:space="preserve"> 2805-09,</w:t>
      </w:r>
      <w:r w:rsidR="00011062">
        <w:rPr>
          <w:sz w:val="20"/>
        </w:rPr>
        <w:t xml:space="preserve"> 2816,</w:t>
      </w:r>
      <w:r w:rsidR="00212424">
        <w:rPr>
          <w:sz w:val="20"/>
        </w:rPr>
        <w:t xml:space="preserve"> </w:t>
      </w:r>
      <w:r w:rsidRPr="00C922B4" w:rsidR="00212424">
        <w:rPr>
          <w:sz w:val="20"/>
        </w:rPr>
        <w:t>para</w:t>
      </w:r>
      <w:r w:rsidR="00011062">
        <w:rPr>
          <w:sz w:val="20"/>
        </w:rPr>
        <w:t>s</w:t>
      </w:r>
      <w:r w:rsidRPr="00C922B4" w:rsidR="00212424">
        <w:rPr>
          <w:sz w:val="20"/>
        </w:rPr>
        <w:t xml:space="preserve">. </w:t>
      </w:r>
      <w:r w:rsidRPr="00C922B4" w:rsidR="004A77ED">
        <w:rPr>
          <w:sz w:val="20"/>
        </w:rPr>
        <w:t>61-65, 69</w:t>
      </w:r>
      <w:r w:rsidR="00011062">
        <w:rPr>
          <w:sz w:val="20"/>
        </w:rPr>
        <w:t>, 90</w:t>
      </w:r>
      <w:r w:rsidRPr="00E240E0" w:rsidR="00E240E0">
        <w:rPr>
          <w:sz w:val="20"/>
        </w:rPr>
        <w:t>.</w:t>
      </w:r>
    </w:p>
  </w:footnote>
  <w:footnote w:id="32">
    <w:p w:rsidR="00B45F35" w14:paraId="31E803E2" w14:textId="7E9047A4">
      <w:pPr>
        <w:pStyle w:val="FootnoteText"/>
      </w:pPr>
      <w:r>
        <w:rPr>
          <w:rStyle w:val="FootnoteReference"/>
        </w:rPr>
        <w:footnoteRef/>
      </w:r>
      <w:r>
        <w:t xml:space="preserve"> </w:t>
      </w:r>
      <w:r w:rsidR="004A1909">
        <w:rPr>
          <w:i/>
        </w:rPr>
        <w:t>Transition Procedures PN</w:t>
      </w:r>
      <w:r w:rsidR="00B20687">
        <w:t>, 32 FCC Rcd</w:t>
      </w:r>
      <w:r w:rsidR="004A1909">
        <w:rPr>
          <w:i/>
        </w:rPr>
        <w:t xml:space="preserve"> </w:t>
      </w:r>
      <w:r>
        <w:t xml:space="preserve">at </w:t>
      </w:r>
      <w:r w:rsidR="0072492F">
        <w:t>880-81</w:t>
      </w:r>
      <w:r w:rsidR="004A1909">
        <w:t xml:space="preserve">, </w:t>
      </w:r>
      <w:r>
        <w:t>para. 73.</w:t>
      </w:r>
    </w:p>
  </w:footnote>
  <w:footnote w:id="33">
    <w:p w:rsidR="00935D2F" w14:paraId="33B68BFC" w14:textId="448EC123">
      <w:pPr>
        <w:pStyle w:val="FootnoteText"/>
      </w:pPr>
      <w:r>
        <w:rPr>
          <w:rStyle w:val="FootnoteReference"/>
        </w:rPr>
        <w:footnoteRef/>
      </w:r>
      <w:r>
        <w:t xml:space="preserve"> </w:t>
      </w:r>
      <w:r w:rsidRPr="00212424">
        <w:rPr>
          <w:i/>
        </w:rPr>
        <w:t>Transition Scheduling PN</w:t>
      </w:r>
      <w:r w:rsidR="00B20687">
        <w:t>,</w:t>
      </w:r>
      <w:r>
        <w:t xml:space="preserve"> </w:t>
      </w:r>
      <w:r w:rsidR="00B20687">
        <w:t>32</w:t>
      </w:r>
      <w:r w:rsidRPr="00365078" w:rsidR="00B20687">
        <w:t xml:space="preserve"> FCC Rcd</w:t>
      </w:r>
      <w:r w:rsidR="00B20687">
        <w:t xml:space="preserve"> </w:t>
      </w:r>
      <w:r>
        <w:t>at 913, para. 50.</w:t>
      </w:r>
    </w:p>
  </w:footnote>
  <w:footnote w:id="34">
    <w:p w:rsidR="004A1909" w14:paraId="5FF30509" w14:textId="689A07B5">
      <w:pPr>
        <w:pStyle w:val="FootnoteText"/>
      </w:pPr>
      <w:r>
        <w:rPr>
          <w:rStyle w:val="FootnoteReference"/>
        </w:rPr>
        <w:footnoteRef/>
      </w:r>
      <w:r w:rsidRPr="00B20687" w:rsidR="00B20687">
        <w:rPr>
          <w:i/>
        </w:rPr>
        <w:t xml:space="preserve"> </w:t>
      </w:r>
      <w:r w:rsidR="00B20687">
        <w:rPr>
          <w:i/>
        </w:rPr>
        <w:t>Transition Procedures PN</w:t>
      </w:r>
      <w:r w:rsidR="00B20687">
        <w:t>, 32 FCC Rcd</w:t>
      </w:r>
      <w:r w:rsidR="00837290">
        <w:rPr>
          <w:i/>
        </w:rPr>
        <w:t xml:space="preserve"> </w:t>
      </w:r>
      <w:r w:rsidR="00837290">
        <w:t>at 872 -74, para</w:t>
      </w:r>
      <w:r w:rsidR="00011062">
        <w:t>s</w:t>
      </w:r>
      <w:r w:rsidR="00837290">
        <w:t xml:space="preserve">. 46-49; </w:t>
      </w:r>
      <w:r w:rsidRPr="00212424">
        <w:rPr>
          <w:i/>
        </w:rPr>
        <w:t>Transition Scheduling PN</w:t>
      </w:r>
      <w:r w:rsidR="00B20687">
        <w:t>, 32 FCC Rcd</w:t>
      </w:r>
      <w:r>
        <w:t xml:space="preserve"> at </w:t>
      </w:r>
      <w:r w:rsidR="00855512">
        <w:t>91</w:t>
      </w:r>
      <w:r w:rsidR="00680FFD">
        <w:t>2-917</w:t>
      </w:r>
      <w:r>
        <w:t>, para</w:t>
      </w:r>
      <w:r w:rsidR="00011062">
        <w:t>s</w:t>
      </w:r>
      <w:r>
        <w:t xml:space="preserve"> </w:t>
      </w:r>
      <w:r w:rsidR="00680FFD">
        <w:t>47-59</w:t>
      </w:r>
      <w:r w:rsidR="00275C9E">
        <w:t xml:space="preserve">; </w:t>
      </w:r>
      <w:r w:rsidRPr="00212424" w:rsidR="00532419">
        <w:rPr>
          <w:i/>
        </w:rPr>
        <w:t>Initial Allocation PN</w:t>
      </w:r>
      <w:r w:rsidR="00B20687">
        <w:t>, 32</w:t>
      </w:r>
      <w:r w:rsidRPr="00365078" w:rsidR="00B20687">
        <w:t xml:space="preserve"> FCC Rcd</w:t>
      </w:r>
      <w:r w:rsidR="00532419">
        <w:t xml:space="preserve"> at </w:t>
      </w:r>
      <w:r w:rsidR="004A77ED">
        <w:t>7559-60</w:t>
      </w:r>
      <w:r>
        <w:t>.</w:t>
      </w:r>
    </w:p>
  </w:footnote>
  <w:footnote w:id="35">
    <w:p w:rsidR="003F1DB7" w:rsidRPr="006016FE" w14:paraId="62BB324A" w14:textId="3557C9EB">
      <w:pPr>
        <w:pStyle w:val="FootnoteText"/>
        <w:rPr>
          <w:i/>
        </w:rPr>
      </w:pPr>
      <w:r>
        <w:rPr>
          <w:rStyle w:val="FootnoteReference"/>
        </w:rPr>
        <w:footnoteRef/>
      </w:r>
      <w:r>
        <w:t xml:space="preserve"> </w:t>
      </w:r>
      <w:r w:rsidRPr="00212424" w:rsidR="004A1909">
        <w:rPr>
          <w:i/>
        </w:rPr>
        <w:t>See</w:t>
      </w:r>
      <w:r w:rsidR="004A1909">
        <w:t xml:space="preserve"> </w:t>
      </w:r>
      <w:r>
        <w:rPr>
          <w:i/>
        </w:rPr>
        <w:t>Initial Allocation PN</w:t>
      </w:r>
      <w:r w:rsidR="00290DC4">
        <w:rPr>
          <w:i/>
        </w:rPr>
        <w:t xml:space="preserve">, </w:t>
      </w:r>
      <w:r w:rsidR="00290DC4">
        <w:t>32</w:t>
      </w:r>
      <w:r w:rsidRPr="00365078" w:rsidR="00290DC4">
        <w:t xml:space="preserve"> FCC Rcd</w:t>
      </w:r>
      <w:r w:rsidR="00532419">
        <w:rPr>
          <w:i/>
        </w:rPr>
        <w:t xml:space="preserve"> </w:t>
      </w:r>
      <w:r w:rsidR="00532419">
        <w:t xml:space="preserve">at </w:t>
      </w:r>
      <w:r w:rsidR="004A77ED">
        <w:t>7559-60</w:t>
      </w:r>
      <w:r w:rsidR="00E240E0">
        <w:t xml:space="preserve">; </w:t>
      </w:r>
      <w:r w:rsidRPr="00212424" w:rsidR="00532419">
        <w:rPr>
          <w:i/>
        </w:rPr>
        <w:t>see also</w:t>
      </w:r>
      <w:r w:rsidR="00532419">
        <w:t xml:space="preserve"> </w:t>
      </w:r>
      <w:bookmarkStart w:id="6" w:name="_Hlk511198351"/>
      <w:r w:rsidR="00FB0445">
        <w:rPr>
          <w:i/>
        </w:rPr>
        <w:t xml:space="preserve">Transition </w:t>
      </w:r>
      <w:r w:rsidR="00E240E0">
        <w:rPr>
          <w:i/>
        </w:rPr>
        <w:t>Procedures PN</w:t>
      </w:r>
      <w:r w:rsidR="00212424">
        <w:rPr>
          <w:i/>
        </w:rPr>
        <w:t xml:space="preserve"> </w:t>
      </w:r>
      <w:r w:rsidR="00212424">
        <w:t>at</w:t>
      </w:r>
      <w:r w:rsidR="00837290">
        <w:t xml:space="preserve"> 871</w:t>
      </w:r>
      <w:r w:rsidR="00212424">
        <w:t xml:space="preserve"> </w:t>
      </w:r>
      <w:r w:rsidR="00837290">
        <w:t xml:space="preserve">-74, </w:t>
      </w:r>
      <w:r w:rsidR="00855512">
        <w:t>880-81</w:t>
      </w:r>
      <w:r w:rsidR="00212424">
        <w:t>, paras.</w:t>
      </w:r>
      <w:r w:rsidR="00837290">
        <w:t xml:space="preserve"> 39-49,</w:t>
      </w:r>
      <w:r w:rsidR="00212424">
        <w:t xml:space="preserve"> 73-74</w:t>
      </w:r>
      <w:r w:rsidR="00E240E0">
        <w:t xml:space="preserve">; </w:t>
      </w:r>
      <w:r w:rsidR="00E240E0">
        <w:rPr>
          <w:i/>
        </w:rPr>
        <w:t>Transition Scheduling PN</w:t>
      </w:r>
      <w:r w:rsidR="00A30585">
        <w:rPr>
          <w:i/>
        </w:rPr>
        <w:t>,</w:t>
      </w:r>
      <w:r w:rsidRPr="00A30585" w:rsidR="00A30585">
        <w:t xml:space="preserve"> </w:t>
      </w:r>
      <w:r w:rsidR="00A30585">
        <w:t>32</w:t>
      </w:r>
      <w:r w:rsidRPr="00365078" w:rsidR="00A30585">
        <w:t xml:space="preserve"> FCC Rcd</w:t>
      </w:r>
      <w:r w:rsidR="00212424">
        <w:t xml:space="preserve"> at </w:t>
      </w:r>
      <w:r w:rsidR="00855512">
        <w:t>912-14</w:t>
      </w:r>
      <w:r w:rsidR="00212424">
        <w:t>, paras. 4</w:t>
      </w:r>
      <w:r w:rsidR="00855512">
        <w:t>9</w:t>
      </w:r>
      <w:r w:rsidR="00212424">
        <w:t>-52</w:t>
      </w:r>
      <w:bookmarkEnd w:id="6"/>
      <w:r w:rsidR="0021242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EF8" w14:paraId="0CF10E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810B6F" w14:paraId="38DBA05C" w14:textId="1E78C161">
    <w:pPr>
      <w:pStyle w:val="Header"/>
      <w:rPr>
        <w:b w:val="0"/>
      </w:rPr>
    </w:pPr>
    <w:r>
      <w:tab/>
      <w:t>Federal Communications Commission</w:t>
    </w:r>
    <w:r>
      <w:tab/>
      <w:t>DA 1</w:t>
    </w:r>
    <w:r w:rsidR="00336940">
      <w:t>8</w:t>
    </w:r>
    <w:r>
      <w:t>-</w:t>
    </w:r>
    <w:r w:rsidR="008D0E33">
      <w:t>372</w:t>
    </w:r>
  </w:p>
  <w:p w:rsidR="00C627C6" w14:paraId="5CA3A9A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627C6" w14:paraId="0DAF9F3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RPr="00BA6E7A" w:rsidP="00750150" w14:paraId="7F8249C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C627C6" w:rsidP="00750150" w14:paraId="73380F28"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0936"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C627C6" w:rsidRPr="005068D8" w:rsidP="00750150" w14:paraId="44561237"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14:textId="77777777">
                          <w:pPr>
                            <w:spacing w:before="40"/>
                            <w:jc w:val="right"/>
                          </w:pPr>
                          <w:r>
                            <w:rPr>
                              <w:rFonts w:ascii="Arial" w:hAnsi="Arial"/>
                              <w:b/>
                              <w:sz w:val="16"/>
                            </w:rPr>
                            <w:t>News Media Information: 202-418-0500</w:t>
                          </w:r>
                          <w:r>
                            <w:rPr>
                              <w:rFonts w:ascii="Arial" w:hAnsi="Arial"/>
                              <w:b/>
                              <w:sz w:val="16"/>
                            </w:rPr>
                            <w:br/>
                            <w:t xml:space="preserve">Internet: </w:t>
                          </w:r>
                          <w:r w:rsidRPr="00967716">
                            <w:rPr>
                              <w:rFonts w:ascii="Arial" w:hAnsi="Arial"/>
                              <w:b/>
                              <w:sz w:val="16"/>
                            </w:rPr>
                            <w:t>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627C6" w:rsidP="00750150" w14:paraId="4C251EB3" w14:textId="77777777">
                    <w:pPr>
                      <w:spacing w:before="40"/>
                      <w:jc w:val="right"/>
                    </w:pPr>
                    <w:r>
                      <w:rPr>
                        <w:rFonts w:ascii="Arial" w:hAnsi="Arial"/>
                        <w:b/>
                        <w:sz w:val="16"/>
                      </w:rPr>
                      <w:t>News Media Information: 202-418-0500</w:t>
                    </w:r>
                    <w:r>
                      <w:rPr>
                        <w:rFonts w:ascii="Arial" w:hAnsi="Arial"/>
                        <w:b/>
                        <w:sz w:val="16"/>
                      </w:rPr>
                      <w:br/>
                      <w:t xml:space="preserve">Internet: </w:t>
                    </w:r>
                    <w:r w:rsidRPr="00967716">
                      <w:rPr>
                        <w:rFonts w:ascii="Arial" w:hAnsi="Arial"/>
                        <w:b/>
                        <w:sz w:val="16"/>
                      </w:rPr>
                      <w:t>www.fcc.gov</w:t>
                    </w:r>
                    <w:r>
                      <w:rPr>
                        <w:rFonts w:ascii="Arial" w:hAnsi="Arial"/>
                        <w:b/>
                        <w:sz w:val="16"/>
                      </w:rPr>
                      <w:br/>
                      <w:t>TTY: 888-835-5322</w:t>
                    </w:r>
                  </w:p>
                </w:txbxContent>
              </v:textbox>
            </v:shape>
          </w:pict>
        </mc:Fallback>
      </mc:AlternateContent>
    </w:r>
  </w:p>
  <w:p w:rsidR="00C627C6" w:rsidRPr="00750150" w:rsidP="00750150" w14:paraId="3505B2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81BBD"/>
    <w:multiLevelType w:val="hybridMultilevel"/>
    <w:tmpl w:val="C5004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7E1152"/>
    <w:multiLevelType w:val="hybridMultilevel"/>
    <w:tmpl w:val="3D8EB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CF2319"/>
    <w:multiLevelType w:val="hybridMultilevel"/>
    <w:tmpl w:val="3F0AC7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50"/>
    <w:rsid w:val="00003A2A"/>
    <w:rsid w:val="00003E3F"/>
    <w:rsid w:val="00011062"/>
    <w:rsid w:val="0001363F"/>
    <w:rsid w:val="00013F69"/>
    <w:rsid w:val="0001419A"/>
    <w:rsid w:val="0002248F"/>
    <w:rsid w:val="000256DC"/>
    <w:rsid w:val="00025741"/>
    <w:rsid w:val="000258BA"/>
    <w:rsid w:val="00030929"/>
    <w:rsid w:val="00033DDE"/>
    <w:rsid w:val="0003459E"/>
    <w:rsid w:val="00036039"/>
    <w:rsid w:val="00037F90"/>
    <w:rsid w:val="00040143"/>
    <w:rsid w:val="00041E02"/>
    <w:rsid w:val="000420C7"/>
    <w:rsid w:val="00043204"/>
    <w:rsid w:val="00043B2F"/>
    <w:rsid w:val="00045290"/>
    <w:rsid w:val="00045D0A"/>
    <w:rsid w:val="00046A13"/>
    <w:rsid w:val="00052912"/>
    <w:rsid w:val="00055948"/>
    <w:rsid w:val="00062C17"/>
    <w:rsid w:val="00065CA5"/>
    <w:rsid w:val="000700A8"/>
    <w:rsid w:val="000755F8"/>
    <w:rsid w:val="00077D78"/>
    <w:rsid w:val="00080252"/>
    <w:rsid w:val="00085F6B"/>
    <w:rsid w:val="000875BF"/>
    <w:rsid w:val="00090331"/>
    <w:rsid w:val="00090364"/>
    <w:rsid w:val="00091554"/>
    <w:rsid w:val="00092350"/>
    <w:rsid w:val="00093302"/>
    <w:rsid w:val="00093785"/>
    <w:rsid w:val="00096445"/>
    <w:rsid w:val="0009653D"/>
    <w:rsid w:val="00096D8C"/>
    <w:rsid w:val="000A3174"/>
    <w:rsid w:val="000A5B63"/>
    <w:rsid w:val="000A760A"/>
    <w:rsid w:val="000B3816"/>
    <w:rsid w:val="000B4856"/>
    <w:rsid w:val="000B5D98"/>
    <w:rsid w:val="000B5EED"/>
    <w:rsid w:val="000B74B7"/>
    <w:rsid w:val="000C0B65"/>
    <w:rsid w:val="000C3FEF"/>
    <w:rsid w:val="000C4E5C"/>
    <w:rsid w:val="000C7258"/>
    <w:rsid w:val="000D5835"/>
    <w:rsid w:val="000E05FE"/>
    <w:rsid w:val="000E27F8"/>
    <w:rsid w:val="000E3D42"/>
    <w:rsid w:val="000E5E42"/>
    <w:rsid w:val="000F168A"/>
    <w:rsid w:val="000F5B8C"/>
    <w:rsid w:val="000F632D"/>
    <w:rsid w:val="000F6696"/>
    <w:rsid w:val="00103573"/>
    <w:rsid w:val="00103DBA"/>
    <w:rsid w:val="0010442A"/>
    <w:rsid w:val="001065D7"/>
    <w:rsid w:val="00107B2F"/>
    <w:rsid w:val="0011231D"/>
    <w:rsid w:val="001148FD"/>
    <w:rsid w:val="00122BD5"/>
    <w:rsid w:val="001238FB"/>
    <w:rsid w:val="00124FA7"/>
    <w:rsid w:val="001311A6"/>
    <w:rsid w:val="0013358C"/>
    <w:rsid w:val="00133F79"/>
    <w:rsid w:val="00140B25"/>
    <w:rsid w:val="00142A12"/>
    <w:rsid w:val="00143986"/>
    <w:rsid w:val="00146BAC"/>
    <w:rsid w:val="00147C1B"/>
    <w:rsid w:val="00150187"/>
    <w:rsid w:val="001516F3"/>
    <w:rsid w:val="001520AF"/>
    <w:rsid w:val="00152948"/>
    <w:rsid w:val="0015308A"/>
    <w:rsid w:val="001535F1"/>
    <w:rsid w:val="00163117"/>
    <w:rsid w:val="001647B0"/>
    <w:rsid w:val="00166F86"/>
    <w:rsid w:val="00171758"/>
    <w:rsid w:val="001717BC"/>
    <w:rsid w:val="001730CD"/>
    <w:rsid w:val="001750DD"/>
    <w:rsid w:val="00176E34"/>
    <w:rsid w:val="001806AE"/>
    <w:rsid w:val="0018267B"/>
    <w:rsid w:val="00182C4D"/>
    <w:rsid w:val="00187722"/>
    <w:rsid w:val="00187E6F"/>
    <w:rsid w:val="001915C9"/>
    <w:rsid w:val="00191D00"/>
    <w:rsid w:val="00191F4F"/>
    <w:rsid w:val="00194A66"/>
    <w:rsid w:val="00194FA4"/>
    <w:rsid w:val="001952DE"/>
    <w:rsid w:val="0019642C"/>
    <w:rsid w:val="001A055E"/>
    <w:rsid w:val="001A4531"/>
    <w:rsid w:val="001A6369"/>
    <w:rsid w:val="001A6701"/>
    <w:rsid w:val="001A76B6"/>
    <w:rsid w:val="001C1D64"/>
    <w:rsid w:val="001C6047"/>
    <w:rsid w:val="001C623A"/>
    <w:rsid w:val="001C7BFE"/>
    <w:rsid w:val="001D4044"/>
    <w:rsid w:val="001D6BCF"/>
    <w:rsid w:val="001D7681"/>
    <w:rsid w:val="001E01CA"/>
    <w:rsid w:val="001E43D8"/>
    <w:rsid w:val="001E44DA"/>
    <w:rsid w:val="001E71DF"/>
    <w:rsid w:val="001F0513"/>
    <w:rsid w:val="001F4477"/>
    <w:rsid w:val="00203760"/>
    <w:rsid w:val="0020659D"/>
    <w:rsid w:val="00212424"/>
    <w:rsid w:val="00214F29"/>
    <w:rsid w:val="002169A2"/>
    <w:rsid w:val="00217161"/>
    <w:rsid w:val="002240A2"/>
    <w:rsid w:val="002275A4"/>
    <w:rsid w:val="00231349"/>
    <w:rsid w:val="00232804"/>
    <w:rsid w:val="00232C63"/>
    <w:rsid w:val="0023417A"/>
    <w:rsid w:val="002379DE"/>
    <w:rsid w:val="00237AB4"/>
    <w:rsid w:val="00237CEE"/>
    <w:rsid w:val="00241C4F"/>
    <w:rsid w:val="002477D5"/>
    <w:rsid w:val="00251824"/>
    <w:rsid w:val="00252487"/>
    <w:rsid w:val="002539AB"/>
    <w:rsid w:val="00254639"/>
    <w:rsid w:val="0025649D"/>
    <w:rsid w:val="00256A63"/>
    <w:rsid w:val="00257321"/>
    <w:rsid w:val="0026049C"/>
    <w:rsid w:val="002611E6"/>
    <w:rsid w:val="00263D06"/>
    <w:rsid w:val="00265513"/>
    <w:rsid w:val="00270E39"/>
    <w:rsid w:val="00274560"/>
    <w:rsid w:val="00274A3F"/>
    <w:rsid w:val="00275C9E"/>
    <w:rsid w:val="00275CF5"/>
    <w:rsid w:val="00276EF8"/>
    <w:rsid w:val="00277A5B"/>
    <w:rsid w:val="0028301F"/>
    <w:rsid w:val="002843A1"/>
    <w:rsid w:val="00285017"/>
    <w:rsid w:val="002851B2"/>
    <w:rsid w:val="00290DC4"/>
    <w:rsid w:val="00292B97"/>
    <w:rsid w:val="00293D4F"/>
    <w:rsid w:val="00294D53"/>
    <w:rsid w:val="00294EB9"/>
    <w:rsid w:val="002964B7"/>
    <w:rsid w:val="002A1C94"/>
    <w:rsid w:val="002A20EF"/>
    <w:rsid w:val="002A2D2E"/>
    <w:rsid w:val="002A4892"/>
    <w:rsid w:val="002B0537"/>
    <w:rsid w:val="002B46B4"/>
    <w:rsid w:val="002B6FE0"/>
    <w:rsid w:val="002B7C81"/>
    <w:rsid w:val="002C00E8"/>
    <w:rsid w:val="002C13A1"/>
    <w:rsid w:val="002C23E1"/>
    <w:rsid w:val="002C2A73"/>
    <w:rsid w:val="002C2D9B"/>
    <w:rsid w:val="002C53F3"/>
    <w:rsid w:val="002D2607"/>
    <w:rsid w:val="002D2C19"/>
    <w:rsid w:val="002D56B7"/>
    <w:rsid w:val="002D663A"/>
    <w:rsid w:val="002E0A45"/>
    <w:rsid w:val="002E14AD"/>
    <w:rsid w:val="002E1B41"/>
    <w:rsid w:val="002E488A"/>
    <w:rsid w:val="002E4952"/>
    <w:rsid w:val="002F2178"/>
    <w:rsid w:val="002F3108"/>
    <w:rsid w:val="002F418D"/>
    <w:rsid w:val="002F57A4"/>
    <w:rsid w:val="002F7616"/>
    <w:rsid w:val="00300646"/>
    <w:rsid w:val="0030099C"/>
    <w:rsid w:val="00302A91"/>
    <w:rsid w:val="003035D3"/>
    <w:rsid w:val="00305FE3"/>
    <w:rsid w:val="00311EAE"/>
    <w:rsid w:val="003127E1"/>
    <w:rsid w:val="00315F9C"/>
    <w:rsid w:val="00317E91"/>
    <w:rsid w:val="0032040D"/>
    <w:rsid w:val="003208CD"/>
    <w:rsid w:val="00322769"/>
    <w:rsid w:val="00322EE9"/>
    <w:rsid w:val="00323BC5"/>
    <w:rsid w:val="00324FED"/>
    <w:rsid w:val="00325347"/>
    <w:rsid w:val="003327BC"/>
    <w:rsid w:val="00336940"/>
    <w:rsid w:val="00336C05"/>
    <w:rsid w:val="00340126"/>
    <w:rsid w:val="00341AC9"/>
    <w:rsid w:val="00343749"/>
    <w:rsid w:val="00344516"/>
    <w:rsid w:val="00351C73"/>
    <w:rsid w:val="00353C2A"/>
    <w:rsid w:val="00353EEE"/>
    <w:rsid w:val="00356908"/>
    <w:rsid w:val="003611A1"/>
    <w:rsid w:val="003621FF"/>
    <w:rsid w:val="00362BFA"/>
    <w:rsid w:val="00363F80"/>
    <w:rsid w:val="0036489B"/>
    <w:rsid w:val="00365078"/>
    <w:rsid w:val="003660ED"/>
    <w:rsid w:val="00367EFD"/>
    <w:rsid w:val="00370D7C"/>
    <w:rsid w:val="0037211A"/>
    <w:rsid w:val="0037669C"/>
    <w:rsid w:val="00376AC6"/>
    <w:rsid w:val="00380B5B"/>
    <w:rsid w:val="00380C3E"/>
    <w:rsid w:val="00381003"/>
    <w:rsid w:val="00383B89"/>
    <w:rsid w:val="00392F03"/>
    <w:rsid w:val="003946FB"/>
    <w:rsid w:val="00395EB3"/>
    <w:rsid w:val="003A031B"/>
    <w:rsid w:val="003A515D"/>
    <w:rsid w:val="003A7269"/>
    <w:rsid w:val="003A767A"/>
    <w:rsid w:val="003B0550"/>
    <w:rsid w:val="003B0C40"/>
    <w:rsid w:val="003B204D"/>
    <w:rsid w:val="003B694F"/>
    <w:rsid w:val="003C4D0B"/>
    <w:rsid w:val="003C4D7E"/>
    <w:rsid w:val="003D1A20"/>
    <w:rsid w:val="003D309A"/>
    <w:rsid w:val="003E37E2"/>
    <w:rsid w:val="003E3DB0"/>
    <w:rsid w:val="003F171C"/>
    <w:rsid w:val="003F1AB3"/>
    <w:rsid w:val="003F1DB7"/>
    <w:rsid w:val="0040141E"/>
    <w:rsid w:val="004026BC"/>
    <w:rsid w:val="004035CB"/>
    <w:rsid w:val="004064B5"/>
    <w:rsid w:val="00406684"/>
    <w:rsid w:val="00412FC5"/>
    <w:rsid w:val="0041676F"/>
    <w:rsid w:val="00417C23"/>
    <w:rsid w:val="00422276"/>
    <w:rsid w:val="004242F1"/>
    <w:rsid w:val="004261A9"/>
    <w:rsid w:val="004268DC"/>
    <w:rsid w:val="00434319"/>
    <w:rsid w:val="00437270"/>
    <w:rsid w:val="0043736B"/>
    <w:rsid w:val="00437944"/>
    <w:rsid w:val="00443729"/>
    <w:rsid w:val="00443AE0"/>
    <w:rsid w:val="004449DA"/>
    <w:rsid w:val="00445A00"/>
    <w:rsid w:val="00447285"/>
    <w:rsid w:val="00447BD2"/>
    <w:rsid w:val="00450057"/>
    <w:rsid w:val="00451B0F"/>
    <w:rsid w:val="00452DC3"/>
    <w:rsid w:val="00454188"/>
    <w:rsid w:val="00454513"/>
    <w:rsid w:val="00457BA4"/>
    <w:rsid w:val="0046164A"/>
    <w:rsid w:val="00462071"/>
    <w:rsid w:val="004625E7"/>
    <w:rsid w:val="00464F0C"/>
    <w:rsid w:val="00466037"/>
    <w:rsid w:val="004709FC"/>
    <w:rsid w:val="00473760"/>
    <w:rsid w:val="00474E30"/>
    <w:rsid w:val="0048362E"/>
    <w:rsid w:val="0048454E"/>
    <w:rsid w:val="00487A6D"/>
    <w:rsid w:val="00490337"/>
    <w:rsid w:val="00493318"/>
    <w:rsid w:val="00496FEE"/>
    <w:rsid w:val="004A1909"/>
    <w:rsid w:val="004A3FAB"/>
    <w:rsid w:val="004A494C"/>
    <w:rsid w:val="004A66C3"/>
    <w:rsid w:val="004A7046"/>
    <w:rsid w:val="004A77ED"/>
    <w:rsid w:val="004A7B09"/>
    <w:rsid w:val="004B0438"/>
    <w:rsid w:val="004B0DE5"/>
    <w:rsid w:val="004B281C"/>
    <w:rsid w:val="004B2A92"/>
    <w:rsid w:val="004B5222"/>
    <w:rsid w:val="004C2EE3"/>
    <w:rsid w:val="004C36AD"/>
    <w:rsid w:val="004C78C4"/>
    <w:rsid w:val="004C7DCB"/>
    <w:rsid w:val="004D27D6"/>
    <w:rsid w:val="004E2FF2"/>
    <w:rsid w:val="004E4A22"/>
    <w:rsid w:val="004E5F75"/>
    <w:rsid w:val="004F4BAF"/>
    <w:rsid w:val="004F5827"/>
    <w:rsid w:val="004F6AE4"/>
    <w:rsid w:val="004F740F"/>
    <w:rsid w:val="00501BA9"/>
    <w:rsid w:val="00501F11"/>
    <w:rsid w:val="00503B3A"/>
    <w:rsid w:val="005068D8"/>
    <w:rsid w:val="00507A79"/>
    <w:rsid w:val="00510539"/>
    <w:rsid w:val="00511968"/>
    <w:rsid w:val="00511EFA"/>
    <w:rsid w:val="0051249A"/>
    <w:rsid w:val="00512AB5"/>
    <w:rsid w:val="00513895"/>
    <w:rsid w:val="00513AC9"/>
    <w:rsid w:val="00514460"/>
    <w:rsid w:val="00523BFF"/>
    <w:rsid w:val="005272AE"/>
    <w:rsid w:val="00527B04"/>
    <w:rsid w:val="00527FC2"/>
    <w:rsid w:val="00532419"/>
    <w:rsid w:val="005350D0"/>
    <w:rsid w:val="005359C8"/>
    <w:rsid w:val="00537D03"/>
    <w:rsid w:val="00545A24"/>
    <w:rsid w:val="00546035"/>
    <w:rsid w:val="0055614C"/>
    <w:rsid w:val="00557315"/>
    <w:rsid w:val="00560F24"/>
    <w:rsid w:val="005616BE"/>
    <w:rsid w:val="00561EE8"/>
    <w:rsid w:val="005641CE"/>
    <w:rsid w:val="005678A2"/>
    <w:rsid w:val="00572F71"/>
    <w:rsid w:val="00573CFF"/>
    <w:rsid w:val="00575251"/>
    <w:rsid w:val="0057529C"/>
    <w:rsid w:val="00577A4A"/>
    <w:rsid w:val="005842FC"/>
    <w:rsid w:val="00585993"/>
    <w:rsid w:val="005874FD"/>
    <w:rsid w:val="00592D49"/>
    <w:rsid w:val="0059355C"/>
    <w:rsid w:val="00593AC1"/>
    <w:rsid w:val="005A4512"/>
    <w:rsid w:val="005A6CC3"/>
    <w:rsid w:val="005B10FF"/>
    <w:rsid w:val="005B17F9"/>
    <w:rsid w:val="005B36FD"/>
    <w:rsid w:val="005B39D1"/>
    <w:rsid w:val="005C16E8"/>
    <w:rsid w:val="005C529F"/>
    <w:rsid w:val="005C5C60"/>
    <w:rsid w:val="005D032C"/>
    <w:rsid w:val="005D0EC2"/>
    <w:rsid w:val="005D1064"/>
    <w:rsid w:val="005D1582"/>
    <w:rsid w:val="005D34EC"/>
    <w:rsid w:val="005D50DA"/>
    <w:rsid w:val="005D6FFC"/>
    <w:rsid w:val="005D7BD8"/>
    <w:rsid w:val="005E14C2"/>
    <w:rsid w:val="005E2E90"/>
    <w:rsid w:val="005F1F0B"/>
    <w:rsid w:val="005F23A4"/>
    <w:rsid w:val="005F2C96"/>
    <w:rsid w:val="006016FE"/>
    <w:rsid w:val="00601D43"/>
    <w:rsid w:val="00604761"/>
    <w:rsid w:val="0060582D"/>
    <w:rsid w:val="0060675B"/>
    <w:rsid w:val="0060694B"/>
    <w:rsid w:val="00607BA5"/>
    <w:rsid w:val="00607F47"/>
    <w:rsid w:val="0061002C"/>
    <w:rsid w:val="00610DF8"/>
    <w:rsid w:val="00611332"/>
    <w:rsid w:val="0061180A"/>
    <w:rsid w:val="00612445"/>
    <w:rsid w:val="00615870"/>
    <w:rsid w:val="00621892"/>
    <w:rsid w:val="00622D65"/>
    <w:rsid w:val="00624B90"/>
    <w:rsid w:val="00625219"/>
    <w:rsid w:val="00625CC0"/>
    <w:rsid w:val="00626385"/>
    <w:rsid w:val="00626EB6"/>
    <w:rsid w:val="00626F28"/>
    <w:rsid w:val="00633341"/>
    <w:rsid w:val="00634245"/>
    <w:rsid w:val="00640398"/>
    <w:rsid w:val="00643883"/>
    <w:rsid w:val="00643AC7"/>
    <w:rsid w:val="0064627E"/>
    <w:rsid w:val="0064686C"/>
    <w:rsid w:val="0065069D"/>
    <w:rsid w:val="00654457"/>
    <w:rsid w:val="006544C7"/>
    <w:rsid w:val="00655D03"/>
    <w:rsid w:val="006567A9"/>
    <w:rsid w:val="006624C3"/>
    <w:rsid w:val="00665098"/>
    <w:rsid w:val="00665301"/>
    <w:rsid w:val="0066557D"/>
    <w:rsid w:val="006704A5"/>
    <w:rsid w:val="006757EC"/>
    <w:rsid w:val="006803AD"/>
    <w:rsid w:val="00680FFD"/>
    <w:rsid w:val="00682898"/>
    <w:rsid w:val="00682B65"/>
    <w:rsid w:val="00683388"/>
    <w:rsid w:val="00683F84"/>
    <w:rsid w:val="006852AD"/>
    <w:rsid w:val="00686CD3"/>
    <w:rsid w:val="0069132A"/>
    <w:rsid w:val="006914BC"/>
    <w:rsid w:val="0069554D"/>
    <w:rsid w:val="006974B7"/>
    <w:rsid w:val="006A0217"/>
    <w:rsid w:val="006A29B6"/>
    <w:rsid w:val="006A3D2A"/>
    <w:rsid w:val="006A4AE1"/>
    <w:rsid w:val="006A4D74"/>
    <w:rsid w:val="006A6A81"/>
    <w:rsid w:val="006A714B"/>
    <w:rsid w:val="006B4966"/>
    <w:rsid w:val="006B61FF"/>
    <w:rsid w:val="006B6254"/>
    <w:rsid w:val="006C0D96"/>
    <w:rsid w:val="006C1594"/>
    <w:rsid w:val="006C23ED"/>
    <w:rsid w:val="006C26FB"/>
    <w:rsid w:val="006C3348"/>
    <w:rsid w:val="006C3721"/>
    <w:rsid w:val="006C4257"/>
    <w:rsid w:val="006C5EAD"/>
    <w:rsid w:val="006C622C"/>
    <w:rsid w:val="006D1988"/>
    <w:rsid w:val="006D1E77"/>
    <w:rsid w:val="006D2F32"/>
    <w:rsid w:val="006D329D"/>
    <w:rsid w:val="006E42C2"/>
    <w:rsid w:val="006E61B2"/>
    <w:rsid w:val="006E7015"/>
    <w:rsid w:val="006E7CE1"/>
    <w:rsid w:val="006F1D76"/>
    <w:rsid w:val="006F6F38"/>
    <w:rsid w:val="006F7126"/>
    <w:rsid w:val="006F7393"/>
    <w:rsid w:val="0070224F"/>
    <w:rsid w:val="00705BC9"/>
    <w:rsid w:val="007115F7"/>
    <w:rsid w:val="00714DCD"/>
    <w:rsid w:val="00715CBA"/>
    <w:rsid w:val="0071712A"/>
    <w:rsid w:val="00720727"/>
    <w:rsid w:val="00723B12"/>
    <w:rsid w:val="0072492F"/>
    <w:rsid w:val="0072542F"/>
    <w:rsid w:val="00726480"/>
    <w:rsid w:val="00727B98"/>
    <w:rsid w:val="00730C33"/>
    <w:rsid w:val="007330FE"/>
    <w:rsid w:val="00734322"/>
    <w:rsid w:val="00736234"/>
    <w:rsid w:val="007421B4"/>
    <w:rsid w:val="00743A95"/>
    <w:rsid w:val="00743BA8"/>
    <w:rsid w:val="00744200"/>
    <w:rsid w:val="0074661C"/>
    <w:rsid w:val="007474BF"/>
    <w:rsid w:val="00750150"/>
    <w:rsid w:val="007502FF"/>
    <w:rsid w:val="00750A66"/>
    <w:rsid w:val="0075394B"/>
    <w:rsid w:val="0075531C"/>
    <w:rsid w:val="0075716A"/>
    <w:rsid w:val="007624B8"/>
    <w:rsid w:val="00765B2E"/>
    <w:rsid w:val="00773E43"/>
    <w:rsid w:val="007750A3"/>
    <w:rsid w:val="00781C2C"/>
    <w:rsid w:val="00781CA1"/>
    <w:rsid w:val="00785689"/>
    <w:rsid w:val="0078579A"/>
    <w:rsid w:val="00786109"/>
    <w:rsid w:val="00786B6C"/>
    <w:rsid w:val="00790455"/>
    <w:rsid w:val="0079127A"/>
    <w:rsid w:val="00791FDD"/>
    <w:rsid w:val="00793835"/>
    <w:rsid w:val="00793C19"/>
    <w:rsid w:val="007966F0"/>
    <w:rsid w:val="0079754B"/>
    <w:rsid w:val="007A09C4"/>
    <w:rsid w:val="007A0A87"/>
    <w:rsid w:val="007A1E6D"/>
    <w:rsid w:val="007A21B5"/>
    <w:rsid w:val="007A49B7"/>
    <w:rsid w:val="007B0EB2"/>
    <w:rsid w:val="007B524C"/>
    <w:rsid w:val="007B7DAF"/>
    <w:rsid w:val="007B7E6E"/>
    <w:rsid w:val="007C0F31"/>
    <w:rsid w:val="007C13B8"/>
    <w:rsid w:val="007C45DC"/>
    <w:rsid w:val="007C63A3"/>
    <w:rsid w:val="007C6D07"/>
    <w:rsid w:val="007D306E"/>
    <w:rsid w:val="007D549F"/>
    <w:rsid w:val="007D54D9"/>
    <w:rsid w:val="007D56AF"/>
    <w:rsid w:val="007D5872"/>
    <w:rsid w:val="007D60F3"/>
    <w:rsid w:val="007E1B3D"/>
    <w:rsid w:val="007E1CCF"/>
    <w:rsid w:val="007E2C39"/>
    <w:rsid w:val="007E323C"/>
    <w:rsid w:val="007E7BA0"/>
    <w:rsid w:val="007F24AA"/>
    <w:rsid w:val="007F3C8C"/>
    <w:rsid w:val="007F413A"/>
    <w:rsid w:val="007F6DA2"/>
    <w:rsid w:val="007F7072"/>
    <w:rsid w:val="0080135F"/>
    <w:rsid w:val="00802E45"/>
    <w:rsid w:val="008031CE"/>
    <w:rsid w:val="00804993"/>
    <w:rsid w:val="00810B6F"/>
    <w:rsid w:val="00815DF6"/>
    <w:rsid w:val="008217EE"/>
    <w:rsid w:val="00822CE0"/>
    <w:rsid w:val="0082397A"/>
    <w:rsid w:val="0082436E"/>
    <w:rsid w:val="00824A2C"/>
    <w:rsid w:val="00837290"/>
    <w:rsid w:val="00841498"/>
    <w:rsid w:val="00841AB1"/>
    <w:rsid w:val="008431E4"/>
    <w:rsid w:val="00846BD6"/>
    <w:rsid w:val="00850D55"/>
    <w:rsid w:val="008528F5"/>
    <w:rsid w:val="008552CB"/>
    <w:rsid w:val="00855512"/>
    <w:rsid w:val="00856255"/>
    <w:rsid w:val="00856B81"/>
    <w:rsid w:val="00863EBE"/>
    <w:rsid w:val="00867FAA"/>
    <w:rsid w:val="00872D47"/>
    <w:rsid w:val="00875A4B"/>
    <w:rsid w:val="00876DAD"/>
    <w:rsid w:val="0087757F"/>
    <w:rsid w:val="008776FC"/>
    <w:rsid w:val="008810C4"/>
    <w:rsid w:val="00883817"/>
    <w:rsid w:val="00883CB4"/>
    <w:rsid w:val="008858D4"/>
    <w:rsid w:val="008911F2"/>
    <w:rsid w:val="008963DD"/>
    <w:rsid w:val="00897666"/>
    <w:rsid w:val="008A0B3F"/>
    <w:rsid w:val="008A0DE1"/>
    <w:rsid w:val="008A4BEB"/>
    <w:rsid w:val="008A5374"/>
    <w:rsid w:val="008A6CD8"/>
    <w:rsid w:val="008A765E"/>
    <w:rsid w:val="008B0CDF"/>
    <w:rsid w:val="008B1727"/>
    <w:rsid w:val="008B2546"/>
    <w:rsid w:val="008B6CB8"/>
    <w:rsid w:val="008C32BD"/>
    <w:rsid w:val="008C615D"/>
    <w:rsid w:val="008C68F1"/>
    <w:rsid w:val="008D0E33"/>
    <w:rsid w:val="008D0E87"/>
    <w:rsid w:val="008D1EFF"/>
    <w:rsid w:val="008D20DA"/>
    <w:rsid w:val="008D3201"/>
    <w:rsid w:val="008D3D8D"/>
    <w:rsid w:val="008D5AC5"/>
    <w:rsid w:val="008D5BBC"/>
    <w:rsid w:val="008D650B"/>
    <w:rsid w:val="008E0747"/>
    <w:rsid w:val="008F0CD2"/>
    <w:rsid w:val="008F1F02"/>
    <w:rsid w:val="008F5C72"/>
    <w:rsid w:val="00903D4F"/>
    <w:rsid w:val="009067CE"/>
    <w:rsid w:val="0090761C"/>
    <w:rsid w:val="00913EC4"/>
    <w:rsid w:val="00914D9E"/>
    <w:rsid w:val="00916F2F"/>
    <w:rsid w:val="009207F9"/>
    <w:rsid w:val="00921803"/>
    <w:rsid w:val="009244C1"/>
    <w:rsid w:val="00924A72"/>
    <w:rsid w:val="009262DD"/>
    <w:rsid w:val="00926503"/>
    <w:rsid w:val="0092786C"/>
    <w:rsid w:val="00930210"/>
    <w:rsid w:val="00931E7E"/>
    <w:rsid w:val="009320C1"/>
    <w:rsid w:val="009333C7"/>
    <w:rsid w:val="00935D2F"/>
    <w:rsid w:val="00935E92"/>
    <w:rsid w:val="00935F6C"/>
    <w:rsid w:val="009370AA"/>
    <w:rsid w:val="00942166"/>
    <w:rsid w:val="00946D0D"/>
    <w:rsid w:val="00947ED8"/>
    <w:rsid w:val="009562E0"/>
    <w:rsid w:val="009614B0"/>
    <w:rsid w:val="0096159C"/>
    <w:rsid w:val="00961ECE"/>
    <w:rsid w:val="00962833"/>
    <w:rsid w:val="00967716"/>
    <w:rsid w:val="00967C36"/>
    <w:rsid w:val="00971953"/>
    <w:rsid w:val="009726D8"/>
    <w:rsid w:val="0097288C"/>
    <w:rsid w:val="00974E5E"/>
    <w:rsid w:val="009756DE"/>
    <w:rsid w:val="00975AD9"/>
    <w:rsid w:val="0097710C"/>
    <w:rsid w:val="0098345C"/>
    <w:rsid w:val="00985690"/>
    <w:rsid w:val="00987457"/>
    <w:rsid w:val="00991541"/>
    <w:rsid w:val="009951EE"/>
    <w:rsid w:val="00995C56"/>
    <w:rsid w:val="009A12E0"/>
    <w:rsid w:val="009A459F"/>
    <w:rsid w:val="009B13F3"/>
    <w:rsid w:val="009B1401"/>
    <w:rsid w:val="009B6B6D"/>
    <w:rsid w:val="009C0984"/>
    <w:rsid w:val="009C6D02"/>
    <w:rsid w:val="009D01FA"/>
    <w:rsid w:val="009D071A"/>
    <w:rsid w:val="009D185D"/>
    <w:rsid w:val="009D3673"/>
    <w:rsid w:val="009E1DD1"/>
    <w:rsid w:val="009E33F4"/>
    <w:rsid w:val="009E4FE5"/>
    <w:rsid w:val="009E5739"/>
    <w:rsid w:val="009F29BC"/>
    <w:rsid w:val="009F365D"/>
    <w:rsid w:val="009F76DB"/>
    <w:rsid w:val="00A0387F"/>
    <w:rsid w:val="00A03AF1"/>
    <w:rsid w:val="00A043A3"/>
    <w:rsid w:val="00A04B61"/>
    <w:rsid w:val="00A054A0"/>
    <w:rsid w:val="00A06556"/>
    <w:rsid w:val="00A0735C"/>
    <w:rsid w:val="00A14D89"/>
    <w:rsid w:val="00A16312"/>
    <w:rsid w:val="00A200A4"/>
    <w:rsid w:val="00A2188D"/>
    <w:rsid w:val="00A23298"/>
    <w:rsid w:val="00A2423F"/>
    <w:rsid w:val="00A2506F"/>
    <w:rsid w:val="00A25BAA"/>
    <w:rsid w:val="00A2722E"/>
    <w:rsid w:val="00A2736E"/>
    <w:rsid w:val="00A304F9"/>
    <w:rsid w:val="00A30585"/>
    <w:rsid w:val="00A306CC"/>
    <w:rsid w:val="00A32C3B"/>
    <w:rsid w:val="00A3329D"/>
    <w:rsid w:val="00A374BB"/>
    <w:rsid w:val="00A44837"/>
    <w:rsid w:val="00A44DCE"/>
    <w:rsid w:val="00A45339"/>
    <w:rsid w:val="00A45F4F"/>
    <w:rsid w:val="00A46731"/>
    <w:rsid w:val="00A47A30"/>
    <w:rsid w:val="00A512C7"/>
    <w:rsid w:val="00A51DDC"/>
    <w:rsid w:val="00A5211E"/>
    <w:rsid w:val="00A55700"/>
    <w:rsid w:val="00A56B80"/>
    <w:rsid w:val="00A600A9"/>
    <w:rsid w:val="00A6556E"/>
    <w:rsid w:val="00A66FB7"/>
    <w:rsid w:val="00A74A92"/>
    <w:rsid w:val="00A829F1"/>
    <w:rsid w:val="00A83839"/>
    <w:rsid w:val="00A90A53"/>
    <w:rsid w:val="00A92110"/>
    <w:rsid w:val="00A94531"/>
    <w:rsid w:val="00A94E07"/>
    <w:rsid w:val="00A961E2"/>
    <w:rsid w:val="00AA2786"/>
    <w:rsid w:val="00AA55B7"/>
    <w:rsid w:val="00AA5B9E"/>
    <w:rsid w:val="00AA61FD"/>
    <w:rsid w:val="00AB007E"/>
    <w:rsid w:val="00AB13F9"/>
    <w:rsid w:val="00AB2407"/>
    <w:rsid w:val="00AB2442"/>
    <w:rsid w:val="00AB34A9"/>
    <w:rsid w:val="00AB53DF"/>
    <w:rsid w:val="00AB62BD"/>
    <w:rsid w:val="00AC07C2"/>
    <w:rsid w:val="00AD259D"/>
    <w:rsid w:val="00AD6271"/>
    <w:rsid w:val="00AD6960"/>
    <w:rsid w:val="00AE28BA"/>
    <w:rsid w:val="00AE30D0"/>
    <w:rsid w:val="00AE4ACC"/>
    <w:rsid w:val="00AE7786"/>
    <w:rsid w:val="00AE7E5C"/>
    <w:rsid w:val="00AF0494"/>
    <w:rsid w:val="00AF24FE"/>
    <w:rsid w:val="00AF4A29"/>
    <w:rsid w:val="00AF5AE6"/>
    <w:rsid w:val="00AF7817"/>
    <w:rsid w:val="00B001D7"/>
    <w:rsid w:val="00B00FAF"/>
    <w:rsid w:val="00B019D4"/>
    <w:rsid w:val="00B01AFF"/>
    <w:rsid w:val="00B02EB2"/>
    <w:rsid w:val="00B079EF"/>
    <w:rsid w:val="00B07B42"/>
    <w:rsid w:val="00B07E5C"/>
    <w:rsid w:val="00B105D3"/>
    <w:rsid w:val="00B1163F"/>
    <w:rsid w:val="00B14C09"/>
    <w:rsid w:val="00B16B22"/>
    <w:rsid w:val="00B16EFD"/>
    <w:rsid w:val="00B17973"/>
    <w:rsid w:val="00B17E95"/>
    <w:rsid w:val="00B17F9D"/>
    <w:rsid w:val="00B20687"/>
    <w:rsid w:val="00B20FF6"/>
    <w:rsid w:val="00B210AC"/>
    <w:rsid w:val="00B23D57"/>
    <w:rsid w:val="00B25491"/>
    <w:rsid w:val="00B30FBC"/>
    <w:rsid w:val="00B315D5"/>
    <w:rsid w:val="00B32042"/>
    <w:rsid w:val="00B3262A"/>
    <w:rsid w:val="00B328A4"/>
    <w:rsid w:val="00B33D93"/>
    <w:rsid w:val="00B35DFA"/>
    <w:rsid w:val="00B36329"/>
    <w:rsid w:val="00B41A0F"/>
    <w:rsid w:val="00B43A39"/>
    <w:rsid w:val="00B45F35"/>
    <w:rsid w:val="00B50E50"/>
    <w:rsid w:val="00B573D5"/>
    <w:rsid w:val="00B5789C"/>
    <w:rsid w:val="00B6065D"/>
    <w:rsid w:val="00B62C55"/>
    <w:rsid w:val="00B66E33"/>
    <w:rsid w:val="00B72011"/>
    <w:rsid w:val="00B75C01"/>
    <w:rsid w:val="00B811F7"/>
    <w:rsid w:val="00B81306"/>
    <w:rsid w:val="00B859D7"/>
    <w:rsid w:val="00B86087"/>
    <w:rsid w:val="00B9012A"/>
    <w:rsid w:val="00B971FA"/>
    <w:rsid w:val="00B975D8"/>
    <w:rsid w:val="00BA1817"/>
    <w:rsid w:val="00BA1B87"/>
    <w:rsid w:val="00BA25DC"/>
    <w:rsid w:val="00BA2C15"/>
    <w:rsid w:val="00BA5DC6"/>
    <w:rsid w:val="00BA6196"/>
    <w:rsid w:val="00BA6E7A"/>
    <w:rsid w:val="00BB1351"/>
    <w:rsid w:val="00BB25F8"/>
    <w:rsid w:val="00BB314B"/>
    <w:rsid w:val="00BB340C"/>
    <w:rsid w:val="00BB6A01"/>
    <w:rsid w:val="00BC0799"/>
    <w:rsid w:val="00BC34E1"/>
    <w:rsid w:val="00BC5626"/>
    <w:rsid w:val="00BC5D03"/>
    <w:rsid w:val="00BC5E66"/>
    <w:rsid w:val="00BC6D8C"/>
    <w:rsid w:val="00BD3E59"/>
    <w:rsid w:val="00BD4676"/>
    <w:rsid w:val="00BD6156"/>
    <w:rsid w:val="00BD6600"/>
    <w:rsid w:val="00BE584C"/>
    <w:rsid w:val="00BE68D9"/>
    <w:rsid w:val="00BE6CD8"/>
    <w:rsid w:val="00BE7D85"/>
    <w:rsid w:val="00BF0731"/>
    <w:rsid w:val="00BF0D31"/>
    <w:rsid w:val="00BF220E"/>
    <w:rsid w:val="00BF2625"/>
    <w:rsid w:val="00BF48C9"/>
    <w:rsid w:val="00BF5A9F"/>
    <w:rsid w:val="00BF5D2F"/>
    <w:rsid w:val="00C04DC7"/>
    <w:rsid w:val="00C05863"/>
    <w:rsid w:val="00C063F3"/>
    <w:rsid w:val="00C12C84"/>
    <w:rsid w:val="00C14231"/>
    <w:rsid w:val="00C165B5"/>
    <w:rsid w:val="00C170D0"/>
    <w:rsid w:val="00C172E6"/>
    <w:rsid w:val="00C22A49"/>
    <w:rsid w:val="00C234E0"/>
    <w:rsid w:val="00C23B5C"/>
    <w:rsid w:val="00C23C6C"/>
    <w:rsid w:val="00C25DDB"/>
    <w:rsid w:val="00C27A2E"/>
    <w:rsid w:val="00C34006"/>
    <w:rsid w:val="00C3469F"/>
    <w:rsid w:val="00C362FF"/>
    <w:rsid w:val="00C36994"/>
    <w:rsid w:val="00C40FA2"/>
    <w:rsid w:val="00C426B1"/>
    <w:rsid w:val="00C43983"/>
    <w:rsid w:val="00C476A3"/>
    <w:rsid w:val="00C51725"/>
    <w:rsid w:val="00C5645C"/>
    <w:rsid w:val="00C57667"/>
    <w:rsid w:val="00C627C6"/>
    <w:rsid w:val="00C66160"/>
    <w:rsid w:val="00C66DD9"/>
    <w:rsid w:val="00C70226"/>
    <w:rsid w:val="00C7091D"/>
    <w:rsid w:val="00C721AC"/>
    <w:rsid w:val="00C76B1B"/>
    <w:rsid w:val="00C770AC"/>
    <w:rsid w:val="00C809EA"/>
    <w:rsid w:val="00C8443B"/>
    <w:rsid w:val="00C86C27"/>
    <w:rsid w:val="00C90D6A"/>
    <w:rsid w:val="00C91F95"/>
    <w:rsid w:val="00C922B4"/>
    <w:rsid w:val="00C92620"/>
    <w:rsid w:val="00C935DC"/>
    <w:rsid w:val="00C97CC6"/>
    <w:rsid w:val="00CA247E"/>
    <w:rsid w:val="00CA3E78"/>
    <w:rsid w:val="00CA7D52"/>
    <w:rsid w:val="00CB1CC8"/>
    <w:rsid w:val="00CB39CD"/>
    <w:rsid w:val="00CB4E69"/>
    <w:rsid w:val="00CC144D"/>
    <w:rsid w:val="00CC27BF"/>
    <w:rsid w:val="00CC3F1B"/>
    <w:rsid w:val="00CC6F90"/>
    <w:rsid w:val="00CC72B6"/>
    <w:rsid w:val="00CD0E5B"/>
    <w:rsid w:val="00CD2180"/>
    <w:rsid w:val="00CD223E"/>
    <w:rsid w:val="00CD3423"/>
    <w:rsid w:val="00CD5A6A"/>
    <w:rsid w:val="00CD7FEE"/>
    <w:rsid w:val="00CE089B"/>
    <w:rsid w:val="00CE12CB"/>
    <w:rsid w:val="00CE3B25"/>
    <w:rsid w:val="00CE4E35"/>
    <w:rsid w:val="00CE63C3"/>
    <w:rsid w:val="00CF07C4"/>
    <w:rsid w:val="00CF2A18"/>
    <w:rsid w:val="00CF6BF1"/>
    <w:rsid w:val="00D0218D"/>
    <w:rsid w:val="00D02AF2"/>
    <w:rsid w:val="00D04282"/>
    <w:rsid w:val="00D04A6B"/>
    <w:rsid w:val="00D10975"/>
    <w:rsid w:val="00D122A2"/>
    <w:rsid w:val="00D12B92"/>
    <w:rsid w:val="00D155BF"/>
    <w:rsid w:val="00D17D44"/>
    <w:rsid w:val="00D21896"/>
    <w:rsid w:val="00D2591A"/>
    <w:rsid w:val="00D25FB5"/>
    <w:rsid w:val="00D262EF"/>
    <w:rsid w:val="00D26A1F"/>
    <w:rsid w:val="00D26FA3"/>
    <w:rsid w:val="00D362BE"/>
    <w:rsid w:val="00D3749B"/>
    <w:rsid w:val="00D37B25"/>
    <w:rsid w:val="00D401B0"/>
    <w:rsid w:val="00D41228"/>
    <w:rsid w:val="00D435B4"/>
    <w:rsid w:val="00D44223"/>
    <w:rsid w:val="00D44C93"/>
    <w:rsid w:val="00D47955"/>
    <w:rsid w:val="00D528FE"/>
    <w:rsid w:val="00D52D86"/>
    <w:rsid w:val="00D54F32"/>
    <w:rsid w:val="00D56614"/>
    <w:rsid w:val="00D577EE"/>
    <w:rsid w:val="00D61891"/>
    <w:rsid w:val="00D63E39"/>
    <w:rsid w:val="00D64FB9"/>
    <w:rsid w:val="00D66BE0"/>
    <w:rsid w:val="00D66C6B"/>
    <w:rsid w:val="00D670F7"/>
    <w:rsid w:val="00D6762B"/>
    <w:rsid w:val="00D75423"/>
    <w:rsid w:val="00D830C7"/>
    <w:rsid w:val="00D84462"/>
    <w:rsid w:val="00D85629"/>
    <w:rsid w:val="00D92436"/>
    <w:rsid w:val="00D96118"/>
    <w:rsid w:val="00D96725"/>
    <w:rsid w:val="00DA0424"/>
    <w:rsid w:val="00DA0483"/>
    <w:rsid w:val="00DA1C5D"/>
    <w:rsid w:val="00DA2529"/>
    <w:rsid w:val="00DA646D"/>
    <w:rsid w:val="00DA69A8"/>
    <w:rsid w:val="00DA6A0E"/>
    <w:rsid w:val="00DB130A"/>
    <w:rsid w:val="00DB2EBB"/>
    <w:rsid w:val="00DB62AD"/>
    <w:rsid w:val="00DB70A9"/>
    <w:rsid w:val="00DC10A1"/>
    <w:rsid w:val="00DC1316"/>
    <w:rsid w:val="00DC271C"/>
    <w:rsid w:val="00DC6107"/>
    <w:rsid w:val="00DC655F"/>
    <w:rsid w:val="00DD0B59"/>
    <w:rsid w:val="00DD31DB"/>
    <w:rsid w:val="00DD3E3C"/>
    <w:rsid w:val="00DD7EBD"/>
    <w:rsid w:val="00DE2332"/>
    <w:rsid w:val="00DE638C"/>
    <w:rsid w:val="00DF25A8"/>
    <w:rsid w:val="00DF2AB9"/>
    <w:rsid w:val="00DF3D4C"/>
    <w:rsid w:val="00DF52A2"/>
    <w:rsid w:val="00DF62B6"/>
    <w:rsid w:val="00DF77AC"/>
    <w:rsid w:val="00E00B67"/>
    <w:rsid w:val="00E018D5"/>
    <w:rsid w:val="00E02798"/>
    <w:rsid w:val="00E02B6B"/>
    <w:rsid w:val="00E034A3"/>
    <w:rsid w:val="00E03CC3"/>
    <w:rsid w:val="00E07225"/>
    <w:rsid w:val="00E0730C"/>
    <w:rsid w:val="00E1791F"/>
    <w:rsid w:val="00E2296B"/>
    <w:rsid w:val="00E240E0"/>
    <w:rsid w:val="00E24310"/>
    <w:rsid w:val="00E255AA"/>
    <w:rsid w:val="00E303A1"/>
    <w:rsid w:val="00E3513F"/>
    <w:rsid w:val="00E4054D"/>
    <w:rsid w:val="00E434BC"/>
    <w:rsid w:val="00E44417"/>
    <w:rsid w:val="00E446CC"/>
    <w:rsid w:val="00E50D32"/>
    <w:rsid w:val="00E5409F"/>
    <w:rsid w:val="00E55D8C"/>
    <w:rsid w:val="00E56EDD"/>
    <w:rsid w:val="00E5703B"/>
    <w:rsid w:val="00E601F4"/>
    <w:rsid w:val="00E60CA6"/>
    <w:rsid w:val="00E63351"/>
    <w:rsid w:val="00E6655C"/>
    <w:rsid w:val="00E67BC3"/>
    <w:rsid w:val="00E72CAB"/>
    <w:rsid w:val="00E77685"/>
    <w:rsid w:val="00E8191B"/>
    <w:rsid w:val="00E85715"/>
    <w:rsid w:val="00E90B7C"/>
    <w:rsid w:val="00E927C4"/>
    <w:rsid w:val="00E94B6E"/>
    <w:rsid w:val="00E94C6A"/>
    <w:rsid w:val="00E94F75"/>
    <w:rsid w:val="00EA0876"/>
    <w:rsid w:val="00EA46D3"/>
    <w:rsid w:val="00EA7470"/>
    <w:rsid w:val="00EA7BFB"/>
    <w:rsid w:val="00EB1031"/>
    <w:rsid w:val="00EB2A42"/>
    <w:rsid w:val="00EB3183"/>
    <w:rsid w:val="00EB4376"/>
    <w:rsid w:val="00EB6346"/>
    <w:rsid w:val="00EB772F"/>
    <w:rsid w:val="00EC1B08"/>
    <w:rsid w:val="00EC2102"/>
    <w:rsid w:val="00EC78CC"/>
    <w:rsid w:val="00EC7CE2"/>
    <w:rsid w:val="00ED2E5B"/>
    <w:rsid w:val="00ED717C"/>
    <w:rsid w:val="00EE0036"/>
    <w:rsid w:val="00EE6488"/>
    <w:rsid w:val="00EE6EBF"/>
    <w:rsid w:val="00EF0812"/>
    <w:rsid w:val="00EF1FA6"/>
    <w:rsid w:val="00EF3752"/>
    <w:rsid w:val="00EF394E"/>
    <w:rsid w:val="00EF4476"/>
    <w:rsid w:val="00EF45C0"/>
    <w:rsid w:val="00EF74CF"/>
    <w:rsid w:val="00EF7683"/>
    <w:rsid w:val="00EF7AFB"/>
    <w:rsid w:val="00F021FA"/>
    <w:rsid w:val="00F053CC"/>
    <w:rsid w:val="00F05BB4"/>
    <w:rsid w:val="00F065F7"/>
    <w:rsid w:val="00F06C1E"/>
    <w:rsid w:val="00F135E5"/>
    <w:rsid w:val="00F162FE"/>
    <w:rsid w:val="00F2037F"/>
    <w:rsid w:val="00F211DB"/>
    <w:rsid w:val="00F23750"/>
    <w:rsid w:val="00F273F1"/>
    <w:rsid w:val="00F3180E"/>
    <w:rsid w:val="00F37C58"/>
    <w:rsid w:val="00F41547"/>
    <w:rsid w:val="00F44090"/>
    <w:rsid w:val="00F50285"/>
    <w:rsid w:val="00F54EA2"/>
    <w:rsid w:val="00F605BB"/>
    <w:rsid w:val="00F626BF"/>
    <w:rsid w:val="00F62E97"/>
    <w:rsid w:val="00F63928"/>
    <w:rsid w:val="00F64209"/>
    <w:rsid w:val="00F648AC"/>
    <w:rsid w:val="00F650CA"/>
    <w:rsid w:val="00F65BE7"/>
    <w:rsid w:val="00F66D64"/>
    <w:rsid w:val="00F70BA6"/>
    <w:rsid w:val="00F70FF5"/>
    <w:rsid w:val="00F77139"/>
    <w:rsid w:val="00F81AC7"/>
    <w:rsid w:val="00F93BF5"/>
    <w:rsid w:val="00F93E30"/>
    <w:rsid w:val="00F94788"/>
    <w:rsid w:val="00FA0000"/>
    <w:rsid w:val="00FA123A"/>
    <w:rsid w:val="00FA2832"/>
    <w:rsid w:val="00FA2D94"/>
    <w:rsid w:val="00FA393C"/>
    <w:rsid w:val="00FB008C"/>
    <w:rsid w:val="00FB0445"/>
    <w:rsid w:val="00FB0E10"/>
    <w:rsid w:val="00FB3ED8"/>
    <w:rsid w:val="00FC0206"/>
    <w:rsid w:val="00FC4C07"/>
    <w:rsid w:val="00FD0EA0"/>
    <w:rsid w:val="00FD3F71"/>
    <w:rsid w:val="00FD5633"/>
    <w:rsid w:val="00FD621E"/>
    <w:rsid w:val="00FD78D3"/>
    <w:rsid w:val="00FE0C3E"/>
    <w:rsid w:val="00FE3251"/>
    <w:rsid w:val="00FE3EC8"/>
    <w:rsid w:val="00FE6B0C"/>
    <w:rsid w:val="00FE6E69"/>
    <w:rsid w:val="00FF55F7"/>
    <w:rsid w:val="00FF56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Footnote Text Char2 Char,Footnote Text Char2 Char Char Char,Footnote Text Char3 Char Char,fn"/>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basedOn w:val="DefaultParagraphFont"/>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hAnsi="Calibri" w:eastAsiaTheme="minorHAnsi" w:cs="Calibri"/>
      <w:snapToGrid/>
      <w:kern w:val="0"/>
      <w:szCs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1,Footnote Text Char3 Char Char Char"/>
    <w:link w:val="FootnoteText"/>
    <w:locked/>
    <w:rsid w:val="008552CB"/>
  </w:style>
  <w:style w:type="character" w:customStyle="1" w:styleId="Mention1">
    <w:name w:val="Mention1"/>
    <w:basedOn w:val="DefaultParagraphFont"/>
    <w:uiPriority w:val="99"/>
    <w:semiHidden/>
    <w:unhideWhenUsed/>
    <w:rsid w:val="00B30FBC"/>
    <w:rPr>
      <w:color w:val="2B579A"/>
      <w:shd w:val="clear" w:color="auto" w:fill="E6E6E6"/>
    </w:rPr>
  </w:style>
  <w:style w:type="character" w:customStyle="1" w:styleId="UnresolvedMention1">
    <w:name w:val="Unresolved Mention1"/>
    <w:basedOn w:val="DefaultParagraphFont"/>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semiHidden/>
    <w:rsid w:val="00B07B42"/>
    <w:rPr>
      <w:rFonts w:ascii="Calibri" w:hAns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6212-8B5D-459B-9E10-61948D2E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Second Allocation PN</vt:lpstr>
    </vt:vector>
  </TitlesOfParts>
  <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2018-04-16T15:30:13Z</dcterms:created>
  <dcterms:modified xsi:type="dcterms:W3CDTF">2018-04-16T15:30:13Z</dcterms:modified>
</cp:coreProperties>
</file>