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D90D6B" w:rsidP="00D763A8" w14:paraId="21E44D10" w14:textId="77777777">
      <w:pPr>
        <w:jc w:val="center"/>
        <w:rPr>
          <w:b/>
        </w:rPr>
      </w:pPr>
      <w:bookmarkStart w:id="0" w:name="_GoBack"/>
      <w:bookmarkEnd w:id="0"/>
      <w:r w:rsidRPr="00D90D6B">
        <w:rPr>
          <w:rFonts w:ascii="Times New Roman Bold" w:hAnsi="Times New Roman Bold"/>
          <w:b/>
          <w:kern w:val="0"/>
          <w:szCs w:val="22"/>
        </w:rPr>
        <w:t>Before</w:t>
      </w:r>
      <w:r w:rsidRPr="00D90D6B">
        <w:rPr>
          <w:b/>
        </w:rPr>
        <w:t xml:space="preserve"> the</w:t>
      </w:r>
    </w:p>
    <w:p w:rsidR="00921803" w:rsidRPr="00D90D6B" w:rsidP="00921803" w14:paraId="4E6D26F8" w14:textId="77777777">
      <w:pPr>
        <w:pStyle w:val="StyleBoldCentered"/>
      </w:pPr>
      <w:r w:rsidRPr="00D90D6B">
        <w:t>F</w:t>
      </w:r>
      <w:r w:rsidRPr="00D90D6B">
        <w:rPr>
          <w:caps w:val="0"/>
        </w:rPr>
        <w:t>ederal Communications Commission</w:t>
      </w:r>
    </w:p>
    <w:p w:rsidR="004C2EE3" w:rsidRPr="00D90D6B" w:rsidP="00096D8C" w14:paraId="4C7CCEDC" w14:textId="77777777">
      <w:pPr>
        <w:pStyle w:val="StyleBoldCentered"/>
      </w:pPr>
      <w:r w:rsidRPr="00D90D6B">
        <w:rPr>
          <w:caps w:val="0"/>
        </w:rPr>
        <w:t>Washington, D.C. 20554</w:t>
      </w:r>
    </w:p>
    <w:p w:rsidR="004C2EE3" w:rsidRPr="00D90D6B" w:rsidP="0070224F" w14:paraId="6B18B4CC" w14:textId="77777777"/>
    <w:p w:rsidR="004C2EE3" w:rsidRPr="00D90D6B" w:rsidP="0070224F" w14:paraId="2DDCDF03"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E234E48"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rsidRPr="00D90D6B" w14:paraId="0D6434F5" w14:textId="77777777">
            <w:pPr>
              <w:widowControl w:val="0"/>
              <w:tabs>
                <w:tab w:val="center" w:pos="4680"/>
              </w:tabs>
              <w:suppressAutoHyphens/>
              <w:rPr>
                <w:rStyle w:val="DefaultParagraphFont"/>
                <w:snapToGrid w:val="0"/>
                <w:spacing w:val="-2"/>
                <w:kern w:val="28"/>
                <w:sz w:val="22"/>
                <w:lang w:val="en-US" w:eastAsia="en-US" w:bidi="ar-SA"/>
              </w:rPr>
            </w:pPr>
            <w:r w:rsidRPr="00D90D6B">
              <w:rPr>
                <w:snapToGrid w:val="0"/>
                <w:spacing w:val="-2"/>
                <w:kern w:val="28"/>
                <w:sz w:val="22"/>
                <w:lang w:val="en-US" w:eastAsia="en-US" w:bidi="ar-SA"/>
              </w:rPr>
              <w:t>In the Matter of</w:t>
            </w:r>
          </w:p>
          <w:p w:rsidR="004C2EE3" w:rsidRPr="00D90D6B" w14:paraId="58505DB0" w14:textId="77777777">
            <w:pPr>
              <w:widowControl w:val="0"/>
              <w:tabs>
                <w:tab w:val="center" w:pos="4680"/>
              </w:tabs>
              <w:suppressAutoHyphens/>
              <w:rPr>
                <w:rStyle w:val="DefaultParagraphFont"/>
                <w:snapToGrid w:val="0"/>
                <w:spacing w:val="-2"/>
                <w:kern w:val="28"/>
                <w:sz w:val="22"/>
                <w:lang w:val="en-US" w:eastAsia="en-US" w:bidi="ar-SA"/>
              </w:rPr>
            </w:pPr>
          </w:p>
          <w:p w:rsidR="00817E7A" w:rsidRPr="00D90D6B" w:rsidP="005D5981" w14:paraId="1E271C1B" w14:textId="77777777">
            <w:pPr>
              <w:widowControl w:val="0"/>
              <w:tabs>
                <w:tab w:val="center" w:pos="4680"/>
              </w:tabs>
              <w:suppressAutoHyphens/>
              <w:rPr>
                <w:rStyle w:val="DefaultParagraphFont"/>
                <w:snapToGrid w:val="0"/>
                <w:spacing w:val="-2"/>
                <w:kern w:val="28"/>
                <w:sz w:val="22"/>
                <w:lang w:val="en-US" w:eastAsia="en-US" w:bidi="ar-SA"/>
              </w:rPr>
            </w:pPr>
            <w:r w:rsidRPr="00D90D6B">
              <w:rPr>
                <w:snapToGrid w:val="0"/>
                <w:spacing w:val="-2"/>
                <w:kern w:val="28"/>
                <w:sz w:val="22"/>
                <w:lang w:val="en-US" w:eastAsia="en-US" w:bidi="ar-SA"/>
              </w:rPr>
              <w:t xml:space="preserve">Application </w:t>
            </w:r>
            <w:r w:rsidRPr="00D90D6B" w:rsidR="00876273">
              <w:rPr>
                <w:snapToGrid w:val="0"/>
                <w:spacing w:val="-2"/>
                <w:kern w:val="28"/>
                <w:sz w:val="22"/>
                <w:lang w:val="en-US" w:eastAsia="en-US" w:bidi="ar-SA"/>
              </w:rPr>
              <w:t>of</w:t>
            </w:r>
            <w:r w:rsidRPr="00D90D6B">
              <w:rPr>
                <w:snapToGrid w:val="0"/>
                <w:spacing w:val="-2"/>
                <w:kern w:val="28"/>
                <w:sz w:val="22"/>
                <w:lang w:val="en-US" w:eastAsia="en-US" w:bidi="ar-SA"/>
              </w:rPr>
              <w:t xml:space="preserve"> Verizon </w:t>
            </w:r>
            <w:r w:rsidRPr="00D90D6B" w:rsidR="00983042">
              <w:rPr>
                <w:snapToGrid w:val="0"/>
                <w:spacing w:val="-2"/>
                <w:kern w:val="28"/>
                <w:sz w:val="22"/>
                <w:lang w:val="en-US" w:eastAsia="en-US" w:bidi="ar-SA"/>
              </w:rPr>
              <w:t>Communications Inc.</w:t>
            </w:r>
            <w:r w:rsidRPr="00D90D6B">
              <w:rPr>
                <w:snapToGrid w:val="0"/>
                <w:spacing w:val="-2"/>
                <w:kern w:val="28"/>
                <w:sz w:val="22"/>
                <w:lang w:val="en-US" w:eastAsia="en-US" w:bidi="ar-SA"/>
              </w:rPr>
              <w:t xml:space="preserve"> and </w:t>
            </w:r>
            <w:r w:rsidRPr="00D90D6B" w:rsidR="00E47B85">
              <w:rPr>
                <w:snapToGrid w:val="0"/>
                <w:spacing w:val="-2"/>
                <w:kern w:val="28"/>
                <w:sz w:val="22"/>
                <w:lang w:val="en-US" w:eastAsia="en-US" w:bidi="ar-SA"/>
              </w:rPr>
              <w:t xml:space="preserve">Straight Path </w:t>
            </w:r>
            <w:r w:rsidRPr="00D90D6B" w:rsidR="002B2CC6">
              <w:rPr>
                <w:snapToGrid w:val="0"/>
                <w:spacing w:val="-2"/>
                <w:kern w:val="28"/>
                <w:sz w:val="22"/>
                <w:lang w:val="en-US" w:eastAsia="en-US" w:bidi="ar-SA"/>
              </w:rPr>
              <w:t>Communications</w:t>
            </w:r>
            <w:r w:rsidRPr="00D90D6B">
              <w:rPr>
                <w:snapToGrid w:val="0"/>
                <w:spacing w:val="-2"/>
                <w:kern w:val="28"/>
                <w:sz w:val="22"/>
                <w:lang w:val="en-US" w:eastAsia="en-US" w:bidi="ar-SA"/>
              </w:rPr>
              <w:t>,</w:t>
            </w:r>
            <w:r w:rsidRPr="00D90D6B" w:rsidR="002B2CC6">
              <w:rPr>
                <w:snapToGrid w:val="0"/>
                <w:spacing w:val="-2"/>
                <w:kern w:val="28"/>
                <w:sz w:val="22"/>
                <w:lang w:val="en-US" w:eastAsia="en-US" w:bidi="ar-SA"/>
              </w:rPr>
              <w:t xml:space="preserve"> Inc.</w:t>
            </w:r>
          </w:p>
          <w:p w:rsidR="00817E7A" w:rsidRPr="00D90D6B" w:rsidP="005D5981" w14:paraId="5D6DF240" w14:textId="77777777">
            <w:pPr>
              <w:widowControl w:val="0"/>
              <w:tabs>
                <w:tab w:val="center" w:pos="4680"/>
              </w:tabs>
              <w:suppressAutoHyphens/>
              <w:rPr>
                <w:rStyle w:val="DefaultParagraphFont"/>
                <w:snapToGrid w:val="0"/>
                <w:spacing w:val="-2"/>
                <w:kern w:val="28"/>
                <w:sz w:val="22"/>
                <w:lang w:val="en-US" w:eastAsia="en-US" w:bidi="ar-SA"/>
              </w:rPr>
            </w:pPr>
          </w:p>
          <w:p w:rsidR="004C2EE3" w:rsidRPr="00D90D6B" w:rsidP="00C95677" w14:paraId="5DF3752A" w14:textId="77777777">
            <w:pPr>
              <w:widowControl w:val="0"/>
              <w:tabs>
                <w:tab w:val="center" w:pos="4680"/>
              </w:tabs>
              <w:suppressAutoHyphens/>
              <w:rPr>
                <w:rStyle w:val="DefaultParagraphFont"/>
                <w:snapToGrid w:val="0"/>
                <w:spacing w:val="-2"/>
                <w:kern w:val="28"/>
                <w:sz w:val="22"/>
                <w:lang w:val="en-US" w:eastAsia="en-US" w:bidi="ar-SA"/>
              </w:rPr>
            </w:pPr>
            <w:r w:rsidRPr="00D90D6B">
              <w:rPr>
                <w:snapToGrid w:val="0"/>
                <w:spacing w:val="-2"/>
                <w:kern w:val="28"/>
                <w:sz w:val="22"/>
                <w:lang w:val="en-US" w:eastAsia="en-US" w:bidi="ar-SA"/>
              </w:rPr>
              <w:t>For Consent to Transfer Control of Local Multipoint Distribution Service, 39 GHz, Common Carrier Point-to-Point Microwave, and 3650-3700 MHz Service Licenses</w:t>
            </w:r>
          </w:p>
        </w:tc>
        <w:tc>
          <w:tcPr>
            <w:tcW w:w="630" w:type="dxa"/>
          </w:tcPr>
          <w:p w:rsidR="004C2EE3" w:rsidRPr="00D90D6B" w14:paraId="5FE2A605"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4C2EE3" w:rsidRPr="00D90D6B" w14:paraId="1507FEE3"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4C2EE3" w:rsidRPr="00D90D6B" w14:paraId="6ECA019C"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4C2EE3" w:rsidRPr="00D90D6B" w14:paraId="56ACB1E2"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4C2EE3" w:rsidRPr="00D90D6B" w14:paraId="3A3120D1"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4C2EE3" w:rsidRPr="00D90D6B" w14:paraId="09C4B31E"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05478C" w:rsidRPr="00D90D6B" w14:paraId="5A183A6C"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C95677" w:rsidRPr="00D90D6B" w14:paraId="6E8627BC"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C95677" w:rsidRPr="00D90D6B" w14:paraId="2BAF43B8" w14:textId="77777777">
            <w:pPr>
              <w:widowControl w:val="0"/>
              <w:tabs>
                <w:tab w:val="center" w:pos="4680"/>
              </w:tabs>
              <w:suppressAutoHyphens/>
              <w:rPr>
                <w:rStyle w:val="DefaultParagraphFont"/>
                <w:b/>
                <w:snapToGrid w:val="0"/>
                <w:spacing w:val="-2"/>
                <w:kern w:val="28"/>
                <w:sz w:val="22"/>
                <w:lang w:val="en-US" w:eastAsia="en-US" w:bidi="ar-SA"/>
              </w:rPr>
            </w:pPr>
            <w:r w:rsidRPr="00D90D6B">
              <w:rPr>
                <w:b/>
                <w:snapToGrid w:val="0"/>
                <w:spacing w:val="-2"/>
                <w:kern w:val="28"/>
                <w:sz w:val="22"/>
                <w:lang w:val="en-US" w:eastAsia="en-US" w:bidi="ar-SA"/>
              </w:rPr>
              <w:t>)</w:t>
            </w:r>
          </w:p>
          <w:p w:rsidR="00166C55" w:rsidRPr="00D90D6B" w14:paraId="7DC5BD63" w14:textId="77777777">
            <w:pPr>
              <w:widowControl w:val="0"/>
              <w:tabs>
                <w:tab w:val="center" w:pos="4680"/>
              </w:tabs>
              <w:suppressAutoHyphens/>
              <w:rPr>
                <w:rStyle w:val="DefaultParagraphFont"/>
                <w:b/>
                <w:snapToGrid w:val="0"/>
                <w:spacing w:val="-2"/>
                <w:kern w:val="28"/>
                <w:sz w:val="22"/>
                <w:lang w:val="en-US" w:eastAsia="en-US" w:bidi="ar-SA"/>
              </w:rPr>
            </w:pPr>
          </w:p>
          <w:p w:rsidR="00C95677" w:rsidRPr="00D90D6B" w14:paraId="25FF6D1D" w14:textId="77777777">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4C2EE3" w:rsidRPr="00D90D6B" w14:paraId="5309A59C" w14:textId="77777777">
            <w:pPr>
              <w:widowControl w:val="0"/>
              <w:tabs>
                <w:tab w:val="center" w:pos="4680"/>
              </w:tabs>
              <w:suppressAutoHyphens/>
              <w:rPr>
                <w:rStyle w:val="DefaultParagraphFont"/>
                <w:snapToGrid w:val="0"/>
                <w:spacing w:val="-2"/>
                <w:kern w:val="28"/>
                <w:sz w:val="22"/>
                <w:lang w:val="en-US" w:eastAsia="en-US" w:bidi="ar-SA"/>
              </w:rPr>
            </w:pPr>
          </w:p>
          <w:p w:rsidR="004C2EE3" w:rsidRPr="00D90D6B" w14:paraId="342334B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rsidRPr="00D90D6B" w14:paraId="45AAA25B" w14:textId="77777777">
            <w:pPr>
              <w:widowControl w:val="0"/>
              <w:tabs>
                <w:tab w:val="center" w:pos="4680"/>
              </w:tabs>
              <w:suppressAutoHyphens/>
              <w:rPr>
                <w:rStyle w:val="DefaultParagraphFont"/>
                <w:snapToGrid w:val="0"/>
                <w:spacing w:val="-2"/>
                <w:kern w:val="28"/>
                <w:sz w:val="22"/>
                <w:lang w:val="en-US" w:eastAsia="en-US" w:bidi="ar-SA"/>
              </w:rPr>
            </w:pPr>
            <w:r w:rsidRPr="00D90D6B">
              <w:rPr>
                <w:snapToGrid w:val="0"/>
                <w:spacing w:val="-2"/>
                <w:kern w:val="28"/>
                <w:sz w:val="22"/>
                <w:lang w:val="en-US" w:eastAsia="en-US" w:bidi="ar-SA"/>
              </w:rPr>
              <w:t>ULS File N</w:t>
            </w:r>
            <w:r w:rsidRPr="00D90D6B" w:rsidR="00876273">
              <w:rPr>
                <w:snapToGrid w:val="0"/>
                <w:spacing w:val="-2"/>
                <w:kern w:val="28"/>
                <w:sz w:val="22"/>
                <w:lang w:val="en-US" w:eastAsia="en-US" w:bidi="ar-SA"/>
              </w:rPr>
              <w:t>o.</w:t>
            </w:r>
            <w:r w:rsidRPr="00D90D6B" w:rsidR="00E47B85">
              <w:rPr>
                <w:snapToGrid w:val="0"/>
                <w:spacing w:val="-2"/>
                <w:kern w:val="28"/>
                <w:sz w:val="22"/>
                <w:lang w:val="en-US" w:eastAsia="en-US" w:bidi="ar-SA"/>
              </w:rPr>
              <w:t xml:space="preserve"> 0007783428</w:t>
            </w:r>
          </w:p>
        </w:tc>
      </w:tr>
    </w:tbl>
    <w:p w:rsidR="004C2EE3" w:rsidRPr="00D90D6B" w:rsidP="0070224F" w14:paraId="6B7EF619" w14:textId="77777777"/>
    <w:p w:rsidR="00841AB1" w:rsidRPr="00D90D6B" w:rsidP="00F021FA" w14:paraId="00B4040A" w14:textId="77777777">
      <w:pPr>
        <w:pStyle w:val="StyleBoldCentered"/>
      </w:pPr>
      <w:r w:rsidRPr="00D90D6B">
        <w:t>ORDER</w:t>
      </w:r>
      <w:r w:rsidRPr="00D90D6B" w:rsidR="003C665B">
        <w:t xml:space="preserve"> DENYING PETITION FOR STAY</w:t>
      </w:r>
      <w:r w:rsidRPr="00D90D6B" w:rsidR="00FB5FD9">
        <w:t xml:space="preserve"> </w:t>
      </w:r>
    </w:p>
    <w:p w:rsidR="004C2EE3" w:rsidRPr="00D90D6B" w14:paraId="150B96ED" w14:textId="77777777">
      <w:pPr>
        <w:tabs>
          <w:tab w:val="left" w:pos="-720"/>
        </w:tabs>
        <w:suppressAutoHyphens/>
        <w:spacing w:line="227" w:lineRule="auto"/>
        <w:rPr>
          <w:spacing w:val="-2"/>
        </w:rPr>
      </w:pPr>
    </w:p>
    <w:p w:rsidR="004C2EE3" w:rsidRPr="00D90D6B" w:rsidP="00133F79" w14:paraId="78A9CAC7" w14:textId="04C7890B">
      <w:pPr>
        <w:tabs>
          <w:tab w:val="left" w:pos="720"/>
          <w:tab w:val="right" w:pos="9360"/>
        </w:tabs>
        <w:suppressAutoHyphens/>
        <w:spacing w:line="227" w:lineRule="auto"/>
        <w:rPr>
          <w:spacing w:val="-2"/>
        </w:rPr>
      </w:pPr>
      <w:r w:rsidRPr="00D90D6B">
        <w:rPr>
          <w:b/>
          <w:spacing w:val="-2"/>
        </w:rPr>
        <w:t xml:space="preserve">Adopted:  </w:t>
      </w:r>
      <w:r w:rsidR="004B453D">
        <w:rPr>
          <w:b/>
          <w:spacing w:val="-2"/>
        </w:rPr>
        <w:t>April 2</w:t>
      </w:r>
      <w:r w:rsidRPr="00D90D6B" w:rsidR="00BC7612">
        <w:rPr>
          <w:b/>
          <w:spacing w:val="-2"/>
        </w:rPr>
        <w:t>, 201</w:t>
      </w:r>
      <w:r w:rsidRPr="00D90D6B" w:rsidR="00BC08FD">
        <w:rPr>
          <w:b/>
          <w:spacing w:val="-2"/>
        </w:rPr>
        <w:t>8</w:t>
      </w:r>
      <w:r w:rsidRPr="00D90D6B">
        <w:rPr>
          <w:b/>
          <w:spacing w:val="-2"/>
        </w:rPr>
        <w:tab/>
      </w:r>
      <w:r w:rsidRPr="00D90D6B" w:rsidR="00822CE0">
        <w:rPr>
          <w:b/>
          <w:spacing w:val="-2"/>
        </w:rPr>
        <w:t>Released</w:t>
      </w:r>
      <w:r w:rsidRPr="00D90D6B">
        <w:rPr>
          <w:b/>
          <w:spacing w:val="-2"/>
        </w:rPr>
        <w:t>:</w:t>
      </w:r>
      <w:r w:rsidRPr="00D90D6B" w:rsidR="00822CE0">
        <w:rPr>
          <w:b/>
          <w:spacing w:val="-2"/>
        </w:rPr>
        <w:t xml:space="preserve"> </w:t>
      </w:r>
      <w:r w:rsidRPr="00D90D6B" w:rsidR="00BC7612">
        <w:rPr>
          <w:b/>
          <w:spacing w:val="-2"/>
        </w:rPr>
        <w:t xml:space="preserve"> </w:t>
      </w:r>
      <w:r w:rsidR="004B453D">
        <w:rPr>
          <w:b/>
          <w:spacing w:val="-2"/>
        </w:rPr>
        <w:t>April 2</w:t>
      </w:r>
      <w:r w:rsidRPr="00D90D6B" w:rsidR="00D763A8">
        <w:rPr>
          <w:b/>
          <w:spacing w:val="-2"/>
        </w:rPr>
        <w:t>, 201</w:t>
      </w:r>
      <w:r w:rsidRPr="00D90D6B" w:rsidR="00BC08FD">
        <w:rPr>
          <w:b/>
          <w:spacing w:val="-2"/>
        </w:rPr>
        <w:t>8</w:t>
      </w:r>
    </w:p>
    <w:p w:rsidR="00822CE0" w:rsidRPr="00D90D6B" w14:paraId="24D520FA" w14:textId="77777777"/>
    <w:p w:rsidR="00822CE0" w:rsidRPr="00D90D6B" w14:paraId="1F5EEF9D" w14:textId="77777777">
      <w:pPr>
        <w:rPr>
          <w:spacing w:val="-2"/>
        </w:rPr>
      </w:pPr>
      <w:r w:rsidRPr="00D90D6B">
        <w:t xml:space="preserve">By </w:t>
      </w:r>
      <w:r w:rsidRPr="00D90D6B" w:rsidR="00817E7A">
        <w:t xml:space="preserve">the </w:t>
      </w:r>
      <w:r w:rsidRPr="00D90D6B" w:rsidR="005D5981">
        <w:t>Chief, Wireless Telecommunications Bureau:</w:t>
      </w:r>
    </w:p>
    <w:p w:rsidR="00F04372" w:rsidRPr="00D90D6B" w:rsidP="00412FC5" w14:paraId="181B16E1" w14:textId="77777777"/>
    <w:p w:rsidR="002C00E8" w:rsidRPr="00D90D6B" w:rsidP="00DD7735" w14:paraId="62497C18" w14:textId="77777777">
      <w:pPr>
        <w:pStyle w:val="Heading1"/>
        <w:numPr>
          <w:ilvl w:val="0"/>
          <w:numId w:val="13"/>
        </w:numPr>
      </w:pPr>
      <w:r w:rsidRPr="00D90D6B">
        <w:t>INTRODUCTION</w:t>
      </w:r>
    </w:p>
    <w:p w:rsidR="00166C55" w:rsidRPr="00D90D6B" w:rsidP="00166C55" w14:paraId="382A9410" w14:textId="77777777">
      <w:pPr>
        <w:pStyle w:val="ParaNum"/>
        <w:tabs>
          <w:tab w:val="clear" w:pos="5760"/>
        </w:tabs>
        <w:ind w:left="0"/>
      </w:pPr>
      <w:r w:rsidRPr="00D90D6B">
        <w:t>In this Order</w:t>
      </w:r>
      <w:r w:rsidRPr="00D90D6B" w:rsidR="003C665B">
        <w:t xml:space="preserve"> Denying Petition for Stay</w:t>
      </w:r>
      <w:r w:rsidRPr="00D90D6B">
        <w:t>, we deny a request from</w:t>
      </w:r>
      <w:r w:rsidRPr="00D90D6B">
        <w:rPr>
          <w:i/>
        </w:rPr>
        <w:t xml:space="preserve"> </w:t>
      </w:r>
      <w:r w:rsidRPr="00D90D6B" w:rsidR="0067295C">
        <w:t>t</w:t>
      </w:r>
      <w:r w:rsidRPr="00D90D6B" w:rsidR="007026D5">
        <w:t xml:space="preserve">he Competitive Carriers Association (CCA) </w:t>
      </w:r>
      <w:r w:rsidRPr="00D90D6B">
        <w:t xml:space="preserve">to </w:t>
      </w:r>
      <w:r w:rsidRPr="00D90D6B" w:rsidR="001E4662">
        <w:t>stay</w:t>
      </w:r>
      <w:r>
        <w:rPr>
          <w:rStyle w:val="FootnoteReference"/>
          <w:kern w:val="0"/>
        </w:rPr>
        <w:footnoteReference w:id="3"/>
      </w:r>
      <w:r w:rsidRPr="00D90D6B" w:rsidR="001E4662">
        <w:t xml:space="preserve"> </w:t>
      </w:r>
      <w:r w:rsidRPr="00D90D6B" w:rsidR="00EB5A70">
        <w:t xml:space="preserve">the </w:t>
      </w:r>
      <w:r w:rsidRPr="00D90D6B" w:rsidR="001E4662">
        <w:t>January 18, 2018</w:t>
      </w:r>
      <w:r w:rsidRPr="00D90D6B" w:rsidR="00EB5A70">
        <w:t>,</w:t>
      </w:r>
      <w:r w:rsidRPr="00D90D6B" w:rsidR="001E4662">
        <w:t xml:space="preserve"> </w:t>
      </w:r>
      <w:r w:rsidRPr="00D90D6B" w:rsidR="001E4662">
        <w:rPr>
          <w:i/>
        </w:rPr>
        <w:t>Memorandum Opinion and Order</w:t>
      </w:r>
      <w:r w:rsidRPr="00D90D6B" w:rsidR="0067295C">
        <w:rPr>
          <w:i/>
        </w:rPr>
        <w:t xml:space="preserve"> </w:t>
      </w:r>
      <w:r w:rsidRPr="00D90D6B" w:rsidR="0067295C">
        <w:t>(</w:t>
      </w:r>
      <w:r w:rsidRPr="00D90D6B" w:rsidR="006B4F56">
        <w:rPr>
          <w:i/>
        </w:rPr>
        <w:t>MO&amp;O</w:t>
      </w:r>
      <w:r w:rsidRPr="00D90D6B" w:rsidR="0067295C">
        <w:t>)</w:t>
      </w:r>
      <w:r>
        <w:rPr>
          <w:rStyle w:val="FootnoteReference"/>
          <w:kern w:val="0"/>
        </w:rPr>
        <w:footnoteReference w:id="4"/>
      </w:r>
      <w:r w:rsidRPr="00D90D6B" w:rsidR="001E4662">
        <w:t xml:space="preserve"> approving the transfer of various spectrum licenses</w:t>
      </w:r>
      <w:r w:rsidRPr="00D90D6B" w:rsidR="00817E7A">
        <w:t xml:space="preserve"> </w:t>
      </w:r>
      <w:r w:rsidRPr="00D90D6B" w:rsidR="001E4662">
        <w:t xml:space="preserve">by Straight Path Spectrum LLC, a wholly-owned subsidiary of Straight Path Communications, Inc. (Straight Path) to </w:t>
      </w:r>
      <w:r w:rsidRPr="00D90D6B" w:rsidR="00817E7A">
        <w:t xml:space="preserve">Verizon </w:t>
      </w:r>
      <w:r w:rsidRPr="00D90D6B" w:rsidR="002B2CC6">
        <w:t>Communications Inc.</w:t>
      </w:r>
      <w:r w:rsidRPr="00D90D6B" w:rsidR="00817E7A">
        <w:t xml:space="preserve"> </w:t>
      </w:r>
      <w:r w:rsidRPr="00D90D6B" w:rsidR="00501CFB">
        <w:t>(Verizon)</w:t>
      </w:r>
      <w:r w:rsidRPr="00D90D6B" w:rsidR="008E2CCF">
        <w:t>.</w:t>
      </w:r>
      <w:r w:rsidRPr="00D90D6B" w:rsidR="00027823">
        <w:t xml:space="preserve">  </w:t>
      </w:r>
      <w:r w:rsidRPr="00D90D6B" w:rsidR="00B07F1A">
        <w:t>CCA</w:t>
      </w:r>
      <w:r w:rsidRPr="00D90D6B" w:rsidR="001E4662">
        <w:t xml:space="preserve"> seeks a stay </w:t>
      </w:r>
      <w:r w:rsidRPr="00D90D6B" w:rsidR="00205E8D">
        <w:t xml:space="preserve">pending the </w:t>
      </w:r>
      <w:r w:rsidRPr="00D90D6B" w:rsidR="001E4662">
        <w:t>Commission</w:t>
      </w:r>
      <w:r w:rsidRPr="00D90D6B" w:rsidR="00205E8D">
        <w:t>’s</w:t>
      </w:r>
      <w:r w:rsidRPr="00D90D6B" w:rsidR="001E4662">
        <w:t xml:space="preserve"> </w:t>
      </w:r>
      <w:r w:rsidRPr="00D90D6B" w:rsidR="00205E8D">
        <w:t>review</w:t>
      </w:r>
      <w:r w:rsidRPr="00D90D6B" w:rsidR="001E4662">
        <w:t xml:space="preserve"> </w:t>
      </w:r>
      <w:r w:rsidRPr="00D90D6B" w:rsidR="00205E8D">
        <w:t xml:space="preserve">of </w:t>
      </w:r>
      <w:r w:rsidRPr="00D90D6B" w:rsidR="00B07F1A">
        <w:t>its</w:t>
      </w:r>
      <w:r w:rsidRPr="00D90D6B" w:rsidR="00205E8D">
        <w:t xml:space="preserve"> concurrently filed </w:t>
      </w:r>
      <w:r w:rsidRPr="00D90D6B" w:rsidR="001E4662">
        <w:t xml:space="preserve">Application for </w:t>
      </w:r>
      <w:r w:rsidRPr="00D90D6B" w:rsidR="00205E8D">
        <w:t>Review, or in the alternative, Petition for Reconsideration.</w:t>
      </w:r>
      <w:r>
        <w:rPr>
          <w:rStyle w:val="FootnoteReference"/>
        </w:rPr>
        <w:footnoteReference w:id="5"/>
      </w:r>
      <w:r w:rsidRPr="00D90D6B" w:rsidR="00BF3D3D">
        <w:t xml:space="preserve">  </w:t>
      </w:r>
      <w:r w:rsidRPr="00D90D6B" w:rsidR="00EB5A70">
        <w:t xml:space="preserve">We find that </w:t>
      </w:r>
      <w:r w:rsidRPr="00D90D6B">
        <w:t xml:space="preserve">CCA has failed to </w:t>
      </w:r>
      <w:r w:rsidRPr="00D90D6B" w:rsidR="00162989">
        <w:t xml:space="preserve">meet its burden for </w:t>
      </w:r>
      <w:r w:rsidRPr="00D90D6B" w:rsidR="00D578D8">
        <w:t xml:space="preserve">a grant of an extraordinary remedy of </w:t>
      </w:r>
      <w:r w:rsidRPr="00D90D6B" w:rsidR="00162989">
        <w:t>a stay</w:t>
      </w:r>
      <w:r w:rsidRPr="00D90D6B">
        <w:t xml:space="preserve">.  </w:t>
      </w:r>
    </w:p>
    <w:p w:rsidR="00417774" w:rsidRPr="00D90D6B" w:rsidP="00166C55" w14:paraId="547F0081" w14:textId="77777777">
      <w:pPr>
        <w:pStyle w:val="Heading1"/>
        <w:numPr>
          <w:ilvl w:val="0"/>
          <w:numId w:val="13"/>
        </w:numPr>
      </w:pPr>
      <w:r w:rsidRPr="00D90D6B">
        <w:t>BACKGROUND</w:t>
      </w:r>
    </w:p>
    <w:p w:rsidR="00166C55" w:rsidRPr="00D90D6B" w:rsidP="002618EA" w14:paraId="274334C6" w14:textId="77777777">
      <w:pPr>
        <w:pStyle w:val="ParaNum"/>
        <w:widowControl/>
        <w:tabs>
          <w:tab w:val="num" w:pos="1440"/>
          <w:tab w:val="clear" w:pos="5760"/>
        </w:tabs>
        <w:ind w:left="0"/>
      </w:pPr>
      <w:r w:rsidRPr="00D90D6B">
        <w:t>On June 1, 2017, Verizon and Straight Path filed an application pursuant to Section 310(d) of the Communications Act of 1934, as amended (the Act),</w:t>
      </w:r>
      <w:r>
        <w:rPr>
          <w:vertAlign w:val="superscript"/>
        </w:rPr>
        <w:footnoteReference w:id="6"/>
      </w:r>
      <w:r w:rsidRPr="00D90D6B">
        <w:t xml:space="preserve"> seeking Commission consent to the transfer of control from Straight Path Spectrum, LLC, a wholly-owned subsidiary of Straight Path</w:t>
      </w:r>
      <w:r w:rsidRPr="00D90D6B" w:rsidR="000D3E6F">
        <w:t>,</w:t>
      </w:r>
      <w:r w:rsidRPr="00D90D6B">
        <w:t xml:space="preserve"> to Verizon of 735 licenses in the 39 GHz band, 133 licenses in the 28 GHz, 29 GHz and 31 GHz bands, nine common carrier point-to-point microwave licenses, and one non-exclusive nationwide license in the 3650-3700 MHz band. </w:t>
      </w:r>
      <w:r w:rsidRPr="00D90D6B" w:rsidR="00C07AD1">
        <w:t xml:space="preserve"> </w:t>
      </w:r>
      <w:r w:rsidRPr="00D90D6B">
        <w:t xml:space="preserve">The agreement between Verizon and Straight Path </w:t>
      </w:r>
      <w:r w:rsidRPr="00D90D6B" w:rsidR="00C07AD1">
        <w:t xml:space="preserve">provided </w:t>
      </w:r>
      <w:r w:rsidRPr="00D90D6B">
        <w:t xml:space="preserve">that the latter will </w:t>
      </w:r>
      <w:r w:rsidRPr="00D90D6B">
        <w:t>become a wholly-owned direct subsidiary of Verizon, while Straight Path Spectrum, LLC, the holder of the licenses, will become a wholly-owned indirect subsidiary.</w:t>
      </w:r>
      <w:r>
        <w:rPr>
          <w:vertAlign w:val="superscript"/>
        </w:rPr>
        <w:footnoteReference w:id="7"/>
      </w:r>
    </w:p>
    <w:p w:rsidR="00BF4AB8" w:rsidRPr="00D90D6B" w:rsidP="00C07AD1" w14:paraId="584C5696" w14:textId="49B8F993">
      <w:pPr>
        <w:pStyle w:val="ParaNum"/>
        <w:tabs>
          <w:tab w:val="num" w:pos="1440"/>
          <w:tab w:val="clear" w:pos="5760"/>
        </w:tabs>
        <w:ind w:left="0"/>
        <w:rPr>
          <w:kern w:val="0"/>
        </w:rPr>
      </w:pPr>
      <w:r w:rsidRPr="00D90D6B">
        <w:t>CCA, among other parties, filed a petition to deny</w:t>
      </w:r>
      <w:r w:rsidRPr="00D90D6B" w:rsidR="00F20A3E">
        <w:t>.</w:t>
      </w:r>
      <w:r>
        <w:rPr>
          <w:vertAlign w:val="superscript"/>
        </w:rPr>
        <w:footnoteReference w:id="8"/>
      </w:r>
      <w:r w:rsidRPr="00D90D6B" w:rsidR="00F20A3E">
        <w:t xml:space="preserve">  On January 18, 2018, the </w:t>
      </w:r>
      <w:r w:rsidRPr="00D90D6B" w:rsidR="00C07AD1">
        <w:t xml:space="preserve">Wireless Telecommunications </w:t>
      </w:r>
      <w:r w:rsidRPr="00D90D6B" w:rsidR="00F20A3E">
        <w:t xml:space="preserve">Bureau </w:t>
      </w:r>
      <w:r w:rsidRPr="00D90D6B" w:rsidR="00C07AD1">
        <w:t xml:space="preserve">(Bureau) </w:t>
      </w:r>
      <w:r w:rsidRPr="00D90D6B" w:rsidR="00F20A3E">
        <w:t xml:space="preserve">released the </w:t>
      </w:r>
      <w:r w:rsidRPr="00D90D6B" w:rsidR="00F20A3E">
        <w:rPr>
          <w:i/>
        </w:rPr>
        <w:t>MO&amp;O</w:t>
      </w:r>
      <w:r w:rsidRPr="00D90D6B" w:rsidR="00F20A3E">
        <w:t xml:space="preserve"> denying </w:t>
      </w:r>
      <w:r w:rsidRPr="00D90D6B" w:rsidR="00B5304D">
        <w:t xml:space="preserve">the </w:t>
      </w:r>
      <w:r w:rsidRPr="00D90D6B" w:rsidR="00F20A3E">
        <w:t>petition</w:t>
      </w:r>
      <w:r w:rsidRPr="00D90D6B" w:rsidR="00B5304D">
        <w:t>s</w:t>
      </w:r>
      <w:r w:rsidRPr="00D90D6B" w:rsidR="00F20A3E">
        <w:t xml:space="preserve"> to deny and consenting to the transaction.  The Bureau found “no evidence in the record to support a finding that the proposed transaction will result in potential public interest harms, and </w:t>
      </w:r>
      <w:r w:rsidRPr="00D90D6B" w:rsidR="002F07C1">
        <w:t xml:space="preserve">[it] </w:t>
      </w:r>
      <w:r w:rsidRPr="00D90D6B" w:rsidR="00F20A3E">
        <w:t>reject</w:t>
      </w:r>
      <w:r w:rsidRPr="00D90D6B" w:rsidR="002F07C1">
        <w:t>[ed]</w:t>
      </w:r>
      <w:r w:rsidRPr="00D90D6B" w:rsidR="00F20A3E">
        <w:t xml:space="preserve"> petitioners’ arguments that it will.”</w:t>
      </w:r>
      <w:r>
        <w:rPr>
          <w:rStyle w:val="FootnoteReference"/>
        </w:rPr>
        <w:footnoteReference w:id="9"/>
      </w:r>
      <w:r w:rsidRPr="00D90D6B" w:rsidR="00F20A3E">
        <w:t xml:space="preserve">  </w:t>
      </w:r>
      <w:r w:rsidRPr="00D90D6B" w:rsidR="00DD79D3">
        <w:t xml:space="preserve">The Bureau noted that the Commission </w:t>
      </w:r>
      <w:r w:rsidRPr="00D90D6B" w:rsidR="002F07C1">
        <w:t xml:space="preserve">had previously </w:t>
      </w:r>
      <w:r w:rsidRPr="00D90D6B" w:rsidR="00DD79D3">
        <w:t>adopted a mmW spectrum threshold</w:t>
      </w:r>
      <w:r w:rsidRPr="00D90D6B" w:rsidR="00924547">
        <w:t xml:space="preserve"> of 1250 megahertz</w:t>
      </w:r>
      <w:r w:rsidRPr="00D90D6B" w:rsidR="00DD79D3">
        <w:t xml:space="preserve"> for proposed secondary market transactions,</w:t>
      </w:r>
      <w:r>
        <w:rPr>
          <w:rStyle w:val="FootnoteReference"/>
        </w:rPr>
        <w:footnoteReference w:id="10"/>
      </w:r>
      <w:r w:rsidRPr="00D90D6B" w:rsidR="00DD79D3">
        <w:t xml:space="preserve"> and that in the </w:t>
      </w:r>
      <w:r w:rsidRPr="00D90D6B" w:rsidR="00DD79D3">
        <w:rPr>
          <w:i/>
        </w:rPr>
        <w:t>Spectrum Frontiers Second Report and Order</w:t>
      </w:r>
      <w:r w:rsidRPr="00D90D6B" w:rsidR="00DD79D3">
        <w:t>, the Commission</w:t>
      </w:r>
      <w:r w:rsidRPr="00D90D6B" w:rsidR="00DD79D3">
        <w:rPr>
          <w:i/>
        </w:rPr>
        <w:t xml:space="preserve"> </w:t>
      </w:r>
      <w:r w:rsidRPr="00D90D6B" w:rsidR="002F07C1">
        <w:t xml:space="preserve">had </w:t>
      </w:r>
      <w:r w:rsidRPr="00D90D6B" w:rsidR="00924547">
        <w:t xml:space="preserve">increased </w:t>
      </w:r>
      <w:r w:rsidRPr="00D90D6B" w:rsidR="00DD79D3">
        <w:t>this threshold to 1850 megahertz</w:t>
      </w:r>
      <w:r w:rsidRPr="00D90D6B" w:rsidR="00CC4117">
        <w:t>,</w:t>
      </w:r>
      <w:r>
        <w:rPr>
          <w:vertAlign w:val="superscript"/>
        </w:rPr>
        <w:footnoteReference w:id="11"/>
      </w:r>
      <w:r w:rsidRPr="00D90D6B" w:rsidR="00CC4117">
        <w:t xml:space="preserve"> a decision which, for the Commission’s part, was preceded by notice-and-comment rulemaking.</w:t>
      </w:r>
      <w:r w:rsidRPr="00D90D6B">
        <w:t xml:space="preserve">  </w:t>
      </w:r>
      <w:r w:rsidRPr="00D90D6B" w:rsidR="00C07AD1">
        <w:t>T</w:t>
      </w:r>
      <w:r w:rsidRPr="00D90D6B">
        <w:t xml:space="preserve">he Bureau </w:t>
      </w:r>
      <w:r w:rsidRPr="00D90D6B" w:rsidR="001B52A1">
        <w:t xml:space="preserve">applied </w:t>
      </w:r>
      <w:r w:rsidRPr="00D90D6B" w:rsidR="00924547">
        <w:t xml:space="preserve">the </w:t>
      </w:r>
      <w:r w:rsidRPr="00D90D6B" w:rsidR="00C07AD1">
        <w:t xml:space="preserve">Commission’s </w:t>
      </w:r>
      <w:r w:rsidRPr="00D90D6B" w:rsidR="00D578D8">
        <w:t xml:space="preserve">newly </w:t>
      </w:r>
      <w:r w:rsidRPr="00D90D6B" w:rsidR="00566970">
        <w:t>adopted</w:t>
      </w:r>
      <w:r w:rsidR="00291401">
        <w:t xml:space="preserve"> </w:t>
      </w:r>
      <w:r w:rsidRPr="00D90D6B" w:rsidR="001B52A1">
        <w:t xml:space="preserve">1850 megahertz </w:t>
      </w:r>
      <w:r w:rsidRPr="00D90D6B" w:rsidR="00924547">
        <w:t xml:space="preserve">mmW </w:t>
      </w:r>
      <w:r w:rsidRPr="00D90D6B" w:rsidR="001B52A1">
        <w:t xml:space="preserve">spectrum threshold </w:t>
      </w:r>
      <w:r w:rsidRPr="00D90D6B" w:rsidR="002F07C1">
        <w:t xml:space="preserve">to the Verizon-Straight Path transaction, </w:t>
      </w:r>
      <w:r w:rsidRPr="00D90D6B" w:rsidR="001B52A1">
        <w:t xml:space="preserve">and </w:t>
      </w:r>
      <w:r w:rsidRPr="00D90D6B">
        <w:t>observed that post-transaction, Verizon’s maximum spectrum holdings in any given county would be 1650 megahertz.</w:t>
      </w:r>
      <w:r>
        <w:rPr>
          <w:rStyle w:val="FootnoteReference"/>
        </w:rPr>
        <w:footnoteReference w:id="12"/>
      </w:r>
      <w:r w:rsidRPr="00D90D6B">
        <w:t xml:space="preserve">  </w:t>
      </w:r>
      <w:r w:rsidRPr="00D90D6B" w:rsidR="00C05384">
        <w:t>The Bureau found that, given</w:t>
      </w:r>
      <w:r w:rsidRPr="00D90D6B">
        <w:t xml:space="preserve"> the proposed transaction </w:t>
      </w:r>
      <w:r w:rsidRPr="00D90D6B" w:rsidR="00C05384">
        <w:t xml:space="preserve">did </w:t>
      </w:r>
      <w:r w:rsidRPr="00D90D6B">
        <w:t xml:space="preserve">not trigger the mmW spectrum threshold, and based on </w:t>
      </w:r>
      <w:r w:rsidRPr="00D90D6B" w:rsidR="00C05384">
        <w:t xml:space="preserve">its </w:t>
      </w:r>
      <w:r w:rsidRPr="00D90D6B">
        <w:t xml:space="preserve">careful review of the record, as well as </w:t>
      </w:r>
      <w:r w:rsidRPr="00D90D6B" w:rsidR="00C05384">
        <w:t xml:space="preserve">its </w:t>
      </w:r>
      <w:r w:rsidRPr="00D90D6B">
        <w:t xml:space="preserve">examination of the various </w:t>
      </w:r>
      <w:r w:rsidRPr="00D90D6B" w:rsidR="00C05384">
        <w:t xml:space="preserve">relevant </w:t>
      </w:r>
      <w:r w:rsidRPr="00D90D6B">
        <w:t>factors</w:t>
      </w:r>
      <w:r w:rsidRPr="00D90D6B" w:rsidR="00C05384">
        <w:t xml:space="preserve">, </w:t>
      </w:r>
      <w:r w:rsidRPr="00D90D6B">
        <w:t xml:space="preserve">Verizon’s post-transaction spectrum holdings </w:t>
      </w:r>
      <w:r w:rsidRPr="00D90D6B" w:rsidR="00C05384">
        <w:t xml:space="preserve">did </w:t>
      </w:r>
      <w:r w:rsidRPr="00D90D6B">
        <w:t xml:space="preserve">not raise </w:t>
      </w:r>
      <w:r w:rsidRPr="00D90D6B" w:rsidR="00D578D8">
        <w:t xml:space="preserve">competitive </w:t>
      </w:r>
      <w:r w:rsidRPr="00D90D6B">
        <w:t>concerns.</w:t>
      </w:r>
      <w:r>
        <w:rPr>
          <w:rStyle w:val="FootnoteReference"/>
        </w:rPr>
        <w:footnoteReference w:id="13"/>
      </w:r>
      <w:r w:rsidRPr="00D90D6B">
        <w:t xml:space="preserve">  </w:t>
      </w:r>
      <w:r w:rsidRPr="00D90D6B" w:rsidR="002F07C1">
        <w:t xml:space="preserve">The Bureau also </w:t>
      </w:r>
      <w:r w:rsidRPr="00D90D6B">
        <w:t>analyze</w:t>
      </w:r>
      <w:r w:rsidRPr="00D90D6B" w:rsidR="002F07C1">
        <w:t>d</w:t>
      </w:r>
      <w:r w:rsidRPr="00D90D6B">
        <w:t xml:space="preserve"> and reject</w:t>
      </w:r>
      <w:r w:rsidRPr="00D90D6B" w:rsidR="002F07C1">
        <w:t>ed</w:t>
      </w:r>
      <w:r w:rsidRPr="00D90D6B">
        <w:t xml:space="preserve"> Petitioners’ arguments that Verizon’s post-transaction spectrum holdings would lead to competitive harms through foreclosure and anticompetitive spectrum aggregation.</w:t>
      </w:r>
      <w:r>
        <w:rPr>
          <w:rStyle w:val="FootnoteReference"/>
        </w:rPr>
        <w:footnoteReference w:id="14"/>
      </w:r>
      <w:r w:rsidRPr="00D90D6B">
        <w:t xml:space="preserve"> </w:t>
      </w:r>
      <w:r w:rsidRPr="00D90D6B" w:rsidR="00C05384">
        <w:t xml:space="preserve"> </w:t>
      </w:r>
      <w:r w:rsidRPr="00D90D6B" w:rsidR="00A62073">
        <w:t>After finding that “as a direct result of the transaction, Verizon likely will be better able to develop and deploy innovative 5G services to the benefit of American consumers,”</w:t>
      </w:r>
      <w:r>
        <w:rPr>
          <w:rStyle w:val="FootnoteReference"/>
        </w:rPr>
        <w:footnoteReference w:id="15"/>
      </w:r>
      <w:r w:rsidRPr="00D90D6B" w:rsidR="00A62073">
        <w:t xml:space="preserve"> the Bureau consented to the transaction a</w:t>
      </w:r>
      <w:r w:rsidRPr="00D90D6B" w:rsidR="002F07C1">
        <w:t>s</w:t>
      </w:r>
      <w:r w:rsidRPr="00D90D6B" w:rsidR="00A62073">
        <w:t xml:space="preserve"> serving the public interest, convenience, and necessity.</w:t>
      </w:r>
      <w:r>
        <w:rPr>
          <w:vertAlign w:val="superscript"/>
        </w:rPr>
        <w:footnoteReference w:id="16"/>
      </w:r>
    </w:p>
    <w:p w:rsidR="008A4356" w:rsidRPr="00D90D6B" w:rsidP="00166C55" w14:paraId="03A29D5A" w14:textId="77777777">
      <w:pPr>
        <w:pStyle w:val="ParaNum"/>
        <w:tabs>
          <w:tab w:val="num" w:pos="1440"/>
          <w:tab w:val="clear" w:pos="5760"/>
        </w:tabs>
        <w:ind w:left="0"/>
      </w:pPr>
      <w:r w:rsidRPr="00D90D6B">
        <w:t xml:space="preserve">On </w:t>
      </w:r>
      <w:r w:rsidRPr="00D90D6B" w:rsidR="00CE6E74">
        <w:t>February 20</w:t>
      </w:r>
      <w:r w:rsidRPr="00D90D6B">
        <w:t xml:space="preserve">, 2018, CCA filed the Application for Review and Petition for Stay.  Verizon and Straight Path </w:t>
      </w:r>
      <w:r w:rsidRPr="00D90D6B" w:rsidR="00CE6E74">
        <w:t xml:space="preserve">jointly </w:t>
      </w:r>
      <w:r w:rsidRPr="00D90D6B">
        <w:t>opposed the Petition for Stay</w:t>
      </w:r>
      <w:r w:rsidRPr="00D90D6B" w:rsidR="00CE6E74">
        <w:t xml:space="preserve"> on February 27, 2018.</w:t>
      </w:r>
      <w:r>
        <w:rPr>
          <w:rStyle w:val="FootnoteReference"/>
        </w:rPr>
        <w:footnoteReference w:id="17"/>
      </w:r>
      <w:r w:rsidRPr="00D90D6B" w:rsidR="00CE6E74">
        <w:t xml:space="preserve">  CCA did not </w:t>
      </w:r>
      <w:r w:rsidRPr="00D90D6B" w:rsidR="00C05384">
        <w:t xml:space="preserve">file a </w:t>
      </w:r>
      <w:r w:rsidRPr="00D90D6B" w:rsidR="00CE6E74">
        <w:t>reply to the Joint Opposition.</w:t>
      </w:r>
    </w:p>
    <w:p w:rsidR="00CE6E74" w:rsidRPr="00D90D6B" w:rsidP="00CE6E74" w14:paraId="107B258B" w14:textId="77777777">
      <w:pPr>
        <w:pStyle w:val="Heading1"/>
        <w:numPr>
          <w:ilvl w:val="0"/>
          <w:numId w:val="13"/>
        </w:numPr>
      </w:pPr>
      <w:r w:rsidRPr="00D90D6B">
        <w:t>DISCUSSION</w:t>
      </w:r>
    </w:p>
    <w:p w:rsidR="00B601A5" w:rsidRPr="00D90D6B" w:rsidP="00B34542" w14:paraId="5F5C008A" w14:textId="584B67D9">
      <w:pPr>
        <w:pStyle w:val="ParaNum"/>
        <w:widowControl/>
        <w:tabs>
          <w:tab w:val="num" w:pos="1440"/>
        </w:tabs>
        <w:ind w:left="0"/>
      </w:pPr>
      <w:r w:rsidRPr="00D90D6B">
        <w:rPr>
          <w:i/>
        </w:rPr>
        <w:t>Standard for Stay</w:t>
      </w:r>
      <w:r w:rsidRPr="00D90D6B" w:rsidR="00417774">
        <w:rPr>
          <w:i/>
        </w:rPr>
        <w:t>.</w:t>
      </w:r>
      <w:r w:rsidRPr="00D90D6B" w:rsidR="00417774">
        <w:t xml:space="preserve"> </w:t>
      </w:r>
      <w:r w:rsidRPr="00D90D6B" w:rsidR="00C05384">
        <w:t xml:space="preserve"> </w:t>
      </w:r>
      <w:r w:rsidRPr="00D90D6B">
        <w:t xml:space="preserve">The Commission evaluates motions for stays under well settled principles.  To </w:t>
      </w:r>
      <w:r w:rsidRPr="00D90D6B">
        <w:t xml:space="preserve">qualify </w:t>
      </w:r>
      <w:bookmarkStart w:id="3" w:name="_Hlk508987341"/>
      <w:r w:rsidRPr="00D90D6B">
        <w:t>for the extraordinary remedy of a stay</w:t>
      </w:r>
      <w:bookmarkEnd w:id="3"/>
      <w:r w:rsidRPr="00D90D6B">
        <w:t>, the moving party must demonstrate that: (1) it is likely to prevail on the merits of its pending Application for Review; (2) it will suffer irreparable harm if a stay is not granted; (3) other interested parties will not be harmed if a stay is granted; and, (4) the public interest favors granting a stay.</w:t>
      </w:r>
      <w:r>
        <w:rPr>
          <w:rStyle w:val="FootnoteReference"/>
        </w:rPr>
        <w:footnoteReference w:id="18"/>
      </w:r>
      <w:r w:rsidRPr="00D90D6B" w:rsidR="00417774">
        <w:t xml:space="preserve"> </w:t>
      </w:r>
      <w:r w:rsidRPr="00D90D6B" w:rsidR="006D0617">
        <w:t xml:space="preserve"> </w:t>
      </w:r>
      <w:r w:rsidRPr="00D90D6B" w:rsidR="00DB101E">
        <w:t>The Commission’s consideration of each factor is weighed against the others, with no single factor dispositive.</w:t>
      </w:r>
      <w:r>
        <w:rPr>
          <w:rStyle w:val="FootnoteReference"/>
        </w:rPr>
        <w:footnoteReference w:id="19"/>
      </w:r>
      <w:r w:rsidRPr="00D90D6B" w:rsidR="00C90991">
        <w:t xml:space="preserve"> </w:t>
      </w:r>
      <w:r w:rsidRPr="00D90D6B" w:rsidR="00C05384">
        <w:t xml:space="preserve"> </w:t>
      </w:r>
      <w:r w:rsidRPr="00D90D6B" w:rsidR="002701A2">
        <w:t>After fully reviewing the record, we conclude that CCA has failed to make a</w:t>
      </w:r>
      <w:r w:rsidRPr="00D90D6B" w:rsidR="009C41B2">
        <w:t xml:space="preserve">n adequate </w:t>
      </w:r>
      <w:r w:rsidRPr="00D90D6B" w:rsidR="002701A2">
        <w:t xml:space="preserve">showing under any of the </w:t>
      </w:r>
      <w:r w:rsidRPr="00D90D6B" w:rsidR="00D951A3">
        <w:t>stay criteria</w:t>
      </w:r>
      <w:r w:rsidRPr="00D90D6B" w:rsidR="001B52A1">
        <w:t>.</w:t>
      </w:r>
    </w:p>
    <w:p w:rsidR="00432705" w:rsidRPr="00D90D6B" w:rsidP="00B34542" w14:paraId="678D8D11" w14:textId="01EBC87E">
      <w:pPr>
        <w:pStyle w:val="ParaNum"/>
        <w:widowControl/>
        <w:tabs>
          <w:tab w:val="num" w:pos="1440"/>
        </w:tabs>
        <w:ind w:left="0"/>
      </w:pPr>
      <w:r w:rsidRPr="00D90D6B">
        <w:t>B</w:t>
      </w:r>
      <w:r w:rsidRPr="00D90D6B" w:rsidR="00D951A3">
        <w:t xml:space="preserve">ased on our review, CCA </w:t>
      </w:r>
      <w:r w:rsidRPr="00D90D6B" w:rsidR="00D578D8">
        <w:t xml:space="preserve">has not demonstrated that it </w:t>
      </w:r>
      <w:r w:rsidRPr="00D90D6B" w:rsidR="00D951A3">
        <w:t xml:space="preserve">is likely to </w:t>
      </w:r>
      <w:r w:rsidRPr="00D90D6B" w:rsidR="00D578D8">
        <w:t xml:space="preserve">prevail </w:t>
      </w:r>
      <w:r w:rsidRPr="00D90D6B" w:rsidR="00D951A3">
        <w:t xml:space="preserve">on the merits.  CCA argues that the Bureau </w:t>
      </w:r>
      <w:r w:rsidRPr="00D90D6B" w:rsidR="001B52A1">
        <w:t xml:space="preserve">improperly applied the 1850 megahertz mmW spectrum threshold </w:t>
      </w:r>
      <w:r w:rsidRPr="00D90D6B" w:rsidR="00D951A3">
        <w:t xml:space="preserve">to </w:t>
      </w:r>
      <w:r w:rsidRPr="00D90D6B" w:rsidR="001B52A1">
        <w:t xml:space="preserve">the transaction </w:t>
      </w:r>
      <w:r w:rsidRPr="00D90D6B" w:rsidR="00D308A9">
        <w:t xml:space="preserve">in the </w:t>
      </w:r>
      <w:r w:rsidRPr="00D90D6B" w:rsidR="00D308A9">
        <w:rPr>
          <w:i/>
        </w:rPr>
        <w:t xml:space="preserve">MO&amp;O </w:t>
      </w:r>
      <w:r w:rsidRPr="00D90D6B" w:rsidR="00D308A9">
        <w:t>instead of the prior 1250 megahertz threshold</w:t>
      </w:r>
      <w:r w:rsidRPr="00D90D6B" w:rsidR="00D308A9">
        <w:rPr>
          <w:i/>
        </w:rPr>
        <w:t xml:space="preserve"> </w:t>
      </w:r>
      <w:r w:rsidRPr="00D90D6B" w:rsidR="001B52A1">
        <w:t>because there</w:t>
      </w:r>
      <w:r w:rsidRPr="00D90D6B" w:rsidR="00DA0B72">
        <w:t xml:space="preserve"> was allegedly no notice that the 1850 megahertz threshold would apply</w:t>
      </w:r>
      <w:r w:rsidRPr="00D90D6B" w:rsidR="00C77D58">
        <w:t>,</w:t>
      </w:r>
      <w:r w:rsidRPr="00D90D6B" w:rsidR="00DA0B72">
        <w:t xml:space="preserve"> and because the spectrum </w:t>
      </w:r>
      <w:r w:rsidRPr="00D90D6B" w:rsidR="009960CE">
        <w:t xml:space="preserve">made available in the </w:t>
      </w:r>
      <w:r w:rsidRPr="00D90D6B" w:rsidR="009960CE">
        <w:rPr>
          <w:i/>
        </w:rPr>
        <w:t>Spectrum Frontiers Second Report and Order</w:t>
      </w:r>
      <w:r w:rsidRPr="00D90D6B" w:rsidR="009960CE">
        <w:t xml:space="preserve"> </w:t>
      </w:r>
      <w:r w:rsidRPr="00D90D6B" w:rsidR="00DA0B72">
        <w:t xml:space="preserve">which formed the basis for </w:t>
      </w:r>
      <w:r w:rsidRPr="00D90D6B" w:rsidR="00D308A9">
        <w:t xml:space="preserve">raising </w:t>
      </w:r>
      <w:r w:rsidRPr="00D90D6B" w:rsidR="00DA0B72">
        <w:t xml:space="preserve">the threshold </w:t>
      </w:r>
      <w:r w:rsidRPr="00D90D6B" w:rsidR="009960CE">
        <w:t xml:space="preserve">would </w:t>
      </w:r>
      <w:r w:rsidRPr="00D90D6B" w:rsidR="00DA0B72">
        <w:t>allegedly not be accessible for years.</w:t>
      </w:r>
      <w:r>
        <w:rPr>
          <w:rStyle w:val="FootnoteReference"/>
        </w:rPr>
        <w:footnoteReference w:id="20"/>
      </w:r>
      <w:r w:rsidRPr="00D90D6B" w:rsidR="00D951A3">
        <w:t xml:space="preserve"> </w:t>
      </w:r>
      <w:r w:rsidRPr="00D90D6B" w:rsidR="00F41376">
        <w:t xml:space="preserve"> CCA’s notice argument is</w:t>
      </w:r>
      <w:r w:rsidRPr="00D90D6B" w:rsidR="00A44BD2">
        <w:t xml:space="preserve"> without merit</w:t>
      </w:r>
      <w:r w:rsidRPr="00D90D6B" w:rsidR="00F41376">
        <w:t xml:space="preserve">.  The Commission </w:t>
      </w:r>
      <w:r w:rsidRPr="00D90D6B" w:rsidR="00E01357">
        <w:t xml:space="preserve">adopted the spectrum </w:t>
      </w:r>
      <w:r w:rsidR="00910B09">
        <w:t>threshold</w:t>
      </w:r>
      <w:r w:rsidRPr="00D90D6B" w:rsidR="00E01357">
        <w:t xml:space="preserve"> for secondary market transactions involving mmW spectrum</w:t>
      </w:r>
      <w:r w:rsidR="00910B09">
        <w:t>,</w:t>
      </w:r>
      <w:r>
        <w:rPr>
          <w:rStyle w:val="FootnoteReference"/>
        </w:rPr>
        <w:footnoteReference w:id="21"/>
      </w:r>
      <w:r w:rsidRPr="00D90D6B" w:rsidR="00E01357">
        <w:t xml:space="preserve"> and </w:t>
      </w:r>
      <w:r w:rsidRPr="00D90D6B" w:rsidR="0015462F">
        <w:t xml:space="preserve">proposed to revise the mmW spectrum threshold well before the filing of the </w:t>
      </w:r>
      <w:r w:rsidR="003F016D">
        <w:t>Verizon</w:t>
      </w:r>
      <w:r w:rsidR="00910B09">
        <w:t>-Straight Path</w:t>
      </w:r>
      <w:r w:rsidRPr="00D90D6B" w:rsidR="00910B09">
        <w:t xml:space="preserve"> </w:t>
      </w:r>
      <w:r w:rsidRPr="00D90D6B" w:rsidR="0015462F">
        <w:t>transaction.</w:t>
      </w:r>
      <w:r>
        <w:rPr>
          <w:rStyle w:val="FootnoteReference"/>
        </w:rPr>
        <w:footnoteReference w:id="22"/>
      </w:r>
      <w:r w:rsidRPr="00D90D6B" w:rsidR="0015462F">
        <w:t xml:space="preserve">  Following notice and comment, the Commission then updated that threshold.</w:t>
      </w:r>
      <w:r>
        <w:rPr>
          <w:rStyle w:val="FootnoteReference"/>
        </w:rPr>
        <w:footnoteReference w:id="23"/>
      </w:r>
      <w:r w:rsidRPr="00D90D6B" w:rsidR="0015462F">
        <w:t xml:space="preserve">  </w:t>
      </w:r>
      <w:r w:rsidRPr="00D90D6B" w:rsidR="0000050C">
        <w:t>During its rulemaking, the</w:t>
      </w:r>
      <w:r w:rsidRPr="00D90D6B" w:rsidR="00E01357">
        <w:t xml:space="preserve"> Commission </w:t>
      </w:r>
      <w:r w:rsidRPr="00D90D6B" w:rsidR="00DE5F00">
        <w:t xml:space="preserve">determined that the </w:t>
      </w:r>
      <w:r w:rsidR="00910B09">
        <w:t>threshold</w:t>
      </w:r>
      <w:r w:rsidRPr="00D90D6B" w:rsidR="00DE5F00">
        <w:t xml:space="preserve"> warranted inclusion of mmW spectrum planned for auction but not yet auctioned, because </w:t>
      </w:r>
      <w:r w:rsidRPr="00D90D6B" w:rsidR="00E01357">
        <w:t xml:space="preserve">it found that “this frontier spectrum is likely to become increasingly valuable to the advent of 5G services,” “the spectrum screen applicable to lower-band spectrum has been one tool used to help identify particular markets for further competitive analysis,” and use of the </w:t>
      </w:r>
      <w:r w:rsidR="00910B09">
        <w:t>mmW spectrum threshold (</w:t>
      </w:r>
      <w:r w:rsidRPr="00D90D6B" w:rsidR="00E01357">
        <w:t>updated to reflect that more bands are “available”) “identifies those markets that may warrant further competitive analysis</w:t>
      </w:r>
      <w:r w:rsidRPr="00D90D6B" w:rsidR="00DE5F00">
        <w:t>.</w:t>
      </w:r>
      <w:r w:rsidRPr="00D90D6B" w:rsidR="00E01357">
        <w:t>”</w:t>
      </w:r>
      <w:r>
        <w:rPr>
          <w:rStyle w:val="FootnoteReference"/>
        </w:rPr>
        <w:footnoteReference w:id="24"/>
      </w:r>
      <w:r w:rsidRPr="00D90D6B" w:rsidR="00DE5F00">
        <w:t xml:space="preserve">  And it </w:t>
      </w:r>
      <w:r w:rsidRPr="00D90D6B" w:rsidR="00F41376">
        <w:t xml:space="preserve">expressly noted that this increase in the </w:t>
      </w:r>
      <w:r w:rsidRPr="00D90D6B" w:rsidR="00C77D58">
        <w:t xml:space="preserve">mmW spectrum </w:t>
      </w:r>
      <w:r w:rsidRPr="00D90D6B" w:rsidR="00F41376">
        <w:t>threshold would become effective upon publication in the Federal Register</w:t>
      </w:r>
      <w:r w:rsidRPr="00D90D6B" w:rsidR="00C41F56">
        <w:t>,</w:t>
      </w:r>
      <w:r>
        <w:rPr>
          <w:vertAlign w:val="superscript"/>
        </w:rPr>
        <w:footnoteReference w:id="25"/>
      </w:r>
      <w:r w:rsidRPr="00D90D6B" w:rsidR="00F41376">
        <w:t xml:space="preserve"> which occurred on January 2, 2018</w:t>
      </w:r>
      <w:r w:rsidRPr="00D90D6B" w:rsidR="000076A2">
        <w:t>,</w:t>
      </w:r>
      <w:r>
        <w:rPr>
          <w:vertAlign w:val="superscript"/>
        </w:rPr>
        <w:footnoteReference w:id="26"/>
      </w:r>
      <w:r w:rsidRPr="00D90D6B" w:rsidR="00F41376">
        <w:t xml:space="preserve">  </w:t>
      </w:r>
      <w:r w:rsidRPr="00D90D6B" w:rsidR="009960CE">
        <w:t>Therefore, CCA and others were provided with sufficient notice that the revised secondary market threshold of 1850 megahertz would apply</w:t>
      </w:r>
      <w:r w:rsidRPr="00D90D6B" w:rsidR="000076A2">
        <w:t xml:space="preserve"> and, preceding that, opportunity to comment on the change</w:t>
      </w:r>
      <w:r w:rsidRPr="00D90D6B" w:rsidR="009960CE">
        <w:t xml:space="preserve">. </w:t>
      </w:r>
      <w:r w:rsidRPr="00D90D6B" w:rsidR="00C41F56">
        <w:t xml:space="preserve"> Moreover, the Bureau’s application of the </w:t>
      </w:r>
      <w:r w:rsidRPr="00D90D6B" w:rsidR="000A4300">
        <w:t xml:space="preserve">revised </w:t>
      </w:r>
      <w:r w:rsidRPr="00D90D6B" w:rsidR="00C41F56">
        <w:t>threshold is consistent with past practice</w:t>
      </w:r>
      <w:r w:rsidRPr="00D90D6B" w:rsidR="00A44BD2">
        <w:t xml:space="preserve"> of applying law in existence at the time it takes action</w:t>
      </w:r>
      <w:r w:rsidRPr="00D90D6B" w:rsidR="00C41F56">
        <w:t xml:space="preserve">.  Indeed, the Commission has </w:t>
      </w:r>
      <w:r w:rsidRPr="00D90D6B" w:rsidR="009960CE">
        <w:t>revised an analogous tool</w:t>
      </w:r>
      <w:r w:rsidRPr="00D90D6B" w:rsidR="0015462F">
        <w:t xml:space="preserve"> -</w:t>
      </w:r>
      <w:r w:rsidRPr="00D90D6B" w:rsidR="009960CE">
        <w:t>-</w:t>
      </w:r>
      <w:r w:rsidRPr="00D90D6B" w:rsidR="0015462F">
        <w:t xml:space="preserve"> </w:t>
      </w:r>
      <w:r w:rsidRPr="00D90D6B" w:rsidR="00C41F56">
        <w:t>its general spectrum screen</w:t>
      </w:r>
      <w:r w:rsidRPr="00D90D6B" w:rsidR="009960CE">
        <w:t xml:space="preserve"> that it applies to secondary market transactions</w:t>
      </w:r>
      <w:r w:rsidRPr="00D90D6B" w:rsidR="0015462F">
        <w:t xml:space="preserve"> </w:t>
      </w:r>
      <w:r w:rsidRPr="00D90D6B" w:rsidR="009960CE">
        <w:t>-</w:t>
      </w:r>
      <w:r w:rsidRPr="00D90D6B" w:rsidR="0015462F">
        <w:t xml:space="preserve">- </w:t>
      </w:r>
      <w:r w:rsidRPr="00D90D6B" w:rsidR="00C41F56">
        <w:t xml:space="preserve">in </w:t>
      </w:r>
      <w:r w:rsidRPr="00D90D6B" w:rsidR="009960CE">
        <w:t>various orders and has applied it to pending transactions</w:t>
      </w:r>
      <w:r w:rsidRPr="00D90D6B" w:rsidR="00C41F56">
        <w:t>.</w:t>
      </w:r>
      <w:r>
        <w:rPr>
          <w:rStyle w:val="FootnoteReference"/>
        </w:rPr>
        <w:footnoteReference w:id="27"/>
      </w:r>
      <w:r w:rsidRPr="00D90D6B" w:rsidR="00C41F56">
        <w:t xml:space="preserve">  </w:t>
      </w:r>
      <w:r w:rsidRPr="00D90D6B" w:rsidR="00F62F6C">
        <w:t xml:space="preserve">Here, the </w:t>
      </w:r>
      <w:r w:rsidRPr="00D90D6B" w:rsidR="00C77D58">
        <w:t xml:space="preserve">mmW spectrum </w:t>
      </w:r>
      <w:r w:rsidRPr="00D90D6B" w:rsidR="00F62F6C">
        <w:t>threshold was changed in a rulemaking proceeding</w:t>
      </w:r>
      <w:r w:rsidRPr="00D90D6B" w:rsidR="00F82E9D">
        <w:t xml:space="preserve">, and to </w:t>
      </w:r>
      <w:r w:rsidRPr="00D90D6B" w:rsidR="00D37809">
        <w:t xml:space="preserve">the extent </w:t>
      </w:r>
      <w:r w:rsidRPr="00D90D6B" w:rsidR="00C77D58">
        <w:t xml:space="preserve">that </w:t>
      </w:r>
      <w:r w:rsidRPr="00D90D6B" w:rsidR="00D37809">
        <w:t xml:space="preserve">CCA is arguing that some of the spectrum included in the </w:t>
      </w:r>
      <w:r w:rsidRPr="00D90D6B" w:rsidR="00C77D58">
        <w:t xml:space="preserve">mmW spectrum </w:t>
      </w:r>
      <w:r w:rsidRPr="00D90D6B" w:rsidR="00D37809">
        <w:t xml:space="preserve">threshold will not be available for years, its remedy was to file a petition for reconsideration of the </w:t>
      </w:r>
      <w:r w:rsidRPr="00D90D6B" w:rsidR="00D37809">
        <w:rPr>
          <w:i/>
        </w:rPr>
        <w:t xml:space="preserve">Spectrum Frontiers </w:t>
      </w:r>
      <w:r w:rsidRPr="00D90D6B" w:rsidR="00154C2F">
        <w:rPr>
          <w:i/>
        </w:rPr>
        <w:t xml:space="preserve">Report and Order </w:t>
      </w:r>
      <w:r w:rsidRPr="00D90D6B" w:rsidR="00154C2F">
        <w:t xml:space="preserve">and/or the </w:t>
      </w:r>
      <w:r w:rsidRPr="00D90D6B" w:rsidR="00D37809">
        <w:rPr>
          <w:i/>
        </w:rPr>
        <w:t>Second Report and Order</w:t>
      </w:r>
      <w:r w:rsidRPr="00D90D6B" w:rsidR="00D37809">
        <w:t>.  It did not do so</w:t>
      </w:r>
      <w:r w:rsidRPr="00CE4AA6" w:rsidR="00D37809">
        <w:t xml:space="preserve">.  </w:t>
      </w:r>
      <w:r w:rsidRPr="00CE4AA6" w:rsidR="00DE5F00">
        <w:t xml:space="preserve">In fact, the Commission has </w:t>
      </w:r>
      <w:r w:rsidRPr="00CE4AA6" w:rsidR="00154C2F">
        <w:t>under consideration before it a draft Public Notice that would</w:t>
      </w:r>
      <w:r w:rsidRPr="00CE4AA6" w:rsidR="00DE5F00">
        <w:t xml:space="preserve"> take steps to initiate the auction process for certain of this spectrum.</w:t>
      </w:r>
      <w:r>
        <w:rPr>
          <w:rStyle w:val="FootnoteReference"/>
        </w:rPr>
        <w:footnoteReference w:id="28"/>
      </w:r>
      <w:r w:rsidRPr="00D90D6B" w:rsidR="00DE5F00">
        <w:t xml:space="preserve">  </w:t>
      </w:r>
      <w:r w:rsidRPr="00D90D6B" w:rsidR="00D37809">
        <w:t xml:space="preserve">Accordingly, there was no basis for the Bureau to apply any threshold other than the 1850 megahertz screen adopted by the Commission and </w:t>
      </w:r>
      <w:r w:rsidRPr="00D90D6B">
        <w:t xml:space="preserve">effective as of the date the </w:t>
      </w:r>
      <w:r w:rsidRPr="00D90D6B">
        <w:rPr>
          <w:i/>
        </w:rPr>
        <w:t>MO&amp;O</w:t>
      </w:r>
      <w:r w:rsidRPr="00D90D6B">
        <w:t xml:space="preserve"> was adopted.</w:t>
      </w:r>
    </w:p>
    <w:p w:rsidR="003C665B" w:rsidRPr="00D90D6B" w:rsidP="00B34542" w14:paraId="3C69A456" w14:textId="1A9A6B3B">
      <w:pPr>
        <w:pStyle w:val="ParaNum"/>
        <w:tabs>
          <w:tab w:val="num" w:pos="1440"/>
          <w:tab w:val="clear" w:pos="5760"/>
        </w:tabs>
        <w:ind w:left="0"/>
      </w:pPr>
      <w:r w:rsidRPr="00D90D6B">
        <w:t xml:space="preserve">CCA also asserts that even if 1850 megahertz were in fact the applicable threshold, the Bureau ignored parties’ concerns about mmW spectrum aggregation and resultant competitive harms, and falsely claimed in the </w:t>
      </w:r>
      <w:r w:rsidRPr="00D90D6B">
        <w:rPr>
          <w:i/>
        </w:rPr>
        <w:t xml:space="preserve">MO&amp;O </w:t>
      </w:r>
      <w:r w:rsidRPr="00D90D6B">
        <w:t>that “mmW spectrum is not the only spectrum available that may be useful for providing 5G services.”</w:t>
      </w:r>
      <w:r>
        <w:rPr>
          <w:rStyle w:val="FootnoteReference"/>
        </w:rPr>
        <w:footnoteReference w:id="29"/>
      </w:r>
      <w:r w:rsidRPr="00D90D6B">
        <w:t xml:space="preserve">  CCA further argues that this contradicts recent Commission statements, including those in the </w:t>
      </w:r>
      <w:r w:rsidRPr="00D90D6B">
        <w:rPr>
          <w:i/>
        </w:rPr>
        <w:t xml:space="preserve">Spectrum Frontiers </w:t>
      </w:r>
      <w:r w:rsidRPr="00D90D6B">
        <w:t>proceedings, that a mix of low-, mid-, and high-band spectrum were all necessary inputs for 5G, and that the propagation characteristics and available bandwidth associated with these mmW frequencies made them uniquely suitable for 5G services.</w:t>
      </w:r>
      <w:r>
        <w:rPr>
          <w:rStyle w:val="FootnoteReference"/>
        </w:rPr>
        <w:footnoteReference w:id="30"/>
      </w:r>
      <w:r w:rsidRPr="00D90D6B">
        <w:t xml:space="preserve">  Neither of CCA’s claims is accurate.  </w:t>
      </w:r>
      <w:r w:rsidRPr="00D90D6B" w:rsidR="00910B09">
        <w:t>As CCA recognizes, the spectrum screen “is only one ‘analytical tool’ for assessing competition</w:t>
      </w:r>
      <w:r w:rsidR="00910B09">
        <w:t>,</w:t>
      </w:r>
      <w:r w:rsidRPr="00D90D6B" w:rsidR="00910B09">
        <w:t>”</w:t>
      </w:r>
      <w:r>
        <w:rPr>
          <w:rStyle w:val="FootnoteReference"/>
        </w:rPr>
        <w:footnoteReference w:id="31"/>
      </w:r>
      <w:r w:rsidR="00910B09">
        <w:t xml:space="preserve"> and while t</w:t>
      </w:r>
      <w:r w:rsidRPr="00D90D6B">
        <w:t xml:space="preserve">he Commission established the mmW spectrum threshold because it recognized that mmW spectrum is likely to become </w:t>
      </w:r>
      <w:r w:rsidR="00910B09">
        <w:t>one</w:t>
      </w:r>
      <w:r w:rsidRPr="00D90D6B" w:rsidR="00910B09">
        <w:t xml:space="preserve"> </w:t>
      </w:r>
      <w:r w:rsidRPr="00D90D6B">
        <w:t>critical component in the development of 5G services</w:t>
      </w:r>
      <w:r w:rsidR="00910B09">
        <w:t>,</w:t>
      </w:r>
      <w:r>
        <w:rPr>
          <w:rStyle w:val="FootnoteReference"/>
        </w:rPr>
        <w:footnoteReference w:id="32"/>
      </w:r>
      <w:r w:rsidRPr="00D90D6B">
        <w:t xml:space="preserve"> </w:t>
      </w:r>
      <w:r w:rsidR="00910B09">
        <w:t xml:space="preserve">other bands remain available.  </w:t>
      </w:r>
      <w:r w:rsidRPr="00D90D6B" w:rsidR="00910B09">
        <w:t xml:space="preserve">There is nothing “false” </w:t>
      </w:r>
      <w:r w:rsidR="00910B09">
        <w:t xml:space="preserve">therefore </w:t>
      </w:r>
      <w:r w:rsidRPr="00D90D6B" w:rsidR="00910B09">
        <w:t>about the claim that other bands may be useful for 5G services</w:t>
      </w:r>
      <w:r w:rsidR="00910B09">
        <w:t xml:space="preserve">:  </w:t>
      </w:r>
      <w:r w:rsidR="003F016D">
        <w:t>Indeed, v</w:t>
      </w:r>
      <w:r w:rsidRPr="00D90D6B" w:rsidR="00910B09">
        <w:t xml:space="preserve">arious </w:t>
      </w:r>
      <w:r w:rsidR="00910B09">
        <w:t>service providers</w:t>
      </w:r>
      <w:r w:rsidRPr="00D90D6B" w:rsidR="00910B09">
        <w:t>, including CCA member T-Mobile, intend to use a variety of bands to provide 5G service.</w:t>
      </w:r>
      <w:r>
        <w:rPr>
          <w:rStyle w:val="FootnoteReference"/>
        </w:rPr>
        <w:footnoteReference w:id="33"/>
      </w:r>
      <w:r w:rsidRPr="00D90D6B" w:rsidR="00910B09">
        <w:t xml:space="preserve">  </w:t>
      </w:r>
      <w:r w:rsidR="00910B09">
        <w:t xml:space="preserve">Further there is nothing contradictory. </w:t>
      </w:r>
      <w:r w:rsidRPr="00D90D6B">
        <w:t xml:space="preserve">As the Commission </w:t>
      </w:r>
      <w:r w:rsidR="003F016D">
        <w:t xml:space="preserve">did indeed note </w:t>
      </w:r>
      <w:r w:rsidRPr="00D90D6B">
        <w:t xml:space="preserve">in the </w:t>
      </w:r>
      <w:r w:rsidRPr="00D90D6B">
        <w:rPr>
          <w:i/>
        </w:rPr>
        <w:t>Spectrum Frontiers Report and Order</w:t>
      </w:r>
      <w:r w:rsidRPr="00D90D6B">
        <w:t>, holding a mix of spectrum bands benefits competition and consumers, and mmW spectrum is likely to serve as an important supplement to lower-band spectrum.</w:t>
      </w:r>
      <w:r>
        <w:rPr>
          <w:rStyle w:val="FootnoteReference"/>
        </w:rPr>
        <w:footnoteReference w:id="34"/>
      </w:r>
      <w:r w:rsidRPr="00D90D6B">
        <w:t xml:space="preserve"> </w:t>
      </w:r>
      <w:r w:rsidR="00A778F0">
        <w:t xml:space="preserve"> </w:t>
      </w:r>
      <w:r w:rsidRPr="00D90D6B">
        <w:t xml:space="preserve">In the </w:t>
      </w:r>
      <w:r w:rsidRPr="00D90D6B">
        <w:rPr>
          <w:i/>
        </w:rPr>
        <w:t>MO&amp;O</w:t>
      </w:r>
      <w:r w:rsidRPr="00D90D6B">
        <w:t xml:space="preserve">, after noting that Verizon would not trigger the 1850 megahertz </w:t>
      </w:r>
      <w:r w:rsidR="003F016D">
        <w:t xml:space="preserve">mmW </w:t>
      </w:r>
      <w:r w:rsidRPr="00D90D6B">
        <w:t>spectrum threshold in any market, we went on to find that Verizon’s acquisition of this mmW spectrum is unlikely to foreclose rival service providers from obtaining access to sufficient spectrum.</w:t>
      </w:r>
      <w:r>
        <w:rPr>
          <w:rStyle w:val="FootnoteReference"/>
        </w:rPr>
        <w:footnoteReference w:id="35"/>
      </w:r>
      <w:r w:rsidRPr="00D90D6B">
        <w:t xml:space="preserve">   CCA’s remaining arguments largely repeat its speculative and generalized claims from its Petition to Deny, including its various reasons for why we underestimated the competitive importance of the 28 GHz and 39 GHz mmW bands </w:t>
      </w:r>
      <w:r w:rsidRPr="00D90D6B">
        <w:rPr>
          <w:i/>
        </w:rPr>
        <w:t>vis-à-vis</w:t>
      </w:r>
      <w:r w:rsidRPr="00D90D6B">
        <w:t xml:space="preserve"> other bands and why we failed to adequately handle Straight Path’s unjust enrichment through the transaction.  These were issues that CCA raised in its Petition to Deny which the Bureau denied.  CCA has not demonstrated that the Bureau erred in its analysis or that the Bureau’s statements about 5G use in other bands was inconsistent with any Commission statements</w:t>
      </w:r>
      <w:r w:rsidRPr="00BD3EFD" w:rsidR="00BD3EFD">
        <w:t xml:space="preserve"> </w:t>
      </w:r>
      <w:r w:rsidR="00BD3EFD">
        <w:t>and the marketplace</w:t>
      </w:r>
      <w:r w:rsidRPr="00D90D6B">
        <w:t>.  Accordingly, CCA has failed to demonstrate that it is likely to prevail on the merits.</w:t>
      </w:r>
    </w:p>
    <w:p w:rsidR="007C18C8" w:rsidRPr="00D90D6B" w:rsidP="00B34542" w14:paraId="3BD244F2" w14:textId="045EB65D">
      <w:pPr>
        <w:pStyle w:val="ParaNum"/>
        <w:widowControl/>
        <w:tabs>
          <w:tab w:val="num" w:pos="1440"/>
        </w:tabs>
        <w:ind w:left="0"/>
      </w:pPr>
      <w:r w:rsidRPr="00D90D6B">
        <w:t>In order to satisfy the second element that must be met for issuance of a stay, a petitioner must show that it will be irreparably injured absent a stay</w:t>
      </w:r>
      <w:r w:rsidRPr="00D90D6B" w:rsidR="00124FAF">
        <w:t xml:space="preserve"> during the pendency of its Application for Review</w:t>
      </w:r>
      <w:r w:rsidRPr="00D90D6B">
        <w:t xml:space="preserve">.  </w:t>
      </w:r>
      <w:r w:rsidRPr="00D90D6B" w:rsidR="000604C9">
        <w:t>An injury qualifies as “irreparable harm” only if it is both certain and great</w:t>
      </w:r>
      <w:r w:rsidRPr="00D90D6B" w:rsidR="00562626">
        <w:t>;</w:t>
      </w:r>
      <w:r w:rsidRPr="00D90D6B" w:rsidR="000604C9">
        <w:t xml:space="preserve"> it must be actual and not theoretical.  </w:t>
      </w:r>
      <w:r w:rsidRPr="00D90D6B" w:rsidR="00CF321A">
        <w:t>Furthermore</w:t>
      </w:r>
      <w:r w:rsidRPr="00D90D6B" w:rsidR="000604C9">
        <w:t xml:space="preserve">, to demonstrate irreparable harm, </w:t>
      </w:r>
      <w:r w:rsidRPr="00D90D6B" w:rsidR="00CF321A">
        <w:t>CCA</w:t>
      </w:r>
      <w:r w:rsidRPr="00D90D6B" w:rsidR="000604C9">
        <w:t xml:space="preserve"> must provide “proof indicating that the harm it alleges is certain to occur in the near future.</w:t>
      </w:r>
      <w:r w:rsidRPr="00D90D6B" w:rsidR="00240575">
        <w:t>”</w:t>
      </w:r>
      <w:r>
        <w:rPr>
          <w:rStyle w:val="FootnoteReference"/>
        </w:rPr>
        <w:footnoteReference w:id="36"/>
      </w:r>
      <w:r w:rsidRPr="00D90D6B" w:rsidR="00F0004C">
        <w:t xml:space="preserve">  </w:t>
      </w:r>
      <w:r w:rsidR="00673B4C">
        <w:t>As Commission p</w:t>
      </w:r>
      <w:r w:rsidRPr="00D90D6B" w:rsidR="00836A02">
        <w:t xml:space="preserve">recedent </w:t>
      </w:r>
      <w:r w:rsidR="00673B4C">
        <w:t xml:space="preserve">in a separate context </w:t>
      </w:r>
      <w:r w:rsidRPr="00D90D6B" w:rsidR="00836A02">
        <w:t xml:space="preserve">also </w:t>
      </w:r>
      <w:r w:rsidRPr="00D90D6B" w:rsidR="00D308A9">
        <w:t>indicates</w:t>
      </w:r>
      <w:r w:rsidR="00673B4C">
        <w:t>,</w:t>
      </w:r>
      <w:r w:rsidRPr="00D90D6B" w:rsidR="00D308A9">
        <w:t xml:space="preserve"> </w:t>
      </w:r>
      <w:r w:rsidRPr="00D90D6B" w:rsidR="00836A02">
        <w:t>“[i]</w:t>
      </w:r>
      <w:r w:rsidRPr="00D90D6B" w:rsidR="002729F6">
        <w:t>rreparable harm must be</w:t>
      </w:r>
      <w:r w:rsidRPr="00D90D6B" w:rsidR="00836A02">
        <w:t xml:space="preserve"> </w:t>
      </w:r>
      <w:r w:rsidRPr="00D90D6B" w:rsidR="002729F6">
        <w:t>more than economic loss</w:t>
      </w:r>
      <w:r w:rsidRPr="00D90D6B" w:rsidR="00836A02">
        <w:t>.  Competitive harm is merely a type of economic loss, and revenues and customers lost to competition which can be regained through competition are not irreparable.</w:t>
      </w:r>
      <w:r w:rsidRPr="00D90D6B" w:rsidR="002729F6">
        <w:t>”</w:t>
      </w:r>
      <w:r>
        <w:rPr>
          <w:rStyle w:val="FootnoteReference"/>
        </w:rPr>
        <w:footnoteReference w:id="37"/>
      </w:r>
    </w:p>
    <w:p w:rsidR="00673B4C" w:rsidRPr="00673B4C" w:rsidP="00B34542" w14:paraId="233FFA68" w14:textId="77777777">
      <w:pPr>
        <w:pStyle w:val="ParaNum"/>
        <w:tabs>
          <w:tab w:val="num" w:pos="1166"/>
          <w:tab w:val="clear" w:pos="5760"/>
        </w:tabs>
        <w:ind w:left="0"/>
      </w:pPr>
      <w:r>
        <w:t xml:space="preserve">We find that CCA has not met this burden.  </w:t>
      </w:r>
      <w:r w:rsidRPr="00D90D6B" w:rsidR="00836A02">
        <w:t xml:space="preserve">CCA argues that </w:t>
      </w:r>
      <w:r w:rsidRPr="00D90D6B" w:rsidR="007466DC">
        <w:t xml:space="preserve">awarding </w:t>
      </w:r>
      <w:r w:rsidRPr="00D90D6B" w:rsidR="00F0004C">
        <w:t xml:space="preserve">Verizon such large </w:t>
      </w:r>
      <w:r w:rsidRPr="00D90D6B" w:rsidR="007466DC">
        <w:t xml:space="preserve">holdings </w:t>
      </w:r>
      <w:r w:rsidRPr="00D90D6B" w:rsidR="00D543DC">
        <w:t xml:space="preserve">of mmW spectrum </w:t>
      </w:r>
      <w:r w:rsidRPr="00D90D6B" w:rsidR="007466DC">
        <w:t xml:space="preserve">will give it a first-mover advantage that will irreparably harm CCA’s </w:t>
      </w:r>
      <w:r w:rsidRPr="00D90D6B" w:rsidR="000A704A">
        <w:t xml:space="preserve">members </w:t>
      </w:r>
      <w:r w:rsidRPr="00D90D6B" w:rsidR="007466DC">
        <w:t xml:space="preserve">by </w:t>
      </w:r>
      <w:r w:rsidRPr="00D90D6B" w:rsidR="000A704A">
        <w:t>“effectively shut[ting] competitive carriers out from the emerging 5G markets.”</w:t>
      </w:r>
      <w:r>
        <w:rPr>
          <w:rStyle w:val="FootnoteReference"/>
        </w:rPr>
        <w:footnoteReference w:id="38"/>
      </w:r>
      <w:r w:rsidRPr="00D90D6B" w:rsidR="00D543DC">
        <w:t xml:space="preserve">  As noted above, </w:t>
      </w:r>
      <w:r w:rsidRPr="00D90D6B" w:rsidR="009F4C51">
        <w:t xml:space="preserve">the competitive injury it alleges </w:t>
      </w:r>
      <w:r w:rsidRPr="00D90D6B" w:rsidR="00CB6674">
        <w:t xml:space="preserve">is speculative and as an economic loss </w:t>
      </w:r>
      <w:r w:rsidRPr="00D90D6B" w:rsidR="009F4C51">
        <w:t>would not form the basis for a stay.  F</w:t>
      </w:r>
      <w:r w:rsidRPr="00D90D6B" w:rsidR="006B4E75">
        <w:t xml:space="preserve">urthermore, </w:t>
      </w:r>
      <w:r w:rsidRPr="00D90D6B" w:rsidR="00CF3B5C">
        <w:t xml:space="preserve">CCA has not substantiated its claim with </w:t>
      </w:r>
      <w:r w:rsidRPr="00D90D6B" w:rsidR="00124FAF">
        <w:t>any factual showing</w:t>
      </w:r>
      <w:r w:rsidRPr="00D90D6B" w:rsidR="00CF3B5C">
        <w:t xml:space="preserve"> </w:t>
      </w:r>
      <w:r w:rsidRPr="00D90D6B" w:rsidR="006B4E75">
        <w:t xml:space="preserve">that </w:t>
      </w:r>
      <w:r w:rsidRPr="00D90D6B" w:rsidR="007F5B32">
        <w:t xml:space="preserve">its members will be irreparably injured absent a stay </w:t>
      </w:r>
      <w:r w:rsidRPr="00D90D6B" w:rsidR="00124FAF">
        <w:t xml:space="preserve">during the pendency of its Application for Review </w:t>
      </w:r>
      <w:r w:rsidRPr="00D90D6B" w:rsidR="007F5B32">
        <w:t xml:space="preserve">or </w:t>
      </w:r>
      <w:r w:rsidRPr="00D90D6B" w:rsidR="00124FAF">
        <w:t xml:space="preserve">that </w:t>
      </w:r>
      <w:r w:rsidRPr="00D90D6B" w:rsidR="006B4E75">
        <w:t>harm is certain to occur in the near future</w:t>
      </w:r>
      <w:r w:rsidRPr="00D90D6B" w:rsidR="00CF3B5C">
        <w:t>.</w:t>
      </w:r>
      <w:r>
        <w:rPr>
          <w:rStyle w:val="FootnoteReference"/>
        </w:rPr>
        <w:footnoteReference w:id="39"/>
      </w:r>
      <w:r w:rsidRPr="00D90D6B" w:rsidR="00124FAF">
        <w:t xml:space="preserve">  Indeed, we note that CCA did not even seek a stay until over a month after the Bureau’s order approving this transaction.</w:t>
      </w:r>
      <w:r w:rsidRPr="00D90D6B" w:rsidR="00EC7F73">
        <w:t xml:space="preserve">  </w:t>
      </w:r>
      <w:r w:rsidRPr="00673B4C">
        <w:t>In addition, as CCA acknowledges, 5G is an emerging service, and as the Bureau found in its order, Verizon does not trigger the mmW spectrum threshold of 1850 megahertz, and many spectrum bands, including mmW bands, can be used for 5G deployment and innovative next generation offerings to help bolster the competitiveness of other market participants.</w:t>
      </w:r>
    </w:p>
    <w:p w:rsidR="00C225DC" w:rsidRPr="00D90D6B" w:rsidP="00B34542" w14:paraId="32EEB513" w14:textId="77777777">
      <w:pPr>
        <w:pStyle w:val="ParaNum"/>
        <w:widowControl/>
        <w:tabs>
          <w:tab w:val="num" w:pos="1166"/>
          <w:tab w:val="clear" w:pos="5760"/>
        </w:tabs>
        <w:ind w:left="0"/>
      </w:pPr>
      <w:r w:rsidRPr="00D90D6B">
        <w:t xml:space="preserve">Finally, we consider the two </w:t>
      </w:r>
      <w:r w:rsidRPr="00D90D6B" w:rsidR="003272C0">
        <w:t xml:space="preserve">remaining </w:t>
      </w:r>
      <w:r w:rsidRPr="00D90D6B">
        <w:t>factors</w:t>
      </w:r>
      <w:r w:rsidRPr="00D90D6B" w:rsidR="003272C0">
        <w:t xml:space="preserve"> in the stay test </w:t>
      </w:r>
      <w:r w:rsidRPr="00D90D6B">
        <w:t xml:space="preserve">– namely </w:t>
      </w:r>
      <w:r w:rsidRPr="00D90D6B" w:rsidR="00E51C6C">
        <w:t xml:space="preserve">the third factor, </w:t>
      </w:r>
      <w:r w:rsidRPr="00D90D6B">
        <w:t xml:space="preserve">that granting </w:t>
      </w:r>
      <w:r w:rsidRPr="00D90D6B" w:rsidR="006A7756">
        <w:t>the</w:t>
      </w:r>
      <w:r w:rsidRPr="00D90D6B">
        <w:t xml:space="preserve"> stay will not harm </w:t>
      </w:r>
      <w:r w:rsidRPr="00D90D6B" w:rsidR="006C6867">
        <w:t xml:space="preserve">other interested </w:t>
      </w:r>
      <w:r w:rsidRPr="00D90D6B">
        <w:t xml:space="preserve">parties </w:t>
      </w:r>
      <w:r w:rsidRPr="00D90D6B" w:rsidR="00E51C6C">
        <w:t xml:space="preserve">and </w:t>
      </w:r>
      <w:r w:rsidRPr="00D90D6B" w:rsidR="006C6867">
        <w:t xml:space="preserve">the </w:t>
      </w:r>
      <w:r w:rsidRPr="00D90D6B" w:rsidR="00E51C6C">
        <w:t>fourth factor, that the public interest favors a stay</w:t>
      </w:r>
      <w:r w:rsidRPr="00D90D6B">
        <w:t xml:space="preserve">.  </w:t>
      </w:r>
      <w:r w:rsidRPr="00D90D6B" w:rsidR="00030FE5">
        <w:t>CCA argues other parties will not be harmed by a stay denying or briefly pausing Verizon’s “anticompetitive first-mover advantage”</w:t>
      </w:r>
      <w:r w:rsidRPr="00D90D6B" w:rsidR="00E51C6C">
        <w:t xml:space="preserve"> because</w:t>
      </w:r>
      <w:r w:rsidRPr="00D90D6B" w:rsidR="00030FE5">
        <w:t xml:space="preserve"> </w:t>
      </w:r>
      <w:r w:rsidRPr="00D90D6B">
        <w:t xml:space="preserve">such a stay </w:t>
      </w:r>
      <w:r w:rsidRPr="00D90D6B" w:rsidR="00030FE5">
        <w:t xml:space="preserve">would be a benefit to the public and </w:t>
      </w:r>
      <w:r w:rsidRPr="00D90D6B" w:rsidR="00E51C6C">
        <w:t>because in any event, “</w:t>
      </w:r>
      <w:r w:rsidRPr="00D90D6B" w:rsidR="00030FE5">
        <w:t>the first 5G deployments are not expected until 2020.”</w:t>
      </w:r>
      <w:r>
        <w:rPr>
          <w:rStyle w:val="FootnoteReference"/>
        </w:rPr>
        <w:footnoteReference w:id="40"/>
      </w:r>
      <w:r w:rsidRPr="00D90D6B" w:rsidR="002405C1">
        <w:t xml:space="preserve">  </w:t>
      </w:r>
      <w:r w:rsidRPr="00D90D6B" w:rsidR="00F72902">
        <w:t xml:space="preserve">Verizon responds that it has </w:t>
      </w:r>
      <w:r w:rsidRPr="00D90D6B" w:rsidR="00E129F9">
        <w:t xml:space="preserve">announced </w:t>
      </w:r>
      <w:r w:rsidRPr="00D90D6B" w:rsidR="00F72902">
        <w:t>plans to deploy 5G in a number of markets in 2018, and that by unraveling its complex multi-million dollar business transaction and disrupting these operations, sufficient harm would occur to warrant denying the stay.</w:t>
      </w:r>
      <w:r>
        <w:rPr>
          <w:vertAlign w:val="superscript"/>
        </w:rPr>
        <w:footnoteReference w:id="41"/>
      </w:r>
      <w:r w:rsidRPr="00D90D6B" w:rsidR="00F72902">
        <w:t xml:space="preserve">  </w:t>
      </w:r>
      <w:r w:rsidRPr="00D90D6B" w:rsidR="002405C1">
        <w:t xml:space="preserve">Verizon </w:t>
      </w:r>
      <w:r w:rsidRPr="00D90D6B" w:rsidR="00F72902">
        <w:t xml:space="preserve">also argues </w:t>
      </w:r>
      <w:r w:rsidRPr="00D90D6B" w:rsidR="002405C1">
        <w:t xml:space="preserve">that a stay would </w:t>
      </w:r>
      <w:r w:rsidRPr="00D90D6B" w:rsidR="00583086">
        <w:t>inflict specific financial injur</w:t>
      </w:r>
      <w:r w:rsidRPr="00D90D6B">
        <w:t>y</w:t>
      </w:r>
      <w:r w:rsidRPr="00D90D6B" w:rsidR="00583086">
        <w:t xml:space="preserve"> on the</w:t>
      </w:r>
      <w:r w:rsidRPr="00D90D6B">
        <w:t xml:space="preserve"> transacting</w:t>
      </w:r>
      <w:r w:rsidRPr="00D90D6B" w:rsidR="00583086">
        <w:t xml:space="preserve"> parties by undoing the bargain they stuck and disrupting their operations.</w:t>
      </w:r>
      <w:r>
        <w:rPr>
          <w:rStyle w:val="FootnoteReference"/>
        </w:rPr>
        <w:footnoteReference w:id="42"/>
      </w:r>
      <w:r w:rsidRPr="00D90D6B" w:rsidR="00E129F9">
        <w:t xml:space="preserve">  While the plans are, indeed, first steps toward 5G deployments, they appear to be geared toward expediting this critical service being available to the public, an effort that this stay would halt.  CCA’s pleading does not adequately acknowledge this impact or address why the speculative interests that it advances outweigh those of the general public or</w:t>
      </w:r>
      <w:r w:rsidRPr="00D90D6B" w:rsidR="00337AD4">
        <w:t xml:space="preserve"> on</w:t>
      </w:r>
      <w:r w:rsidRPr="00D90D6B" w:rsidR="00E129F9">
        <w:t xml:space="preserve"> the parties to this transaction.   </w:t>
      </w:r>
    </w:p>
    <w:p w:rsidR="007466DC" w:rsidRPr="00D90D6B" w:rsidP="00B34542" w14:paraId="0AA5782A" w14:textId="3363F64B">
      <w:pPr>
        <w:pStyle w:val="ParaNum"/>
        <w:widowControl/>
        <w:tabs>
          <w:tab w:val="num" w:pos="1166"/>
          <w:tab w:val="clear" w:pos="5760"/>
        </w:tabs>
        <w:ind w:left="0"/>
      </w:pPr>
      <w:r w:rsidRPr="00D90D6B">
        <w:t xml:space="preserve">With respect to the public interest, </w:t>
      </w:r>
      <w:r w:rsidRPr="00D90D6B" w:rsidR="00124B79">
        <w:t xml:space="preserve">CCA argues that </w:t>
      </w:r>
      <w:r w:rsidRPr="00D90D6B" w:rsidR="00030FE5">
        <w:t xml:space="preserve">allowing the transaction to move forward will result in excessive aggregation of mmW spectrum that will cripple price competition and depress innovation in next-generation wireless services, resulting in permanent long-term harm to consumers, </w:t>
      </w:r>
      <w:r w:rsidRPr="00D90D6B" w:rsidR="006A7756">
        <w:t xml:space="preserve">and that </w:t>
      </w:r>
      <w:r w:rsidRPr="00D90D6B" w:rsidR="00030FE5">
        <w:t>staying these effects favors the public interest.</w:t>
      </w:r>
      <w:r>
        <w:rPr>
          <w:rStyle w:val="FootnoteReference"/>
        </w:rPr>
        <w:footnoteReference w:id="43"/>
      </w:r>
      <w:r w:rsidRPr="00D90D6B" w:rsidR="00030FE5">
        <w:t xml:space="preserve">  CCA asserts permitting consummation of the transaction will also deprive</w:t>
      </w:r>
      <w:r w:rsidRPr="00D90D6B" w:rsidR="00124B79">
        <w:t xml:space="preserve"> the U.S. treasury</w:t>
      </w:r>
      <w:r w:rsidRPr="00D90D6B" w:rsidR="00F97203">
        <w:t xml:space="preserve"> of billions of dollars in potential spectrum auction revenue, reward Straight Path with a windfall for filing </w:t>
      </w:r>
      <w:r w:rsidRPr="00D90D6B" w:rsidR="00124FAF">
        <w:t xml:space="preserve">allegedly </w:t>
      </w:r>
      <w:r w:rsidRPr="00D90D6B" w:rsidR="00F97203">
        <w:t>fraudulent renewal applications</w:t>
      </w:r>
      <w:r w:rsidRPr="00D90D6B" w:rsidR="006A7756">
        <w:t>,</w:t>
      </w:r>
      <w:r w:rsidRPr="00D90D6B" w:rsidR="00F97203">
        <w:t xml:space="preserve"> and incentivize the gamesmanship and misconduct of other licenses – all factors against the public interest.</w:t>
      </w:r>
      <w:r>
        <w:rPr>
          <w:rStyle w:val="FootnoteReference"/>
        </w:rPr>
        <w:footnoteReference w:id="44"/>
      </w:r>
      <w:r w:rsidRPr="00D90D6B" w:rsidR="00030FE5">
        <w:t xml:space="preserve"> </w:t>
      </w:r>
      <w:r w:rsidRPr="00D90D6B">
        <w:t xml:space="preserve"> </w:t>
      </w:r>
      <w:r w:rsidRPr="00D90D6B" w:rsidR="00F205D2">
        <w:t>Verizon argues CCA cannot show that a stay is in the public interest because its impact would be the opposite:  Verizon’s ability to deliver 5G service to the public would be impacted as would the functioning of a robust secondary market – a stated Commission objective.</w:t>
      </w:r>
      <w:r>
        <w:rPr>
          <w:rStyle w:val="FootnoteReference"/>
        </w:rPr>
        <w:footnoteReference w:id="45"/>
      </w:r>
      <w:r w:rsidRPr="00D90D6B" w:rsidR="007E3FC8">
        <w:t xml:space="preserve">  Furthermore, Verizon argues that </w:t>
      </w:r>
      <w:r w:rsidRPr="00D90D6B" w:rsidR="00010EA6">
        <w:t>denying Straight Path licenses will not immediately result in their reauction since the terms of the Consent Decree would still govern.</w:t>
      </w:r>
      <w:r>
        <w:rPr>
          <w:rStyle w:val="FootnoteReference"/>
        </w:rPr>
        <w:footnoteReference w:id="46"/>
      </w:r>
      <w:r w:rsidRPr="00D90D6B" w:rsidR="0011008D">
        <w:t xml:space="preserve">  </w:t>
      </w:r>
      <w:r w:rsidRPr="00D90D6B" w:rsidR="00124FAF">
        <w:t>T</w:t>
      </w:r>
      <w:r w:rsidRPr="00D90D6B" w:rsidR="0011008D">
        <w:t>hese arguments, in effect, amount to a</w:t>
      </w:r>
      <w:r w:rsidRPr="00D90D6B" w:rsidR="00124FAF">
        <w:t>n impermissible</w:t>
      </w:r>
      <w:r w:rsidRPr="00D90D6B" w:rsidR="0011008D">
        <w:t xml:space="preserve"> collateral attack on the </w:t>
      </w:r>
      <w:r w:rsidRPr="00D90D6B" w:rsidR="00124FAF">
        <w:t xml:space="preserve">Enforcement Bureau’s exercise of its enforcement discretion in entering into the </w:t>
      </w:r>
      <w:r w:rsidRPr="00D90D6B" w:rsidR="0011008D">
        <w:t>Consent Decree</w:t>
      </w:r>
      <w:r w:rsidRPr="00D90D6B" w:rsidR="00124FAF">
        <w:t>.</w:t>
      </w:r>
      <w:r>
        <w:rPr>
          <w:rStyle w:val="FootnoteReference"/>
        </w:rPr>
        <w:footnoteReference w:id="47"/>
      </w:r>
      <w:r w:rsidRPr="00D90D6B" w:rsidR="00124FAF">
        <w:t xml:space="preserve">  </w:t>
      </w:r>
      <w:r w:rsidRPr="00D90D6B" w:rsidR="00F40033">
        <w:t xml:space="preserve">Since CCA’s arguments are premised on the argument that the Commission should auction spectrum held by an existing licensee, they </w:t>
      </w:r>
      <w:r w:rsidRPr="00D90D6B" w:rsidR="00D93DFD">
        <w:t>are also difficult to square</w:t>
      </w:r>
      <w:r w:rsidRPr="00D90D6B" w:rsidR="00F40033">
        <w:t xml:space="preserve"> with the statutory endorsement of secondary market transactions in Section 310(d) of the Act. </w:t>
      </w:r>
      <w:r w:rsidRPr="00D90D6B" w:rsidR="00D93DFD">
        <w:t xml:space="preserve"> Whether or not the Commission is permitted to accord any weight to the prospect of enhanced auction revenues for the U.S. treasury,</w:t>
      </w:r>
      <w:r>
        <w:rPr>
          <w:rStyle w:val="FootnoteReference"/>
        </w:rPr>
        <w:footnoteReference w:id="48"/>
      </w:r>
      <w:r w:rsidRPr="00D90D6B" w:rsidR="0011008D">
        <w:t xml:space="preserve"> we agree that staying the approval of the transaction woul</w:t>
      </w:r>
      <w:r w:rsidRPr="00D90D6B" w:rsidR="003453AE">
        <w:t xml:space="preserve">d not be in the public interest, particularly given our observations above about CCA’s assertions regarding the impact on others </w:t>
      </w:r>
      <w:r w:rsidRPr="00D90D6B" w:rsidR="00D93DFD">
        <w:t xml:space="preserve">and on 5G deployment </w:t>
      </w:r>
      <w:r w:rsidRPr="00D90D6B" w:rsidR="003453AE">
        <w:t>if we were to grant its stay request</w:t>
      </w:r>
      <w:r w:rsidRPr="00D90D6B" w:rsidR="003D6526">
        <w:t>.</w:t>
      </w:r>
      <w:r w:rsidRPr="00D90D6B" w:rsidR="0011008D">
        <w:t xml:space="preserve">  </w:t>
      </w:r>
    </w:p>
    <w:p w:rsidR="002C655D" w:rsidP="00B34542" w14:paraId="08FFAA12" w14:textId="68F07B72">
      <w:pPr>
        <w:pStyle w:val="ParaNum"/>
        <w:widowControl/>
        <w:tabs>
          <w:tab w:val="num" w:pos="1440"/>
        </w:tabs>
        <w:ind w:left="0"/>
      </w:pPr>
      <w:r w:rsidRPr="00D90D6B">
        <w:t xml:space="preserve">In the </w:t>
      </w:r>
      <w:r w:rsidRPr="00D90D6B">
        <w:rPr>
          <w:i/>
        </w:rPr>
        <w:t>MO&amp;O</w:t>
      </w:r>
      <w:r w:rsidRPr="00D90D6B">
        <w:t xml:space="preserve">, </w:t>
      </w:r>
      <w:r w:rsidRPr="00D90D6B" w:rsidR="001278E5">
        <w:t>after a thorough review of the record, the Bureau found that “the transaction is unlikely to result in any significant public interest harms” and that there was “general support” for the applicants’ claims of public interest benefits.</w:t>
      </w:r>
      <w:r>
        <w:rPr>
          <w:rStyle w:val="FootnoteReference"/>
        </w:rPr>
        <w:footnoteReference w:id="49"/>
      </w:r>
      <w:r w:rsidRPr="00D90D6B" w:rsidR="001278E5">
        <w:t xml:space="preserve">  CCA’s arguments in favor of a stay mostly repeat arguments considered and rejected in the </w:t>
      </w:r>
      <w:r w:rsidRPr="00D90D6B" w:rsidR="001278E5">
        <w:rPr>
          <w:i/>
        </w:rPr>
        <w:t>MO&amp;O</w:t>
      </w:r>
      <w:r w:rsidRPr="00D90D6B" w:rsidR="001278E5">
        <w:t xml:space="preserve">.  Based on our review of the Petition for Stay, we </w:t>
      </w:r>
      <w:r w:rsidRPr="00D90D6B" w:rsidR="007F5B32">
        <w:t>find that CCA has not met its burden to demonstrate that other interested parties will not be harmed if a stay is granted and the public interest favors granting a stay</w:t>
      </w:r>
      <w:r w:rsidRPr="00D90D6B" w:rsidR="001278E5">
        <w:t xml:space="preserve">.  </w:t>
      </w:r>
      <w:r w:rsidRPr="00D90D6B" w:rsidR="00562626">
        <w:t>W</w:t>
      </w:r>
      <w:r w:rsidRPr="00D90D6B" w:rsidR="00124B79">
        <w:t xml:space="preserve">e find that </w:t>
      </w:r>
      <w:r w:rsidRPr="00D90D6B" w:rsidR="009947E6">
        <w:t xml:space="preserve">CCA’s failure to raise a serious question on the merits as well as its failure to substantiate a claim of irreparable injury resulting from the transaction, combined with </w:t>
      </w:r>
      <w:r w:rsidRPr="00D90D6B" w:rsidR="00562626">
        <w:t xml:space="preserve">credible </w:t>
      </w:r>
      <w:r w:rsidRPr="00D90D6B" w:rsidR="009947E6">
        <w:t xml:space="preserve">claims by Verizon that the transacting parties would be harmed </w:t>
      </w:r>
      <w:r w:rsidRPr="00D90D6B" w:rsidR="00124B79">
        <w:t xml:space="preserve">through stopping the transaction </w:t>
      </w:r>
      <w:r w:rsidRPr="00D90D6B" w:rsidR="009947E6">
        <w:t xml:space="preserve">without </w:t>
      </w:r>
      <w:r w:rsidRPr="00D90D6B" w:rsidR="00124B79">
        <w:t xml:space="preserve">any </w:t>
      </w:r>
      <w:r w:rsidRPr="00D90D6B" w:rsidR="009947E6">
        <w:t xml:space="preserve">benefit to the public, </w:t>
      </w:r>
      <w:r w:rsidRPr="00D90D6B" w:rsidR="00124B79">
        <w:t>all argue</w:t>
      </w:r>
      <w:r w:rsidRPr="00D90D6B" w:rsidR="009947E6">
        <w:t xml:space="preserve"> in favor of denying CCA’s Petition for Stay. </w:t>
      </w:r>
    </w:p>
    <w:p w:rsidR="007466DC" w:rsidRPr="00D90D6B" w:rsidP="00B34542" w14:paraId="358275DD" w14:textId="1D77199D">
      <w:pPr>
        <w:widowControl/>
      </w:pPr>
      <w:r>
        <w:br w:type="page"/>
      </w:r>
    </w:p>
    <w:p w:rsidR="005C7772" w:rsidRPr="00D90D6B" w:rsidP="00625F4F" w14:paraId="532C1A9A" w14:textId="77777777">
      <w:pPr>
        <w:pStyle w:val="ParaNum"/>
        <w:widowControl/>
        <w:numPr>
          <w:ilvl w:val="0"/>
          <w:numId w:val="13"/>
        </w:numPr>
        <w:tabs>
          <w:tab w:val="num" w:pos="1440"/>
          <w:tab w:val="num" w:pos="5310"/>
        </w:tabs>
        <w:rPr>
          <w:b/>
        </w:rPr>
      </w:pPr>
      <w:bookmarkStart w:id="4" w:name="_Toc413413920"/>
      <w:bookmarkStart w:id="5" w:name="_Toc413661531"/>
      <w:bookmarkStart w:id="6" w:name="_Toc418763701"/>
      <w:bookmarkStart w:id="7" w:name="_Toc418780426"/>
      <w:bookmarkStart w:id="8" w:name="_Toc418781220"/>
      <w:bookmarkStart w:id="9" w:name="_Toc419201474"/>
      <w:bookmarkStart w:id="10" w:name="_Toc419206335"/>
      <w:bookmarkStart w:id="11" w:name="_Toc419206931"/>
      <w:bookmarkStart w:id="12" w:name="_Toc419207009"/>
      <w:bookmarkStart w:id="13" w:name="_Toc419287181"/>
      <w:bookmarkStart w:id="14" w:name="_Toc419447053"/>
      <w:bookmarkStart w:id="15" w:name="_Toc419815672"/>
      <w:bookmarkStart w:id="16" w:name="_Toc420400643"/>
      <w:bookmarkStart w:id="17" w:name="_Toc420499771"/>
      <w:bookmarkStart w:id="18" w:name="_Toc426371655"/>
      <w:bookmarkStart w:id="19" w:name="_Toc431369391"/>
      <w:bookmarkStart w:id="20" w:name="_Toc432079510"/>
      <w:bookmarkStart w:id="21" w:name="_Toc433031351"/>
      <w:bookmarkStart w:id="22" w:name="_Toc433613271"/>
      <w:bookmarkStart w:id="23" w:name="_Toc433631091"/>
      <w:bookmarkStart w:id="24" w:name="_Toc433631154"/>
      <w:bookmarkStart w:id="25" w:name="_Toc433631219"/>
      <w:bookmarkStart w:id="26" w:name="_Toc433631273"/>
      <w:bookmarkStart w:id="27" w:name="_Toc433631617"/>
      <w:bookmarkStart w:id="28" w:name="_Toc434313063"/>
      <w:r w:rsidRPr="00D90D6B">
        <w:rPr>
          <w:b/>
        </w:rPr>
        <w:t>C</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D90D6B" w:rsidR="00F558F2">
        <w:rPr>
          <w:b/>
        </w:rPr>
        <w:t>ONCLUSION</w:t>
      </w:r>
    </w:p>
    <w:p w:rsidR="00A62FFD" w:rsidRPr="00D90D6B" w:rsidP="00CE4AA6" w14:paraId="5E056A46" w14:textId="157340A0">
      <w:pPr>
        <w:pStyle w:val="ParaNum"/>
        <w:keepNext/>
        <w:tabs>
          <w:tab w:val="num" w:pos="1440"/>
          <w:tab w:val="num" w:pos="5310"/>
          <w:tab w:val="clear" w:pos="5760"/>
        </w:tabs>
        <w:ind w:left="0"/>
      </w:pPr>
      <w:r w:rsidRPr="00D90D6B">
        <w:t xml:space="preserve">For the foregoing reasons we deny </w:t>
      </w:r>
      <w:r w:rsidRPr="00D90D6B" w:rsidR="00E354D8">
        <w:t xml:space="preserve">CCA’s </w:t>
      </w:r>
      <w:r w:rsidRPr="00D90D6B">
        <w:t>Petition for Stay.</w:t>
      </w:r>
      <w:r w:rsidRPr="00D90D6B" w:rsidR="00200E89">
        <w:t xml:space="preserve">  CCA’s Application for Review remains pending </w:t>
      </w:r>
      <w:r w:rsidR="00673B4C">
        <w:t xml:space="preserve">before </w:t>
      </w:r>
      <w:r w:rsidRPr="00D90D6B" w:rsidR="00200E89">
        <w:t>the Commission.  Our action herein is without prejudice to the Commission’s consideration of the Application for Review.</w:t>
      </w:r>
    </w:p>
    <w:p w:rsidR="005C7772" w:rsidRPr="00D90D6B" w:rsidP="00F8383C" w14:paraId="523D0F62" w14:textId="77777777">
      <w:pPr>
        <w:pStyle w:val="Heading1"/>
        <w:keepNext w:val="0"/>
        <w:numPr>
          <w:ilvl w:val="0"/>
          <w:numId w:val="13"/>
        </w:numPr>
        <w:tabs>
          <w:tab w:val="num" w:pos="5850"/>
        </w:tabs>
      </w:pPr>
      <w:r w:rsidRPr="00D90D6B">
        <w:t>ordering clauses</w:t>
      </w:r>
    </w:p>
    <w:p w:rsidR="00431D18" w:rsidRPr="00D90D6B" w:rsidP="00CE4AA6" w14:paraId="0B83FEEB" w14:textId="7B558AA3">
      <w:pPr>
        <w:pStyle w:val="ParaNum"/>
        <w:tabs>
          <w:tab w:val="num" w:pos="1440"/>
          <w:tab w:val="num" w:pos="5310"/>
          <w:tab w:val="clear" w:pos="5760"/>
        </w:tabs>
        <w:ind w:left="0"/>
      </w:pPr>
      <w:r w:rsidRPr="00D90D6B">
        <w:t xml:space="preserve">Accordingly, having reviewed the application and the record in this matter, </w:t>
      </w:r>
      <w:r w:rsidRPr="00D90D6B">
        <w:rPr>
          <w:b/>
        </w:rPr>
        <w:t>IT IS ORDERED</w:t>
      </w:r>
      <w:r w:rsidRPr="00D90D6B">
        <w:t xml:space="preserve"> </w:t>
      </w:r>
      <w:r w:rsidRPr="00D90D6B" w:rsidR="004464D5">
        <w:t>that, pursuant to the authority of sections 1, 4(i), 4(j)</w:t>
      </w:r>
      <w:r w:rsidRPr="00D90D6B" w:rsidR="00B9198E">
        <w:t>, and 405</w:t>
      </w:r>
      <w:r w:rsidRPr="00D90D6B" w:rsidR="004464D5">
        <w:t xml:space="preserve"> of the Communications Act of 1934, as amended, 47 U.S.C. §§ 151, 154(i), 154(j), </w:t>
      </w:r>
      <w:r w:rsidRPr="00D90D6B" w:rsidR="00B9198E">
        <w:t xml:space="preserve">405, </w:t>
      </w:r>
      <w:r w:rsidRPr="00D90D6B" w:rsidR="004464D5">
        <w:t>and section</w:t>
      </w:r>
      <w:r w:rsidRPr="00D90D6B" w:rsidR="003453AE">
        <w:t>s</w:t>
      </w:r>
      <w:r w:rsidRPr="00D90D6B" w:rsidR="004464D5">
        <w:t xml:space="preserve"> 1.43</w:t>
      </w:r>
      <w:r w:rsidRPr="00D90D6B" w:rsidR="003453AE">
        <w:t xml:space="preserve"> and 1.102</w:t>
      </w:r>
      <w:r w:rsidRPr="00D90D6B" w:rsidR="004464D5">
        <w:t xml:space="preserve"> of the Commission's rules, 47 C.F.R. §</w:t>
      </w:r>
      <w:r w:rsidRPr="00D90D6B" w:rsidR="003453AE">
        <w:t>§</w:t>
      </w:r>
      <w:r w:rsidRPr="00D90D6B" w:rsidR="004464D5">
        <w:t xml:space="preserve"> 1.43</w:t>
      </w:r>
      <w:r w:rsidRPr="00D90D6B" w:rsidR="003453AE">
        <w:t>, 1.102</w:t>
      </w:r>
      <w:r w:rsidRPr="00D90D6B" w:rsidR="004464D5">
        <w:t xml:space="preserve">, </w:t>
      </w:r>
      <w:r w:rsidRPr="00D90D6B">
        <w:t>the Petition for Stay filed by the Co</w:t>
      </w:r>
      <w:r w:rsidRPr="00D90D6B" w:rsidR="00784DF3">
        <w:t>mpetitive</w:t>
      </w:r>
      <w:r w:rsidRPr="00D90D6B">
        <w:t xml:space="preserve"> Carriers Association </w:t>
      </w:r>
      <w:r w:rsidRPr="00D90D6B">
        <w:rPr>
          <w:b/>
        </w:rPr>
        <w:t>IS DENIED.</w:t>
      </w:r>
    </w:p>
    <w:p w:rsidR="00431D18" w:rsidRPr="00D90D6B" w:rsidP="00CE4AA6" w14:paraId="61D72874" w14:textId="77777777">
      <w:pPr>
        <w:pStyle w:val="ParaNum"/>
        <w:tabs>
          <w:tab w:val="num" w:pos="1440"/>
          <w:tab w:val="num" w:pos="5310"/>
          <w:tab w:val="clear" w:pos="5760"/>
        </w:tabs>
        <w:ind w:left="0"/>
      </w:pPr>
      <w:r w:rsidRPr="00D90D6B">
        <w:t xml:space="preserve">This action is taken under delegated authority pursuant to </w:t>
      </w:r>
      <w:r w:rsidRPr="00D90D6B" w:rsidR="00200E89">
        <w:t>S</w:t>
      </w:r>
      <w:r w:rsidRPr="00D90D6B">
        <w:t>ections 0.131 and 0.331 of the Commission’s Rules, 47 C</w:t>
      </w:r>
      <w:r w:rsidRPr="00D90D6B" w:rsidR="00F72902">
        <w:t>FR</w:t>
      </w:r>
      <w:r w:rsidRPr="00D90D6B">
        <w:t xml:space="preserve"> §§ 0.131 and 0.331</w:t>
      </w:r>
      <w:r w:rsidRPr="00D90D6B" w:rsidR="00200E89">
        <w:t>.</w:t>
      </w:r>
      <w:r w:rsidRPr="00D90D6B" w:rsidR="005C7772">
        <w:t xml:space="preserve"> </w:t>
      </w:r>
    </w:p>
    <w:p w:rsidR="00431D18" w:rsidRPr="00D90D6B" w:rsidP="00431D18" w14:paraId="1637D4FE" w14:textId="77777777">
      <w:pPr>
        <w:pStyle w:val="ParaNum"/>
        <w:numPr>
          <w:ilvl w:val="0"/>
          <w:numId w:val="0"/>
        </w:numPr>
        <w:tabs>
          <w:tab w:val="num" w:pos="5310"/>
        </w:tabs>
        <w:ind w:left="86"/>
      </w:pPr>
    </w:p>
    <w:p w:rsidR="005C7772" w:rsidRPr="00D90D6B" w:rsidP="00200E89" w14:paraId="76F2C87F" w14:textId="77777777">
      <w:pPr>
        <w:pStyle w:val="ParaNum"/>
        <w:numPr>
          <w:ilvl w:val="0"/>
          <w:numId w:val="0"/>
        </w:numPr>
        <w:tabs>
          <w:tab w:val="left" w:pos="4320"/>
          <w:tab w:val="num" w:pos="5310"/>
        </w:tabs>
        <w:ind w:left="86"/>
      </w:pPr>
      <w:r w:rsidRPr="00D90D6B">
        <w:tab/>
      </w:r>
      <w:r w:rsidRPr="00D90D6B">
        <w:t>FEDERAL COMMUNICATIONS COMMISSION</w:t>
      </w:r>
    </w:p>
    <w:p w:rsidR="005C7772" w:rsidRPr="00D90D6B" w:rsidP="005C7772" w14:paraId="5B02A121" w14:textId="77777777">
      <w:pPr>
        <w:widowControl/>
        <w:tabs>
          <w:tab w:val="num" w:pos="1440"/>
        </w:tabs>
      </w:pPr>
    </w:p>
    <w:p w:rsidR="005C7772" w:rsidRPr="00D90D6B" w:rsidP="005C7772" w14:paraId="0EEC4589" w14:textId="77777777">
      <w:pPr>
        <w:widowControl/>
        <w:tabs>
          <w:tab w:val="num" w:pos="1440"/>
        </w:tabs>
      </w:pPr>
    </w:p>
    <w:p w:rsidR="00A50822" w:rsidRPr="00D90D6B" w:rsidP="005C7772" w14:paraId="19344461" w14:textId="77777777">
      <w:pPr>
        <w:widowControl/>
        <w:tabs>
          <w:tab w:val="num" w:pos="1440"/>
        </w:tabs>
      </w:pPr>
    </w:p>
    <w:p w:rsidR="005C7772" w:rsidRPr="00D90D6B" w:rsidP="005C7772" w14:paraId="05300C24" w14:textId="77777777">
      <w:pPr>
        <w:widowControl/>
        <w:tabs>
          <w:tab w:val="num" w:pos="1440"/>
        </w:tabs>
      </w:pPr>
    </w:p>
    <w:p w:rsidR="005C7772" w:rsidRPr="00D90D6B" w:rsidP="005C7772" w14:paraId="1F4E7ED2" w14:textId="77777777">
      <w:pPr>
        <w:widowControl/>
        <w:tabs>
          <w:tab w:val="num" w:pos="1440"/>
        </w:tabs>
      </w:pPr>
      <w:r w:rsidRPr="00D90D6B">
        <w:tab/>
      </w:r>
      <w:r w:rsidRPr="00D90D6B">
        <w:tab/>
      </w:r>
      <w:r w:rsidRPr="00D90D6B">
        <w:tab/>
      </w:r>
      <w:r w:rsidRPr="00D90D6B">
        <w:tab/>
      </w:r>
      <w:r w:rsidRPr="00D90D6B">
        <w:tab/>
        <w:t>Donald Stockdale</w:t>
      </w:r>
    </w:p>
    <w:p w:rsidR="005C7772" w:rsidRPr="00D90D6B" w:rsidP="005C7772" w14:paraId="21640B8B" w14:textId="77777777">
      <w:pPr>
        <w:widowControl/>
        <w:tabs>
          <w:tab w:val="num" w:pos="1440"/>
        </w:tabs>
        <w:ind w:left="3600" w:firstLine="720"/>
      </w:pPr>
      <w:r w:rsidRPr="00D90D6B">
        <w:t>Chief</w:t>
      </w:r>
    </w:p>
    <w:p w:rsidR="00AC1B4C" w:rsidRPr="003D7301" w:rsidP="00D9119D" w14:paraId="161B9164" w14:textId="77777777">
      <w:pPr>
        <w:widowControl/>
        <w:tabs>
          <w:tab w:val="num" w:pos="1440"/>
        </w:tabs>
        <w:ind w:left="3600" w:firstLine="720"/>
      </w:pPr>
      <w:r w:rsidRPr="00D90D6B">
        <w:t>Wireless Telecommunications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F4F" w:rsidP="0055614C" w14:paraId="03E7DE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25F4F" w14:paraId="71449E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F4F" w:rsidP="0055614C" w14:paraId="416050A5" w14:textId="77777777">
    <w:pPr>
      <w:pStyle w:val="Footer"/>
      <w:framePr w:wrap="around" w:vAnchor="text" w:hAnchor="margin" w:xAlign="center" w:y="1"/>
    </w:pPr>
    <w:r>
      <w:fldChar w:fldCharType="begin"/>
    </w:r>
    <w:r>
      <w:instrText xml:space="preserve">PAGE  </w:instrText>
    </w:r>
    <w:r>
      <w:fldChar w:fldCharType="separate"/>
    </w:r>
    <w:r w:rsidR="00F12F59">
      <w:rPr>
        <w:noProof/>
      </w:rPr>
      <w:t>2</w:t>
    </w:r>
    <w:r>
      <w:fldChar w:fldCharType="end"/>
    </w:r>
  </w:p>
  <w:p w:rsidR="00625F4F" w14:paraId="27029BB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F4F" w14:paraId="5A86A1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A42" w14:paraId="7C82DAF5" w14:textId="77777777">
      <w:r>
        <w:separator/>
      </w:r>
    </w:p>
  </w:footnote>
  <w:footnote w:type="continuationSeparator" w:id="1">
    <w:p w:rsidR="008C1A42" w:rsidP="00C721AC" w14:paraId="61F77CD3" w14:textId="77777777">
      <w:pPr>
        <w:spacing w:before="120"/>
        <w:rPr>
          <w:sz w:val="20"/>
        </w:rPr>
      </w:pPr>
      <w:r>
        <w:rPr>
          <w:sz w:val="20"/>
        </w:rPr>
        <w:t xml:space="preserve">(Continued from previous page)  </w:t>
      </w:r>
      <w:r>
        <w:rPr>
          <w:sz w:val="20"/>
        </w:rPr>
        <w:separator/>
      </w:r>
    </w:p>
  </w:footnote>
  <w:footnote w:type="continuationNotice" w:id="2">
    <w:p w:rsidR="008C1A42" w:rsidP="00C721AC" w14:paraId="39FC470F" w14:textId="77777777">
      <w:pPr>
        <w:jc w:val="right"/>
        <w:rPr>
          <w:sz w:val="20"/>
        </w:rPr>
      </w:pPr>
      <w:r>
        <w:rPr>
          <w:sz w:val="20"/>
        </w:rPr>
        <w:t>(continued….)</w:t>
      </w:r>
    </w:p>
  </w:footnote>
  <w:footnote w:id="3">
    <w:p w:rsidR="00625F4F" w:rsidRPr="00D90D6B" w14:paraId="14FF605D" w14:textId="77777777">
      <w:pPr>
        <w:pStyle w:val="FootnoteText"/>
      </w:pPr>
      <w:r w:rsidRPr="00D90D6B">
        <w:rPr>
          <w:rStyle w:val="FootnoteReference"/>
        </w:rPr>
        <w:footnoteRef/>
      </w:r>
      <w:r w:rsidRPr="00D90D6B">
        <w:t xml:space="preserve"> Petition for Stay, Competitive Carriers Association (filed Feb. 20, 2018) (Petition for Stay).</w:t>
      </w:r>
    </w:p>
  </w:footnote>
  <w:footnote w:id="4">
    <w:p w:rsidR="00625F4F" w:rsidRPr="00D90D6B" w14:paraId="24209E20" w14:textId="77777777">
      <w:pPr>
        <w:pStyle w:val="FootnoteText"/>
      </w:pPr>
      <w:r w:rsidRPr="00D90D6B">
        <w:rPr>
          <w:rStyle w:val="FootnoteReference"/>
        </w:rPr>
        <w:footnoteRef/>
      </w:r>
      <w:r w:rsidRPr="00D90D6B">
        <w:t xml:space="preserve"> </w:t>
      </w:r>
      <w:r w:rsidRPr="00D90D6B">
        <w:rPr>
          <w:i/>
        </w:rPr>
        <w:t>Application of Verizon Communications, Inc. and Straight Path Communications, Inc. for Transfer of Control of Licenses</w:t>
      </w:r>
      <w:r w:rsidRPr="00D90D6B">
        <w:t>, Memorandum Opinion and Order, 33 FCC Rcd 188 (WTB 2018) (</w:t>
      </w:r>
      <w:r w:rsidRPr="00D90D6B">
        <w:rPr>
          <w:i/>
        </w:rPr>
        <w:t>MO&amp;O</w:t>
      </w:r>
      <w:r w:rsidRPr="00D90D6B">
        <w:t>).</w:t>
      </w:r>
    </w:p>
  </w:footnote>
  <w:footnote w:id="5">
    <w:p w:rsidR="00625F4F" w:rsidRPr="00D90D6B" w:rsidP="006B4F56" w14:paraId="125EF4A7" w14:textId="77777777">
      <w:pPr>
        <w:pStyle w:val="FootnoteText"/>
      </w:pPr>
      <w:r w:rsidRPr="00D90D6B">
        <w:rPr>
          <w:rStyle w:val="FootnoteReference"/>
        </w:rPr>
        <w:footnoteRef/>
      </w:r>
      <w:r w:rsidRPr="00D90D6B">
        <w:t xml:space="preserve"> Application for Review or, In the Alternative, Petition for Reconsideration of Competitive Carriers Association, (filed Feb. 20, 2018) (Application for Review).</w:t>
      </w:r>
    </w:p>
  </w:footnote>
  <w:footnote w:id="6">
    <w:p w:rsidR="00625F4F" w:rsidRPr="00D90D6B" w:rsidP="00166C55" w14:paraId="5FDC5D48" w14:textId="77777777">
      <w:pPr>
        <w:pStyle w:val="FootnoteText"/>
      </w:pPr>
      <w:r w:rsidRPr="00D90D6B">
        <w:rPr>
          <w:rStyle w:val="FootnoteReference"/>
        </w:rPr>
        <w:footnoteRef/>
      </w:r>
      <w:r w:rsidRPr="00D90D6B">
        <w:t xml:space="preserve"> 47 U.S.C. § 310(d).  </w:t>
      </w:r>
    </w:p>
  </w:footnote>
  <w:footnote w:id="7">
    <w:p w:rsidR="00625F4F" w:rsidRPr="00D90D6B" w:rsidP="00166C55" w14:paraId="23F3749A" w14:textId="77777777">
      <w:pPr>
        <w:pStyle w:val="FootnoteText"/>
      </w:pPr>
      <w:r w:rsidRPr="00D90D6B">
        <w:rPr>
          <w:rStyle w:val="FootnoteReference"/>
        </w:rPr>
        <w:footnoteRef/>
      </w:r>
      <w:r w:rsidRPr="00D90D6B">
        <w:t xml:space="preserve"> </w:t>
      </w:r>
      <w:r w:rsidRPr="00D90D6B">
        <w:rPr>
          <w:i/>
        </w:rPr>
        <w:t>Application of Verizon Communications, Inc. and Straight Path Communications, Inc. for Transfer of Control of Licenses</w:t>
      </w:r>
      <w:r w:rsidRPr="00D90D6B">
        <w:t>, ULS File No. 0007783428 (filed June 1, 2017) - Ex. 1 – Description of Transaction and Public Interest Statement at 2.</w:t>
      </w:r>
    </w:p>
  </w:footnote>
  <w:footnote w:id="8">
    <w:p w:rsidR="00625F4F" w:rsidRPr="00D90D6B" w:rsidP="00F20A3E" w14:paraId="4DCD0738" w14:textId="77777777">
      <w:pPr>
        <w:pStyle w:val="FootnoteText"/>
      </w:pPr>
      <w:r w:rsidRPr="00D90D6B">
        <w:rPr>
          <w:rStyle w:val="FootnoteReference"/>
        </w:rPr>
        <w:footnoteRef/>
      </w:r>
      <w:r w:rsidRPr="00D90D6B">
        <w:t xml:space="preserve"> Competitive Carriers Association Petition to Deny the Verizon/Straight Path Application (filed Aug. 11, 2017).</w:t>
      </w:r>
    </w:p>
  </w:footnote>
  <w:footnote w:id="9">
    <w:p w:rsidR="00625F4F" w:rsidRPr="00D90D6B" w14:paraId="4D9ACFED" w14:textId="77777777">
      <w:pPr>
        <w:pStyle w:val="FootnoteText"/>
      </w:pPr>
      <w:r w:rsidRPr="00D90D6B">
        <w:rPr>
          <w:rStyle w:val="FootnoteReference"/>
        </w:rPr>
        <w:footnoteRef/>
      </w:r>
      <w:r w:rsidRPr="00D90D6B">
        <w:t xml:space="preserve"> </w:t>
      </w:r>
      <w:r w:rsidRPr="00D90D6B">
        <w:rPr>
          <w:i/>
        </w:rPr>
        <w:t>MO&amp;O</w:t>
      </w:r>
      <w:r w:rsidRPr="00D90D6B">
        <w:t>, 33 FCC Rcd at 193, para. 14.</w:t>
      </w:r>
    </w:p>
  </w:footnote>
  <w:footnote w:id="10">
    <w:p w:rsidR="00625F4F" w:rsidRPr="00D90D6B" w14:paraId="4727961B" w14:textId="1BB49497">
      <w:pPr>
        <w:pStyle w:val="FootnoteText"/>
      </w:pPr>
      <w:r w:rsidRPr="00D90D6B">
        <w:rPr>
          <w:rStyle w:val="FootnoteReference"/>
        </w:rPr>
        <w:footnoteRef/>
      </w:r>
      <w:r w:rsidRPr="00D90D6B">
        <w:t xml:space="preserve"> </w:t>
      </w:r>
      <w:r w:rsidRPr="00D90D6B">
        <w:rPr>
          <w:i/>
        </w:rPr>
        <w:t>Use of Spectrum Bands Above 24 GHz for Mobile Radio Services, Report and Order and Further Notice of Proposed Rulemaking</w:t>
      </w:r>
      <w:r w:rsidRPr="00D90D6B">
        <w:t xml:space="preserve">, </w:t>
      </w:r>
      <w:bookmarkStart w:id="1" w:name="_Hlk509822347"/>
      <w:r w:rsidRPr="00D90D6B">
        <w:t>31 FCC Rcd 8014, 8083-84, paras. 188-189</w:t>
      </w:r>
      <w:bookmarkEnd w:id="1"/>
      <w:r w:rsidRPr="00D90D6B">
        <w:t xml:space="preserve"> (2016) (</w:t>
      </w:r>
      <w:bookmarkStart w:id="2" w:name="_Hlk509822303"/>
      <w:r w:rsidRPr="00D90D6B">
        <w:rPr>
          <w:i/>
        </w:rPr>
        <w:t>Spectrum Frontiers Report and Order</w:t>
      </w:r>
      <w:bookmarkEnd w:id="2"/>
      <w:r w:rsidR="0077525E">
        <w:rPr>
          <w:i/>
        </w:rPr>
        <w:t xml:space="preserve"> </w:t>
      </w:r>
      <w:r w:rsidR="005B203D">
        <w:rPr>
          <w:i/>
        </w:rPr>
        <w:t>or</w:t>
      </w:r>
      <w:r w:rsidR="0077525E">
        <w:rPr>
          <w:i/>
        </w:rPr>
        <w:t xml:space="preserve"> FNPRM</w:t>
      </w:r>
      <w:r w:rsidR="005B203D">
        <w:t>, as appropriate</w:t>
      </w:r>
      <w:r w:rsidRPr="00D90D6B">
        <w:t>).</w:t>
      </w:r>
    </w:p>
  </w:footnote>
  <w:footnote w:id="11">
    <w:p w:rsidR="00625F4F" w:rsidRPr="00D90D6B" w:rsidP="00DD79D3" w14:paraId="75F113C4" w14:textId="58B13E41">
      <w:pPr>
        <w:pStyle w:val="FootnoteText"/>
        <w:rPr>
          <w:u w:val="single"/>
        </w:rPr>
      </w:pPr>
      <w:r w:rsidRPr="00D90D6B">
        <w:rPr>
          <w:rStyle w:val="FootnoteReference"/>
        </w:rPr>
        <w:footnoteRef/>
      </w:r>
      <w:r w:rsidRPr="00D90D6B">
        <w:t xml:space="preserve"> </w:t>
      </w:r>
      <w:r w:rsidRPr="00D90D6B">
        <w:rPr>
          <w:i/>
        </w:rPr>
        <w:t>Use of Spectrum Bands Above 24 GHz for Mobile Radio Services</w:t>
      </w:r>
      <w:r w:rsidRPr="00D90D6B">
        <w:t>, Second Report and Order, Second Further Notice of Proposed Rulemaking, Order on Reconsideration, and Memorandum Opinion and Order</w:t>
      </w:r>
      <w:r w:rsidRPr="00D90D6B">
        <w:rPr>
          <w:i/>
        </w:rPr>
        <w:t xml:space="preserve">, </w:t>
      </w:r>
      <w:r w:rsidRPr="00D90D6B">
        <w:t>FCC 17-152, 32 FCC Rcd 10988, 11011, para. 74 (2017)</w:t>
      </w:r>
      <w:r w:rsidR="0077525E">
        <w:t xml:space="preserve"> </w:t>
      </w:r>
      <w:r w:rsidRPr="00D90D6B" w:rsidR="0077525E">
        <w:t>(</w:t>
      </w:r>
      <w:r w:rsidRPr="00D90D6B" w:rsidR="0077525E">
        <w:rPr>
          <w:i/>
        </w:rPr>
        <w:t>Spectrum Frontiers Second Report and Order</w:t>
      </w:r>
      <w:r w:rsidRPr="00D90D6B" w:rsidR="0077525E">
        <w:t>)</w:t>
      </w:r>
      <w:r w:rsidRPr="00D90D6B">
        <w:t xml:space="preserve">.  This change in the threshold became effective on January 2, 2018.  </w:t>
      </w:r>
      <w:r w:rsidRPr="00D90D6B">
        <w:rPr>
          <w:i/>
        </w:rPr>
        <w:t>See</w:t>
      </w:r>
      <w:r w:rsidRPr="00D90D6B">
        <w:rPr>
          <w:i/>
          <w:u w:val="single"/>
        </w:rPr>
        <w:t xml:space="preserve"> </w:t>
      </w:r>
      <w:r w:rsidRPr="00D90D6B">
        <w:rPr>
          <w:i/>
        </w:rPr>
        <w:t>Use of Spectrum Bands Above 24 GHz for Mobile Radio Services</w:t>
      </w:r>
      <w:r w:rsidRPr="00D90D6B">
        <w:t>, 83 Fed. Reg. 37 (Jan. 2, 2018).</w:t>
      </w:r>
    </w:p>
  </w:footnote>
  <w:footnote w:id="12">
    <w:p w:rsidR="00625F4F" w:rsidRPr="00D90D6B" w14:paraId="3C902E47" w14:textId="77777777">
      <w:pPr>
        <w:pStyle w:val="FootnoteText"/>
      </w:pPr>
      <w:r w:rsidRPr="00D90D6B">
        <w:rPr>
          <w:rStyle w:val="FootnoteReference"/>
        </w:rPr>
        <w:footnoteRef/>
      </w:r>
      <w:r w:rsidRPr="00D90D6B">
        <w:t xml:space="preserve"> </w:t>
      </w:r>
      <w:r w:rsidRPr="00D90D6B">
        <w:rPr>
          <w:i/>
        </w:rPr>
        <w:t>MO&amp;O</w:t>
      </w:r>
      <w:r w:rsidRPr="00D90D6B">
        <w:t>, 33 FCC Rcd at 196, para. 22.</w:t>
      </w:r>
    </w:p>
  </w:footnote>
  <w:footnote w:id="13">
    <w:p w:rsidR="00625F4F" w:rsidRPr="00D90D6B" w14:paraId="024C3F2D" w14:textId="77777777">
      <w:pPr>
        <w:pStyle w:val="FootnoteText"/>
      </w:pPr>
      <w:r w:rsidRPr="00D90D6B">
        <w:rPr>
          <w:rStyle w:val="FootnoteReference"/>
        </w:rPr>
        <w:footnoteRef/>
      </w:r>
      <w:r w:rsidRPr="00D90D6B">
        <w:t xml:space="preserve"> </w:t>
      </w:r>
      <w:r w:rsidRPr="00D90D6B">
        <w:rPr>
          <w:i/>
        </w:rPr>
        <w:t>MO&amp;O</w:t>
      </w:r>
      <w:r w:rsidRPr="00D90D6B">
        <w:t>, 33 FCC Rcd at 196, para. 22.</w:t>
      </w:r>
    </w:p>
  </w:footnote>
  <w:footnote w:id="14">
    <w:p w:rsidR="00625F4F" w:rsidRPr="00D90D6B" w14:paraId="42204B9B" w14:textId="77777777">
      <w:pPr>
        <w:pStyle w:val="FootnoteText"/>
      </w:pPr>
      <w:r w:rsidRPr="00D90D6B">
        <w:rPr>
          <w:rStyle w:val="FootnoteReference"/>
        </w:rPr>
        <w:footnoteRef/>
      </w:r>
      <w:r w:rsidRPr="00D90D6B">
        <w:t xml:space="preserve"> </w:t>
      </w:r>
      <w:r w:rsidRPr="00D90D6B">
        <w:rPr>
          <w:i/>
        </w:rPr>
        <w:t>MO&amp;O</w:t>
      </w:r>
      <w:r w:rsidRPr="00D90D6B">
        <w:t>, 33 FCC Rcd at 196,</w:t>
      </w:r>
      <w:r w:rsidRPr="00D90D6B">
        <w:rPr>
          <w:i/>
        </w:rPr>
        <w:t xml:space="preserve"> </w:t>
      </w:r>
      <w:r w:rsidRPr="00D90D6B">
        <w:t>para. 23.</w:t>
      </w:r>
    </w:p>
  </w:footnote>
  <w:footnote w:id="15">
    <w:p w:rsidR="00625F4F" w:rsidRPr="00D90D6B" w14:paraId="6C01643B" w14:textId="77777777">
      <w:pPr>
        <w:pStyle w:val="FootnoteText"/>
      </w:pPr>
      <w:r w:rsidRPr="00D90D6B">
        <w:rPr>
          <w:rStyle w:val="FootnoteReference"/>
        </w:rPr>
        <w:footnoteRef/>
      </w:r>
      <w:r w:rsidRPr="00D90D6B">
        <w:t xml:space="preserve"> </w:t>
      </w:r>
      <w:r w:rsidRPr="00D90D6B">
        <w:rPr>
          <w:i/>
        </w:rPr>
        <w:t>MO&amp;O</w:t>
      </w:r>
      <w:r w:rsidRPr="00D90D6B">
        <w:t>, 33 FCC Rcd at 198, para. 29.</w:t>
      </w:r>
    </w:p>
  </w:footnote>
  <w:footnote w:id="16">
    <w:p w:rsidR="00625F4F" w:rsidRPr="00D90D6B" w:rsidP="00A62073" w14:paraId="0C6F23FF" w14:textId="77777777">
      <w:pPr>
        <w:pStyle w:val="FootnoteText"/>
      </w:pPr>
      <w:r w:rsidRPr="00D90D6B">
        <w:rPr>
          <w:rStyle w:val="FootnoteReference"/>
        </w:rPr>
        <w:footnoteRef/>
      </w:r>
      <w:r w:rsidRPr="00D90D6B">
        <w:t xml:space="preserve"> </w:t>
      </w:r>
      <w:r w:rsidRPr="00D90D6B">
        <w:rPr>
          <w:i/>
        </w:rPr>
        <w:t>MO&amp;O</w:t>
      </w:r>
      <w:r w:rsidRPr="00D90D6B">
        <w:t>, 33 FCC Rcd at 198, para. 31.</w:t>
      </w:r>
    </w:p>
  </w:footnote>
  <w:footnote w:id="17">
    <w:p w:rsidR="00625F4F" w:rsidRPr="00D90D6B" w14:paraId="1EC4AB28" w14:textId="77777777">
      <w:pPr>
        <w:pStyle w:val="FootnoteText"/>
      </w:pPr>
      <w:r w:rsidRPr="00D90D6B">
        <w:rPr>
          <w:rStyle w:val="FootnoteReference"/>
        </w:rPr>
        <w:footnoteRef/>
      </w:r>
      <w:r w:rsidRPr="00D90D6B">
        <w:t xml:space="preserve"> Joint Opposition to Petition to Stay, Straight Path Spectrum, LLC and Verizon Communications, Inc. (filed Feb. 27, 2018) (Joint Opposition).</w:t>
      </w:r>
    </w:p>
  </w:footnote>
  <w:footnote w:id="18">
    <w:p w:rsidR="00625F4F" w:rsidRPr="00D90D6B" w14:paraId="79E6D5E0" w14:textId="77777777">
      <w:pPr>
        <w:pStyle w:val="FootnoteText"/>
      </w:pPr>
      <w:r w:rsidRPr="00D90D6B">
        <w:rPr>
          <w:rStyle w:val="FootnoteReference"/>
        </w:rPr>
        <w:footnoteRef/>
      </w:r>
      <w:r w:rsidRPr="00D90D6B">
        <w:t xml:space="preserve"> </w:t>
      </w:r>
      <w:r w:rsidRPr="00D90D6B">
        <w:rPr>
          <w:i/>
        </w:rPr>
        <w:t>Virginia Petroleum Jobbers Ass’n v. FPC</w:t>
      </w:r>
      <w:r w:rsidRPr="00D90D6B">
        <w:t>, 259 F.2d 921, 925 (D.C Cir. 1956) In</w:t>
      </w:r>
      <w:r w:rsidRPr="00D90D6B">
        <w:rPr>
          <w:i/>
        </w:rPr>
        <w:t xml:space="preserve"> re Subsidiaries of Cablevision Systems Corporation</w:t>
      </w:r>
      <w:r w:rsidRPr="00D90D6B">
        <w:t xml:space="preserve">, 23 FCC Rcd. 17012, 17013 (2008). </w:t>
      </w:r>
    </w:p>
  </w:footnote>
  <w:footnote w:id="19">
    <w:p w:rsidR="00625F4F" w:rsidRPr="00D90D6B" w14:paraId="27A7E2FE" w14:textId="77777777">
      <w:pPr>
        <w:pStyle w:val="FootnoteText"/>
      </w:pPr>
      <w:r w:rsidRPr="00D90D6B">
        <w:rPr>
          <w:rStyle w:val="FootnoteReference"/>
        </w:rPr>
        <w:footnoteRef/>
      </w:r>
      <w:r w:rsidRPr="00D90D6B">
        <w:t xml:space="preserve"> </w:t>
      </w:r>
      <w:r w:rsidRPr="00D90D6B">
        <w:rPr>
          <w:i/>
        </w:rPr>
        <w:t>In re Protecting the Privacy of Customers of Broadband and Other Telecomm. Servs.,</w:t>
      </w:r>
      <w:r w:rsidRPr="00D90D6B">
        <w:t xml:space="preserve"> Order Granting Stay Petition in Part, 32 FCC Rcd 1793, 1796 (2017).</w:t>
      </w:r>
    </w:p>
  </w:footnote>
  <w:footnote w:id="20">
    <w:p w:rsidR="00625F4F" w:rsidRPr="00D90D6B" w14:paraId="6EBC0469" w14:textId="77777777">
      <w:pPr>
        <w:pStyle w:val="FootnoteText"/>
      </w:pPr>
      <w:r w:rsidRPr="00D90D6B">
        <w:rPr>
          <w:rStyle w:val="FootnoteReference"/>
        </w:rPr>
        <w:footnoteRef/>
      </w:r>
      <w:r w:rsidRPr="00D90D6B">
        <w:t xml:space="preserve"> Petition for Stay at 2-3.</w:t>
      </w:r>
    </w:p>
  </w:footnote>
  <w:footnote w:id="21">
    <w:p w:rsidR="00910B09" w:rsidP="00910B09" w14:paraId="3E021DB1" w14:textId="197CBDD9">
      <w:pPr>
        <w:pStyle w:val="FootnoteText"/>
      </w:pPr>
      <w:r>
        <w:rPr>
          <w:rStyle w:val="FootnoteReference"/>
        </w:rPr>
        <w:footnoteRef/>
      </w:r>
      <w:r>
        <w:t xml:space="preserve"> </w:t>
      </w:r>
      <w:r w:rsidR="004D018B">
        <w:t>B</w:t>
      </w:r>
      <w:r w:rsidRPr="004D018B" w:rsidR="004D018B">
        <w:t xml:space="preserve">ased on the unique characteristics of </w:t>
      </w:r>
      <w:r w:rsidR="004D018B">
        <w:t xml:space="preserve">the mmW bands, </w:t>
      </w:r>
      <w:r>
        <w:t xml:space="preserve">the Commission </w:t>
      </w:r>
      <w:r w:rsidR="004D018B">
        <w:t>decided not to include</w:t>
      </w:r>
      <w:r>
        <w:t xml:space="preserve"> the mmW bands </w:t>
      </w:r>
      <w:r w:rsidR="004D018B">
        <w:t xml:space="preserve">in the </w:t>
      </w:r>
      <w:r w:rsidR="002C4F87">
        <w:t>“</w:t>
      </w:r>
      <w:r w:rsidR="004D018B">
        <w:t>spectrum screen</w:t>
      </w:r>
      <w:r w:rsidR="002C4F87">
        <w:t>”</w:t>
      </w:r>
      <w:r w:rsidR="004D018B">
        <w:t xml:space="preserve"> that includes those bands that the Commission has determined </w:t>
      </w:r>
      <w:r>
        <w:t xml:space="preserve">are </w:t>
      </w:r>
      <w:r w:rsidR="002C4F87">
        <w:t>“</w:t>
      </w:r>
      <w:r>
        <w:t>suitable and available for the provision of mobile telephony/broadband services</w:t>
      </w:r>
      <w:r w:rsidR="005774FF">
        <w:t>,</w:t>
      </w:r>
      <w:r w:rsidR="002C4F87">
        <w:t>”</w:t>
      </w:r>
      <w:r>
        <w:t xml:space="preserve"> </w:t>
      </w:r>
      <w:r w:rsidR="002C4F87">
        <w:t>but</w:t>
      </w:r>
      <w:r w:rsidR="004D018B">
        <w:t xml:space="preserve"> instead </w:t>
      </w:r>
      <w:r>
        <w:t>it adopted a separate mmW spectrum threshold</w:t>
      </w:r>
      <w:r w:rsidRPr="004D018B" w:rsidR="004D018B">
        <w:rPr>
          <w:snapToGrid w:val="0"/>
          <w:kern w:val="28"/>
          <w:sz w:val="22"/>
        </w:rPr>
        <w:t xml:space="preserve"> </w:t>
      </w:r>
      <w:r w:rsidR="004D018B">
        <w:t>recognizing</w:t>
      </w:r>
      <w:r w:rsidRPr="004D018B" w:rsidR="004D018B">
        <w:t xml:space="preserve"> that this frontier spectrum is likely to become increasingly valuable to the advent of 5G services</w:t>
      </w:r>
      <w:r>
        <w:t xml:space="preserve">.  </w:t>
      </w:r>
      <w:r w:rsidRPr="004D018B" w:rsidR="004D018B">
        <w:rPr>
          <w:i/>
        </w:rPr>
        <w:t>Spectrum Frontiers Report and Order</w:t>
      </w:r>
      <w:r w:rsidRPr="004D018B" w:rsidR="004D018B">
        <w:t xml:space="preserve"> </w:t>
      </w:r>
      <w:r w:rsidR="002C4F87">
        <w:t>31 FCC Rcd</w:t>
      </w:r>
      <w:r w:rsidRPr="002C4F87" w:rsidR="002C4F87">
        <w:t xml:space="preserve"> </w:t>
      </w:r>
      <w:r w:rsidR="005B203D">
        <w:t xml:space="preserve">at </w:t>
      </w:r>
      <w:r w:rsidRPr="002C4F87" w:rsidR="002C4F87">
        <w:t>8083, para. 188</w:t>
      </w:r>
      <w:r>
        <w:t>.</w:t>
      </w:r>
    </w:p>
  </w:footnote>
  <w:footnote w:id="22">
    <w:p w:rsidR="0015462F" w:rsidRPr="00D90D6B" w14:paraId="7239D85A" w14:textId="4CF20E2B">
      <w:pPr>
        <w:pStyle w:val="FootnoteText"/>
      </w:pPr>
      <w:r w:rsidRPr="00D90D6B">
        <w:rPr>
          <w:rStyle w:val="FootnoteReference"/>
        </w:rPr>
        <w:footnoteRef/>
      </w:r>
      <w:r w:rsidRPr="00D90D6B">
        <w:t xml:space="preserve"> </w:t>
      </w:r>
      <w:r w:rsidR="008A60C3">
        <w:rPr>
          <w:i/>
          <w:snapToGrid w:val="0"/>
        </w:rPr>
        <w:t>Spectrum Frontiers FNPRM</w:t>
      </w:r>
      <w:r w:rsidR="008A60C3">
        <w:rPr>
          <w:snapToGrid w:val="0"/>
        </w:rPr>
        <w:t>, 31 FCC Rcd at 8180, para. 491</w:t>
      </w:r>
      <w:r w:rsidR="00066E7F">
        <w:rPr>
          <w:snapToGrid w:val="0"/>
        </w:rPr>
        <w:t xml:space="preserve"> </w:t>
      </w:r>
      <w:r w:rsidR="008A60C3">
        <w:rPr>
          <w:snapToGrid w:val="0"/>
        </w:rPr>
        <w:t>(“to the extent these bands to be made available have similar technical characteristics and potential uses as the 28 GHz, 37 GHz, and 39 GHz bands, we propose to use the approximately one-third threshold of the total amount of spectrum as our starting point”).</w:t>
      </w:r>
    </w:p>
  </w:footnote>
  <w:footnote w:id="23">
    <w:p w:rsidR="008A60C3" w14:paraId="302DF8B8" w14:textId="77777777">
      <w:pPr>
        <w:pStyle w:val="FootnoteText"/>
      </w:pPr>
      <w:r>
        <w:rPr>
          <w:rStyle w:val="FootnoteReference"/>
        </w:rPr>
        <w:footnoteRef/>
      </w:r>
      <w:r>
        <w:t xml:space="preserve"> </w:t>
      </w:r>
      <w:r>
        <w:rPr>
          <w:i/>
          <w:snapToGrid w:val="0"/>
        </w:rPr>
        <w:t>Spectrum Frontiers Second Report and Order</w:t>
      </w:r>
      <w:r>
        <w:rPr>
          <w:snapToGrid w:val="0"/>
        </w:rPr>
        <w:t>, 32 FCC Rcd at 11011, para.74.</w:t>
      </w:r>
    </w:p>
  </w:footnote>
  <w:footnote w:id="24">
    <w:p w:rsidR="00E01357" w:rsidRPr="00D90D6B" w14:paraId="6EAB86C7" w14:textId="08661B6A">
      <w:pPr>
        <w:pStyle w:val="FootnoteText"/>
      </w:pPr>
      <w:r w:rsidRPr="00D90D6B">
        <w:rPr>
          <w:rStyle w:val="FootnoteReference"/>
        </w:rPr>
        <w:footnoteRef/>
      </w:r>
      <w:r w:rsidRPr="00D90D6B">
        <w:t xml:space="preserve"> </w:t>
      </w:r>
      <w:r w:rsidR="008A60C3">
        <w:rPr>
          <w:i/>
          <w:snapToGrid w:val="0"/>
        </w:rPr>
        <w:t>Spectrum Frontiers Report and Order</w:t>
      </w:r>
      <w:r w:rsidR="008A60C3">
        <w:rPr>
          <w:snapToGrid w:val="0"/>
        </w:rPr>
        <w:t xml:space="preserve">, 31 FCC Rcd at 8083, para. 189; </w:t>
      </w:r>
      <w:r w:rsidR="008A60C3">
        <w:rPr>
          <w:i/>
          <w:snapToGrid w:val="0"/>
        </w:rPr>
        <w:t>Spectrum Frontiers Second Report and Order</w:t>
      </w:r>
      <w:r w:rsidR="008A60C3">
        <w:rPr>
          <w:snapToGrid w:val="0"/>
        </w:rPr>
        <w:t>, 32 FCC Rcd at 11011, para.</w:t>
      </w:r>
      <w:r w:rsidR="005B203D">
        <w:rPr>
          <w:snapToGrid w:val="0"/>
        </w:rPr>
        <w:t xml:space="preserve"> </w:t>
      </w:r>
      <w:r w:rsidR="008A60C3">
        <w:rPr>
          <w:snapToGrid w:val="0"/>
        </w:rPr>
        <w:t>74.</w:t>
      </w:r>
      <w:r w:rsidRPr="008A60C3" w:rsidR="008A60C3">
        <w:rPr>
          <w:highlight w:val="yellow"/>
        </w:rPr>
        <w:t xml:space="preserve"> </w:t>
      </w:r>
      <w:r w:rsidRPr="00D90D6B" w:rsidR="0000050C">
        <w:t xml:space="preserve">  </w:t>
      </w:r>
      <w:r w:rsidR="00C56795">
        <w:t xml:space="preserve">  </w:t>
      </w:r>
    </w:p>
  </w:footnote>
  <w:footnote w:id="25">
    <w:p w:rsidR="00625F4F" w:rsidRPr="00D90D6B" w:rsidP="00F41376" w14:paraId="455E7BA0" w14:textId="566FD8FB">
      <w:pPr>
        <w:pStyle w:val="FootnoteText"/>
      </w:pPr>
      <w:r w:rsidRPr="00D90D6B">
        <w:rPr>
          <w:rStyle w:val="FootnoteReference"/>
        </w:rPr>
        <w:footnoteRef/>
      </w:r>
      <w:r w:rsidRPr="00D90D6B">
        <w:t xml:space="preserve"> </w:t>
      </w:r>
      <w:r w:rsidRPr="00D90D6B">
        <w:rPr>
          <w:i/>
        </w:rPr>
        <w:t>Spectrum Frontiers Second Report and Order</w:t>
      </w:r>
      <w:r w:rsidRPr="00D90D6B">
        <w:t xml:space="preserve">, 32 FCC Rcd at 11011, 11074, paras. 74, 268, n.189. </w:t>
      </w:r>
      <w:r w:rsidR="00C56795">
        <w:t xml:space="preserve"> </w:t>
      </w:r>
      <w:r w:rsidRPr="00C56795" w:rsidR="00C56795">
        <w:t xml:space="preserve">While CCA disagrees about inclusion of the bands not yet auctioned because it asserts that the 24 GHz and 47 GHz spectrum are not “available,” </w:t>
      </w:r>
      <w:r w:rsidR="00CE4AA6">
        <w:t>(</w:t>
      </w:r>
      <w:r w:rsidRPr="00C56795" w:rsidR="00C56795">
        <w:rPr>
          <w:i/>
        </w:rPr>
        <w:t xml:space="preserve">see </w:t>
      </w:r>
      <w:r w:rsidRPr="00C56795" w:rsidR="00C56795">
        <w:t>Petition for Stay at 8</w:t>
      </w:r>
      <w:r w:rsidR="00CE4AA6">
        <w:t>)</w:t>
      </w:r>
      <w:r w:rsidRPr="00C56795" w:rsidR="00C56795">
        <w:t>, that is not the pertinent standard for purposes of application of the mmW spectrum threshold for secondary market transactions at issue here.</w:t>
      </w:r>
    </w:p>
  </w:footnote>
  <w:footnote w:id="26">
    <w:p w:rsidR="00625F4F" w:rsidRPr="00D90D6B" w:rsidP="00F41376" w14:paraId="54B9825D" w14:textId="77777777">
      <w:pPr>
        <w:pStyle w:val="FootnoteText"/>
      </w:pPr>
      <w:r w:rsidRPr="00D90D6B">
        <w:rPr>
          <w:rStyle w:val="FootnoteReference"/>
        </w:rPr>
        <w:footnoteRef/>
      </w:r>
      <w:r w:rsidRPr="00D90D6B">
        <w:t xml:space="preserve"> </w:t>
      </w:r>
      <w:r w:rsidRPr="00D90D6B">
        <w:rPr>
          <w:i/>
        </w:rPr>
        <w:t>Use of Spectrum Bands Above 24 GHz for Mobile Radio Services</w:t>
      </w:r>
      <w:r w:rsidRPr="00D90D6B">
        <w:t xml:space="preserve">, 83 Fed. Reg. 37 (Jan. 2, 2018).  </w:t>
      </w:r>
    </w:p>
  </w:footnote>
  <w:footnote w:id="27">
    <w:p w:rsidR="00625F4F" w:rsidRPr="00D90D6B" w:rsidP="00C41F56" w14:paraId="6BCB106F" w14:textId="77777777">
      <w:pPr>
        <w:pStyle w:val="FootnoteText"/>
      </w:pPr>
      <w:r w:rsidRPr="00D90D6B">
        <w:rPr>
          <w:rStyle w:val="FootnoteReference"/>
        </w:rPr>
        <w:footnoteRef/>
      </w:r>
      <w:r w:rsidRPr="00D90D6B">
        <w:t xml:space="preserve"> </w:t>
      </w:r>
      <w:r w:rsidRPr="00D90D6B">
        <w:rPr>
          <w:i/>
        </w:rPr>
        <w:t>See, e.g.,</w:t>
      </w:r>
      <w:r w:rsidRPr="00D90D6B">
        <w:t xml:space="preserve"> </w:t>
      </w:r>
      <w:r w:rsidRPr="00D90D6B">
        <w:rPr>
          <w:i/>
        </w:rPr>
        <w:t>Applications of AT&amp;T Mobility Spectrum LLC, New Cingular Wireless PCS, LLC, Comcast Corporation, Horizon Wi-Com, LLC, NextWave Wireless, Inc., and San Diego Gas &amp; Electric Company</w:t>
      </w:r>
      <w:r w:rsidRPr="00D90D6B">
        <w:t xml:space="preserve">, Memorandum Opinion and Order, 27 FCC Rcd 16459, 16470, para. 31 (2012) (adding WCS A and B blocks to the spectrum screen); </w:t>
      </w:r>
      <w:r w:rsidRPr="00D90D6B">
        <w:rPr>
          <w:i/>
        </w:rPr>
        <w:t>Applications of AT&amp;T Corporation and Dobson Communications Corporation</w:t>
      </w:r>
      <w:r w:rsidRPr="00D90D6B">
        <w:t>, Memorandum Opinion and Order, 22 FCC Rcd 20295, 20312-13, paras. 30-31 (2007) (adding 700 MHz spectrum to the spectrum screen).</w:t>
      </w:r>
    </w:p>
  </w:footnote>
  <w:footnote w:id="28">
    <w:p w:rsidR="00DE5F00" w:rsidRPr="002C655D" w14:paraId="68426CAE" w14:textId="75D9328D">
      <w:pPr>
        <w:pStyle w:val="FootnoteText"/>
      </w:pPr>
      <w:r w:rsidRPr="00673B4C">
        <w:rPr>
          <w:rStyle w:val="FootnoteReference"/>
        </w:rPr>
        <w:footnoteRef/>
      </w:r>
      <w:r w:rsidRPr="00673B4C">
        <w:t xml:space="preserve"> </w:t>
      </w:r>
      <w:r w:rsidR="00673B4C">
        <w:rPr>
          <w:i/>
        </w:rPr>
        <w:t>See</w:t>
      </w:r>
      <w:r w:rsidR="00673B4C">
        <w:t xml:space="preserve"> </w:t>
      </w:r>
      <w:r w:rsidRPr="00673B4C" w:rsidR="00673B4C">
        <w:rPr>
          <w:i/>
        </w:rPr>
        <w:t>Auctions of Upper Microwave Flexible Use Licenses for Next-Generation Wireless Licenses</w:t>
      </w:r>
      <w:r w:rsidR="00673B4C">
        <w:t xml:space="preserve">, Public Draft (posted </w:t>
      </w:r>
      <w:r w:rsidR="002C655D">
        <w:t xml:space="preserve">Mar. 27, 2018), </w:t>
      </w:r>
      <w:r w:rsidR="002C655D">
        <w:rPr>
          <w:i/>
        </w:rPr>
        <w:t>available at</w:t>
      </w:r>
      <w:r w:rsidR="002C655D">
        <w:t xml:space="preserve"> </w:t>
      </w:r>
      <w:r>
        <w:fldChar w:fldCharType="begin"/>
      </w:r>
      <w:r>
        <w:instrText xml:space="preserve"> HYPERLINK "https://transition.fcc.gov/Daily_Releases/Daily_Business/2018/db0327/DOC-349938A1.pdf" </w:instrText>
      </w:r>
      <w:r>
        <w:fldChar w:fldCharType="separate"/>
      </w:r>
      <w:r w:rsidRPr="002C655D" w:rsidR="002C655D">
        <w:rPr>
          <w:rStyle w:val="Hyperlink"/>
        </w:rPr>
        <w:t>https://transition.fcc.gov/Daily_Releases/Daily_Business/2018/db0327/DOC-349938A1.pdf</w:t>
      </w:r>
      <w:r>
        <w:fldChar w:fldCharType="end"/>
      </w:r>
      <w:r w:rsidR="002C655D">
        <w:t>.</w:t>
      </w:r>
    </w:p>
  </w:footnote>
  <w:footnote w:id="29">
    <w:p w:rsidR="00625F4F" w:rsidRPr="00D90D6B" w:rsidP="003C665B" w14:paraId="575040E0" w14:textId="77777777">
      <w:pPr>
        <w:pStyle w:val="FootnoteText"/>
      </w:pPr>
      <w:r w:rsidRPr="00D90D6B">
        <w:rPr>
          <w:rStyle w:val="FootnoteReference"/>
        </w:rPr>
        <w:footnoteRef/>
      </w:r>
      <w:r w:rsidRPr="00D90D6B">
        <w:t xml:space="preserve"> Petition for Stay at 9, </w:t>
      </w:r>
      <w:r w:rsidRPr="00D90D6B">
        <w:rPr>
          <w:i/>
        </w:rPr>
        <w:t>quoting MO&amp;O</w:t>
      </w:r>
      <w:r w:rsidRPr="00D90D6B">
        <w:t>, 33 FCC Rcd at 196, para. 23.</w:t>
      </w:r>
    </w:p>
  </w:footnote>
  <w:footnote w:id="30">
    <w:p w:rsidR="00625F4F" w:rsidRPr="00D90D6B" w:rsidP="003C665B" w14:paraId="3CD5C045" w14:textId="77777777">
      <w:pPr>
        <w:pStyle w:val="FootnoteText"/>
        <w:rPr>
          <w:i/>
        </w:rPr>
      </w:pPr>
      <w:r w:rsidRPr="00D90D6B">
        <w:rPr>
          <w:rStyle w:val="FootnoteReference"/>
        </w:rPr>
        <w:footnoteRef/>
      </w:r>
      <w:r w:rsidRPr="00D90D6B">
        <w:t xml:space="preserve"> Petition for Stay at 9-10.</w:t>
      </w:r>
    </w:p>
  </w:footnote>
  <w:footnote w:id="31">
    <w:p w:rsidR="00910B09" w:rsidRPr="00D90D6B" w:rsidP="00910B09" w14:paraId="6F3DEA4F" w14:textId="50366608">
      <w:pPr>
        <w:pStyle w:val="FootnoteText"/>
      </w:pPr>
      <w:r w:rsidRPr="00D90D6B">
        <w:rPr>
          <w:rStyle w:val="FootnoteReference"/>
        </w:rPr>
        <w:footnoteRef/>
      </w:r>
      <w:r w:rsidRPr="00D90D6B">
        <w:t xml:space="preserve"> Petition for Stay at 9 &amp; n.20 </w:t>
      </w:r>
      <w:r w:rsidR="008A60C3">
        <w:rPr>
          <w:snapToGrid w:val="0"/>
        </w:rPr>
        <w:t xml:space="preserve">(quoting </w:t>
      </w:r>
      <w:r w:rsidR="008A60C3">
        <w:rPr>
          <w:i/>
          <w:snapToGrid w:val="0"/>
        </w:rPr>
        <w:t>Spectrum Frontiers Report and Order</w:t>
      </w:r>
      <w:r w:rsidR="008A60C3">
        <w:rPr>
          <w:snapToGrid w:val="0"/>
        </w:rPr>
        <w:t>, 31 FCC Rcd at 8084, para.</w:t>
      </w:r>
      <w:r w:rsidR="005B203D">
        <w:rPr>
          <w:snapToGrid w:val="0"/>
        </w:rPr>
        <w:t xml:space="preserve"> </w:t>
      </w:r>
      <w:r w:rsidR="008A60C3">
        <w:rPr>
          <w:snapToGrid w:val="0"/>
        </w:rPr>
        <w:t>190).</w:t>
      </w:r>
    </w:p>
  </w:footnote>
  <w:footnote w:id="32">
    <w:p w:rsidR="00625F4F" w:rsidRPr="00D90D6B" w:rsidP="003C665B" w14:paraId="3552D156" w14:textId="77777777">
      <w:pPr>
        <w:pStyle w:val="FootnoteText"/>
      </w:pPr>
      <w:r w:rsidRPr="00D90D6B">
        <w:rPr>
          <w:rStyle w:val="FootnoteReference"/>
        </w:rPr>
        <w:footnoteRef/>
      </w:r>
      <w:r w:rsidRPr="00D90D6B">
        <w:t xml:space="preserve"> </w:t>
      </w:r>
      <w:r w:rsidRPr="00D90D6B">
        <w:rPr>
          <w:i/>
        </w:rPr>
        <w:t>Spectrum Frontiers Report and Order</w:t>
      </w:r>
      <w:r w:rsidRPr="00D90D6B">
        <w:t>, 31 FCC Rcd at 8081, para. 184.</w:t>
      </w:r>
    </w:p>
  </w:footnote>
  <w:footnote w:id="33">
    <w:p w:rsidR="00910B09" w:rsidRPr="00D90D6B" w:rsidP="00910B09" w14:paraId="453594CD" w14:textId="77777777">
      <w:pPr>
        <w:pStyle w:val="FootnoteText"/>
      </w:pPr>
      <w:r w:rsidRPr="00D90D6B">
        <w:rPr>
          <w:rStyle w:val="FootnoteReference"/>
        </w:rPr>
        <w:footnoteRef/>
      </w:r>
      <w:r w:rsidRPr="00D90D6B">
        <w:t xml:space="preserve"> </w:t>
      </w:r>
      <w:r w:rsidRPr="00D90D6B">
        <w:rPr>
          <w:i/>
        </w:rPr>
        <w:t>MO&amp;O</w:t>
      </w:r>
      <w:r w:rsidRPr="00D90D6B">
        <w:t>, 33 FCC Rcd at 194, para. 18.</w:t>
      </w:r>
    </w:p>
  </w:footnote>
  <w:footnote w:id="34">
    <w:p w:rsidR="00625F4F" w:rsidRPr="00D90D6B" w:rsidP="003C665B" w14:paraId="339A5E08" w14:textId="77777777">
      <w:pPr>
        <w:pStyle w:val="FootnoteText"/>
      </w:pPr>
      <w:r w:rsidRPr="00D90D6B">
        <w:rPr>
          <w:rStyle w:val="FootnoteReference"/>
        </w:rPr>
        <w:footnoteRef/>
      </w:r>
      <w:r w:rsidRPr="00D90D6B">
        <w:t xml:space="preserve"> </w:t>
      </w:r>
      <w:r w:rsidRPr="00D90D6B">
        <w:rPr>
          <w:i/>
        </w:rPr>
        <w:t>Spectrum Frontiers Report and Order</w:t>
      </w:r>
      <w:r w:rsidRPr="00D90D6B">
        <w:t>, 31 FCC Rcd at 8081, para. 184.</w:t>
      </w:r>
    </w:p>
  </w:footnote>
  <w:footnote w:id="35">
    <w:p w:rsidR="00625F4F" w:rsidRPr="00D90D6B" w:rsidP="003C665B" w14:paraId="2343B00D" w14:textId="77777777">
      <w:pPr>
        <w:pStyle w:val="FootnoteText"/>
      </w:pPr>
      <w:r w:rsidRPr="00D90D6B">
        <w:rPr>
          <w:rStyle w:val="FootnoteReference"/>
        </w:rPr>
        <w:footnoteRef/>
      </w:r>
      <w:r w:rsidRPr="00D90D6B">
        <w:t xml:space="preserve"> </w:t>
      </w:r>
      <w:r w:rsidRPr="00D90D6B">
        <w:rPr>
          <w:i/>
        </w:rPr>
        <w:t>MO&amp;O</w:t>
      </w:r>
      <w:r w:rsidRPr="00D90D6B">
        <w:t>, 33 FCC Rcd at 196, para. 23.</w:t>
      </w:r>
    </w:p>
  </w:footnote>
  <w:footnote w:id="36">
    <w:p w:rsidR="00625F4F" w:rsidRPr="00D90D6B" w14:paraId="1625886F" w14:textId="77777777">
      <w:pPr>
        <w:pStyle w:val="FootnoteText"/>
      </w:pPr>
      <w:r w:rsidRPr="00D90D6B">
        <w:rPr>
          <w:rStyle w:val="FootnoteReference"/>
        </w:rPr>
        <w:footnoteRef/>
      </w:r>
      <w:r w:rsidRPr="00D90D6B">
        <w:t xml:space="preserve"> </w:t>
      </w:r>
      <w:r w:rsidRPr="00D90D6B">
        <w:rPr>
          <w:i/>
        </w:rPr>
        <w:t>Wisconsin Gas Company v. FERC</w:t>
      </w:r>
      <w:r w:rsidRPr="00D90D6B">
        <w:t>, 758 F.2d 669, 674 (D.C. Cir. 1985).</w:t>
      </w:r>
    </w:p>
  </w:footnote>
  <w:footnote w:id="37">
    <w:p w:rsidR="00625F4F" w:rsidRPr="00D90D6B" w14:paraId="38EFC60B" w14:textId="77777777">
      <w:pPr>
        <w:pStyle w:val="FootnoteText"/>
      </w:pPr>
      <w:r w:rsidRPr="00D90D6B">
        <w:rPr>
          <w:rStyle w:val="FootnoteReference"/>
        </w:rPr>
        <w:footnoteRef/>
      </w:r>
      <w:r w:rsidRPr="00D90D6B">
        <w:t xml:space="preserve"> </w:t>
      </w:r>
      <w:r w:rsidRPr="00D90D6B">
        <w:rPr>
          <w:i/>
        </w:rPr>
        <w:t>In re Telmex/Sprint Comms., LLC</w:t>
      </w:r>
      <w:r w:rsidRPr="00D90D6B">
        <w:t>, Order, 13 FCC Rcd 15678 (IB 1998).</w:t>
      </w:r>
    </w:p>
  </w:footnote>
  <w:footnote w:id="38">
    <w:p w:rsidR="00625F4F" w:rsidRPr="00D90D6B" w:rsidP="000A704A" w14:paraId="618D64EB" w14:textId="77777777">
      <w:pPr>
        <w:pStyle w:val="FootnoteText"/>
      </w:pPr>
      <w:r w:rsidRPr="00D90D6B">
        <w:rPr>
          <w:rStyle w:val="FootnoteReference"/>
        </w:rPr>
        <w:footnoteRef/>
      </w:r>
      <w:r w:rsidRPr="00D90D6B">
        <w:t xml:space="preserve"> </w:t>
      </w:r>
      <w:r w:rsidRPr="00D90D6B">
        <w:rPr>
          <w:i/>
        </w:rPr>
        <w:t xml:space="preserve">See </w:t>
      </w:r>
      <w:r w:rsidRPr="00D90D6B">
        <w:t>Petition for Stay at 12-13.</w:t>
      </w:r>
    </w:p>
  </w:footnote>
  <w:footnote w:id="39">
    <w:p w:rsidR="00625F4F" w:rsidRPr="00D90D6B" w14:paraId="08656BCF" w14:textId="77777777">
      <w:pPr>
        <w:pStyle w:val="FootnoteText"/>
      </w:pPr>
      <w:r w:rsidRPr="00D90D6B">
        <w:rPr>
          <w:rStyle w:val="FootnoteReference"/>
        </w:rPr>
        <w:footnoteRef/>
      </w:r>
      <w:r w:rsidRPr="00D90D6B">
        <w:t xml:space="preserve"> </w:t>
      </w:r>
      <w:r w:rsidRPr="00D90D6B">
        <w:rPr>
          <w:i/>
        </w:rPr>
        <w:t>See Wisconsin Gas Co.</w:t>
      </w:r>
      <w:r w:rsidRPr="00D90D6B">
        <w:t>, 758 F.2d. at 674.</w:t>
      </w:r>
    </w:p>
  </w:footnote>
  <w:footnote w:id="40">
    <w:p w:rsidR="00625F4F" w:rsidRPr="00D90D6B" w14:paraId="35E58EE9" w14:textId="77777777">
      <w:pPr>
        <w:pStyle w:val="FootnoteText"/>
      </w:pPr>
      <w:r w:rsidRPr="00D90D6B">
        <w:rPr>
          <w:rStyle w:val="FootnoteReference"/>
        </w:rPr>
        <w:footnoteRef/>
      </w:r>
      <w:r w:rsidRPr="00D90D6B">
        <w:t xml:space="preserve"> Petition for Stay at 14.</w:t>
      </w:r>
    </w:p>
  </w:footnote>
  <w:footnote w:id="41">
    <w:p w:rsidR="00625F4F" w:rsidRPr="00D90D6B" w:rsidP="00F72902" w14:paraId="42A848A7" w14:textId="2002775D">
      <w:pPr>
        <w:pStyle w:val="FootnoteText"/>
      </w:pPr>
      <w:r w:rsidRPr="00D90D6B">
        <w:rPr>
          <w:rStyle w:val="FootnoteReference"/>
        </w:rPr>
        <w:footnoteRef/>
      </w:r>
      <w:r w:rsidRPr="00D90D6B">
        <w:t xml:space="preserve"> Joint Opposition at 14-15 &amp; n.62 (stating that forcing the parties to “unravel” a transaction via stay “would, absent a compelling reason, unnecessarily unsettle a complex multi-million dollar business transaction and the professional lives of the [parties’] employees,” and that requiring the seller to return funds to the buyer presents a “financial issue having a potential spill-over effect” on employees and the public.) (</w:t>
      </w:r>
      <w:r w:rsidRPr="00D90D6B">
        <w:rPr>
          <w:i/>
        </w:rPr>
        <w:t>citing</w:t>
      </w:r>
      <w:r w:rsidRPr="00D90D6B">
        <w:t xml:space="preserve"> </w:t>
      </w:r>
      <w:r w:rsidRPr="00D90D6B">
        <w:rPr>
          <w:i/>
        </w:rPr>
        <w:t>Applications of Cumulus Licensing Corp.</w:t>
      </w:r>
      <w:r w:rsidRPr="00D90D6B">
        <w:t xml:space="preserve">, Order, 16 FCC Rcd 1052, 1055 para.  9 (2001)). </w:t>
      </w:r>
      <w:r w:rsidRPr="00D90D6B" w:rsidR="00D93DFD">
        <w:t xml:space="preserve">The parties closed on this transaction on </w:t>
      </w:r>
      <w:r w:rsidRPr="00CE4AA6" w:rsidR="00D93DFD">
        <w:t xml:space="preserve">February </w:t>
      </w:r>
      <w:r w:rsidRPr="00CE4AA6" w:rsidR="00A1062A">
        <w:t>28</w:t>
      </w:r>
      <w:r w:rsidRPr="00CE4AA6" w:rsidR="00D93DFD">
        <w:t>, 2018</w:t>
      </w:r>
      <w:r w:rsidRPr="00D90D6B" w:rsidR="00D93DFD">
        <w:t xml:space="preserve">.  </w:t>
      </w:r>
      <w:r w:rsidR="005B203D">
        <w:rPr>
          <w:i/>
        </w:rPr>
        <w:t xml:space="preserve">See </w:t>
      </w:r>
      <w:r w:rsidRPr="005B203D" w:rsidR="005B203D">
        <w:rPr>
          <w:i/>
        </w:rPr>
        <w:t>Straight Path Communications Announces Completion of Merger with Verizon</w:t>
      </w:r>
      <w:r w:rsidR="005B203D">
        <w:t xml:space="preserve">, Press Release (Mar. 1, 2018), </w:t>
      </w:r>
      <w:r w:rsidR="005B203D">
        <w:rPr>
          <w:i/>
        </w:rPr>
        <w:t>available at</w:t>
      </w:r>
      <w:r w:rsidR="005B203D">
        <w:t xml:space="preserve"> </w:t>
      </w:r>
      <w:r>
        <w:fldChar w:fldCharType="begin"/>
      </w:r>
      <w:r>
        <w:instrText xml:space="preserve"> HYPERLINK "https://www.businesswire.com/news/home/20180228005817/en/Straight-Path-Communications-Announces-Completion-Merger-Verizon" </w:instrText>
      </w:r>
      <w:r>
        <w:fldChar w:fldCharType="separate"/>
      </w:r>
      <w:r w:rsidRPr="005B203D" w:rsidR="005B203D">
        <w:rPr>
          <w:rStyle w:val="Hyperlink"/>
        </w:rPr>
        <w:t>https://www.businesswire.com/news/home/20180228005817/en/Straight-Path-Communications-Announces-Completion-Merger-Verizon</w:t>
      </w:r>
      <w:r>
        <w:fldChar w:fldCharType="end"/>
      </w:r>
      <w:r w:rsidR="002871AC">
        <w:t>.</w:t>
      </w:r>
      <w:r w:rsidRPr="00D90D6B">
        <w:t xml:space="preserve"> </w:t>
      </w:r>
    </w:p>
  </w:footnote>
  <w:footnote w:id="42">
    <w:p w:rsidR="00625F4F" w:rsidRPr="00D90D6B" w14:paraId="4CF7F77F" w14:textId="77777777">
      <w:pPr>
        <w:pStyle w:val="FootnoteText"/>
      </w:pPr>
      <w:r w:rsidRPr="00D90D6B">
        <w:rPr>
          <w:rStyle w:val="FootnoteReference"/>
        </w:rPr>
        <w:footnoteRef/>
      </w:r>
      <w:r w:rsidRPr="00D90D6B">
        <w:t xml:space="preserve"> Joint Opposition at 14.</w:t>
      </w:r>
    </w:p>
  </w:footnote>
  <w:footnote w:id="43">
    <w:p w:rsidR="00625F4F" w:rsidRPr="00D90D6B" w14:paraId="5FDEB241" w14:textId="77777777">
      <w:pPr>
        <w:pStyle w:val="FootnoteText"/>
      </w:pPr>
      <w:r w:rsidRPr="00D90D6B">
        <w:rPr>
          <w:rStyle w:val="FootnoteReference"/>
        </w:rPr>
        <w:footnoteRef/>
      </w:r>
      <w:r w:rsidRPr="00D90D6B">
        <w:t xml:space="preserve"> Petition for Stay at 14.</w:t>
      </w:r>
    </w:p>
  </w:footnote>
  <w:footnote w:id="44">
    <w:p w:rsidR="00625F4F" w:rsidRPr="00D90D6B" w14:paraId="7D694FC3" w14:textId="77777777">
      <w:pPr>
        <w:pStyle w:val="FootnoteText"/>
      </w:pPr>
      <w:r w:rsidRPr="00D90D6B">
        <w:rPr>
          <w:rStyle w:val="FootnoteReference"/>
        </w:rPr>
        <w:footnoteRef/>
      </w:r>
      <w:r w:rsidRPr="00D90D6B">
        <w:t xml:space="preserve"> Petition for Stay at 15.</w:t>
      </w:r>
    </w:p>
  </w:footnote>
  <w:footnote w:id="45">
    <w:p w:rsidR="00625F4F" w:rsidRPr="00D90D6B" w14:paraId="4C25D81C" w14:textId="77777777">
      <w:pPr>
        <w:pStyle w:val="FootnoteText"/>
      </w:pPr>
      <w:r w:rsidRPr="00D90D6B">
        <w:rPr>
          <w:rStyle w:val="FootnoteReference"/>
        </w:rPr>
        <w:footnoteRef/>
      </w:r>
      <w:r w:rsidRPr="00D90D6B">
        <w:t xml:space="preserve"> Joint Opposition at 15.</w:t>
      </w:r>
    </w:p>
  </w:footnote>
  <w:footnote w:id="46">
    <w:p w:rsidR="00625F4F" w:rsidRPr="00D90D6B" w14:paraId="62E09624" w14:textId="77777777">
      <w:pPr>
        <w:pStyle w:val="FootnoteText"/>
      </w:pPr>
      <w:r w:rsidRPr="00D90D6B">
        <w:rPr>
          <w:rStyle w:val="FootnoteReference"/>
        </w:rPr>
        <w:footnoteRef/>
      </w:r>
      <w:r w:rsidRPr="00D90D6B">
        <w:t xml:space="preserve"> Joint Opposition at 16.</w:t>
      </w:r>
    </w:p>
  </w:footnote>
  <w:footnote w:id="47">
    <w:p w:rsidR="00124FAF" w:rsidRPr="00D90D6B" w14:paraId="5CECD977" w14:textId="77777777">
      <w:pPr>
        <w:pStyle w:val="FootnoteText"/>
      </w:pPr>
      <w:r w:rsidRPr="00D90D6B">
        <w:rPr>
          <w:rStyle w:val="FootnoteReference"/>
        </w:rPr>
        <w:footnoteRef/>
      </w:r>
      <w:r w:rsidRPr="00D90D6B">
        <w:t xml:space="preserve"> </w:t>
      </w:r>
      <w:r w:rsidRPr="00D90D6B">
        <w:rPr>
          <w:i/>
        </w:rPr>
        <w:t>See, e.g., NTCH</w:t>
      </w:r>
      <w:r w:rsidRPr="00D90D6B" w:rsidR="00F40033">
        <w:rPr>
          <w:i/>
        </w:rPr>
        <w:t xml:space="preserve">, Inc. v. FCC, </w:t>
      </w:r>
      <w:r w:rsidRPr="00D90D6B" w:rsidR="00F40033">
        <w:t>841 F.3d 497, 502-03 (D.C. Cir. 2016).</w:t>
      </w:r>
    </w:p>
  </w:footnote>
  <w:footnote w:id="48">
    <w:p w:rsidR="00D93DFD" w:rsidRPr="00D90D6B" w14:paraId="055F83C6" w14:textId="77777777">
      <w:pPr>
        <w:pStyle w:val="FootnoteText"/>
      </w:pPr>
      <w:r w:rsidRPr="00D90D6B">
        <w:rPr>
          <w:rStyle w:val="FootnoteReference"/>
        </w:rPr>
        <w:footnoteRef/>
      </w:r>
      <w:r w:rsidRPr="00D90D6B">
        <w:t xml:space="preserve"> </w:t>
      </w:r>
      <w:r w:rsidRPr="00D90D6B">
        <w:rPr>
          <w:i/>
        </w:rPr>
        <w:t xml:space="preserve">See </w:t>
      </w:r>
      <w:r w:rsidRPr="00D90D6B">
        <w:t>47 U.S.C. § 309(j)(7)(A) (Commission may not premise public interest finding, in determining whether to assign a band of frequencies to a use for which licenses will be issued through auction, on “the expectation of Federal revenues from the use of” auctions).</w:t>
      </w:r>
    </w:p>
  </w:footnote>
  <w:footnote w:id="49">
    <w:p w:rsidR="00625F4F" w:rsidRPr="00C52880" w14:paraId="3C4EF8BB" w14:textId="77777777">
      <w:pPr>
        <w:pStyle w:val="FootnoteText"/>
      </w:pPr>
      <w:r w:rsidRPr="00D90D6B">
        <w:rPr>
          <w:rStyle w:val="FootnoteReference"/>
        </w:rPr>
        <w:footnoteRef/>
      </w:r>
      <w:r w:rsidRPr="00D90D6B">
        <w:t xml:space="preserve"> </w:t>
      </w:r>
      <w:r w:rsidRPr="00D90D6B">
        <w:rPr>
          <w:i/>
        </w:rPr>
        <w:t>MO&amp;O</w:t>
      </w:r>
      <w:r w:rsidRPr="00D90D6B">
        <w:t>, 33 FCC Rcd at 198,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2F59" w14:paraId="1F9D25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F4F" w:rsidP="00810B6F" w14:paraId="7E68D64A" w14:textId="6C604BBE">
    <w:pPr>
      <w:pStyle w:val="Header"/>
      <w:rPr>
        <w:b w:val="0"/>
      </w:rPr>
    </w:pPr>
    <w:r>
      <w:tab/>
      <w:t>Federal Communications Commission</w:t>
    </w:r>
    <w:r>
      <w:tab/>
      <w:t>DA 18-</w:t>
    </w:r>
    <w:r w:rsidR="009D524F">
      <w:t>328</w:t>
    </w:r>
  </w:p>
  <w:p w:rsidR="00625F4F" w14:paraId="16F1BF6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25F4F" w14:paraId="5349C43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F4F" w:rsidP="00810B6F" w14:paraId="7E5520B6" w14:textId="060456A6">
    <w:pPr>
      <w:pStyle w:val="Header"/>
      <w:rPr>
        <w:b w:val="0"/>
      </w:rPr>
    </w:pPr>
    <w:r w:rsidRPr="00CA4BCE">
      <w:rPr>
        <w:noProof/>
        <w:highlight w:val="yellow"/>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9D524F">
      <w:rPr>
        <w:spacing w:val="-2"/>
      </w:rPr>
      <w:t>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72933"/>
    <w:multiLevelType w:val="hybridMultilevel"/>
    <w:tmpl w:val="00BC73C0"/>
    <w:lvl w:ilvl="0">
      <w:start w:val="1"/>
      <w:numFmt w:val="upperRoman"/>
      <w:lvlText w:val="%1."/>
      <w:lvlJc w:val="righ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C202D6"/>
    <w:multiLevelType w:val="hybridMultilevel"/>
    <w:tmpl w:val="83C6B76A"/>
    <w:lvl w:ilvl="0">
      <w:start w:val="0"/>
      <w:numFmt w:val="bullet"/>
      <w:lvlText w:val="-"/>
      <w:lvlJc w:val="left"/>
      <w:pPr>
        <w:ind w:left="360" w:hanging="360"/>
      </w:pPr>
      <w:rPr>
        <w:rFonts w:ascii="Calibri" w:hAnsi="Calibri" w:eastAsiaTheme="minorHAnsi" w:cs="Calibri" w:hint="default"/>
        <w:sz w:val="18"/>
        <w:szCs w:val="18"/>
      </w:rPr>
    </w:lvl>
    <w:lvl w:ilvl="1">
      <w:start w:val="1"/>
      <w:numFmt w:val="bullet"/>
      <w:lvlText w:val="o"/>
      <w:lvlJc w:val="left"/>
      <w:pPr>
        <w:ind w:left="1080" w:hanging="360"/>
      </w:pPr>
      <w:rPr>
        <w:rFonts w:ascii="Courier New" w:hAnsi="Courier New" w:cs="Courier New" w:hint="default"/>
        <w:i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6D2143"/>
    <w:multiLevelType w:val="hybridMultilevel"/>
    <w:tmpl w:val="921E120A"/>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76F1E2"/>
    <w:lvl w:ilvl="0">
      <w:start w:val="1"/>
      <w:numFmt w:val="upperRoman"/>
      <w:lvlText w:val="%1."/>
      <w:lvlJc w:val="left"/>
      <w:pPr>
        <w:tabs>
          <w:tab w:val="num" w:pos="5850"/>
        </w:tabs>
        <w:ind w:left="585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9A94ACBE"/>
    <w:lvl w:ilvl="0">
      <w:start w:val="1"/>
      <w:numFmt w:val="decimal"/>
      <w:pStyle w:val="ParaNum"/>
      <w:lvlText w:val="%1."/>
      <w:lvlJc w:val="left"/>
      <w:pPr>
        <w:tabs>
          <w:tab w:val="num" w:pos="5760"/>
        </w:tabs>
        <w:ind w:left="4680" w:firstLine="720"/>
      </w:pPr>
      <w:rPr>
        <w:b w:val="0"/>
        <w:i w:val="0"/>
      </w:rPr>
    </w:lvl>
  </w:abstractNum>
  <w:abstractNum w:abstractNumId="9">
    <w:nsid w:val="61374DBB"/>
    <w:multiLevelType w:val="hybridMultilevel"/>
    <w:tmpl w:val="8A28B33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18396A"/>
    <w:multiLevelType w:val="hybridMultilevel"/>
    <w:tmpl w:val="A6442EC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5"/>
  </w:num>
  <w:num w:numId="6">
    <w:abstractNumId w:val="0"/>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num>
  <w:num w:numId="11">
    <w:abstractNumId w:val="8"/>
  </w:num>
  <w:num w:numId="12">
    <w:abstractNumId w:val="4"/>
  </w:num>
  <w:num w:numId="13">
    <w:abstractNumId w:val="1"/>
  </w:num>
  <w:num w:numId="14">
    <w:abstractNumId w:val="2"/>
  </w:num>
  <w:num w:numId="15">
    <w:abstractNumId w:val="8"/>
  </w:num>
  <w:num w:numId="16">
    <w:abstractNumId w:val="8"/>
  </w:num>
  <w:num w:numId="17">
    <w:abstractNumId w:val="10"/>
  </w:num>
  <w:num w:numId="18">
    <w:abstractNumId w:val="9"/>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81"/>
    <w:rsid w:val="0000050C"/>
    <w:rsid w:val="000009E6"/>
    <w:rsid w:val="00000AF1"/>
    <w:rsid w:val="0000398E"/>
    <w:rsid w:val="000053D4"/>
    <w:rsid w:val="00006F4E"/>
    <w:rsid w:val="000076A2"/>
    <w:rsid w:val="0001039D"/>
    <w:rsid w:val="00010EA6"/>
    <w:rsid w:val="00013A2A"/>
    <w:rsid w:val="0001742F"/>
    <w:rsid w:val="00017F04"/>
    <w:rsid w:val="000212E2"/>
    <w:rsid w:val="00022A4C"/>
    <w:rsid w:val="00023A71"/>
    <w:rsid w:val="0002487B"/>
    <w:rsid w:val="00025928"/>
    <w:rsid w:val="00027823"/>
    <w:rsid w:val="00027AC6"/>
    <w:rsid w:val="00030E1D"/>
    <w:rsid w:val="00030FE5"/>
    <w:rsid w:val="00031AC5"/>
    <w:rsid w:val="00036039"/>
    <w:rsid w:val="000376A4"/>
    <w:rsid w:val="00037F90"/>
    <w:rsid w:val="00047060"/>
    <w:rsid w:val="00047256"/>
    <w:rsid w:val="00052B20"/>
    <w:rsid w:val="0005478C"/>
    <w:rsid w:val="0005757A"/>
    <w:rsid w:val="000604C9"/>
    <w:rsid w:val="000613C2"/>
    <w:rsid w:val="000656E9"/>
    <w:rsid w:val="00066144"/>
    <w:rsid w:val="000662D8"/>
    <w:rsid w:val="00066957"/>
    <w:rsid w:val="00066E7F"/>
    <w:rsid w:val="00072FFB"/>
    <w:rsid w:val="0007461B"/>
    <w:rsid w:val="000751E5"/>
    <w:rsid w:val="000751EF"/>
    <w:rsid w:val="0007582A"/>
    <w:rsid w:val="0007748A"/>
    <w:rsid w:val="00080128"/>
    <w:rsid w:val="00084B2E"/>
    <w:rsid w:val="00085A1F"/>
    <w:rsid w:val="000875BF"/>
    <w:rsid w:val="0009080C"/>
    <w:rsid w:val="00091F09"/>
    <w:rsid w:val="000935EE"/>
    <w:rsid w:val="00096496"/>
    <w:rsid w:val="00096D8C"/>
    <w:rsid w:val="0009779A"/>
    <w:rsid w:val="000A1CD5"/>
    <w:rsid w:val="000A4300"/>
    <w:rsid w:val="000A704A"/>
    <w:rsid w:val="000A70FC"/>
    <w:rsid w:val="000B46ED"/>
    <w:rsid w:val="000B4741"/>
    <w:rsid w:val="000B5355"/>
    <w:rsid w:val="000B5860"/>
    <w:rsid w:val="000B7BF5"/>
    <w:rsid w:val="000C0B65"/>
    <w:rsid w:val="000C3C0B"/>
    <w:rsid w:val="000C6485"/>
    <w:rsid w:val="000C7879"/>
    <w:rsid w:val="000D18AD"/>
    <w:rsid w:val="000D1B15"/>
    <w:rsid w:val="000D1C8E"/>
    <w:rsid w:val="000D3E6F"/>
    <w:rsid w:val="000D7852"/>
    <w:rsid w:val="000E05FE"/>
    <w:rsid w:val="000E2362"/>
    <w:rsid w:val="000E2465"/>
    <w:rsid w:val="000E25AC"/>
    <w:rsid w:val="000E2B64"/>
    <w:rsid w:val="000E3D42"/>
    <w:rsid w:val="000E4742"/>
    <w:rsid w:val="000E666D"/>
    <w:rsid w:val="000E7B25"/>
    <w:rsid w:val="000F0368"/>
    <w:rsid w:val="000F1D9A"/>
    <w:rsid w:val="000F2360"/>
    <w:rsid w:val="000F4611"/>
    <w:rsid w:val="000F48BB"/>
    <w:rsid w:val="000F75D4"/>
    <w:rsid w:val="0010185A"/>
    <w:rsid w:val="00101FD9"/>
    <w:rsid w:val="001032B7"/>
    <w:rsid w:val="00103933"/>
    <w:rsid w:val="001042F0"/>
    <w:rsid w:val="0011008D"/>
    <w:rsid w:val="001122E1"/>
    <w:rsid w:val="0011365D"/>
    <w:rsid w:val="00115C76"/>
    <w:rsid w:val="00117D5F"/>
    <w:rsid w:val="001210B6"/>
    <w:rsid w:val="00122BD5"/>
    <w:rsid w:val="00123059"/>
    <w:rsid w:val="001244CD"/>
    <w:rsid w:val="00124B79"/>
    <w:rsid w:val="00124FAF"/>
    <w:rsid w:val="00125C21"/>
    <w:rsid w:val="001278E5"/>
    <w:rsid w:val="00133F79"/>
    <w:rsid w:val="00134B23"/>
    <w:rsid w:val="001355FC"/>
    <w:rsid w:val="00136705"/>
    <w:rsid w:val="0013673D"/>
    <w:rsid w:val="001374E9"/>
    <w:rsid w:val="001400AC"/>
    <w:rsid w:val="001408CB"/>
    <w:rsid w:val="00142A20"/>
    <w:rsid w:val="00144CE0"/>
    <w:rsid w:val="00145B8A"/>
    <w:rsid w:val="00146FBE"/>
    <w:rsid w:val="00152541"/>
    <w:rsid w:val="00152CC0"/>
    <w:rsid w:val="0015450F"/>
    <w:rsid w:val="0015462F"/>
    <w:rsid w:val="00154C2F"/>
    <w:rsid w:val="00155398"/>
    <w:rsid w:val="001555B0"/>
    <w:rsid w:val="00155A57"/>
    <w:rsid w:val="00160DA6"/>
    <w:rsid w:val="0016110D"/>
    <w:rsid w:val="001619C6"/>
    <w:rsid w:val="00162989"/>
    <w:rsid w:val="00162C3B"/>
    <w:rsid w:val="00164B48"/>
    <w:rsid w:val="00166C55"/>
    <w:rsid w:val="00166E8A"/>
    <w:rsid w:val="00170A48"/>
    <w:rsid w:val="00176FEF"/>
    <w:rsid w:val="001772D9"/>
    <w:rsid w:val="001805B3"/>
    <w:rsid w:val="00181130"/>
    <w:rsid w:val="00185151"/>
    <w:rsid w:val="00185621"/>
    <w:rsid w:val="00190542"/>
    <w:rsid w:val="001929EC"/>
    <w:rsid w:val="00192B12"/>
    <w:rsid w:val="00192B67"/>
    <w:rsid w:val="00194A66"/>
    <w:rsid w:val="00194D32"/>
    <w:rsid w:val="00195B07"/>
    <w:rsid w:val="00195D39"/>
    <w:rsid w:val="001977AE"/>
    <w:rsid w:val="001A017D"/>
    <w:rsid w:val="001A0519"/>
    <w:rsid w:val="001A0AF8"/>
    <w:rsid w:val="001A1FCF"/>
    <w:rsid w:val="001A24EA"/>
    <w:rsid w:val="001A2ADF"/>
    <w:rsid w:val="001A3830"/>
    <w:rsid w:val="001A539C"/>
    <w:rsid w:val="001A6254"/>
    <w:rsid w:val="001A73DC"/>
    <w:rsid w:val="001B0B4B"/>
    <w:rsid w:val="001B10D0"/>
    <w:rsid w:val="001B1EF9"/>
    <w:rsid w:val="001B32B0"/>
    <w:rsid w:val="001B3722"/>
    <w:rsid w:val="001B52A1"/>
    <w:rsid w:val="001B7572"/>
    <w:rsid w:val="001B7CB1"/>
    <w:rsid w:val="001C0BC6"/>
    <w:rsid w:val="001C12CC"/>
    <w:rsid w:val="001C2C8B"/>
    <w:rsid w:val="001C347A"/>
    <w:rsid w:val="001C4374"/>
    <w:rsid w:val="001C6DFB"/>
    <w:rsid w:val="001C7E1D"/>
    <w:rsid w:val="001D05C9"/>
    <w:rsid w:val="001D05FE"/>
    <w:rsid w:val="001D16D8"/>
    <w:rsid w:val="001D2776"/>
    <w:rsid w:val="001D3750"/>
    <w:rsid w:val="001D4FD8"/>
    <w:rsid w:val="001D594A"/>
    <w:rsid w:val="001D5C6A"/>
    <w:rsid w:val="001D6A1B"/>
    <w:rsid w:val="001D6BCF"/>
    <w:rsid w:val="001D76F2"/>
    <w:rsid w:val="001E01CA"/>
    <w:rsid w:val="001E096F"/>
    <w:rsid w:val="001E125F"/>
    <w:rsid w:val="001E38A8"/>
    <w:rsid w:val="001E4287"/>
    <w:rsid w:val="001E4662"/>
    <w:rsid w:val="001E4ACD"/>
    <w:rsid w:val="001E4D25"/>
    <w:rsid w:val="001F0EE9"/>
    <w:rsid w:val="001F24F2"/>
    <w:rsid w:val="001F2E23"/>
    <w:rsid w:val="001F328F"/>
    <w:rsid w:val="001F36CB"/>
    <w:rsid w:val="001F49F5"/>
    <w:rsid w:val="001F6E9D"/>
    <w:rsid w:val="001F78BD"/>
    <w:rsid w:val="00200E89"/>
    <w:rsid w:val="002013C5"/>
    <w:rsid w:val="002014D7"/>
    <w:rsid w:val="0020287A"/>
    <w:rsid w:val="00203E7F"/>
    <w:rsid w:val="00205E8D"/>
    <w:rsid w:val="00206F36"/>
    <w:rsid w:val="002073F4"/>
    <w:rsid w:val="002107A2"/>
    <w:rsid w:val="00210E42"/>
    <w:rsid w:val="002135DD"/>
    <w:rsid w:val="00213F52"/>
    <w:rsid w:val="00214578"/>
    <w:rsid w:val="00215B65"/>
    <w:rsid w:val="00216A03"/>
    <w:rsid w:val="00216DCD"/>
    <w:rsid w:val="00220916"/>
    <w:rsid w:val="00220B29"/>
    <w:rsid w:val="002218DB"/>
    <w:rsid w:val="00221F12"/>
    <w:rsid w:val="002249F3"/>
    <w:rsid w:val="00227968"/>
    <w:rsid w:val="00231FDE"/>
    <w:rsid w:val="0023409D"/>
    <w:rsid w:val="002340DB"/>
    <w:rsid w:val="00234CD6"/>
    <w:rsid w:val="0023535D"/>
    <w:rsid w:val="002375F3"/>
    <w:rsid w:val="00240575"/>
    <w:rsid w:val="002405C1"/>
    <w:rsid w:val="00240A3A"/>
    <w:rsid w:val="00242451"/>
    <w:rsid w:val="0024368B"/>
    <w:rsid w:val="0024437C"/>
    <w:rsid w:val="002449E5"/>
    <w:rsid w:val="00244D54"/>
    <w:rsid w:val="00244D9A"/>
    <w:rsid w:val="002549BD"/>
    <w:rsid w:val="00256559"/>
    <w:rsid w:val="00256A1B"/>
    <w:rsid w:val="00257D38"/>
    <w:rsid w:val="002618EA"/>
    <w:rsid w:val="00263A9F"/>
    <w:rsid w:val="00265C4B"/>
    <w:rsid w:val="00267AB2"/>
    <w:rsid w:val="002701A2"/>
    <w:rsid w:val="00270290"/>
    <w:rsid w:val="002729F6"/>
    <w:rsid w:val="00273CE5"/>
    <w:rsid w:val="00274967"/>
    <w:rsid w:val="00274C58"/>
    <w:rsid w:val="00274D79"/>
    <w:rsid w:val="0027500E"/>
    <w:rsid w:val="00275CF5"/>
    <w:rsid w:val="00276F14"/>
    <w:rsid w:val="002771CE"/>
    <w:rsid w:val="002808DB"/>
    <w:rsid w:val="002815FE"/>
    <w:rsid w:val="0028301F"/>
    <w:rsid w:val="00283546"/>
    <w:rsid w:val="00284AE0"/>
    <w:rsid w:val="00285017"/>
    <w:rsid w:val="0028619A"/>
    <w:rsid w:val="002871AC"/>
    <w:rsid w:val="00290613"/>
    <w:rsid w:val="00291401"/>
    <w:rsid w:val="002955D4"/>
    <w:rsid w:val="00295BFC"/>
    <w:rsid w:val="00295F89"/>
    <w:rsid w:val="002A2D2E"/>
    <w:rsid w:val="002A4347"/>
    <w:rsid w:val="002A5ABF"/>
    <w:rsid w:val="002A63F9"/>
    <w:rsid w:val="002B2CC6"/>
    <w:rsid w:val="002B6C49"/>
    <w:rsid w:val="002C00E8"/>
    <w:rsid w:val="002C07A0"/>
    <w:rsid w:val="002C0920"/>
    <w:rsid w:val="002C2094"/>
    <w:rsid w:val="002C4F87"/>
    <w:rsid w:val="002C52FA"/>
    <w:rsid w:val="002C598C"/>
    <w:rsid w:val="002C655D"/>
    <w:rsid w:val="002D48D3"/>
    <w:rsid w:val="002D7CE4"/>
    <w:rsid w:val="002E4C15"/>
    <w:rsid w:val="002E640B"/>
    <w:rsid w:val="002E658F"/>
    <w:rsid w:val="002E695B"/>
    <w:rsid w:val="002F07C1"/>
    <w:rsid w:val="002F0A0C"/>
    <w:rsid w:val="002F2246"/>
    <w:rsid w:val="002F5517"/>
    <w:rsid w:val="002F6A09"/>
    <w:rsid w:val="003017B5"/>
    <w:rsid w:val="00301DC7"/>
    <w:rsid w:val="00302B36"/>
    <w:rsid w:val="00302B4F"/>
    <w:rsid w:val="003032D9"/>
    <w:rsid w:val="003056D7"/>
    <w:rsid w:val="00305FDE"/>
    <w:rsid w:val="0030796D"/>
    <w:rsid w:val="003100C4"/>
    <w:rsid w:val="00311052"/>
    <w:rsid w:val="00313F51"/>
    <w:rsid w:val="0031602F"/>
    <w:rsid w:val="003160A7"/>
    <w:rsid w:val="00316C7E"/>
    <w:rsid w:val="00321319"/>
    <w:rsid w:val="003220ED"/>
    <w:rsid w:val="00322553"/>
    <w:rsid w:val="00322744"/>
    <w:rsid w:val="00323D86"/>
    <w:rsid w:val="00323E2A"/>
    <w:rsid w:val="003272C0"/>
    <w:rsid w:val="003272ED"/>
    <w:rsid w:val="00327379"/>
    <w:rsid w:val="00330739"/>
    <w:rsid w:val="0033409E"/>
    <w:rsid w:val="003364E5"/>
    <w:rsid w:val="00336825"/>
    <w:rsid w:val="00337AD4"/>
    <w:rsid w:val="00341387"/>
    <w:rsid w:val="00343749"/>
    <w:rsid w:val="003453AE"/>
    <w:rsid w:val="00346E11"/>
    <w:rsid w:val="0035129E"/>
    <w:rsid w:val="00352B67"/>
    <w:rsid w:val="00352F0E"/>
    <w:rsid w:val="00353499"/>
    <w:rsid w:val="0035368E"/>
    <w:rsid w:val="00355A86"/>
    <w:rsid w:val="00357E93"/>
    <w:rsid w:val="003604B2"/>
    <w:rsid w:val="003609C3"/>
    <w:rsid w:val="003619F3"/>
    <w:rsid w:val="003660ED"/>
    <w:rsid w:val="00366D94"/>
    <w:rsid w:val="00372AE4"/>
    <w:rsid w:val="003734E7"/>
    <w:rsid w:val="00375343"/>
    <w:rsid w:val="0038019E"/>
    <w:rsid w:val="0038423E"/>
    <w:rsid w:val="003858F6"/>
    <w:rsid w:val="00387D89"/>
    <w:rsid w:val="00392335"/>
    <w:rsid w:val="00394736"/>
    <w:rsid w:val="00394DDC"/>
    <w:rsid w:val="0039590C"/>
    <w:rsid w:val="003979CE"/>
    <w:rsid w:val="00397AFE"/>
    <w:rsid w:val="003A2D95"/>
    <w:rsid w:val="003A47CE"/>
    <w:rsid w:val="003A722E"/>
    <w:rsid w:val="003A7714"/>
    <w:rsid w:val="003A7ABB"/>
    <w:rsid w:val="003B0550"/>
    <w:rsid w:val="003B2773"/>
    <w:rsid w:val="003B2E0D"/>
    <w:rsid w:val="003B4A1B"/>
    <w:rsid w:val="003B5C49"/>
    <w:rsid w:val="003B60C5"/>
    <w:rsid w:val="003B614D"/>
    <w:rsid w:val="003B66EE"/>
    <w:rsid w:val="003B694F"/>
    <w:rsid w:val="003C06BF"/>
    <w:rsid w:val="003C2ACE"/>
    <w:rsid w:val="003C665B"/>
    <w:rsid w:val="003C77D8"/>
    <w:rsid w:val="003D026A"/>
    <w:rsid w:val="003D245F"/>
    <w:rsid w:val="003D2BE7"/>
    <w:rsid w:val="003D4C2E"/>
    <w:rsid w:val="003D60A3"/>
    <w:rsid w:val="003D6526"/>
    <w:rsid w:val="003D66C5"/>
    <w:rsid w:val="003D7301"/>
    <w:rsid w:val="003E05CD"/>
    <w:rsid w:val="003E250E"/>
    <w:rsid w:val="003E3209"/>
    <w:rsid w:val="003E3F05"/>
    <w:rsid w:val="003E5A25"/>
    <w:rsid w:val="003E76BB"/>
    <w:rsid w:val="003F016D"/>
    <w:rsid w:val="003F171C"/>
    <w:rsid w:val="003F31EA"/>
    <w:rsid w:val="003F54AB"/>
    <w:rsid w:val="003F5844"/>
    <w:rsid w:val="003F6C1C"/>
    <w:rsid w:val="00403EE3"/>
    <w:rsid w:val="004049DE"/>
    <w:rsid w:val="00405672"/>
    <w:rsid w:val="004069F6"/>
    <w:rsid w:val="00407528"/>
    <w:rsid w:val="004123DF"/>
    <w:rsid w:val="00412BB6"/>
    <w:rsid w:val="00412FC5"/>
    <w:rsid w:val="004131DF"/>
    <w:rsid w:val="00414F67"/>
    <w:rsid w:val="00415A98"/>
    <w:rsid w:val="00416C03"/>
    <w:rsid w:val="0041772F"/>
    <w:rsid w:val="00417774"/>
    <w:rsid w:val="00422276"/>
    <w:rsid w:val="004242F1"/>
    <w:rsid w:val="004269C0"/>
    <w:rsid w:val="00427733"/>
    <w:rsid w:val="004315E2"/>
    <w:rsid w:val="00431D18"/>
    <w:rsid w:val="00431F48"/>
    <w:rsid w:val="00432705"/>
    <w:rsid w:val="0043340E"/>
    <w:rsid w:val="004335A1"/>
    <w:rsid w:val="0044113D"/>
    <w:rsid w:val="004425D9"/>
    <w:rsid w:val="0044532B"/>
    <w:rsid w:val="00445A00"/>
    <w:rsid w:val="004464D5"/>
    <w:rsid w:val="00447444"/>
    <w:rsid w:val="00447ACF"/>
    <w:rsid w:val="00451217"/>
    <w:rsid w:val="004515E0"/>
    <w:rsid w:val="00451B0F"/>
    <w:rsid w:val="004615AC"/>
    <w:rsid w:val="00464CBA"/>
    <w:rsid w:val="004666BB"/>
    <w:rsid w:val="00467EFA"/>
    <w:rsid w:val="0047142A"/>
    <w:rsid w:val="00473887"/>
    <w:rsid w:val="004748FE"/>
    <w:rsid w:val="00475C92"/>
    <w:rsid w:val="004809FA"/>
    <w:rsid w:val="00480EA6"/>
    <w:rsid w:val="004824CF"/>
    <w:rsid w:val="00482861"/>
    <w:rsid w:val="0048603B"/>
    <w:rsid w:val="004961DA"/>
    <w:rsid w:val="004978D5"/>
    <w:rsid w:val="00497DD9"/>
    <w:rsid w:val="004A0827"/>
    <w:rsid w:val="004A17C0"/>
    <w:rsid w:val="004A42DB"/>
    <w:rsid w:val="004A5F11"/>
    <w:rsid w:val="004A75E9"/>
    <w:rsid w:val="004B3737"/>
    <w:rsid w:val="004B453D"/>
    <w:rsid w:val="004B5704"/>
    <w:rsid w:val="004C19D1"/>
    <w:rsid w:val="004C2EE3"/>
    <w:rsid w:val="004C3F9D"/>
    <w:rsid w:val="004D018B"/>
    <w:rsid w:val="004D03A8"/>
    <w:rsid w:val="004D1423"/>
    <w:rsid w:val="004D14C6"/>
    <w:rsid w:val="004D36AE"/>
    <w:rsid w:val="004D60A1"/>
    <w:rsid w:val="004D7AB2"/>
    <w:rsid w:val="004E2136"/>
    <w:rsid w:val="004E38BD"/>
    <w:rsid w:val="004E4A22"/>
    <w:rsid w:val="004E4A6A"/>
    <w:rsid w:val="004E7EF0"/>
    <w:rsid w:val="004F3AFD"/>
    <w:rsid w:val="004F4908"/>
    <w:rsid w:val="004F4F4D"/>
    <w:rsid w:val="004F73E5"/>
    <w:rsid w:val="00500D14"/>
    <w:rsid w:val="00501CFB"/>
    <w:rsid w:val="005057D5"/>
    <w:rsid w:val="00506037"/>
    <w:rsid w:val="00511968"/>
    <w:rsid w:val="005130C3"/>
    <w:rsid w:val="005163B3"/>
    <w:rsid w:val="00517CED"/>
    <w:rsid w:val="00523C54"/>
    <w:rsid w:val="0052506D"/>
    <w:rsid w:val="00525DEB"/>
    <w:rsid w:val="00526446"/>
    <w:rsid w:val="00526678"/>
    <w:rsid w:val="005276D8"/>
    <w:rsid w:val="00530264"/>
    <w:rsid w:val="00531CA4"/>
    <w:rsid w:val="00532073"/>
    <w:rsid w:val="0053362C"/>
    <w:rsid w:val="0053482C"/>
    <w:rsid w:val="0054075B"/>
    <w:rsid w:val="00541AF3"/>
    <w:rsid w:val="00541BFD"/>
    <w:rsid w:val="005430F5"/>
    <w:rsid w:val="005441C0"/>
    <w:rsid w:val="00544285"/>
    <w:rsid w:val="00544FCD"/>
    <w:rsid w:val="00547E1B"/>
    <w:rsid w:val="00551DAE"/>
    <w:rsid w:val="00552BB8"/>
    <w:rsid w:val="0055614C"/>
    <w:rsid w:val="00557699"/>
    <w:rsid w:val="00557D15"/>
    <w:rsid w:val="00562626"/>
    <w:rsid w:val="00564903"/>
    <w:rsid w:val="0056588D"/>
    <w:rsid w:val="00566970"/>
    <w:rsid w:val="00566C4A"/>
    <w:rsid w:val="005711B1"/>
    <w:rsid w:val="005727CA"/>
    <w:rsid w:val="00573321"/>
    <w:rsid w:val="005744B2"/>
    <w:rsid w:val="005759EC"/>
    <w:rsid w:val="00576CB1"/>
    <w:rsid w:val="005774FF"/>
    <w:rsid w:val="00582092"/>
    <w:rsid w:val="00583086"/>
    <w:rsid w:val="00584151"/>
    <w:rsid w:val="00585E05"/>
    <w:rsid w:val="00586CFB"/>
    <w:rsid w:val="00586FDA"/>
    <w:rsid w:val="00591780"/>
    <w:rsid w:val="00592325"/>
    <w:rsid w:val="00592426"/>
    <w:rsid w:val="00592B3F"/>
    <w:rsid w:val="00595DB1"/>
    <w:rsid w:val="005A05B0"/>
    <w:rsid w:val="005A0987"/>
    <w:rsid w:val="005A0A98"/>
    <w:rsid w:val="005A369F"/>
    <w:rsid w:val="005A4D54"/>
    <w:rsid w:val="005A4FBE"/>
    <w:rsid w:val="005A592F"/>
    <w:rsid w:val="005A6898"/>
    <w:rsid w:val="005A6BED"/>
    <w:rsid w:val="005A78F0"/>
    <w:rsid w:val="005B09B5"/>
    <w:rsid w:val="005B0AF3"/>
    <w:rsid w:val="005B126F"/>
    <w:rsid w:val="005B203D"/>
    <w:rsid w:val="005B425F"/>
    <w:rsid w:val="005B48BC"/>
    <w:rsid w:val="005B4AD3"/>
    <w:rsid w:val="005B55F4"/>
    <w:rsid w:val="005C07C5"/>
    <w:rsid w:val="005C1600"/>
    <w:rsid w:val="005C1A15"/>
    <w:rsid w:val="005C607B"/>
    <w:rsid w:val="005C7772"/>
    <w:rsid w:val="005D093F"/>
    <w:rsid w:val="005D0BB8"/>
    <w:rsid w:val="005D1374"/>
    <w:rsid w:val="005D1488"/>
    <w:rsid w:val="005D399C"/>
    <w:rsid w:val="005D53D1"/>
    <w:rsid w:val="005D5627"/>
    <w:rsid w:val="005D5981"/>
    <w:rsid w:val="005E14C2"/>
    <w:rsid w:val="005E2CAF"/>
    <w:rsid w:val="005E58F5"/>
    <w:rsid w:val="005E7410"/>
    <w:rsid w:val="005F1C68"/>
    <w:rsid w:val="005F2E16"/>
    <w:rsid w:val="005F5FB5"/>
    <w:rsid w:val="005F66DA"/>
    <w:rsid w:val="005F78C1"/>
    <w:rsid w:val="005F7DCD"/>
    <w:rsid w:val="006022AD"/>
    <w:rsid w:val="00606EC9"/>
    <w:rsid w:val="00606F1F"/>
    <w:rsid w:val="0060728A"/>
    <w:rsid w:val="00607BA5"/>
    <w:rsid w:val="00607ED7"/>
    <w:rsid w:val="0061180A"/>
    <w:rsid w:val="00612558"/>
    <w:rsid w:val="00612C28"/>
    <w:rsid w:val="006143DD"/>
    <w:rsid w:val="0061520F"/>
    <w:rsid w:val="006152A3"/>
    <w:rsid w:val="00615863"/>
    <w:rsid w:val="00617A2F"/>
    <w:rsid w:val="006206E1"/>
    <w:rsid w:val="00625F4F"/>
    <w:rsid w:val="00626EB6"/>
    <w:rsid w:val="006270D9"/>
    <w:rsid w:val="00627A4A"/>
    <w:rsid w:val="00627E44"/>
    <w:rsid w:val="006304AB"/>
    <w:rsid w:val="00631A50"/>
    <w:rsid w:val="00631E02"/>
    <w:rsid w:val="006328A6"/>
    <w:rsid w:val="006334C8"/>
    <w:rsid w:val="00637659"/>
    <w:rsid w:val="00637A6F"/>
    <w:rsid w:val="006400BB"/>
    <w:rsid w:val="00641A3D"/>
    <w:rsid w:val="0064228B"/>
    <w:rsid w:val="00642425"/>
    <w:rsid w:val="006446B9"/>
    <w:rsid w:val="006460F4"/>
    <w:rsid w:val="00646D67"/>
    <w:rsid w:val="006521B3"/>
    <w:rsid w:val="00652ACD"/>
    <w:rsid w:val="00655136"/>
    <w:rsid w:val="00655D03"/>
    <w:rsid w:val="00656046"/>
    <w:rsid w:val="00657562"/>
    <w:rsid w:val="0065764A"/>
    <w:rsid w:val="00662B95"/>
    <w:rsid w:val="00663083"/>
    <w:rsid w:val="00663DD8"/>
    <w:rsid w:val="0066488B"/>
    <w:rsid w:val="00665BD6"/>
    <w:rsid w:val="006712A1"/>
    <w:rsid w:val="0067295C"/>
    <w:rsid w:val="0067359E"/>
    <w:rsid w:val="00673B4C"/>
    <w:rsid w:val="0067445D"/>
    <w:rsid w:val="006821F3"/>
    <w:rsid w:val="0068330E"/>
    <w:rsid w:val="00683388"/>
    <w:rsid w:val="00683F84"/>
    <w:rsid w:val="00691DE9"/>
    <w:rsid w:val="00696F19"/>
    <w:rsid w:val="006975EA"/>
    <w:rsid w:val="006A35DF"/>
    <w:rsid w:val="006A41F8"/>
    <w:rsid w:val="006A5B6F"/>
    <w:rsid w:val="006A5DF6"/>
    <w:rsid w:val="006A6A81"/>
    <w:rsid w:val="006A7756"/>
    <w:rsid w:val="006A7AAC"/>
    <w:rsid w:val="006B0950"/>
    <w:rsid w:val="006B0A7C"/>
    <w:rsid w:val="006B4905"/>
    <w:rsid w:val="006B499C"/>
    <w:rsid w:val="006B4E75"/>
    <w:rsid w:val="006B4F56"/>
    <w:rsid w:val="006B61AE"/>
    <w:rsid w:val="006B6375"/>
    <w:rsid w:val="006B6870"/>
    <w:rsid w:val="006C33C7"/>
    <w:rsid w:val="006C3858"/>
    <w:rsid w:val="006C3923"/>
    <w:rsid w:val="006C41CC"/>
    <w:rsid w:val="006C54C8"/>
    <w:rsid w:val="006C6867"/>
    <w:rsid w:val="006C7E53"/>
    <w:rsid w:val="006D01CC"/>
    <w:rsid w:val="006D0617"/>
    <w:rsid w:val="006D1162"/>
    <w:rsid w:val="006D7162"/>
    <w:rsid w:val="006D76F1"/>
    <w:rsid w:val="006E476A"/>
    <w:rsid w:val="006E480B"/>
    <w:rsid w:val="006E5217"/>
    <w:rsid w:val="006E7481"/>
    <w:rsid w:val="006F2557"/>
    <w:rsid w:val="006F35EA"/>
    <w:rsid w:val="006F3ABE"/>
    <w:rsid w:val="006F435F"/>
    <w:rsid w:val="006F6F38"/>
    <w:rsid w:val="006F7393"/>
    <w:rsid w:val="006F75F0"/>
    <w:rsid w:val="0070224F"/>
    <w:rsid w:val="007026D5"/>
    <w:rsid w:val="00704546"/>
    <w:rsid w:val="00704C87"/>
    <w:rsid w:val="0070579D"/>
    <w:rsid w:val="007070CC"/>
    <w:rsid w:val="007115F7"/>
    <w:rsid w:val="00711CA4"/>
    <w:rsid w:val="00712455"/>
    <w:rsid w:val="007132A0"/>
    <w:rsid w:val="007143C3"/>
    <w:rsid w:val="007176C4"/>
    <w:rsid w:val="00717CF6"/>
    <w:rsid w:val="00720325"/>
    <w:rsid w:val="00720F46"/>
    <w:rsid w:val="00724B46"/>
    <w:rsid w:val="00725637"/>
    <w:rsid w:val="007267D7"/>
    <w:rsid w:val="00726B06"/>
    <w:rsid w:val="00727AB3"/>
    <w:rsid w:val="00731476"/>
    <w:rsid w:val="00732EDA"/>
    <w:rsid w:val="00733666"/>
    <w:rsid w:val="007348C7"/>
    <w:rsid w:val="00734B49"/>
    <w:rsid w:val="00734C53"/>
    <w:rsid w:val="0073581C"/>
    <w:rsid w:val="00735D18"/>
    <w:rsid w:val="007366EA"/>
    <w:rsid w:val="0073772E"/>
    <w:rsid w:val="007424D1"/>
    <w:rsid w:val="00744564"/>
    <w:rsid w:val="007466DC"/>
    <w:rsid w:val="00746AF8"/>
    <w:rsid w:val="00751E40"/>
    <w:rsid w:val="00752EB9"/>
    <w:rsid w:val="007545C7"/>
    <w:rsid w:val="00756DEF"/>
    <w:rsid w:val="00757D0D"/>
    <w:rsid w:val="00757E12"/>
    <w:rsid w:val="00767F70"/>
    <w:rsid w:val="00770552"/>
    <w:rsid w:val="00770C9E"/>
    <w:rsid w:val="0077253A"/>
    <w:rsid w:val="00773821"/>
    <w:rsid w:val="0077525E"/>
    <w:rsid w:val="007752C3"/>
    <w:rsid w:val="007768EA"/>
    <w:rsid w:val="0077695F"/>
    <w:rsid w:val="00780143"/>
    <w:rsid w:val="007815DC"/>
    <w:rsid w:val="00784DF3"/>
    <w:rsid w:val="00785689"/>
    <w:rsid w:val="00787052"/>
    <w:rsid w:val="00787A12"/>
    <w:rsid w:val="0079035A"/>
    <w:rsid w:val="00792F5C"/>
    <w:rsid w:val="00794987"/>
    <w:rsid w:val="00794CD5"/>
    <w:rsid w:val="00794E2D"/>
    <w:rsid w:val="007958C5"/>
    <w:rsid w:val="0079754B"/>
    <w:rsid w:val="00797D0C"/>
    <w:rsid w:val="007A0335"/>
    <w:rsid w:val="007A1E6D"/>
    <w:rsid w:val="007A6987"/>
    <w:rsid w:val="007A7BD1"/>
    <w:rsid w:val="007B0476"/>
    <w:rsid w:val="007B0B74"/>
    <w:rsid w:val="007B0EB2"/>
    <w:rsid w:val="007B1F29"/>
    <w:rsid w:val="007B455E"/>
    <w:rsid w:val="007B4692"/>
    <w:rsid w:val="007B6A44"/>
    <w:rsid w:val="007C18C8"/>
    <w:rsid w:val="007C2876"/>
    <w:rsid w:val="007C6005"/>
    <w:rsid w:val="007D1A44"/>
    <w:rsid w:val="007D551D"/>
    <w:rsid w:val="007D5A64"/>
    <w:rsid w:val="007D5E4F"/>
    <w:rsid w:val="007D67BC"/>
    <w:rsid w:val="007D7213"/>
    <w:rsid w:val="007E3FC8"/>
    <w:rsid w:val="007E5D08"/>
    <w:rsid w:val="007F1D99"/>
    <w:rsid w:val="007F2F89"/>
    <w:rsid w:val="007F4B1F"/>
    <w:rsid w:val="007F5899"/>
    <w:rsid w:val="007F5B32"/>
    <w:rsid w:val="007F6B21"/>
    <w:rsid w:val="007F6B96"/>
    <w:rsid w:val="00800E41"/>
    <w:rsid w:val="00803431"/>
    <w:rsid w:val="00804050"/>
    <w:rsid w:val="008053A3"/>
    <w:rsid w:val="008062F7"/>
    <w:rsid w:val="00810B6F"/>
    <w:rsid w:val="00812AD7"/>
    <w:rsid w:val="00816C8E"/>
    <w:rsid w:val="00817E7A"/>
    <w:rsid w:val="00822CE0"/>
    <w:rsid w:val="00822D6F"/>
    <w:rsid w:val="00826160"/>
    <w:rsid w:val="0083053E"/>
    <w:rsid w:val="00831D02"/>
    <w:rsid w:val="00834615"/>
    <w:rsid w:val="00834AC3"/>
    <w:rsid w:val="00834E1E"/>
    <w:rsid w:val="00836A02"/>
    <w:rsid w:val="0084020D"/>
    <w:rsid w:val="0084049B"/>
    <w:rsid w:val="008414B4"/>
    <w:rsid w:val="00841AB1"/>
    <w:rsid w:val="0084202B"/>
    <w:rsid w:val="008420BD"/>
    <w:rsid w:val="008451FB"/>
    <w:rsid w:val="00850350"/>
    <w:rsid w:val="00852035"/>
    <w:rsid w:val="00853AC3"/>
    <w:rsid w:val="00853E1E"/>
    <w:rsid w:val="00855F12"/>
    <w:rsid w:val="00862396"/>
    <w:rsid w:val="00867C56"/>
    <w:rsid w:val="008720E2"/>
    <w:rsid w:val="00872544"/>
    <w:rsid w:val="00874DFA"/>
    <w:rsid w:val="00876273"/>
    <w:rsid w:val="00876D52"/>
    <w:rsid w:val="00880FBB"/>
    <w:rsid w:val="00881E94"/>
    <w:rsid w:val="008822E2"/>
    <w:rsid w:val="008824CF"/>
    <w:rsid w:val="00883237"/>
    <w:rsid w:val="00884756"/>
    <w:rsid w:val="008848AB"/>
    <w:rsid w:val="00885D1B"/>
    <w:rsid w:val="00886331"/>
    <w:rsid w:val="00886DD7"/>
    <w:rsid w:val="00887B9F"/>
    <w:rsid w:val="00891E9F"/>
    <w:rsid w:val="008922D5"/>
    <w:rsid w:val="008925C8"/>
    <w:rsid w:val="0089396C"/>
    <w:rsid w:val="00895EF2"/>
    <w:rsid w:val="008967D6"/>
    <w:rsid w:val="008968A7"/>
    <w:rsid w:val="008968CB"/>
    <w:rsid w:val="00897F12"/>
    <w:rsid w:val="008A3886"/>
    <w:rsid w:val="008A4356"/>
    <w:rsid w:val="008A530C"/>
    <w:rsid w:val="008A60C3"/>
    <w:rsid w:val="008A7114"/>
    <w:rsid w:val="008B0666"/>
    <w:rsid w:val="008B15B1"/>
    <w:rsid w:val="008B372E"/>
    <w:rsid w:val="008B3744"/>
    <w:rsid w:val="008B40B9"/>
    <w:rsid w:val="008B593A"/>
    <w:rsid w:val="008B61E4"/>
    <w:rsid w:val="008B7F10"/>
    <w:rsid w:val="008C1A42"/>
    <w:rsid w:val="008C2665"/>
    <w:rsid w:val="008C558D"/>
    <w:rsid w:val="008C60BF"/>
    <w:rsid w:val="008C68F1"/>
    <w:rsid w:val="008C6B54"/>
    <w:rsid w:val="008C79AB"/>
    <w:rsid w:val="008D0EFD"/>
    <w:rsid w:val="008D4584"/>
    <w:rsid w:val="008D5663"/>
    <w:rsid w:val="008D72E7"/>
    <w:rsid w:val="008E0E71"/>
    <w:rsid w:val="008E1319"/>
    <w:rsid w:val="008E2CCF"/>
    <w:rsid w:val="008E3174"/>
    <w:rsid w:val="008E7D27"/>
    <w:rsid w:val="008E7E43"/>
    <w:rsid w:val="008F0778"/>
    <w:rsid w:val="008F0EF8"/>
    <w:rsid w:val="008F1503"/>
    <w:rsid w:val="008F538F"/>
    <w:rsid w:val="008F66FA"/>
    <w:rsid w:val="008F6D6F"/>
    <w:rsid w:val="00902D83"/>
    <w:rsid w:val="00903339"/>
    <w:rsid w:val="00905A2C"/>
    <w:rsid w:val="009105C7"/>
    <w:rsid w:val="00910B09"/>
    <w:rsid w:val="00915484"/>
    <w:rsid w:val="0091656D"/>
    <w:rsid w:val="009173CE"/>
    <w:rsid w:val="00921803"/>
    <w:rsid w:val="009222C3"/>
    <w:rsid w:val="00923308"/>
    <w:rsid w:val="00924547"/>
    <w:rsid w:val="00924FDC"/>
    <w:rsid w:val="00926503"/>
    <w:rsid w:val="009265DF"/>
    <w:rsid w:val="00926682"/>
    <w:rsid w:val="00926949"/>
    <w:rsid w:val="00926F95"/>
    <w:rsid w:val="0093064D"/>
    <w:rsid w:val="0093787C"/>
    <w:rsid w:val="00942D43"/>
    <w:rsid w:val="00942D8B"/>
    <w:rsid w:val="00943ACA"/>
    <w:rsid w:val="00945327"/>
    <w:rsid w:val="00947C78"/>
    <w:rsid w:val="00950414"/>
    <w:rsid w:val="00950A7C"/>
    <w:rsid w:val="009515D2"/>
    <w:rsid w:val="009519EB"/>
    <w:rsid w:val="00952B7B"/>
    <w:rsid w:val="009532F1"/>
    <w:rsid w:val="009533AA"/>
    <w:rsid w:val="00956577"/>
    <w:rsid w:val="00957067"/>
    <w:rsid w:val="00957B47"/>
    <w:rsid w:val="00961614"/>
    <w:rsid w:val="00961746"/>
    <w:rsid w:val="00961787"/>
    <w:rsid w:val="00962B66"/>
    <w:rsid w:val="00963692"/>
    <w:rsid w:val="00970DE0"/>
    <w:rsid w:val="00971315"/>
    <w:rsid w:val="00971D0D"/>
    <w:rsid w:val="009726D8"/>
    <w:rsid w:val="00973EB7"/>
    <w:rsid w:val="009762B5"/>
    <w:rsid w:val="0097632E"/>
    <w:rsid w:val="00977D6F"/>
    <w:rsid w:val="009800AF"/>
    <w:rsid w:val="00981846"/>
    <w:rsid w:val="0098200F"/>
    <w:rsid w:val="009827CA"/>
    <w:rsid w:val="00983042"/>
    <w:rsid w:val="00984C2F"/>
    <w:rsid w:val="00985843"/>
    <w:rsid w:val="00990C4C"/>
    <w:rsid w:val="00990FC3"/>
    <w:rsid w:val="009933B2"/>
    <w:rsid w:val="00993D9E"/>
    <w:rsid w:val="009947E6"/>
    <w:rsid w:val="00995FF3"/>
    <w:rsid w:val="009960CE"/>
    <w:rsid w:val="00996928"/>
    <w:rsid w:val="00996C34"/>
    <w:rsid w:val="009971D2"/>
    <w:rsid w:val="009A04A8"/>
    <w:rsid w:val="009A101F"/>
    <w:rsid w:val="009A4F4B"/>
    <w:rsid w:val="009A779A"/>
    <w:rsid w:val="009B0D83"/>
    <w:rsid w:val="009B0F18"/>
    <w:rsid w:val="009B183C"/>
    <w:rsid w:val="009B1F1E"/>
    <w:rsid w:val="009B288D"/>
    <w:rsid w:val="009B336B"/>
    <w:rsid w:val="009B5DD9"/>
    <w:rsid w:val="009B7E41"/>
    <w:rsid w:val="009C2609"/>
    <w:rsid w:val="009C2F26"/>
    <w:rsid w:val="009C31D7"/>
    <w:rsid w:val="009C41B2"/>
    <w:rsid w:val="009C42EC"/>
    <w:rsid w:val="009C5249"/>
    <w:rsid w:val="009C581E"/>
    <w:rsid w:val="009C5F0A"/>
    <w:rsid w:val="009D4BA5"/>
    <w:rsid w:val="009D524F"/>
    <w:rsid w:val="009E030A"/>
    <w:rsid w:val="009E069F"/>
    <w:rsid w:val="009E1B5B"/>
    <w:rsid w:val="009E4C42"/>
    <w:rsid w:val="009E5842"/>
    <w:rsid w:val="009E62E7"/>
    <w:rsid w:val="009F1F6A"/>
    <w:rsid w:val="009F33E9"/>
    <w:rsid w:val="009F40F8"/>
    <w:rsid w:val="009F476C"/>
    <w:rsid w:val="009F488C"/>
    <w:rsid w:val="009F4C51"/>
    <w:rsid w:val="009F5FB0"/>
    <w:rsid w:val="009F63CB"/>
    <w:rsid w:val="009F66E7"/>
    <w:rsid w:val="009F76DB"/>
    <w:rsid w:val="009F7A45"/>
    <w:rsid w:val="00A02E45"/>
    <w:rsid w:val="00A04F88"/>
    <w:rsid w:val="00A05213"/>
    <w:rsid w:val="00A0547E"/>
    <w:rsid w:val="00A06260"/>
    <w:rsid w:val="00A073E0"/>
    <w:rsid w:val="00A07614"/>
    <w:rsid w:val="00A102E5"/>
    <w:rsid w:val="00A1062A"/>
    <w:rsid w:val="00A1088E"/>
    <w:rsid w:val="00A16659"/>
    <w:rsid w:val="00A16E84"/>
    <w:rsid w:val="00A21CFE"/>
    <w:rsid w:val="00A22148"/>
    <w:rsid w:val="00A22C7A"/>
    <w:rsid w:val="00A2314B"/>
    <w:rsid w:val="00A23281"/>
    <w:rsid w:val="00A23997"/>
    <w:rsid w:val="00A307A2"/>
    <w:rsid w:val="00A311EB"/>
    <w:rsid w:val="00A317DC"/>
    <w:rsid w:val="00A32B4B"/>
    <w:rsid w:val="00A32C3B"/>
    <w:rsid w:val="00A33FBB"/>
    <w:rsid w:val="00A34D5C"/>
    <w:rsid w:val="00A42891"/>
    <w:rsid w:val="00A44BD2"/>
    <w:rsid w:val="00A45F4F"/>
    <w:rsid w:val="00A46B1F"/>
    <w:rsid w:val="00A46B91"/>
    <w:rsid w:val="00A47323"/>
    <w:rsid w:val="00A504F9"/>
    <w:rsid w:val="00A50822"/>
    <w:rsid w:val="00A534C8"/>
    <w:rsid w:val="00A55599"/>
    <w:rsid w:val="00A55709"/>
    <w:rsid w:val="00A569C9"/>
    <w:rsid w:val="00A56AE7"/>
    <w:rsid w:val="00A57FB9"/>
    <w:rsid w:val="00A57FFD"/>
    <w:rsid w:val="00A600A9"/>
    <w:rsid w:val="00A62073"/>
    <w:rsid w:val="00A62FFD"/>
    <w:rsid w:val="00A6524E"/>
    <w:rsid w:val="00A66AA3"/>
    <w:rsid w:val="00A678DF"/>
    <w:rsid w:val="00A70E56"/>
    <w:rsid w:val="00A754C5"/>
    <w:rsid w:val="00A76707"/>
    <w:rsid w:val="00A778F0"/>
    <w:rsid w:val="00A800BB"/>
    <w:rsid w:val="00A803D2"/>
    <w:rsid w:val="00A809A2"/>
    <w:rsid w:val="00A8121A"/>
    <w:rsid w:val="00A85F9E"/>
    <w:rsid w:val="00A876FA"/>
    <w:rsid w:val="00A93528"/>
    <w:rsid w:val="00A96058"/>
    <w:rsid w:val="00A972DC"/>
    <w:rsid w:val="00A9790A"/>
    <w:rsid w:val="00AA55B7"/>
    <w:rsid w:val="00AA5B9E"/>
    <w:rsid w:val="00AA5F07"/>
    <w:rsid w:val="00AA71D3"/>
    <w:rsid w:val="00AA7878"/>
    <w:rsid w:val="00AB1DD3"/>
    <w:rsid w:val="00AB2407"/>
    <w:rsid w:val="00AB3413"/>
    <w:rsid w:val="00AB4079"/>
    <w:rsid w:val="00AB53DF"/>
    <w:rsid w:val="00AB5CAB"/>
    <w:rsid w:val="00AC00CE"/>
    <w:rsid w:val="00AC1B4C"/>
    <w:rsid w:val="00AC32C3"/>
    <w:rsid w:val="00AC677C"/>
    <w:rsid w:val="00AC6F18"/>
    <w:rsid w:val="00AD192F"/>
    <w:rsid w:val="00AD26AA"/>
    <w:rsid w:val="00AD4876"/>
    <w:rsid w:val="00AE1185"/>
    <w:rsid w:val="00AE1C86"/>
    <w:rsid w:val="00AE50B4"/>
    <w:rsid w:val="00AF03DD"/>
    <w:rsid w:val="00AF1114"/>
    <w:rsid w:val="00AF2499"/>
    <w:rsid w:val="00AF3785"/>
    <w:rsid w:val="00AF41F8"/>
    <w:rsid w:val="00AF531E"/>
    <w:rsid w:val="00AF6D87"/>
    <w:rsid w:val="00B003FD"/>
    <w:rsid w:val="00B02DC0"/>
    <w:rsid w:val="00B02E38"/>
    <w:rsid w:val="00B04EDB"/>
    <w:rsid w:val="00B06C8E"/>
    <w:rsid w:val="00B07E5C"/>
    <w:rsid w:val="00B07F1A"/>
    <w:rsid w:val="00B2128F"/>
    <w:rsid w:val="00B22BF1"/>
    <w:rsid w:val="00B23CAF"/>
    <w:rsid w:val="00B24119"/>
    <w:rsid w:val="00B25969"/>
    <w:rsid w:val="00B2660F"/>
    <w:rsid w:val="00B26897"/>
    <w:rsid w:val="00B3362F"/>
    <w:rsid w:val="00B34542"/>
    <w:rsid w:val="00B40778"/>
    <w:rsid w:val="00B40F89"/>
    <w:rsid w:val="00B42CC9"/>
    <w:rsid w:val="00B42E13"/>
    <w:rsid w:val="00B4314C"/>
    <w:rsid w:val="00B4494E"/>
    <w:rsid w:val="00B44CD8"/>
    <w:rsid w:val="00B44E8E"/>
    <w:rsid w:val="00B45223"/>
    <w:rsid w:val="00B501B1"/>
    <w:rsid w:val="00B518FF"/>
    <w:rsid w:val="00B52A39"/>
    <w:rsid w:val="00B5304D"/>
    <w:rsid w:val="00B5624D"/>
    <w:rsid w:val="00B56EF7"/>
    <w:rsid w:val="00B577E9"/>
    <w:rsid w:val="00B601A5"/>
    <w:rsid w:val="00B61947"/>
    <w:rsid w:val="00B62386"/>
    <w:rsid w:val="00B7583D"/>
    <w:rsid w:val="00B76011"/>
    <w:rsid w:val="00B763E9"/>
    <w:rsid w:val="00B77BC6"/>
    <w:rsid w:val="00B80C6E"/>
    <w:rsid w:val="00B811F7"/>
    <w:rsid w:val="00B82A6B"/>
    <w:rsid w:val="00B84DDD"/>
    <w:rsid w:val="00B856A6"/>
    <w:rsid w:val="00B859FE"/>
    <w:rsid w:val="00B862EC"/>
    <w:rsid w:val="00B913FF"/>
    <w:rsid w:val="00B91415"/>
    <w:rsid w:val="00B9198E"/>
    <w:rsid w:val="00B94B93"/>
    <w:rsid w:val="00B9552C"/>
    <w:rsid w:val="00B974AD"/>
    <w:rsid w:val="00B97E3B"/>
    <w:rsid w:val="00BA18A5"/>
    <w:rsid w:val="00BA1EA2"/>
    <w:rsid w:val="00BA5DC6"/>
    <w:rsid w:val="00BA6196"/>
    <w:rsid w:val="00BB3220"/>
    <w:rsid w:val="00BB3A2B"/>
    <w:rsid w:val="00BB6CA4"/>
    <w:rsid w:val="00BB7CCB"/>
    <w:rsid w:val="00BC08FD"/>
    <w:rsid w:val="00BC12EE"/>
    <w:rsid w:val="00BC1FF8"/>
    <w:rsid w:val="00BC2696"/>
    <w:rsid w:val="00BC5A2E"/>
    <w:rsid w:val="00BC6429"/>
    <w:rsid w:val="00BC6D8C"/>
    <w:rsid w:val="00BC7612"/>
    <w:rsid w:val="00BD0679"/>
    <w:rsid w:val="00BD207D"/>
    <w:rsid w:val="00BD2B1D"/>
    <w:rsid w:val="00BD3EFD"/>
    <w:rsid w:val="00BD54D5"/>
    <w:rsid w:val="00BD63FB"/>
    <w:rsid w:val="00BD7369"/>
    <w:rsid w:val="00BE037C"/>
    <w:rsid w:val="00BE049A"/>
    <w:rsid w:val="00BE04DE"/>
    <w:rsid w:val="00BE2460"/>
    <w:rsid w:val="00BE28C7"/>
    <w:rsid w:val="00BE3B15"/>
    <w:rsid w:val="00BF3D3D"/>
    <w:rsid w:val="00BF3E34"/>
    <w:rsid w:val="00BF4661"/>
    <w:rsid w:val="00BF4AB8"/>
    <w:rsid w:val="00BF734B"/>
    <w:rsid w:val="00C05384"/>
    <w:rsid w:val="00C07AD1"/>
    <w:rsid w:val="00C07CB8"/>
    <w:rsid w:val="00C1176B"/>
    <w:rsid w:val="00C12018"/>
    <w:rsid w:val="00C14CE9"/>
    <w:rsid w:val="00C15647"/>
    <w:rsid w:val="00C172A0"/>
    <w:rsid w:val="00C17F0E"/>
    <w:rsid w:val="00C20F50"/>
    <w:rsid w:val="00C216BC"/>
    <w:rsid w:val="00C21AC5"/>
    <w:rsid w:val="00C22202"/>
    <w:rsid w:val="00C225DC"/>
    <w:rsid w:val="00C241BE"/>
    <w:rsid w:val="00C26940"/>
    <w:rsid w:val="00C26D48"/>
    <w:rsid w:val="00C27E62"/>
    <w:rsid w:val="00C330FF"/>
    <w:rsid w:val="00C34006"/>
    <w:rsid w:val="00C410C1"/>
    <w:rsid w:val="00C41F56"/>
    <w:rsid w:val="00C426B1"/>
    <w:rsid w:val="00C4562C"/>
    <w:rsid w:val="00C4612E"/>
    <w:rsid w:val="00C4666C"/>
    <w:rsid w:val="00C50B65"/>
    <w:rsid w:val="00C50F66"/>
    <w:rsid w:val="00C5166B"/>
    <w:rsid w:val="00C52880"/>
    <w:rsid w:val="00C55115"/>
    <w:rsid w:val="00C552D8"/>
    <w:rsid w:val="00C55B72"/>
    <w:rsid w:val="00C56795"/>
    <w:rsid w:val="00C56B95"/>
    <w:rsid w:val="00C56F9F"/>
    <w:rsid w:val="00C5721C"/>
    <w:rsid w:val="00C60D81"/>
    <w:rsid w:val="00C619DD"/>
    <w:rsid w:val="00C6304A"/>
    <w:rsid w:val="00C6429D"/>
    <w:rsid w:val="00C66160"/>
    <w:rsid w:val="00C66C1C"/>
    <w:rsid w:val="00C66E5C"/>
    <w:rsid w:val="00C721AC"/>
    <w:rsid w:val="00C72775"/>
    <w:rsid w:val="00C74B74"/>
    <w:rsid w:val="00C772F2"/>
    <w:rsid w:val="00C77C7D"/>
    <w:rsid w:val="00C77D58"/>
    <w:rsid w:val="00C80430"/>
    <w:rsid w:val="00C815B8"/>
    <w:rsid w:val="00C818D1"/>
    <w:rsid w:val="00C82556"/>
    <w:rsid w:val="00C82BFB"/>
    <w:rsid w:val="00C90991"/>
    <w:rsid w:val="00C90D6A"/>
    <w:rsid w:val="00C92977"/>
    <w:rsid w:val="00C95677"/>
    <w:rsid w:val="00CA247E"/>
    <w:rsid w:val="00CA4BCE"/>
    <w:rsid w:val="00CA6B8A"/>
    <w:rsid w:val="00CB2DED"/>
    <w:rsid w:val="00CB6674"/>
    <w:rsid w:val="00CB71CB"/>
    <w:rsid w:val="00CC1785"/>
    <w:rsid w:val="00CC1D18"/>
    <w:rsid w:val="00CC1E4E"/>
    <w:rsid w:val="00CC20B8"/>
    <w:rsid w:val="00CC3E7F"/>
    <w:rsid w:val="00CC4117"/>
    <w:rsid w:val="00CC4A5C"/>
    <w:rsid w:val="00CC57C8"/>
    <w:rsid w:val="00CC6CCC"/>
    <w:rsid w:val="00CC72B6"/>
    <w:rsid w:val="00CD1A2D"/>
    <w:rsid w:val="00CD2847"/>
    <w:rsid w:val="00CD2F4F"/>
    <w:rsid w:val="00CD4E7A"/>
    <w:rsid w:val="00CD5667"/>
    <w:rsid w:val="00CD5EF5"/>
    <w:rsid w:val="00CE0B14"/>
    <w:rsid w:val="00CE0B46"/>
    <w:rsid w:val="00CE11E6"/>
    <w:rsid w:val="00CE207D"/>
    <w:rsid w:val="00CE25CE"/>
    <w:rsid w:val="00CE4AA6"/>
    <w:rsid w:val="00CE528C"/>
    <w:rsid w:val="00CE5701"/>
    <w:rsid w:val="00CE58A6"/>
    <w:rsid w:val="00CE6E74"/>
    <w:rsid w:val="00CE79F8"/>
    <w:rsid w:val="00CF321A"/>
    <w:rsid w:val="00CF3B5C"/>
    <w:rsid w:val="00CF6370"/>
    <w:rsid w:val="00CF7B4F"/>
    <w:rsid w:val="00D00A88"/>
    <w:rsid w:val="00D0218D"/>
    <w:rsid w:val="00D03905"/>
    <w:rsid w:val="00D0467E"/>
    <w:rsid w:val="00D049DA"/>
    <w:rsid w:val="00D04FDB"/>
    <w:rsid w:val="00D0652C"/>
    <w:rsid w:val="00D072D6"/>
    <w:rsid w:val="00D134BE"/>
    <w:rsid w:val="00D15179"/>
    <w:rsid w:val="00D15380"/>
    <w:rsid w:val="00D162EA"/>
    <w:rsid w:val="00D17A0A"/>
    <w:rsid w:val="00D212C3"/>
    <w:rsid w:val="00D21AE0"/>
    <w:rsid w:val="00D220B6"/>
    <w:rsid w:val="00D23F5D"/>
    <w:rsid w:val="00D2482C"/>
    <w:rsid w:val="00D2591E"/>
    <w:rsid w:val="00D25FB5"/>
    <w:rsid w:val="00D308A9"/>
    <w:rsid w:val="00D32CB8"/>
    <w:rsid w:val="00D336ED"/>
    <w:rsid w:val="00D341FD"/>
    <w:rsid w:val="00D34B46"/>
    <w:rsid w:val="00D35160"/>
    <w:rsid w:val="00D36571"/>
    <w:rsid w:val="00D37038"/>
    <w:rsid w:val="00D37809"/>
    <w:rsid w:val="00D4167E"/>
    <w:rsid w:val="00D41CC8"/>
    <w:rsid w:val="00D44223"/>
    <w:rsid w:val="00D443A7"/>
    <w:rsid w:val="00D44F36"/>
    <w:rsid w:val="00D45043"/>
    <w:rsid w:val="00D46AEC"/>
    <w:rsid w:val="00D47BE4"/>
    <w:rsid w:val="00D51A8E"/>
    <w:rsid w:val="00D51EB6"/>
    <w:rsid w:val="00D52101"/>
    <w:rsid w:val="00D52C25"/>
    <w:rsid w:val="00D52D32"/>
    <w:rsid w:val="00D5390F"/>
    <w:rsid w:val="00D543DC"/>
    <w:rsid w:val="00D57324"/>
    <w:rsid w:val="00D578D8"/>
    <w:rsid w:val="00D600F9"/>
    <w:rsid w:val="00D60F65"/>
    <w:rsid w:val="00D62D4C"/>
    <w:rsid w:val="00D64055"/>
    <w:rsid w:val="00D65384"/>
    <w:rsid w:val="00D667A1"/>
    <w:rsid w:val="00D70CEE"/>
    <w:rsid w:val="00D71170"/>
    <w:rsid w:val="00D71AA6"/>
    <w:rsid w:val="00D74B13"/>
    <w:rsid w:val="00D74CB8"/>
    <w:rsid w:val="00D75D43"/>
    <w:rsid w:val="00D763A8"/>
    <w:rsid w:val="00D77B8C"/>
    <w:rsid w:val="00D83928"/>
    <w:rsid w:val="00D846D7"/>
    <w:rsid w:val="00D84CE0"/>
    <w:rsid w:val="00D87EAF"/>
    <w:rsid w:val="00D90D6B"/>
    <w:rsid w:val="00D9119D"/>
    <w:rsid w:val="00D91440"/>
    <w:rsid w:val="00D923CB"/>
    <w:rsid w:val="00D923FC"/>
    <w:rsid w:val="00D92773"/>
    <w:rsid w:val="00D93943"/>
    <w:rsid w:val="00D93DFD"/>
    <w:rsid w:val="00D9424D"/>
    <w:rsid w:val="00D951A3"/>
    <w:rsid w:val="00D9744E"/>
    <w:rsid w:val="00DA0B72"/>
    <w:rsid w:val="00DA1A28"/>
    <w:rsid w:val="00DA2529"/>
    <w:rsid w:val="00DA2662"/>
    <w:rsid w:val="00DA59F0"/>
    <w:rsid w:val="00DA6915"/>
    <w:rsid w:val="00DB101E"/>
    <w:rsid w:val="00DB130A"/>
    <w:rsid w:val="00DB2EBB"/>
    <w:rsid w:val="00DB31F6"/>
    <w:rsid w:val="00DB3948"/>
    <w:rsid w:val="00DB5815"/>
    <w:rsid w:val="00DC10A1"/>
    <w:rsid w:val="00DC3664"/>
    <w:rsid w:val="00DC5719"/>
    <w:rsid w:val="00DC655F"/>
    <w:rsid w:val="00DD0B59"/>
    <w:rsid w:val="00DD1191"/>
    <w:rsid w:val="00DD38DB"/>
    <w:rsid w:val="00DD4603"/>
    <w:rsid w:val="00DD469B"/>
    <w:rsid w:val="00DD4A54"/>
    <w:rsid w:val="00DD5D5D"/>
    <w:rsid w:val="00DD673B"/>
    <w:rsid w:val="00DD7735"/>
    <w:rsid w:val="00DD79D3"/>
    <w:rsid w:val="00DD7EBD"/>
    <w:rsid w:val="00DE026C"/>
    <w:rsid w:val="00DE0732"/>
    <w:rsid w:val="00DE2A9F"/>
    <w:rsid w:val="00DE4172"/>
    <w:rsid w:val="00DE5424"/>
    <w:rsid w:val="00DE5F00"/>
    <w:rsid w:val="00DE6090"/>
    <w:rsid w:val="00DE69D3"/>
    <w:rsid w:val="00DF295F"/>
    <w:rsid w:val="00DF495C"/>
    <w:rsid w:val="00DF4DD3"/>
    <w:rsid w:val="00DF5944"/>
    <w:rsid w:val="00DF5BF9"/>
    <w:rsid w:val="00DF62B6"/>
    <w:rsid w:val="00DF7043"/>
    <w:rsid w:val="00DF7A4D"/>
    <w:rsid w:val="00E010E2"/>
    <w:rsid w:val="00E01357"/>
    <w:rsid w:val="00E02DFE"/>
    <w:rsid w:val="00E03105"/>
    <w:rsid w:val="00E03AD8"/>
    <w:rsid w:val="00E0633F"/>
    <w:rsid w:val="00E066A3"/>
    <w:rsid w:val="00E06A0E"/>
    <w:rsid w:val="00E07225"/>
    <w:rsid w:val="00E07235"/>
    <w:rsid w:val="00E11A62"/>
    <w:rsid w:val="00E129F9"/>
    <w:rsid w:val="00E167E3"/>
    <w:rsid w:val="00E20480"/>
    <w:rsid w:val="00E20645"/>
    <w:rsid w:val="00E20F14"/>
    <w:rsid w:val="00E2210E"/>
    <w:rsid w:val="00E23034"/>
    <w:rsid w:val="00E307B8"/>
    <w:rsid w:val="00E30951"/>
    <w:rsid w:val="00E31C50"/>
    <w:rsid w:val="00E3250C"/>
    <w:rsid w:val="00E33471"/>
    <w:rsid w:val="00E34E91"/>
    <w:rsid w:val="00E354D8"/>
    <w:rsid w:val="00E3604D"/>
    <w:rsid w:val="00E41088"/>
    <w:rsid w:val="00E420C6"/>
    <w:rsid w:val="00E4217F"/>
    <w:rsid w:val="00E43275"/>
    <w:rsid w:val="00E4641A"/>
    <w:rsid w:val="00E47985"/>
    <w:rsid w:val="00E47B85"/>
    <w:rsid w:val="00E502DA"/>
    <w:rsid w:val="00E519FC"/>
    <w:rsid w:val="00E51C6C"/>
    <w:rsid w:val="00E5400D"/>
    <w:rsid w:val="00E5409F"/>
    <w:rsid w:val="00E54793"/>
    <w:rsid w:val="00E54933"/>
    <w:rsid w:val="00E54BBE"/>
    <w:rsid w:val="00E55390"/>
    <w:rsid w:val="00E56D00"/>
    <w:rsid w:val="00E610D1"/>
    <w:rsid w:val="00E628C3"/>
    <w:rsid w:val="00E6504B"/>
    <w:rsid w:val="00E65216"/>
    <w:rsid w:val="00E702CC"/>
    <w:rsid w:val="00E731CA"/>
    <w:rsid w:val="00E74FEE"/>
    <w:rsid w:val="00E77314"/>
    <w:rsid w:val="00E8331F"/>
    <w:rsid w:val="00E847B4"/>
    <w:rsid w:val="00E87D65"/>
    <w:rsid w:val="00E87F7B"/>
    <w:rsid w:val="00E9506D"/>
    <w:rsid w:val="00E95A26"/>
    <w:rsid w:val="00E973FB"/>
    <w:rsid w:val="00E97930"/>
    <w:rsid w:val="00EA1A0A"/>
    <w:rsid w:val="00EA2D88"/>
    <w:rsid w:val="00EA55C4"/>
    <w:rsid w:val="00EA582C"/>
    <w:rsid w:val="00EA7556"/>
    <w:rsid w:val="00EB0210"/>
    <w:rsid w:val="00EB23FB"/>
    <w:rsid w:val="00EB39FE"/>
    <w:rsid w:val="00EB4132"/>
    <w:rsid w:val="00EB5A70"/>
    <w:rsid w:val="00EB6C09"/>
    <w:rsid w:val="00EC3259"/>
    <w:rsid w:val="00EC426F"/>
    <w:rsid w:val="00EC46A6"/>
    <w:rsid w:val="00EC51B6"/>
    <w:rsid w:val="00EC7F73"/>
    <w:rsid w:val="00ED3D57"/>
    <w:rsid w:val="00ED609E"/>
    <w:rsid w:val="00EE0E63"/>
    <w:rsid w:val="00EE29E6"/>
    <w:rsid w:val="00EE39FC"/>
    <w:rsid w:val="00EE4074"/>
    <w:rsid w:val="00EE5C69"/>
    <w:rsid w:val="00EE6488"/>
    <w:rsid w:val="00EE6938"/>
    <w:rsid w:val="00EE7997"/>
    <w:rsid w:val="00EF1685"/>
    <w:rsid w:val="00EF1767"/>
    <w:rsid w:val="00EF5A12"/>
    <w:rsid w:val="00F0004C"/>
    <w:rsid w:val="00F021FA"/>
    <w:rsid w:val="00F025A2"/>
    <w:rsid w:val="00F02BB3"/>
    <w:rsid w:val="00F03A85"/>
    <w:rsid w:val="00F04372"/>
    <w:rsid w:val="00F05AC7"/>
    <w:rsid w:val="00F1005D"/>
    <w:rsid w:val="00F11421"/>
    <w:rsid w:val="00F118EA"/>
    <w:rsid w:val="00F12F59"/>
    <w:rsid w:val="00F13836"/>
    <w:rsid w:val="00F14B32"/>
    <w:rsid w:val="00F152F7"/>
    <w:rsid w:val="00F15E4D"/>
    <w:rsid w:val="00F16080"/>
    <w:rsid w:val="00F16E66"/>
    <w:rsid w:val="00F205D2"/>
    <w:rsid w:val="00F20A3E"/>
    <w:rsid w:val="00F20B94"/>
    <w:rsid w:val="00F20E97"/>
    <w:rsid w:val="00F21608"/>
    <w:rsid w:val="00F21F2D"/>
    <w:rsid w:val="00F22777"/>
    <w:rsid w:val="00F24A31"/>
    <w:rsid w:val="00F2549A"/>
    <w:rsid w:val="00F2570F"/>
    <w:rsid w:val="00F2594F"/>
    <w:rsid w:val="00F27191"/>
    <w:rsid w:val="00F277F1"/>
    <w:rsid w:val="00F32519"/>
    <w:rsid w:val="00F3459B"/>
    <w:rsid w:val="00F3745B"/>
    <w:rsid w:val="00F40033"/>
    <w:rsid w:val="00F41376"/>
    <w:rsid w:val="00F422EA"/>
    <w:rsid w:val="00F4233A"/>
    <w:rsid w:val="00F45DD0"/>
    <w:rsid w:val="00F461E7"/>
    <w:rsid w:val="00F4711C"/>
    <w:rsid w:val="00F51B2E"/>
    <w:rsid w:val="00F5388A"/>
    <w:rsid w:val="00F53EF1"/>
    <w:rsid w:val="00F55096"/>
    <w:rsid w:val="00F558F2"/>
    <w:rsid w:val="00F56B60"/>
    <w:rsid w:val="00F60E8E"/>
    <w:rsid w:val="00F6109B"/>
    <w:rsid w:val="00F612FA"/>
    <w:rsid w:val="00F6199F"/>
    <w:rsid w:val="00F62E97"/>
    <w:rsid w:val="00F62F6C"/>
    <w:rsid w:val="00F63364"/>
    <w:rsid w:val="00F6386C"/>
    <w:rsid w:val="00F63F86"/>
    <w:rsid w:val="00F64209"/>
    <w:rsid w:val="00F7123B"/>
    <w:rsid w:val="00F72902"/>
    <w:rsid w:val="00F73422"/>
    <w:rsid w:val="00F80AA2"/>
    <w:rsid w:val="00F82E9D"/>
    <w:rsid w:val="00F8383C"/>
    <w:rsid w:val="00F8432C"/>
    <w:rsid w:val="00F84CFE"/>
    <w:rsid w:val="00F85325"/>
    <w:rsid w:val="00F87038"/>
    <w:rsid w:val="00F87A96"/>
    <w:rsid w:val="00F91296"/>
    <w:rsid w:val="00F9282C"/>
    <w:rsid w:val="00F93BF5"/>
    <w:rsid w:val="00F94481"/>
    <w:rsid w:val="00F94FC4"/>
    <w:rsid w:val="00F96FFC"/>
    <w:rsid w:val="00F97203"/>
    <w:rsid w:val="00FA0BE3"/>
    <w:rsid w:val="00FA162A"/>
    <w:rsid w:val="00FA26F0"/>
    <w:rsid w:val="00FA3B55"/>
    <w:rsid w:val="00FA4764"/>
    <w:rsid w:val="00FA5BF9"/>
    <w:rsid w:val="00FA5CB6"/>
    <w:rsid w:val="00FA5E39"/>
    <w:rsid w:val="00FB045F"/>
    <w:rsid w:val="00FB2060"/>
    <w:rsid w:val="00FB3A7E"/>
    <w:rsid w:val="00FB5FD9"/>
    <w:rsid w:val="00FB69CA"/>
    <w:rsid w:val="00FB7303"/>
    <w:rsid w:val="00FC005D"/>
    <w:rsid w:val="00FC03AF"/>
    <w:rsid w:val="00FC0DBD"/>
    <w:rsid w:val="00FC1B09"/>
    <w:rsid w:val="00FC32BD"/>
    <w:rsid w:val="00FC365A"/>
    <w:rsid w:val="00FC4AE1"/>
    <w:rsid w:val="00FC565A"/>
    <w:rsid w:val="00FC5FBC"/>
    <w:rsid w:val="00FD0E18"/>
    <w:rsid w:val="00FD0FDE"/>
    <w:rsid w:val="00FD1033"/>
    <w:rsid w:val="00FD48D9"/>
    <w:rsid w:val="00FD64BE"/>
    <w:rsid w:val="00FD654A"/>
    <w:rsid w:val="00FE0B0D"/>
    <w:rsid w:val="00FE2DA6"/>
    <w:rsid w:val="00FE4F68"/>
    <w:rsid w:val="00FE58F3"/>
    <w:rsid w:val="00FF22F9"/>
    <w:rsid w:val="00FF396A"/>
    <w:rsid w:val="00FF47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626EB6"/>
    <w:pPr>
      <w:keepNext/>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5F7DCD"/>
    <w:pPr>
      <w:keepNext/>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tabs>
        <w:tab w:val="left" w:pos="2160"/>
      </w:tabs>
      <w:spacing w:after="120"/>
      <w:outlineLvl w:val="2"/>
    </w:pPr>
    <w:rPr>
      <w:b/>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qFormat/>
    <w:rsid w:val="00C426B1"/>
    <w:pPr>
      <w:keepNext/>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tabs>
        <w:tab w:val="left" w:pos="4320"/>
      </w:tabs>
      <w:spacing w:after="120"/>
      <w:outlineLvl w:val="5"/>
    </w:pPr>
    <w:rPr>
      <w:b/>
    </w:rPr>
  </w:style>
  <w:style w:type="paragraph" w:styleId="Heading7">
    <w:name w:val="heading 7"/>
    <w:basedOn w:val="Normal"/>
    <w:next w:val="ParaNum"/>
    <w:qFormat/>
    <w:rsid w:val="00036039"/>
    <w:pPr>
      <w:tabs>
        <w:tab w:val="left" w:pos="5040"/>
      </w:tabs>
      <w:spacing w:after="120"/>
      <w:outlineLvl w:val="6"/>
    </w:pPr>
    <w:rPr>
      <w:b/>
    </w:rPr>
  </w:style>
  <w:style w:type="paragraph" w:styleId="Heading8">
    <w:name w:val="heading 8"/>
    <w:basedOn w:val="Normal"/>
    <w:next w:val="ParaNum"/>
    <w:qFormat/>
    <w:rsid w:val="001E01CA"/>
    <w:pPr>
      <w:tabs>
        <w:tab w:val="left" w:pos="5760"/>
      </w:tabs>
      <w:spacing w:after="120"/>
      <w:outlineLvl w:val="7"/>
    </w:pPr>
    <w:rPr>
      <w:b/>
    </w:rPr>
  </w:style>
  <w:style w:type="paragraph" w:styleId="Heading9">
    <w:name w:val="heading 9"/>
    <w:aliases w:val="9,Heading 9.table,Titre 9,Topic,t,table"/>
    <w:basedOn w:val="Normal"/>
    <w:next w:val="ParaNum"/>
    <w:qFormat/>
    <w:rsid w:val="001E01CA"/>
    <w:p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f Char,fn Char"/>
    <w:link w:val="FootnoteText"/>
    <w:rsid w:val="005D5981"/>
  </w:style>
  <w:style w:type="paragraph" w:customStyle="1" w:styleId="Default">
    <w:name w:val="Default"/>
    <w:rsid w:val="002F0A0C"/>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CA4BCE"/>
    <w:rPr>
      <w:rFonts w:ascii="Segoe UI" w:hAnsi="Segoe UI" w:cs="Segoe UI"/>
      <w:sz w:val="18"/>
      <w:szCs w:val="18"/>
    </w:rPr>
  </w:style>
  <w:style w:type="character" w:customStyle="1" w:styleId="BalloonTextChar">
    <w:name w:val="Balloon Text Char"/>
    <w:basedOn w:val="DefaultParagraphFont"/>
    <w:link w:val="BalloonText"/>
    <w:rsid w:val="00CA4BCE"/>
    <w:rPr>
      <w:rFonts w:ascii="Segoe UI" w:hAnsi="Segoe UI" w:cs="Segoe UI"/>
      <w:snapToGrid w:val="0"/>
      <w:kern w:val="28"/>
      <w:sz w:val="18"/>
      <w:szCs w:val="18"/>
    </w:rPr>
  </w:style>
  <w:style w:type="character" w:customStyle="1" w:styleId="FootnoteTextChar4Char1Char">
    <w:name w:val="Footnote Text Char4 Char1 Char"/>
    <w:aliases w:val="Footnote Text Char Char4 Char1 Char,Footnote Text Char Char4 Char1 Char Char Char Char,Footnote Text Char4 Char1 Char Char1 Char Char,Footnote Text Char5 Char1 Char Char Char,Footnote Text Char6 Char"/>
    <w:basedOn w:val="DefaultParagraphFont"/>
    <w:rsid w:val="00F60E8E"/>
  </w:style>
  <w:style w:type="character" w:styleId="CommentReference">
    <w:name w:val="annotation reference"/>
    <w:basedOn w:val="DefaultParagraphFont"/>
    <w:rsid w:val="00473887"/>
    <w:rPr>
      <w:sz w:val="16"/>
      <w:szCs w:val="16"/>
    </w:rPr>
  </w:style>
  <w:style w:type="paragraph" w:styleId="CommentText">
    <w:name w:val="annotation text"/>
    <w:basedOn w:val="Normal"/>
    <w:link w:val="CommentTextChar"/>
    <w:rsid w:val="00473887"/>
    <w:rPr>
      <w:sz w:val="20"/>
    </w:rPr>
  </w:style>
  <w:style w:type="character" w:customStyle="1" w:styleId="CommentTextChar">
    <w:name w:val="Comment Text Char"/>
    <w:basedOn w:val="DefaultParagraphFont"/>
    <w:link w:val="CommentText"/>
    <w:rsid w:val="00473887"/>
    <w:rPr>
      <w:snapToGrid w:val="0"/>
      <w:kern w:val="28"/>
    </w:rPr>
  </w:style>
  <w:style w:type="paragraph" w:styleId="CommentSubject">
    <w:name w:val="annotation subject"/>
    <w:basedOn w:val="CommentText"/>
    <w:next w:val="CommentText"/>
    <w:link w:val="CommentSubjectChar"/>
    <w:rsid w:val="00473887"/>
    <w:rPr>
      <w:b/>
      <w:bCs/>
    </w:rPr>
  </w:style>
  <w:style w:type="character" w:customStyle="1" w:styleId="CommentSubjectChar">
    <w:name w:val="Comment Subject Char"/>
    <w:basedOn w:val="CommentTextChar"/>
    <w:link w:val="CommentSubject"/>
    <w:rsid w:val="00473887"/>
    <w:rPr>
      <w:b/>
      <w:bCs/>
      <w:snapToGrid w:val="0"/>
      <w:kern w:val="28"/>
    </w:rPr>
  </w:style>
  <w:style w:type="character" w:customStyle="1" w:styleId="ParaNumChar">
    <w:name w:val="ParaNum Char"/>
    <w:link w:val="ParaNum"/>
    <w:locked/>
    <w:rsid w:val="00AF1114"/>
    <w:rPr>
      <w:snapToGrid w:val="0"/>
      <w:kern w:val="28"/>
      <w:sz w:val="22"/>
    </w:rPr>
  </w:style>
  <w:style w:type="character" w:customStyle="1" w:styleId="FootnoteTextChar6">
    <w:name w:val="Footnote Text Char6"/>
    <w:aliases w:val="Footnote Text Char Char1 Char Char Char Char Char2,Footnote Text Char Char1 Char Char Char2,Footnote Text Char1 Char2,Footnote Text Char2 Char Char Char2,Footnote Text Char2 Char Char1 Char Char Char2,Footnote Text Char3 Char Char2"/>
    <w:locked/>
    <w:rsid w:val="004E7EF0"/>
    <w:rPr>
      <w:lang w:val="en-US" w:eastAsia="en-US"/>
    </w:rPr>
  </w:style>
  <w:style w:type="character" w:customStyle="1" w:styleId="FootnoteCharacters">
    <w:name w:val="Footnote Characters"/>
    <w:rsid w:val="00E4217F"/>
    <w:rPr>
      <w:vertAlign w:val="superscript"/>
    </w:rPr>
  </w:style>
  <w:style w:type="paragraph" w:customStyle="1" w:styleId="StyleParaNumTimesNewRoman11pt">
    <w:name w:val="Style ParaNum + Times New Roman 11 pt"/>
    <w:basedOn w:val="ParaNum"/>
    <w:link w:val="StyleParaNumTimesNewRoman11ptChar"/>
    <w:autoRedefine/>
    <w:rsid w:val="00E4217F"/>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E4217F"/>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basedOn w:val="DefaultParagraphFont"/>
    <w:link w:val="Heading1"/>
    <w:rsid w:val="00F56B60"/>
    <w:rPr>
      <w:rFonts w:ascii="Times New Roman Bold" w:hAnsi="Times New Roman Bold"/>
      <w:b/>
      <w:caps/>
      <w:snapToGrid w:val="0"/>
      <w:kern w:val="28"/>
      <w:sz w:val="22"/>
    </w:rPr>
  </w:style>
  <w:style w:type="character" w:styleId="FollowedHyperlink">
    <w:name w:val="FollowedHyperlink"/>
    <w:basedOn w:val="DefaultParagraphFont"/>
    <w:rsid w:val="004E4A6A"/>
    <w:rPr>
      <w:color w:val="954F72" w:themeColor="followedHyperlink"/>
      <w:u w:val="single"/>
    </w:rPr>
  </w:style>
  <w:style w:type="paragraph" w:styleId="ListParagraph">
    <w:name w:val="List Paragraph"/>
    <w:basedOn w:val="Normal"/>
    <w:uiPriority w:val="34"/>
    <w:qFormat/>
    <w:rsid w:val="00E43275"/>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65E1-175F-4471-9A57-FEF3D6C2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2018-04-02T15:14:32Z</dcterms:created>
  <dcterms:modified xsi:type="dcterms:W3CDTF">2018-04-02T15:14:32Z</dcterms:modified>
</cp:coreProperties>
</file>