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B21FE2" w:rsidRPr="006519D3" w14:paraId="5FC2B0EA" w14:textId="77777777">
      <w:pPr>
        <w:jc w:val="center"/>
        <w:rPr>
          <w:b/>
          <w:szCs w:val="22"/>
        </w:rPr>
      </w:pPr>
      <w:bookmarkStart w:id="0" w:name="_GoBack"/>
      <w:bookmarkEnd w:id="0"/>
      <w:r w:rsidRPr="006519D3">
        <w:rPr>
          <w:b/>
          <w:szCs w:val="22"/>
        </w:rPr>
        <w:t>Before the</w:t>
      </w:r>
    </w:p>
    <w:p w:rsidR="00B21FE2" w:rsidRPr="006519D3" w14:paraId="4B09D933" w14:textId="77777777">
      <w:pPr>
        <w:jc w:val="center"/>
        <w:rPr>
          <w:b/>
          <w:szCs w:val="22"/>
        </w:rPr>
      </w:pPr>
      <w:r w:rsidRPr="006519D3">
        <w:rPr>
          <w:b/>
          <w:szCs w:val="22"/>
        </w:rPr>
        <w:t>Federal Communications Commission</w:t>
      </w:r>
    </w:p>
    <w:p w:rsidR="00B21FE2" w:rsidRPr="006519D3" w14:paraId="53DE4B59" w14:textId="77777777">
      <w:pPr>
        <w:jc w:val="center"/>
        <w:rPr>
          <w:b/>
          <w:szCs w:val="22"/>
        </w:rPr>
      </w:pPr>
      <w:r w:rsidRPr="006519D3">
        <w:rPr>
          <w:b/>
          <w:szCs w:val="22"/>
        </w:rPr>
        <w:t>Washington, D.C. 20554</w:t>
      </w:r>
    </w:p>
    <w:p w:rsidR="00B21FE2" w:rsidRPr="006519D3" w14:paraId="11FD7CA9" w14:textId="77777777">
      <w:pPr>
        <w:rPr>
          <w:szCs w:val="22"/>
        </w:rPr>
      </w:pPr>
    </w:p>
    <w:p w:rsidR="00B21FE2" w:rsidRPr="006519D3" w14:paraId="44A42561" w14:textId="77777777">
      <w:pPr>
        <w:rPr>
          <w:szCs w:val="22"/>
        </w:rPr>
      </w:pPr>
    </w:p>
    <w:tbl>
      <w:tblPr>
        <w:tblW w:w="0" w:type="auto"/>
        <w:tblInd w:w="0" w:type="dxa"/>
        <w:tblLayout w:type="fixed"/>
        <w:tblCellMar>
          <w:top w:w="0" w:type="dxa"/>
          <w:left w:w="108" w:type="dxa"/>
          <w:bottom w:w="0" w:type="dxa"/>
          <w:right w:w="108" w:type="dxa"/>
        </w:tblCellMar>
        <w:tblLook w:val="0000"/>
      </w:tblPr>
      <w:tblGrid>
        <w:gridCol w:w="4698"/>
        <w:gridCol w:w="720"/>
        <w:gridCol w:w="4230"/>
      </w:tblGrid>
      <w:tr w14:paraId="3AEF31AD" w14:textId="77777777">
        <w:tblPrEx>
          <w:tblW w:w="0" w:type="auto"/>
          <w:tblInd w:w="0" w:type="dxa"/>
          <w:tblLayout w:type="fixed"/>
          <w:tblCellMar>
            <w:top w:w="0" w:type="dxa"/>
            <w:left w:w="108" w:type="dxa"/>
            <w:bottom w:w="0" w:type="dxa"/>
            <w:right w:w="108" w:type="dxa"/>
          </w:tblCellMar>
          <w:tblLook w:val="0000"/>
        </w:tblPrEx>
        <w:tc>
          <w:tcPr>
            <w:tcW w:w="4698" w:type="dxa"/>
          </w:tcPr>
          <w:p w:rsidR="00B21FE2" w:rsidRPr="006519D3" w14:paraId="683AC6BD" w14:textId="77777777">
            <w:pPr>
              <w:widowControl w:val="0"/>
              <w:ind w:right="-18"/>
              <w:rPr>
                <w:rStyle w:val="DefaultParagraphFont"/>
                <w:snapToGrid w:val="0"/>
                <w:kern w:val="28"/>
                <w:sz w:val="22"/>
                <w:szCs w:val="22"/>
                <w:lang w:val="en-US" w:eastAsia="en-US" w:bidi="ar-SA"/>
              </w:rPr>
            </w:pPr>
            <w:r w:rsidRPr="006519D3">
              <w:rPr>
                <w:snapToGrid w:val="0"/>
                <w:kern w:val="28"/>
                <w:sz w:val="22"/>
                <w:szCs w:val="22"/>
                <w:lang w:val="en-US" w:eastAsia="en-US" w:bidi="ar-SA"/>
              </w:rPr>
              <w:t>In the matter of</w:t>
            </w:r>
          </w:p>
          <w:p w:rsidR="00B21FE2" w:rsidRPr="005C2320" w14:paraId="0C8E340B" w14:textId="77777777">
            <w:pPr>
              <w:widowControl w:val="0"/>
              <w:ind w:right="-18"/>
              <w:rPr>
                <w:rStyle w:val="DefaultParagraphFont"/>
                <w:snapToGrid w:val="0"/>
                <w:kern w:val="28"/>
                <w:sz w:val="22"/>
                <w:szCs w:val="22"/>
                <w:lang w:val="en-US" w:eastAsia="en-US" w:bidi="ar-SA"/>
              </w:rPr>
            </w:pPr>
            <w:r w:rsidRPr="005C2320">
              <w:rPr>
                <w:snapToGrid w:val="0"/>
                <w:kern w:val="28"/>
                <w:sz w:val="22"/>
                <w:szCs w:val="22"/>
                <w:lang w:val="en-US" w:eastAsia="en-US" w:bidi="ar-SA"/>
              </w:rPr>
              <w:t>Proceq USA Inc</w:t>
            </w:r>
            <w:r w:rsidRPr="005C2320" w:rsidR="00AE43FB">
              <w:rPr>
                <w:snapToGrid w:val="0"/>
                <w:kern w:val="28"/>
                <w:sz w:val="22"/>
                <w:szCs w:val="22"/>
                <w:lang w:val="en-US" w:eastAsia="en-US" w:bidi="ar-SA"/>
              </w:rPr>
              <w:t>.</w:t>
            </w:r>
          </w:p>
          <w:p w:rsidR="00B21FE2" w:rsidRPr="005C2320" w14:paraId="3459BF59" w14:textId="77777777">
            <w:pPr>
              <w:widowControl w:val="0"/>
              <w:ind w:right="-18"/>
              <w:rPr>
                <w:rStyle w:val="DefaultParagraphFont"/>
                <w:snapToGrid w:val="0"/>
                <w:kern w:val="28"/>
                <w:sz w:val="22"/>
                <w:szCs w:val="22"/>
                <w:lang w:val="en-US" w:eastAsia="en-US" w:bidi="ar-SA"/>
              </w:rPr>
            </w:pPr>
            <w:r w:rsidRPr="005C2320">
              <w:rPr>
                <w:snapToGrid w:val="0"/>
                <w:kern w:val="28"/>
                <w:sz w:val="22"/>
                <w:szCs w:val="22"/>
                <w:lang w:val="en-US" w:eastAsia="en-US" w:bidi="ar-SA"/>
              </w:rPr>
              <w:t>Request for Waiver of Part 15 of the Commission’s Rules Applicable to Ultra- Wideband Devices</w:t>
            </w:r>
          </w:p>
          <w:p w:rsidR="00B21FE2" w:rsidRPr="005C2320" w14:paraId="720E762C" w14:textId="77777777">
            <w:pPr>
              <w:widowControl w:val="0"/>
              <w:ind w:right="-18"/>
              <w:rPr>
                <w:rStyle w:val="DefaultParagraphFont"/>
                <w:snapToGrid w:val="0"/>
                <w:kern w:val="28"/>
                <w:sz w:val="22"/>
                <w:szCs w:val="22"/>
                <w:lang w:val="en-US" w:eastAsia="en-US" w:bidi="ar-SA"/>
              </w:rPr>
            </w:pPr>
          </w:p>
        </w:tc>
        <w:tc>
          <w:tcPr>
            <w:tcW w:w="720" w:type="dxa"/>
          </w:tcPr>
          <w:p w:rsidR="00B21FE2" w14:paraId="705A8648" w14:textId="77777777">
            <w:pPr>
              <w:widowControl w:val="0"/>
              <w:rPr>
                <w:rStyle w:val="DefaultParagraphFont"/>
                <w:b/>
                <w:snapToGrid w:val="0"/>
                <w:kern w:val="28"/>
                <w:sz w:val="22"/>
                <w:szCs w:val="22"/>
                <w:lang w:val="en-US" w:eastAsia="en-US" w:bidi="ar-SA"/>
              </w:rPr>
            </w:pPr>
            <w:r>
              <w:rPr>
                <w:b/>
                <w:snapToGrid w:val="0"/>
                <w:kern w:val="28"/>
                <w:sz w:val="22"/>
                <w:szCs w:val="22"/>
                <w:lang w:val="en-US" w:eastAsia="en-US" w:bidi="ar-SA"/>
              </w:rPr>
              <w:t>)</w:t>
            </w:r>
          </w:p>
          <w:p w:rsidR="00126816" w14:paraId="4BEA18AF" w14:textId="77777777">
            <w:pPr>
              <w:widowControl w:val="0"/>
              <w:rPr>
                <w:rStyle w:val="DefaultParagraphFont"/>
                <w:b/>
                <w:snapToGrid w:val="0"/>
                <w:kern w:val="28"/>
                <w:sz w:val="22"/>
                <w:szCs w:val="22"/>
                <w:lang w:val="en-US" w:eastAsia="en-US" w:bidi="ar-SA"/>
              </w:rPr>
            </w:pPr>
            <w:r>
              <w:rPr>
                <w:b/>
                <w:snapToGrid w:val="0"/>
                <w:kern w:val="28"/>
                <w:sz w:val="22"/>
                <w:szCs w:val="22"/>
                <w:lang w:val="en-US" w:eastAsia="en-US" w:bidi="ar-SA"/>
              </w:rPr>
              <w:t>)</w:t>
            </w:r>
          </w:p>
          <w:p w:rsidR="00126816" w14:paraId="30DE09C9" w14:textId="77777777">
            <w:pPr>
              <w:widowControl w:val="0"/>
              <w:rPr>
                <w:rStyle w:val="DefaultParagraphFont"/>
                <w:b/>
                <w:snapToGrid w:val="0"/>
                <w:kern w:val="28"/>
                <w:sz w:val="22"/>
                <w:szCs w:val="22"/>
                <w:lang w:val="en-US" w:eastAsia="en-US" w:bidi="ar-SA"/>
              </w:rPr>
            </w:pPr>
            <w:r>
              <w:rPr>
                <w:b/>
                <w:snapToGrid w:val="0"/>
                <w:kern w:val="28"/>
                <w:sz w:val="22"/>
                <w:szCs w:val="22"/>
                <w:lang w:val="en-US" w:eastAsia="en-US" w:bidi="ar-SA"/>
              </w:rPr>
              <w:t>)</w:t>
            </w:r>
          </w:p>
          <w:p w:rsidR="00126816" w14:paraId="4CC75BA4" w14:textId="77777777">
            <w:pPr>
              <w:widowControl w:val="0"/>
              <w:rPr>
                <w:rStyle w:val="DefaultParagraphFont"/>
                <w:b/>
                <w:snapToGrid w:val="0"/>
                <w:kern w:val="28"/>
                <w:sz w:val="22"/>
                <w:szCs w:val="22"/>
                <w:lang w:val="en-US" w:eastAsia="en-US" w:bidi="ar-SA"/>
              </w:rPr>
            </w:pPr>
            <w:r>
              <w:rPr>
                <w:b/>
                <w:snapToGrid w:val="0"/>
                <w:kern w:val="28"/>
                <w:sz w:val="22"/>
                <w:szCs w:val="22"/>
                <w:lang w:val="en-US" w:eastAsia="en-US" w:bidi="ar-SA"/>
              </w:rPr>
              <w:t>)</w:t>
            </w:r>
          </w:p>
          <w:p w:rsidR="00126816" w:rsidRPr="005C2320" w14:paraId="297A1482" w14:textId="35FD1AA3">
            <w:pPr>
              <w:widowControl w:val="0"/>
              <w:rPr>
                <w:rStyle w:val="DefaultParagraphFont"/>
                <w:b/>
                <w:snapToGrid w:val="0"/>
                <w:kern w:val="28"/>
                <w:sz w:val="22"/>
                <w:szCs w:val="22"/>
                <w:lang w:val="en-US" w:eastAsia="en-US" w:bidi="ar-SA"/>
              </w:rPr>
            </w:pPr>
            <w:r>
              <w:rPr>
                <w:b/>
                <w:snapToGrid w:val="0"/>
                <w:kern w:val="28"/>
                <w:sz w:val="22"/>
                <w:szCs w:val="22"/>
                <w:lang w:val="en-US" w:eastAsia="en-US" w:bidi="ar-SA"/>
              </w:rPr>
              <w:t>)</w:t>
            </w:r>
          </w:p>
        </w:tc>
        <w:tc>
          <w:tcPr>
            <w:tcW w:w="4230" w:type="dxa"/>
          </w:tcPr>
          <w:p w:rsidR="00B21FE2" w:rsidRPr="005C2320" w14:paraId="4B7192C5" w14:textId="77777777">
            <w:pPr>
              <w:widowControl w:val="0"/>
              <w:rPr>
                <w:rStyle w:val="DefaultParagraphFont"/>
                <w:snapToGrid w:val="0"/>
                <w:kern w:val="28"/>
                <w:sz w:val="22"/>
                <w:szCs w:val="22"/>
                <w:lang w:val="en-US" w:eastAsia="en-US" w:bidi="ar-SA"/>
              </w:rPr>
            </w:pPr>
          </w:p>
          <w:p w:rsidR="00B21FE2" w:rsidRPr="005C2320" w14:paraId="5F187DB6" w14:textId="77777777">
            <w:pPr>
              <w:widowControl w:val="0"/>
              <w:rPr>
                <w:rStyle w:val="DefaultParagraphFont"/>
                <w:snapToGrid w:val="0"/>
                <w:kern w:val="28"/>
                <w:sz w:val="22"/>
                <w:szCs w:val="22"/>
                <w:lang w:val="en-US" w:eastAsia="en-US" w:bidi="ar-SA"/>
              </w:rPr>
            </w:pPr>
          </w:p>
          <w:p w:rsidR="00B21FE2" w:rsidRPr="005C2320" w14:paraId="499B8968" w14:textId="77777777">
            <w:pPr>
              <w:widowControl w:val="0"/>
              <w:rPr>
                <w:rStyle w:val="DefaultParagraphFont"/>
                <w:snapToGrid w:val="0"/>
                <w:kern w:val="28"/>
                <w:sz w:val="22"/>
                <w:szCs w:val="22"/>
                <w:lang w:val="en-US" w:eastAsia="en-US" w:bidi="ar-SA"/>
              </w:rPr>
            </w:pPr>
          </w:p>
          <w:p w:rsidR="00B21FE2" w:rsidRPr="005C2320" w:rsidP="009C1206" w14:paraId="02817196" w14:textId="77777777">
            <w:pPr>
              <w:widowControl w:val="0"/>
              <w:rPr>
                <w:rStyle w:val="DefaultParagraphFont"/>
                <w:snapToGrid w:val="0"/>
                <w:kern w:val="28"/>
                <w:sz w:val="22"/>
                <w:szCs w:val="22"/>
                <w:lang w:val="en-US" w:eastAsia="en-US" w:bidi="ar-SA"/>
              </w:rPr>
            </w:pPr>
          </w:p>
        </w:tc>
      </w:tr>
    </w:tbl>
    <w:p w:rsidR="00B21FE2" w:rsidRPr="005C2320" w14:paraId="05519DCF" w14:textId="2FD7011C">
      <w:pPr>
        <w:spacing w:before="120"/>
        <w:jc w:val="center"/>
        <w:rPr>
          <w:b/>
          <w:szCs w:val="22"/>
        </w:rPr>
      </w:pPr>
      <w:r w:rsidRPr="005C2320">
        <w:rPr>
          <w:b/>
          <w:spacing w:val="-2"/>
          <w:szCs w:val="22"/>
        </w:rPr>
        <w:t>ORDER</w:t>
      </w:r>
    </w:p>
    <w:p w:rsidR="00B21FE2" w:rsidRPr="005C2320" w14:paraId="271FBE28" w14:textId="77777777">
      <w:pPr>
        <w:rPr>
          <w:szCs w:val="22"/>
        </w:rPr>
      </w:pPr>
    </w:p>
    <w:p w:rsidR="00B21FE2" w:rsidRPr="005C2320" w14:paraId="07CEC19A" w14:textId="6E45BCE2">
      <w:pPr>
        <w:tabs>
          <w:tab w:val="left" w:pos="5760"/>
        </w:tabs>
        <w:rPr>
          <w:b/>
          <w:szCs w:val="22"/>
        </w:rPr>
      </w:pPr>
      <w:r w:rsidRPr="005C2320">
        <w:rPr>
          <w:b/>
          <w:szCs w:val="22"/>
        </w:rPr>
        <w:t xml:space="preserve">Adopted:  </w:t>
      </w:r>
      <w:r w:rsidR="003E1550">
        <w:rPr>
          <w:b/>
          <w:szCs w:val="22"/>
        </w:rPr>
        <w:t>March 14</w:t>
      </w:r>
      <w:r w:rsidRPr="005C2320">
        <w:rPr>
          <w:b/>
          <w:szCs w:val="22"/>
        </w:rPr>
        <w:t>, 201</w:t>
      </w:r>
      <w:r w:rsidR="009C1206">
        <w:rPr>
          <w:b/>
          <w:szCs w:val="22"/>
        </w:rPr>
        <w:t>8</w:t>
      </w:r>
      <w:r w:rsidRPr="005C2320">
        <w:rPr>
          <w:b/>
          <w:szCs w:val="22"/>
        </w:rPr>
        <w:tab/>
        <w:t xml:space="preserve">              Released: </w:t>
      </w:r>
      <w:r w:rsidR="003E1550">
        <w:rPr>
          <w:b/>
          <w:szCs w:val="22"/>
        </w:rPr>
        <w:t xml:space="preserve"> March 14</w:t>
      </w:r>
      <w:r w:rsidRPr="005C2320">
        <w:rPr>
          <w:b/>
          <w:szCs w:val="22"/>
        </w:rPr>
        <w:t>, 201</w:t>
      </w:r>
      <w:r w:rsidR="009C1206">
        <w:rPr>
          <w:b/>
          <w:szCs w:val="22"/>
        </w:rPr>
        <w:t>8</w:t>
      </w:r>
    </w:p>
    <w:p w:rsidR="00126816" w14:paraId="427C3652" w14:textId="77777777">
      <w:pPr>
        <w:tabs>
          <w:tab w:val="left" w:pos="5760"/>
        </w:tabs>
        <w:rPr>
          <w:szCs w:val="22"/>
        </w:rPr>
      </w:pPr>
    </w:p>
    <w:p w:rsidR="00B21FE2" w14:paraId="0BAF7274" w14:textId="3EBC37E2">
      <w:pPr>
        <w:tabs>
          <w:tab w:val="left" w:pos="5760"/>
        </w:tabs>
        <w:rPr>
          <w:spacing w:val="-2"/>
          <w:szCs w:val="22"/>
        </w:rPr>
      </w:pPr>
      <w:r w:rsidRPr="005C2320">
        <w:rPr>
          <w:szCs w:val="22"/>
        </w:rPr>
        <w:t xml:space="preserve">By the </w:t>
      </w:r>
      <w:r w:rsidRPr="005C2320">
        <w:rPr>
          <w:spacing w:val="-2"/>
          <w:szCs w:val="22"/>
        </w:rPr>
        <w:t>Chief, Office of Engineering and Technology:</w:t>
      </w:r>
    </w:p>
    <w:p w:rsidR="00126816" w:rsidRPr="005C2320" w14:paraId="55B8ADB2" w14:textId="77777777">
      <w:pPr>
        <w:tabs>
          <w:tab w:val="left" w:pos="5760"/>
        </w:tabs>
        <w:rPr>
          <w:spacing w:val="-2"/>
          <w:szCs w:val="22"/>
        </w:rPr>
      </w:pPr>
    </w:p>
    <w:p w:rsidR="00E41ED8" w:rsidRPr="005C2320" w:rsidP="00E937AD" w14:paraId="2D5B3AE2" w14:textId="2997DB88">
      <w:pPr>
        <w:pStyle w:val="ParaNum"/>
      </w:pPr>
      <w:r w:rsidRPr="005C2320">
        <w:t xml:space="preserve">By this Order, we grant a request by </w:t>
      </w:r>
      <w:r w:rsidRPr="005C2320" w:rsidR="009C1E3D">
        <w:t>Proceq USA Inc</w:t>
      </w:r>
      <w:r w:rsidRPr="005C2320" w:rsidR="00AE43FB">
        <w:t>.</w:t>
      </w:r>
      <w:r w:rsidRPr="005C2320" w:rsidR="001501B5">
        <w:t xml:space="preserve"> </w:t>
      </w:r>
      <w:r w:rsidRPr="005C2320" w:rsidR="009C1E3D">
        <w:t>(Proceq</w:t>
      </w:r>
      <w:r w:rsidRPr="005C2320" w:rsidR="00917014">
        <w:t>)</w:t>
      </w:r>
      <w:r w:rsidRPr="005C2320" w:rsidR="001501B5">
        <w:t xml:space="preserve">, </w:t>
      </w:r>
      <w:r w:rsidR="003C611B">
        <w:t xml:space="preserve">for a </w:t>
      </w:r>
      <w:r w:rsidRPr="005C2320" w:rsidR="001501B5">
        <w:t>waive</w:t>
      </w:r>
      <w:r w:rsidR="003C611B">
        <w:t>r of</w:t>
      </w:r>
      <w:r w:rsidRPr="005C2320" w:rsidR="001501B5">
        <w:t xml:space="preserve"> our </w:t>
      </w:r>
      <w:r w:rsidRPr="005C2320" w:rsidR="002E1B7B">
        <w:t xml:space="preserve">rules </w:t>
      </w:r>
      <w:r w:rsidR="009C1206">
        <w:t xml:space="preserve">governing </w:t>
      </w:r>
      <w:r w:rsidRPr="005C2320" w:rsidR="002E1B7B">
        <w:t xml:space="preserve">unlicensed </w:t>
      </w:r>
      <w:r w:rsidRPr="005C2320" w:rsidR="001501B5">
        <w:t>ultra-wideband (UWB</w:t>
      </w:r>
      <w:r w:rsidRPr="005C2320">
        <w:t xml:space="preserve">) </w:t>
      </w:r>
      <w:r w:rsidRPr="005C2320" w:rsidR="00E74FAE">
        <w:t>devices to</w:t>
      </w:r>
      <w:r w:rsidRPr="005C2320" w:rsidR="00311489">
        <w:t xml:space="preserve"> permit the certification and marketing of </w:t>
      </w:r>
      <w:r w:rsidRPr="005C2320">
        <w:t xml:space="preserve">its </w:t>
      </w:r>
      <w:r w:rsidRPr="005C2320" w:rsidR="009C1E3D">
        <w:t>ground penetrating radar</w:t>
      </w:r>
      <w:r w:rsidR="008F45A7">
        <w:t xml:space="preserve"> (GPR)</w:t>
      </w:r>
      <w:r w:rsidRPr="005C2320" w:rsidR="009C1E3D">
        <w:t xml:space="preserve"> device</w:t>
      </w:r>
      <w:r w:rsidR="00CC6AD0">
        <w:t>.</w:t>
      </w:r>
      <w:r>
        <w:rPr>
          <w:rStyle w:val="FootnoteReference"/>
          <w:szCs w:val="22"/>
        </w:rPr>
        <w:footnoteReference w:id="3"/>
      </w:r>
      <w:r w:rsidRPr="005C2320">
        <w:t xml:space="preserve">  </w:t>
      </w:r>
      <w:r w:rsidR="0051424A">
        <w:t xml:space="preserve">Proceq is a manufacturer of devices that enable the non-destructive testing of materials such as concrete, metals, rock and composites. </w:t>
      </w:r>
      <w:r w:rsidRPr="005C2320" w:rsidR="002E1B7B">
        <w:t xml:space="preserve">We find that this device </w:t>
      </w:r>
      <w:r w:rsidR="008D6B12">
        <w:t xml:space="preserve">operating under the specified waiver conditions </w:t>
      </w:r>
      <w:r w:rsidRPr="005C2320" w:rsidR="002E1B7B">
        <w:t xml:space="preserve">poses no greater risk of causing harmful interference to communication services than those devices </w:t>
      </w:r>
      <w:r w:rsidRPr="005C2320" w:rsidR="00F13D28">
        <w:t xml:space="preserve">already </w:t>
      </w:r>
      <w:r w:rsidRPr="005C2320" w:rsidR="002E1B7B">
        <w:t>permitted under the existing rules</w:t>
      </w:r>
      <w:r w:rsidR="003C611B">
        <w:t xml:space="preserve"> and that grant of the waiver will serve the public interest</w:t>
      </w:r>
      <w:r w:rsidRPr="005C2320" w:rsidR="002E1B7B">
        <w:t xml:space="preserve">.  </w:t>
      </w:r>
    </w:p>
    <w:p w:rsidR="00B21FE2" w:rsidRPr="005C2320" w:rsidP="00E937AD" w14:paraId="238459BB" w14:textId="6FDF08F1">
      <w:pPr>
        <w:pStyle w:val="ParaNum"/>
      </w:pPr>
      <w:r>
        <w:t>In</w:t>
      </w:r>
      <w:r w:rsidRPr="005C2320">
        <w:t xml:space="preserve"> 2002, the Commission adopted regulations to permit the operation of UWB transmitters</w:t>
      </w:r>
      <w:r w:rsidRPr="005C2320" w:rsidR="00311489">
        <w:t xml:space="preserve">, including </w:t>
      </w:r>
      <w:r w:rsidRPr="005C2320" w:rsidR="00762714">
        <w:t>GPR</w:t>
      </w:r>
      <w:r w:rsidRPr="005C2320" w:rsidR="00311489">
        <w:t xml:space="preserve"> systems</w:t>
      </w:r>
      <w:r w:rsidRPr="005C2320">
        <w:t>.</w:t>
      </w:r>
      <w:r>
        <w:rPr>
          <w:rStyle w:val="FootnoteReference"/>
          <w:szCs w:val="22"/>
        </w:rPr>
        <w:footnoteReference w:id="4"/>
      </w:r>
      <w:r w:rsidRPr="005C2320">
        <w:t xml:space="preserve">  These transmitters operate using spectrum that is allocated to various radio services, including frequency bands that are allocated to both Federal and to non-Federal operations.</w:t>
      </w:r>
      <w:r>
        <w:rPr>
          <w:rStyle w:val="FootnoteReference"/>
          <w:szCs w:val="22"/>
        </w:rPr>
        <w:footnoteReference w:id="5"/>
      </w:r>
      <w:r w:rsidRPr="005C2320">
        <w:t xml:space="preserve">  They also operate in several restricted frequency bands within which the operation of other types of Part 15 transmitters are prohibited.</w:t>
      </w:r>
      <w:r>
        <w:rPr>
          <w:rStyle w:val="FootnoteReference"/>
          <w:szCs w:val="22"/>
        </w:rPr>
        <w:footnoteReference w:id="6"/>
      </w:r>
      <w:r w:rsidRPr="005C2320">
        <w:t xml:space="preserve">  </w:t>
      </w:r>
      <w:r w:rsidRPr="005C2320" w:rsidR="004F7477">
        <w:t xml:space="preserve">As with all unlicensed devices, these </w:t>
      </w:r>
      <w:r w:rsidRPr="005C2320">
        <w:t>UWB devices share these frequency bands with authorized radio services on a sufferance basis and may not cause harmful interference to authorized radio services.</w:t>
      </w:r>
      <w:r>
        <w:rPr>
          <w:rStyle w:val="FootnoteReference"/>
          <w:szCs w:val="22"/>
        </w:rPr>
        <w:footnoteReference w:id="7"/>
      </w:r>
      <w:r w:rsidR="0031068F">
        <w:t xml:space="preserve">  Our</w:t>
      </w:r>
      <w:r w:rsidRPr="005C2320" w:rsidR="0031068F">
        <w:t xml:space="preserve"> </w:t>
      </w:r>
      <w:r w:rsidR="0031068F">
        <w:t xml:space="preserve">specific </w:t>
      </w:r>
      <w:r w:rsidRPr="005C2320" w:rsidR="0031068F">
        <w:t xml:space="preserve">UWB technical and operational </w:t>
      </w:r>
      <w:r w:rsidR="0031068F">
        <w:t>rules are designed</w:t>
      </w:r>
      <w:r w:rsidRPr="005C2320" w:rsidR="0031068F">
        <w:t xml:space="preserve"> to ensure that UWB GPR</w:t>
      </w:r>
      <w:r w:rsidR="0031068F">
        <w:t xml:space="preserve"> device</w:t>
      </w:r>
      <w:r w:rsidRPr="005C2320" w:rsidR="0031068F">
        <w:t>s do not cause harmful interfere</w:t>
      </w:r>
      <w:r w:rsidR="0031068F">
        <w:t>nce</w:t>
      </w:r>
      <w:r w:rsidRPr="005C2320" w:rsidR="0031068F">
        <w:t xml:space="preserve"> to authorized radio services, including Federal services.</w:t>
      </w:r>
      <w:r w:rsidR="00AC63D6">
        <w:t xml:space="preserve"> We note that </w:t>
      </w:r>
      <w:r w:rsidR="008B62A7">
        <w:t xml:space="preserve">Section 15.509(b) limits the </w:t>
      </w:r>
      <w:r w:rsidR="00BC710A">
        <w:t xml:space="preserve">operation of GPR devices to systems operated for purposes associated with law enforcement, fire fighting, emergency rescue, scientific research, </w:t>
      </w:r>
      <w:r w:rsidR="00A91F32">
        <w:t>commercial</w:t>
      </w:r>
      <w:r w:rsidR="00A23FCE">
        <w:t xml:space="preserve"> mining</w:t>
      </w:r>
      <w:r w:rsidR="00BC710A">
        <w:t>, or construction.</w:t>
      </w:r>
      <w:r>
        <w:rPr>
          <w:rStyle w:val="FootnoteReference"/>
          <w:szCs w:val="22"/>
        </w:rPr>
        <w:footnoteReference w:id="8"/>
      </w:r>
    </w:p>
    <w:p w:rsidR="00976A77" w:rsidRPr="009874A8" w:rsidP="00E937AD" w14:paraId="04CB9A82" w14:textId="4F778DA5">
      <w:pPr>
        <w:pStyle w:val="ParaNum"/>
      </w:pPr>
      <w:r w:rsidRPr="00223636">
        <w:t xml:space="preserve">On </w:t>
      </w:r>
      <w:r w:rsidRPr="00223636" w:rsidR="009C1E3D">
        <w:t>September 11, 2017, Proceq</w:t>
      </w:r>
      <w:r w:rsidRPr="00223636">
        <w:t xml:space="preserve"> filed a </w:t>
      </w:r>
      <w:r w:rsidR="0031068F">
        <w:t xml:space="preserve">waiver </w:t>
      </w:r>
      <w:r w:rsidRPr="00223636">
        <w:t xml:space="preserve">request to allow the marketing and operation of </w:t>
      </w:r>
      <w:r w:rsidRPr="00223636" w:rsidR="00E15C9F">
        <w:t>a</w:t>
      </w:r>
      <w:r w:rsidRPr="004010FE" w:rsidR="00E15C9F">
        <w:t xml:space="preserve"> fast-stepping </w:t>
      </w:r>
      <w:r w:rsidRPr="004010FE" w:rsidR="009F0310">
        <w:t>continuous-wave ground penetrating radar device</w:t>
      </w:r>
      <w:r w:rsidRPr="009874A8" w:rsidR="002F535C">
        <w:t xml:space="preserve"> that is </w:t>
      </w:r>
      <w:r w:rsidR="004B6648">
        <w:t xml:space="preserve">claimed </w:t>
      </w:r>
      <w:r w:rsidRPr="009874A8" w:rsidR="002F535C">
        <w:t>to provide increased</w:t>
      </w:r>
      <w:r w:rsidRPr="00FE639C" w:rsidR="002F535C">
        <w:t xml:space="preserve"> performance in determining the safety and stability of materials</w:t>
      </w:r>
      <w:r w:rsidRPr="00441B64">
        <w:t>.</w:t>
      </w:r>
      <w:r w:rsidRPr="00223636">
        <w:t xml:space="preserve"> </w:t>
      </w:r>
      <w:r w:rsidRPr="00223636" w:rsidR="006A7C89">
        <w:t xml:space="preserve"> </w:t>
      </w:r>
      <w:r w:rsidRPr="00223636" w:rsidR="00740000">
        <w:t>Proceq states that it</w:t>
      </w:r>
      <w:r w:rsidRPr="004010FE" w:rsidR="002F535C">
        <w:t>s</w:t>
      </w:r>
      <w:r w:rsidRPr="004010FE" w:rsidR="00740000">
        <w:t xml:space="preserve"> </w:t>
      </w:r>
      <w:r w:rsidRPr="004010FE" w:rsidR="002F535C">
        <w:t xml:space="preserve">GPR device implements an algorithm that is based on stepped frequency </w:t>
      </w:r>
      <w:r w:rsidRPr="009874A8" w:rsidR="002F535C">
        <w:t xml:space="preserve">continuous-wave </w:t>
      </w:r>
      <w:r w:rsidR="006D725D">
        <w:t xml:space="preserve">(CW) </w:t>
      </w:r>
      <w:r w:rsidRPr="009874A8" w:rsidR="002F535C">
        <w:t xml:space="preserve">modulation to suppress RF interference from Wi-Fi and GSM sources that </w:t>
      </w:r>
      <w:r w:rsidR="004B6648">
        <w:t xml:space="preserve">it asserts </w:t>
      </w:r>
      <w:r w:rsidRPr="009874A8" w:rsidR="002F535C">
        <w:t>can often impede the performance of conventional GPR</w:t>
      </w:r>
      <w:r w:rsidR="0031068F">
        <w:t xml:space="preserve"> devices</w:t>
      </w:r>
      <w:r w:rsidRPr="00441B64" w:rsidR="00740000">
        <w:t>.</w:t>
      </w:r>
      <w:r>
        <w:rPr>
          <w:rStyle w:val="FootnoteReference"/>
          <w:szCs w:val="22"/>
        </w:rPr>
        <w:footnoteReference w:id="9"/>
      </w:r>
      <w:r w:rsidRPr="00223636" w:rsidR="00BE74A6">
        <w:t xml:space="preserve">  </w:t>
      </w:r>
      <w:r w:rsidR="00BE74A6">
        <w:t xml:space="preserve">To accommodate this system design, </w:t>
      </w:r>
      <w:r w:rsidRPr="00223636" w:rsidR="003019D5">
        <w:t>Proceq</w:t>
      </w:r>
      <w:r w:rsidRPr="00223636" w:rsidR="00E7567A">
        <w:t xml:space="preserve"> seeks a waiver of </w:t>
      </w:r>
      <w:r w:rsidR="00BE74A6">
        <w:t>our</w:t>
      </w:r>
      <w:r w:rsidRPr="00223636" w:rsidR="00E7567A">
        <w:t xml:space="preserve"> rules </w:t>
      </w:r>
      <w:r w:rsidRPr="004010FE" w:rsidR="00E75B27">
        <w:t xml:space="preserve">pertaining to the </w:t>
      </w:r>
      <w:r w:rsidRPr="004010FE" w:rsidR="00E7567A">
        <w:t>definition</w:t>
      </w:r>
      <w:r w:rsidRPr="004010FE" w:rsidR="00D638FA">
        <w:t xml:space="preserve"> and </w:t>
      </w:r>
      <w:r w:rsidRPr="004010FE" w:rsidR="00E75B27">
        <w:t>measurement procedure</w:t>
      </w:r>
      <w:r w:rsidRPr="004010FE" w:rsidR="003019D5">
        <w:t xml:space="preserve">. </w:t>
      </w:r>
      <w:r w:rsidRPr="004010FE" w:rsidR="00935F4D">
        <w:t xml:space="preserve"> </w:t>
      </w:r>
    </w:p>
    <w:p w:rsidR="0031068F" w:rsidP="00E937AD" w14:paraId="38B01A40" w14:textId="77777777">
      <w:pPr>
        <w:pStyle w:val="ParaNum"/>
        <w:rPr>
          <w:rStyle w:val="documentbody1"/>
          <w:rFonts w:ascii="Times New Roman" w:hAnsi="Times New Roman"/>
          <w:sz w:val="22"/>
          <w:szCs w:val="22"/>
        </w:rPr>
      </w:pPr>
      <w:bookmarkStart w:id="1" w:name="FN[FN17]"/>
      <w:bookmarkStart w:id="2" w:name="FN[FN18]"/>
      <w:bookmarkStart w:id="3" w:name="FN[FN19]"/>
      <w:bookmarkEnd w:id="1"/>
      <w:bookmarkEnd w:id="2"/>
      <w:bookmarkEnd w:id="3"/>
      <w:r w:rsidRPr="00352CDE">
        <w:rPr>
          <w:rStyle w:val="documentbody1"/>
          <w:rFonts w:ascii="Times New Roman" w:hAnsi="Times New Roman"/>
          <w:sz w:val="22"/>
          <w:szCs w:val="22"/>
        </w:rPr>
        <w:t>We are authorized to grant a waiver under Section 1.3 of the Commission's rules if the petitioner demonstrates good cause for such action.</w:t>
      </w:r>
      <w:r>
        <w:rPr>
          <w:rStyle w:val="FootnoteReference"/>
          <w:szCs w:val="22"/>
        </w:rPr>
        <w:footnoteReference w:id="10"/>
      </w:r>
      <w:r w:rsidRPr="00352CDE">
        <w:rPr>
          <w:rStyle w:val="documentbody1"/>
          <w:rFonts w:ascii="Times New Roman" w:hAnsi="Times New Roman"/>
          <w:sz w:val="22"/>
          <w:szCs w:val="22"/>
        </w:rPr>
        <w:t xml:space="preserve">  Good cause, in turn, may be found and a waiver granted “where particular facts would make strict compliance inconsistent with the public interest.”</w:t>
      </w:r>
      <w:r>
        <w:rPr>
          <w:rStyle w:val="FootnoteReference"/>
          <w:szCs w:val="22"/>
        </w:rPr>
        <w:footnoteReference w:id="11"/>
      </w:r>
      <w:r w:rsidRPr="00352CDE">
        <w:rPr>
          <w:rStyle w:val="documentbody1"/>
          <w:rFonts w:ascii="Times New Roman" w:hAnsi="Times New Roman"/>
          <w:sz w:val="22"/>
          <w:szCs w:val="22"/>
        </w:rPr>
        <w:t xml:space="preserve">  To make this public interest determination, the waiver cannot undermine the purpose of the rule, and there must be a stronger public interest benefit in </w:t>
      </w:r>
      <w:bookmarkStart w:id="4" w:name="sp_1511_4275"/>
      <w:bookmarkStart w:id="5" w:name="SDU_4275"/>
      <w:bookmarkStart w:id="6" w:name="citeas((Cite_as:_22_F.C.C.R._4272,_*4275"/>
      <w:bookmarkEnd w:id="4"/>
      <w:bookmarkEnd w:id="5"/>
      <w:bookmarkEnd w:id="6"/>
      <w:r w:rsidRPr="00352CDE">
        <w:rPr>
          <w:rStyle w:val="documentbody1"/>
          <w:rFonts w:ascii="Times New Roman" w:hAnsi="Times New Roman"/>
          <w:sz w:val="22"/>
          <w:szCs w:val="22"/>
        </w:rPr>
        <w:t>granting the waiver than in applying the rule.</w:t>
      </w:r>
      <w:r>
        <w:rPr>
          <w:rStyle w:val="FootnoteReference"/>
          <w:szCs w:val="22"/>
        </w:rPr>
        <w:footnoteReference w:id="12"/>
      </w:r>
      <w:r w:rsidRPr="00352CDE">
        <w:rPr>
          <w:rStyle w:val="documentbody1"/>
          <w:rFonts w:ascii="Times New Roman" w:hAnsi="Times New Roman"/>
          <w:sz w:val="22"/>
          <w:szCs w:val="22"/>
        </w:rPr>
        <w:t xml:space="preserve">  </w:t>
      </w:r>
      <w:r>
        <w:rPr>
          <w:rStyle w:val="documentbody1"/>
          <w:rFonts w:ascii="Times New Roman" w:hAnsi="Times New Roman"/>
          <w:sz w:val="22"/>
          <w:szCs w:val="22"/>
        </w:rPr>
        <w:t>We find that this standard has been met</w:t>
      </w:r>
      <w:r w:rsidRPr="00352CDE">
        <w:rPr>
          <w:rStyle w:val="documentbody1"/>
          <w:rFonts w:ascii="Times New Roman" w:hAnsi="Times New Roman"/>
          <w:sz w:val="22"/>
          <w:szCs w:val="22"/>
        </w:rPr>
        <w:t>.</w:t>
      </w:r>
    </w:p>
    <w:p w:rsidR="00B21FE2" w:rsidRPr="005C2320" w:rsidP="00E937AD" w14:paraId="39BB657C" w14:textId="7A632D82">
      <w:pPr>
        <w:pStyle w:val="ParaNum"/>
      </w:pPr>
      <w:r w:rsidRPr="005C2320">
        <w:t xml:space="preserve">Section 15.503(d) </w:t>
      </w:r>
      <w:r w:rsidRPr="004E2C20" w:rsidR="007D62EA">
        <w:t xml:space="preserve">of the Commission’s rules </w:t>
      </w:r>
      <w:r w:rsidRPr="005C2320" w:rsidR="00667E78">
        <w:t xml:space="preserve">defines </w:t>
      </w:r>
      <w:r w:rsidRPr="005C2320" w:rsidR="00E41ED8">
        <w:t>a UWB</w:t>
      </w:r>
      <w:r w:rsidRPr="005C2320">
        <w:t xml:space="preserve"> transmitter</w:t>
      </w:r>
      <w:r w:rsidRPr="005C2320" w:rsidR="00667E78">
        <w:t xml:space="preserve"> as a device that</w:t>
      </w:r>
      <w:r w:rsidRPr="005C2320">
        <w:t xml:space="preserve"> “at any point in time” has an UWB bandwidth equal to or greater than 500 megahertz</w:t>
      </w:r>
      <w:r w:rsidR="004010FE">
        <w:t xml:space="preserve"> or </w:t>
      </w:r>
      <w:r w:rsidRPr="005C2320" w:rsidR="004010FE">
        <w:t>a fractional bandwidth equal to or greater than 0.20</w:t>
      </w:r>
      <w:r w:rsidRPr="005C2320">
        <w:t xml:space="preserve">.  </w:t>
      </w:r>
      <w:r w:rsidRPr="005C2320" w:rsidR="00E228AA">
        <w:t xml:space="preserve">The </w:t>
      </w:r>
      <w:r w:rsidRPr="005C2320" w:rsidR="005F3AE8">
        <w:t>Proce</w:t>
      </w:r>
      <w:r w:rsidRPr="005C2320" w:rsidR="00800861">
        <w:t xml:space="preserve">q </w:t>
      </w:r>
      <w:r w:rsidRPr="005C2320" w:rsidR="00E228AA">
        <w:t>device steps a narrow signal through the</w:t>
      </w:r>
      <w:r w:rsidRPr="005C2320" w:rsidR="005F3AE8">
        <w:t xml:space="preserve"> </w:t>
      </w:r>
      <w:r w:rsidR="001728B3">
        <w:t>200</w:t>
      </w:r>
      <w:r w:rsidRPr="005C2320" w:rsidR="001728B3">
        <w:t xml:space="preserve"> </w:t>
      </w:r>
      <w:r w:rsidRPr="005C2320" w:rsidR="00E228AA">
        <w:t xml:space="preserve">to </w:t>
      </w:r>
      <w:r w:rsidR="001728B3">
        <w:t>4000</w:t>
      </w:r>
      <w:r w:rsidRPr="005C2320" w:rsidR="001728B3">
        <w:t xml:space="preserve"> </w:t>
      </w:r>
      <w:r w:rsidRPr="005C2320" w:rsidR="00E228AA">
        <w:t xml:space="preserve">MHz range.  </w:t>
      </w:r>
      <w:r w:rsidR="003265FA">
        <w:t>E</w:t>
      </w:r>
      <w:r w:rsidRPr="005C2320">
        <w:t>ach</w:t>
      </w:r>
      <w:r w:rsidRPr="005C2320" w:rsidR="00E228AA">
        <w:t xml:space="preserve"> of these individual</w:t>
      </w:r>
      <w:r w:rsidRPr="005C2320">
        <w:t xml:space="preserve"> transmission</w:t>
      </w:r>
      <w:r w:rsidRPr="005C2320" w:rsidR="00E228AA">
        <w:t>s</w:t>
      </w:r>
      <w:r w:rsidRPr="005C2320">
        <w:t xml:space="preserve"> is less than 500 megahertz in bandwidth “at any point in time”</w:t>
      </w:r>
      <w:r w:rsidR="004010FE">
        <w:t xml:space="preserve"> and </w:t>
      </w:r>
      <w:r w:rsidRPr="005C2320" w:rsidR="004010FE">
        <w:t>Proceq’s device</w:t>
      </w:r>
      <w:r w:rsidR="004010FE">
        <w:t xml:space="preserve"> does not have a 0.20 or greater fractional bandwidth.  Thus, </w:t>
      </w:r>
      <w:r w:rsidR="00CA0D1D">
        <w:t xml:space="preserve">even though </w:t>
      </w:r>
      <w:r w:rsidR="004010FE">
        <w:t xml:space="preserve">the </w:t>
      </w:r>
      <w:r w:rsidRPr="005C2320" w:rsidR="009427FF">
        <w:t>device</w:t>
      </w:r>
      <w:r w:rsidRPr="005C2320">
        <w:t xml:space="preserve"> </w:t>
      </w:r>
      <w:r w:rsidR="00CA0D1D">
        <w:t xml:space="preserve">has a </w:t>
      </w:r>
      <w:r w:rsidRPr="005C2320" w:rsidR="00CA0D1D">
        <w:t xml:space="preserve">total bandwidth </w:t>
      </w:r>
      <w:r w:rsidR="004B6648">
        <w:t xml:space="preserve">that </w:t>
      </w:r>
      <w:r w:rsidRPr="005C2320" w:rsidR="00CA0D1D">
        <w:t>exceeds 500 megahertz</w:t>
      </w:r>
      <w:r w:rsidR="00CA0D1D">
        <w:t xml:space="preserve">, it </w:t>
      </w:r>
      <w:r w:rsidRPr="005C2320">
        <w:t>would not meet the definitional requirement for operation under the UWB rules.</w:t>
      </w:r>
      <w:r>
        <w:rPr>
          <w:rStyle w:val="FootnoteReference"/>
          <w:szCs w:val="22"/>
        </w:rPr>
        <w:footnoteReference w:id="13"/>
      </w:r>
    </w:p>
    <w:p w:rsidR="00563472" w:rsidRPr="004E2C20" w:rsidP="00E937AD" w14:paraId="65310DE7" w14:textId="162C2110">
      <w:pPr>
        <w:pStyle w:val="ParaNum"/>
      </w:pPr>
      <w:r w:rsidRPr="004E2C20">
        <w:t>The UWB imaging rules were designed to accommodate devices that emit impulsive or transient-like signals that are spread across a very wide bandwidth to produce an image of objects within the</w:t>
      </w:r>
      <w:r w:rsidRPr="005C2320">
        <w:t xml:space="preserve"> ground or other materials</w:t>
      </w:r>
      <w:r>
        <w:t>.</w:t>
      </w:r>
      <w:r>
        <w:rPr>
          <w:rStyle w:val="FootnoteReference"/>
          <w:szCs w:val="22"/>
        </w:rPr>
        <w:footnoteReference w:id="14"/>
      </w:r>
      <w:r>
        <w:t xml:space="preserve">  </w:t>
      </w:r>
      <w:r w:rsidRPr="004E2C20">
        <w:t xml:space="preserve">The primary difference between the </w:t>
      </w:r>
      <w:r w:rsidRPr="005C2320">
        <w:t>Proceq</w:t>
      </w:r>
      <w:r w:rsidRPr="004E2C20">
        <w:t xml:space="preserve"> device and other UWB </w:t>
      </w:r>
      <w:r w:rsidRPr="005C2320">
        <w:t>GPR</w:t>
      </w:r>
      <w:r w:rsidRPr="004E2C20">
        <w:t xml:space="preserve"> devices provided for in the rules is </w:t>
      </w:r>
      <w:r w:rsidR="00CA0D1D">
        <w:t xml:space="preserve">that the </w:t>
      </w:r>
      <w:r w:rsidRPr="005C2320">
        <w:t>Proceq GPR</w:t>
      </w:r>
      <w:r w:rsidRPr="004E2C20">
        <w:t xml:space="preserve"> device uses stepped frequency </w:t>
      </w:r>
      <w:r w:rsidR="006D725D">
        <w:t xml:space="preserve">CW </w:t>
      </w:r>
      <w:r w:rsidRPr="004E2C20">
        <w:t>modulation—</w:t>
      </w:r>
      <w:r w:rsidRPr="00BC3CDD">
        <w:rPr>
          <w:i/>
        </w:rPr>
        <w:t>i.e.</w:t>
      </w:r>
      <w:r w:rsidRPr="00BC3CDD">
        <w:t xml:space="preserve">, </w:t>
      </w:r>
      <w:r w:rsidRPr="004E2C20">
        <w:t>an array of closely spaced transmitting/receiving antennas that transmit sequentially over a large band</w:t>
      </w:r>
      <w:r w:rsidRPr="006519D3">
        <w:t xml:space="preserve"> of spectru</w:t>
      </w:r>
      <w:r w:rsidRPr="004E2C20">
        <w:t>m—to gather all the needed data</w:t>
      </w:r>
      <w:r>
        <w:t>.</w:t>
      </w:r>
      <w:r w:rsidRPr="004E2C20">
        <w:t xml:space="preserve">  </w:t>
      </w:r>
      <w:r w:rsidR="00CA0D1D">
        <w:t xml:space="preserve">This modulation scheme </w:t>
      </w:r>
      <w:r w:rsidRPr="006519D3" w:rsidR="00AE3876">
        <w:t>is functionally equivalent to</w:t>
      </w:r>
      <w:r w:rsidRPr="006519D3" w:rsidR="00217C5D">
        <w:t xml:space="preserve"> other types of</w:t>
      </w:r>
      <w:r w:rsidRPr="006519D3" w:rsidR="00AE3876">
        <w:t xml:space="preserve"> UWB </w:t>
      </w:r>
      <w:r w:rsidRPr="006519D3" w:rsidR="00E02CB9">
        <w:t>GPR</w:t>
      </w:r>
      <w:r w:rsidR="00CA0D1D">
        <w:t xml:space="preserve"> </w:t>
      </w:r>
      <w:r w:rsidR="004B6648">
        <w:t xml:space="preserve">devices </w:t>
      </w:r>
      <w:r w:rsidR="00CA0D1D">
        <w:t>in that i</w:t>
      </w:r>
      <w:r w:rsidR="008D6B12">
        <w:t>t</w:t>
      </w:r>
      <w:r w:rsidR="00CA0D1D">
        <w:t xml:space="preserve"> uses </w:t>
      </w:r>
      <w:r w:rsidRPr="004E2C20" w:rsidR="00CA0D1D">
        <w:t>transient-like signals spread across a wide bandwidth</w:t>
      </w:r>
      <w:r w:rsidR="003265FA">
        <w:t>.</w:t>
      </w:r>
      <w:r w:rsidR="00CA0D1D">
        <w:t xml:space="preserve"> </w:t>
      </w:r>
      <w:r w:rsidRPr="004E2C20" w:rsidR="00AE3876">
        <w:t xml:space="preserve"> </w:t>
      </w:r>
      <w:r w:rsidR="003265FA">
        <w:t>T</w:t>
      </w:r>
      <w:r w:rsidRPr="004E2C20" w:rsidR="00AE3876">
        <w:t xml:space="preserve">he risk of interference from the </w:t>
      </w:r>
      <w:r w:rsidRPr="005C2320" w:rsidR="00E02CB9">
        <w:t>Proceq</w:t>
      </w:r>
      <w:r w:rsidRPr="004E2C20" w:rsidR="00AE3876">
        <w:t xml:space="preserve"> </w:t>
      </w:r>
      <w:r w:rsidR="005C3D93">
        <w:t xml:space="preserve">GPR </w:t>
      </w:r>
      <w:r w:rsidRPr="004E2C20" w:rsidR="00AE3876">
        <w:t xml:space="preserve">device </w:t>
      </w:r>
      <w:r w:rsidR="003265FA">
        <w:t xml:space="preserve">in this scenario is </w:t>
      </w:r>
      <w:r w:rsidRPr="004E2C20" w:rsidR="00AE3876">
        <w:t xml:space="preserve">no greater than </w:t>
      </w:r>
      <w:r w:rsidR="00CA0D1D">
        <w:t xml:space="preserve">that </w:t>
      </w:r>
      <w:r w:rsidRPr="004E2C20" w:rsidR="00AE3876">
        <w:t>from</w:t>
      </w:r>
      <w:r w:rsidRPr="004E2C20" w:rsidR="0058471B">
        <w:t xml:space="preserve"> other</w:t>
      </w:r>
      <w:r w:rsidRPr="004E2C20" w:rsidR="00AE3876">
        <w:t xml:space="preserve"> </w:t>
      </w:r>
      <w:r w:rsidRPr="004E2C20" w:rsidR="00AD786C">
        <w:t xml:space="preserve">such </w:t>
      </w:r>
      <w:r w:rsidRPr="004E2C20" w:rsidR="00AE3876">
        <w:t xml:space="preserve">UWB </w:t>
      </w:r>
      <w:r w:rsidRPr="005C2320" w:rsidR="00E02CB9">
        <w:t>GPR</w:t>
      </w:r>
      <w:r w:rsidRPr="004E2C20" w:rsidR="00AE3876">
        <w:t xml:space="preserve"> devices</w:t>
      </w:r>
      <w:r w:rsidR="00CA0D1D">
        <w:t xml:space="preserve">.  Accordingly, </w:t>
      </w:r>
      <w:r w:rsidR="003265FA">
        <w:t xml:space="preserve">we find that </w:t>
      </w:r>
      <w:r w:rsidRPr="004E2C20" w:rsidR="00AE3876">
        <w:t xml:space="preserve">a waiver will not undermine the intent of our rule.    </w:t>
      </w:r>
      <w:r w:rsidRPr="004E2C20" w:rsidR="00533902">
        <w:t xml:space="preserve"> </w:t>
      </w:r>
    </w:p>
    <w:p w:rsidR="0095088A" w:rsidRPr="006519D3" w:rsidP="00E937AD" w14:paraId="654AE758" w14:textId="0775DA9A">
      <w:pPr>
        <w:pStyle w:val="ParaNum"/>
      </w:pPr>
      <w:r w:rsidRPr="004E2C20">
        <w:t>Section 15.31(c) of the Commission’s rules</w:t>
      </w:r>
      <w:r w:rsidR="00CD2145">
        <w:t xml:space="preserve">, </w:t>
      </w:r>
      <w:r w:rsidRPr="004E2C20" w:rsidR="00EC5E8F">
        <w:t>sets forth the measurement standards for unlicensed devices to demonstrate compliance with applicable emissions limits</w:t>
      </w:r>
      <w:r w:rsidRPr="004E2C20">
        <w:t>.</w:t>
      </w:r>
      <w:r w:rsidRPr="004E2C20" w:rsidR="00EC5E8F">
        <w:t xml:space="preserve">  This rule requires that </w:t>
      </w:r>
      <w:r w:rsidRPr="004E2C20" w:rsidR="00EC5E8F">
        <w:t xml:space="preserve">swept frequency equipment measurements shall be made with the frequency sweep stopped.  </w:t>
      </w:r>
      <w:r w:rsidRPr="005C2320">
        <w:t>Section 15.521(d) of the Commission’s rules</w:t>
      </w:r>
      <w:r w:rsidR="00CD2145">
        <w:t>, 47 C.F.R. § 15.521(d),</w:t>
      </w:r>
      <w:r w:rsidRPr="005C2320">
        <w:t xml:space="preserve"> sets forth the measurement procedures for UWB devices to demonstrate compliance with applicable emissions limits.  For emissions above 960 MHz, this rule requires that, if pulse gating is used and the transmitter is quiescent for longer intervals than the nominal pulse repetition interval, measurements are made with the pulse train gated on.  </w:t>
      </w:r>
      <w:r w:rsidRPr="005C2320" w:rsidR="0003199D">
        <w:t>Proceq</w:t>
      </w:r>
      <w:r w:rsidRPr="004E2C20">
        <w:t xml:space="preserve"> observes that, since this rule was adopted, the Commission has permitted other UWB transmitters operating above 960 MHz that use frequency </w:t>
      </w:r>
      <w:r w:rsidR="006D725D">
        <w:t>stepping</w:t>
      </w:r>
      <w:r w:rsidRPr="004E2C20" w:rsidR="006D725D">
        <w:t xml:space="preserve"> </w:t>
      </w:r>
      <w:r w:rsidR="006D725D">
        <w:t xml:space="preserve">techniques </w:t>
      </w:r>
      <w:r w:rsidRPr="004E2C20">
        <w:t xml:space="preserve">to be measured using an average detector with the transmitter operating in its normal mode, </w:t>
      </w:r>
      <w:r w:rsidRPr="004E2C20">
        <w:rPr>
          <w:i/>
        </w:rPr>
        <w:t>i.e</w:t>
      </w:r>
      <w:r w:rsidRPr="004E2C20">
        <w:t>., with the stepping function active</w:t>
      </w:r>
      <w:r w:rsidR="007D62EA">
        <w:t>, and asserts that there is no</w:t>
      </w:r>
      <w:r w:rsidR="00F77B8E">
        <w:t xml:space="preserve"> </w:t>
      </w:r>
      <w:r w:rsidR="007D62EA">
        <w:t>reason to require it to conduct measurements with the stepping function stopped</w:t>
      </w:r>
      <w:r w:rsidRPr="004E2C20">
        <w:t>.</w:t>
      </w:r>
      <w:r>
        <w:rPr>
          <w:rStyle w:val="FootnoteReference"/>
          <w:szCs w:val="22"/>
        </w:rPr>
        <w:footnoteReference w:id="15"/>
      </w:r>
      <w:r w:rsidRPr="004E2C20">
        <w:t xml:space="preserve">  </w:t>
      </w:r>
      <w:r w:rsidRPr="004E2C20" w:rsidR="0086447F">
        <w:t xml:space="preserve">Proceq claims that </w:t>
      </w:r>
      <w:r w:rsidR="007D62EA">
        <w:t>its</w:t>
      </w:r>
      <w:r w:rsidRPr="004E2C20" w:rsidR="007D62EA">
        <w:t xml:space="preserve"> </w:t>
      </w:r>
      <w:r w:rsidRPr="004E2C20" w:rsidR="0086447F">
        <w:t xml:space="preserve">GPR </w:t>
      </w:r>
      <w:r w:rsidR="007D62EA">
        <w:t xml:space="preserve">device </w:t>
      </w:r>
      <w:r w:rsidRPr="004E2C20" w:rsidR="0086447F">
        <w:t>will meet all other emission limits</w:t>
      </w:r>
      <w:r w:rsidRPr="006519D3" w:rsidR="0086447F">
        <w:t xml:space="preserve"> and technical requirements under the UWB rules when measured with the stepping function active.  </w:t>
      </w:r>
    </w:p>
    <w:p w:rsidR="00B20064" w:rsidP="00E937AD" w14:paraId="0059C378" w14:textId="173D986D">
      <w:pPr>
        <w:pStyle w:val="ParaNum"/>
      </w:pPr>
      <w:r w:rsidRPr="00B20064">
        <w:t>Prior</w:t>
      </w:r>
      <w:r w:rsidRPr="00B20064" w:rsidR="0095088A">
        <w:t xml:space="preserve"> waiver</w:t>
      </w:r>
      <w:r w:rsidRPr="00B20064" w:rsidR="004B66A1">
        <w:t>s</w:t>
      </w:r>
      <w:r w:rsidRPr="00B20064" w:rsidR="0095088A">
        <w:t xml:space="preserve"> of the measurement procedures f</w:t>
      </w:r>
      <w:r w:rsidRPr="00B20064">
        <w:t>o</w:t>
      </w:r>
      <w:r w:rsidRPr="00B20064" w:rsidR="0095088A">
        <w:t xml:space="preserve">r UWB transmitters </w:t>
      </w:r>
      <w:r w:rsidRPr="00B20064">
        <w:t>that permitted emissions</w:t>
      </w:r>
      <w:r w:rsidRPr="00B20064" w:rsidR="0095088A">
        <w:t xml:space="preserve"> to be measured with the transmitter operating in its normal transmission mode recognized that the interference aspects of a transmitter employing frequency hopping, frequency </w:t>
      </w:r>
      <w:r w:rsidR="006D725D">
        <w:t>stepping</w:t>
      </w:r>
      <w:r w:rsidRPr="00B20064" w:rsidR="0095088A">
        <w:t>, or gating are quite similar, as viewed by a receiver, in that transmitters using these burst formats appear to the receiver to emit for a short period of time followed by a quiet period.</w:t>
      </w:r>
      <w:r>
        <w:rPr>
          <w:vertAlign w:val="superscript"/>
        </w:rPr>
        <w:footnoteReference w:id="16"/>
      </w:r>
      <w:r w:rsidRPr="00B20064" w:rsidR="0095088A">
        <w:t xml:space="preserve">  The Commission concluded that any requirement to stop the frequency hopping, band sequencing, or system gating serves only to add another unnecessary level of conservatism to already stringent UWB standards.</w:t>
      </w:r>
      <w:r>
        <w:rPr>
          <w:vertAlign w:val="superscript"/>
        </w:rPr>
        <w:footnoteReference w:id="17"/>
      </w:r>
      <w:r w:rsidRPr="00B20064">
        <w:t xml:space="preserve">  In </w:t>
      </w:r>
      <w:r w:rsidRPr="00B20064" w:rsidR="0095088A">
        <w:t xml:space="preserve">conjunction with the </w:t>
      </w:r>
      <w:r w:rsidRPr="00B20064" w:rsidR="00935F4D">
        <w:t>National Telecommunications and Information Administration (</w:t>
      </w:r>
      <w:r w:rsidRPr="00B20064" w:rsidR="0095088A">
        <w:t>NTIA</w:t>
      </w:r>
      <w:r w:rsidRPr="00B20064" w:rsidR="00935F4D">
        <w:t>)</w:t>
      </w:r>
      <w:r w:rsidRPr="00B20064" w:rsidR="0095088A">
        <w:t xml:space="preserve">, </w:t>
      </w:r>
      <w:r>
        <w:t xml:space="preserve">we have further </w:t>
      </w:r>
      <w:r w:rsidRPr="00B20064" w:rsidR="0095088A">
        <w:t xml:space="preserve">determined that allowing stepped frequency devices to be measured with the stepping function on would not increase the interference potential of the device above that of impulse UWB devices if all other emission limits and technical requirements </w:t>
      </w:r>
      <w:r w:rsidR="004B6648">
        <w:t xml:space="preserve">are </w:t>
      </w:r>
      <w:r w:rsidRPr="00B20064" w:rsidR="0095088A">
        <w:t>met.</w:t>
      </w:r>
      <w:r>
        <w:rPr>
          <w:rStyle w:val="FootnoteReference"/>
          <w:szCs w:val="22"/>
        </w:rPr>
        <w:footnoteReference w:id="18"/>
      </w:r>
    </w:p>
    <w:p w:rsidR="00B21FE2" w:rsidRPr="006D725D" w:rsidP="00E937AD" w14:paraId="3D9CC8DA" w14:textId="3CE2D5D5">
      <w:pPr>
        <w:pStyle w:val="ParaNum"/>
      </w:pPr>
      <w:r w:rsidRPr="00B20064">
        <w:t>Pro</w:t>
      </w:r>
      <w:r w:rsidR="006E66BA">
        <w:t>c</w:t>
      </w:r>
      <w:r w:rsidRPr="00B20064">
        <w:t>eq</w:t>
      </w:r>
      <w:r w:rsidR="00352CDE">
        <w:t>’s request re</w:t>
      </w:r>
      <w:r w:rsidRPr="00B20064">
        <w:t xml:space="preserve">presents an analogous situation.  Because </w:t>
      </w:r>
      <w:r w:rsidRPr="00B20064" w:rsidR="0095088A">
        <w:t>a waiver of the measurement procedure</w:t>
      </w:r>
      <w:r w:rsidRPr="00B20064" w:rsidR="00EC5E8F">
        <w:t>s</w:t>
      </w:r>
      <w:r w:rsidRPr="00B20064" w:rsidR="0095088A">
        <w:t xml:space="preserve"> in Section</w:t>
      </w:r>
      <w:r w:rsidRPr="00B20064" w:rsidR="00EC5E8F">
        <w:t>s 15.31(c)</w:t>
      </w:r>
      <w:r w:rsidRPr="00B20064" w:rsidR="0095088A">
        <w:t xml:space="preserve"> </w:t>
      </w:r>
      <w:r w:rsidRPr="00B20064" w:rsidR="00DE1DA0">
        <w:t xml:space="preserve">and </w:t>
      </w:r>
      <w:r w:rsidRPr="00B20064" w:rsidR="0095088A">
        <w:t>15.521(d) will not increase the potential for harmful interference to authorized services</w:t>
      </w:r>
      <w:r w:rsidRPr="00B20064">
        <w:t xml:space="preserve">, </w:t>
      </w:r>
      <w:r w:rsidRPr="00F06604" w:rsidR="00352CDE">
        <w:t>permit</w:t>
      </w:r>
      <w:r w:rsidR="00352CDE">
        <w:t>ting</w:t>
      </w:r>
      <w:r w:rsidRPr="00F06604" w:rsidR="00352CDE">
        <w:t xml:space="preserve"> Proceq to demonstrate compliance with the UWB GPR emission limits with the stepping function active</w:t>
      </w:r>
      <w:r w:rsidRPr="00B20064" w:rsidR="00352CDE">
        <w:t xml:space="preserve"> </w:t>
      </w:r>
      <w:r w:rsidR="00352CDE">
        <w:t xml:space="preserve">will not undermine </w:t>
      </w:r>
      <w:r w:rsidRPr="00B20064">
        <w:t>the purpose of the rule</w:t>
      </w:r>
      <w:r w:rsidRPr="00B20064" w:rsidR="0095088A">
        <w:t>.</w:t>
      </w:r>
      <w:r>
        <w:rPr>
          <w:vertAlign w:val="superscript"/>
        </w:rPr>
        <w:footnoteReference w:id="19"/>
      </w:r>
      <w:r w:rsidR="00126816">
        <w:t xml:space="preserve"> </w:t>
      </w:r>
      <w:r>
        <w:t xml:space="preserve"> </w:t>
      </w:r>
      <w:r w:rsidRPr="00B20064" w:rsidR="004D7907">
        <w:t xml:space="preserve">To ensure that the </w:t>
      </w:r>
      <w:r w:rsidRPr="00B20064" w:rsidR="00F07C1A">
        <w:t>Proceq GPR</w:t>
      </w:r>
      <w:r w:rsidR="00352CDE">
        <w:t xml:space="preserve"> device</w:t>
      </w:r>
      <w:r w:rsidRPr="00B20064" w:rsidR="004D7907">
        <w:t xml:space="preserve"> does not emit in any individual </w:t>
      </w:r>
      <w:r w:rsidRPr="00B20064" w:rsidR="00E17CCD">
        <w:t>10 MHz</w:t>
      </w:r>
      <w:r w:rsidRPr="00B20064" w:rsidR="00F07C1A">
        <w:t>, 20</w:t>
      </w:r>
      <w:r w:rsidRPr="00B20064" w:rsidR="004D7907">
        <w:t xml:space="preserve"> MHz</w:t>
      </w:r>
      <w:r w:rsidRPr="00B20064" w:rsidR="00F07C1A">
        <w:t>, or 40 MHz</w:t>
      </w:r>
      <w:r w:rsidRPr="00B20064" w:rsidR="004D7907">
        <w:t xml:space="preserve"> narrow band</w:t>
      </w:r>
      <w:r w:rsidR="00126816">
        <w:t xml:space="preserve"> </w:t>
      </w:r>
      <w:r w:rsidR="004B6648">
        <w:t>continuously</w:t>
      </w:r>
      <w:r w:rsidRPr="00B20064" w:rsidR="004D7907">
        <w:t xml:space="preserve">, we are conditioning this waiver </w:t>
      </w:r>
      <w:r w:rsidRPr="00B20064" w:rsidR="00935F4D">
        <w:t xml:space="preserve">so that the </w:t>
      </w:r>
      <w:r w:rsidR="00903770">
        <w:t>dwell time</w:t>
      </w:r>
      <w:r w:rsidR="008D6B12">
        <w:t xml:space="preserve"> during any </w:t>
      </w:r>
      <w:r w:rsidR="00F836CB">
        <w:t xml:space="preserve">step </w:t>
      </w:r>
      <w:r w:rsidR="005839C8">
        <w:t>shall</w:t>
      </w:r>
      <w:r w:rsidRPr="00B20064" w:rsidR="005839C8">
        <w:t xml:space="preserve"> </w:t>
      </w:r>
      <w:r w:rsidRPr="00B20064" w:rsidR="00935F4D">
        <w:t>not exceed 0.04 percent</w:t>
      </w:r>
      <w:r w:rsidR="00903770">
        <w:t xml:space="preserve"> of the device’s minimum scan/cycle rate</w:t>
      </w:r>
      <w:r w:rsidRPr="00B20064" w:rsidR="00AC41FA">
        <w:t>.</w:t>
      </w:r>
      <w:r>
        <w:rPr>
          <w:vertAlign w:val="superscript"/>
        </w:rPr>
        <w:footnoteReference w:id="20"/>
      </w:r>
      <w:r w:rsidR="0031068F">
        <w:t xml:space="preserve">  In sum, we find that </w:t>
      </w:r>
      <w:r w:rsidRPr="00F06604" w:rsidR="0031068F">
        <w:t xml:space="preserve">Proceq’s </w:t>
      </w:r>
      <w:r w:rsidR="005C3D93">
        <w:t xml:space="preserve">GPR </w:t>
      </w:r>
      <w:r w:rsidRPr="00F06604" w:rsidR="0031068F">
        <w:t xml:space="preserve">device </w:t>
      </w:r>
      <w:r w:rsidR="00F836CB">
        <w:t xml:space="preserve">operating under the conditions specified below </w:t>
      </w:r>
      <w:r w:rsidRPr="00F06604" w:rsidR="0031068F">
        <w:t>poses no greater risk of causing harmful interference to radio communications services than any other UWB imaging system operating under our rules</w:t>
      </w:r>
      <w:r w:rsidR="00352CDE">
        <w:t>.</w:t>
      </w:r>
    </w:p>
    <w:p w:rsidR="000356BE" w:rsidRPr="00EC42DA" w:rsidP="00E937AD" w14:paraId="42D219E9" w14:textId="0CE19C16">
      <w:pPr>
        <w:pStyle w:val="ParaNum"/>
        <w:widowControl/>
        <w:rPr>
          <w:b/>
        </w:rPr>
      </w:pPr>
      <w:r>
        <w:t>W</w:t>
      </w:r>
      <w:r w:rsidRPr="005C2320">
        <w:t xml:space="preserve">e </w:t>
      </w:r>
      <w:r>
        <w:t xml:space="preserve">also </w:t>
      </w:r>
      <w:r w:rsidRPr="005C2320">
        <w:t xml:space="preserve">find that </w:t>
      </w:r>
      <w:r w:rsidR="00AB11BC">
        <w:t xml:space="preserve">granting a waiver is in the </w:t>
      </w:r>
      <w:r w:rsidRPr="005C2320">
        <w:t>public interest</w:t>
      </w:r>
      <w:r w:rsidR="00E605FE">
        <w:t xml:space="preserve">.  GPRs have a wide variety of applications for locating objects </w:t>
      </w:r>
      <w:r w:rsidR="00164382">
        <w:t>under</w:t>
      </w:r>
      <w:r w:rsidR="003E1550">
        <w:t xml:space="preserve"> </w:t>
      </w:r>
      <w:r w:rsidR="00164382">
        <w:t>ground</w:t>
      </w:r>
      <w:r w:rsidR="00E605FE">
        <w:t>.  Providing for a variety of GPR technologies will</w:t>
      </w:r>
      <w:r w:rsidR="00F77B8E">
        <w:t xml:space="preserve"> increase competition,</w:t>
      </w:r>
      <w:r w:rsidR="00E605FE">
        <w:t xml:space="preserve"> enabl</w:t>
      </w:r>
      <w:r w:rsidR="00F77B8E">
        <w:t>ing</w:t>
      </w:r>
      <w:r w:rsidR="00E605FE">
        <w:t xml:space="preserve"> potential users</w:t>
      </w:r>
      <w:r w:rsidR="00F77B8E">
        <w:t xml:space="preserve"> to have</w:t>
      </w:r>
      <w:r w:rsidR="00E605FE">
        <w:t xml:space="preserve"> </w:t>
      </w:r>
      <w:r w:rsidR="00F77B8E">
        <w:t xml:space="preserve">more </w:t>
      </w:r>
      <w:r w:rsidR="00E605FE">
        <w:t>choice</w:t>
      </w:r>
      <w:r w:rsidR="00F77B8E">
        <w:t>s</w:t>
      </w:r>
      <w:r w:rsidR="00E605FE">
        <w:t xml:space="preserve"> to obtain the products that best meet their needs.  </w:t>
      </w:r>
    </w:p>
    <w:p w:rsidR="00B21FE2" w:rsidRPr="006519D3" w:rsidP="00E937AD" w14:paraId="1138CCF9" w14:textId="5D7CF49C">
      <w:pPr>
        <w:pStyle w:val="ParaNum"/>
        <w:rPr>
          <w:b/>
        </w:rPr>
      </w:pPr>
      <w:r>
        <w:t xml:space="preserve">Our waiver </w:t>
      </w:r>
      <w:r w:rsidRPr="006519D3">
        <w:t xml:space="preserve">is limited </w:t>
      </w:r>
      <w:r w:rsidR="006E66BA">
        <w:t>to</w:t>
      </w:r>
      <w:r w:rsidRPr="006519D3">
        <w:t xml:space="preserve"> the </w:t>
      </w:r>
      <w:r>
        <w:t>Proceq GPR</w:t>
      </w:r>
      <w:r w:rsidRPr="005C2320">
        <w:t xml:space="preserve"> </w:t>
      </w:r>
      <w:r w:rsidRPr="006519D3">
        <w:t>device and its use as described in the waiver reques</w:t>
      </w:r>
      <w:r>
        <w:t>t and applies to</w:t>
      </w:r>
      <w:r w:rsidRPr="006519D3" w:rsidR="00452A8F">
        <w:t xml:space="preserve">: </w:t>
      </w:r>
      <w:r w:rsidRPr="006519D3">
        <w:t xml:space="preserve">1) </w:t>
      </w:r>
      <w:r w:rsidRPr="006519D3" w:rsidR="00597C1A">
        <w:t xml:space="preserve">The “at any point in time” requirement of </w:t>
      </w:r>
      <w:r w:rsidRPr="006519D3">
        <w:t xml:space="preserve">Section 15.503(d) which would require the </w:t>
      </w:r>
      <w:r w:rsidRPr="006519D3" w:rsidR="00413660">
        <w:t>Proceq</w:t>
      </w:r>
      <w:r w:rsidRPr="006519D3">
        <w:t xml:space="preserve"> transmitter to have a fractional bandwidth</w:t>
      </w:r>
      <w:r w:rsidRPr="006519D3" w:rsidR="00DA5104">
        <w:t xml:space="preserve"> </w:t>
      </w:r>
      <w:r w:rsidRPr="006519D3">
        <w:t>equal to or greater than 0.20 or UWB bandwidth equ</w:t>
      </w:r>
      <w:r w:rsidRPr="006519D3" w:rsidR="00452A8F">
        <w:t xml:space="preserve">al to or greater than 500 MHz; </w:t>
      </w:r>
      <w:r w:rsidR="00935F4D">
        <w:t xml:space="preserve"> and </w:t>
      </w:r>
      <w:r w:rsidRPr="006519D3">
        <w:t>2) the requirement</w:t>
      </w:r>
      <w:r w:rsidRPr="006519D3" w:rsidR="00EC5E8F">
        <w:t>s</w:t>
      </w:r>
      <w:r w:rsidRPr="006519D3">
        <w:t xml:space="preserve"> in Section</w:t>
      </w:r>
      <w:r w:rsidRPr="006519D3" w:rsidR="00EC5E8F">
        <w:t>s</w:t>
      </w:r>
      <w:r w:rsidRPr="006519D3">
        <w:t xml:space="preserve"> </w:t>
      </w:r>
      <w:r w:rsidRPr="006519D3" w:rsidR="00EC5E8F">
        <w:t xml:space="preserve">15.31(c) and </w:t>
      </w:r>
      <w:r w:rsidRPr="006519D3">
        <w:t xml:space="preserve">15.521(d) which directs that the emissions from the </w:t>
      </w:r>
      <w:r w:rsidRPr="006519D3" w:rsidR="00413660">
        <w:t xml:space="preserve">Proceq </w:t>
      </w:r>
      <w:r w:rsidR="005C3D93">
        <w:t xml:space="preserve">GPR </w:t>
      </w:r>
      <w:r w:rsidRPr="006519D3">
        <w:t>device to be measured with the transmitter operating with the stepping function stopped</w:t>
      </w:r>
      <w:r w:rsidRPr="006519D3" w:rsidR="002D004A">
        <w:t xml:space="preserve">. </w:t>
      </w:r>
      <w:r w:rsidRPr="006519D3" w:rsidR="00480472">
        <w:t xml:space="preserve"> </w:t>
      </w:r>
      <w:r>
        <w:t xml:space="preserve">The waiver </w:t>
      </w:r>
      <w:r w:rsidRPr="006519D3" w:rsidR="00AE05EB">
        <w:t xml:space="preserve">is </w:t>
      </w:r>
      <w:r>
        <w:t xml:space="preserve">also </w:t>
      </w:r>
      <w:r w:rsidRPr="006519D3">
        <w:t>subject to the following conditions:</w:t>
      </w:r>
    </w:p>
    <w:p w:rsidR="00C6481F" w:rsidRPr="00B96B36" w:rsidP="00E27F67" w14:paraId="4B1C3151" w14:textId="0C24D506">
      <w:pPr>
        <w:numPr>
          <w:ilvl w:val="0"/>
          <w:numId w:val="22"/>
        </w:numPr>
        <w:rPr>
          <w:color w:val="141414"/>
          <w:szCs w:val="22"/>
        </w:rPr>
      </w:pPr>
      <w:r w:rsidRPr="00B96B36">
        <w:rPr>
          <w:color w:val="141414"/>
          <w:szCs w:val="22"/>
        </w:rPr>
        <w:t>Th</w:t>
      </w:r>
      <w:r w:rsidRPr="00B96B36" w:rsidR="00F00411">
        <w:rPr>
          <w:color w:val="141414"/>
          <w:szCs w:val="22"/>
        </w:rPr>
        <w:t>e Proceq GPR</w:t>
      </w:r>
      <w:r w:rsidRPr="00B96B36">
        <w:rPr>
          <w:color w:val="141414"/>
          <w:szCs w:val="22"/>
        </w:rPr>
        <w:t xml:space="preserve"> device shall be certified </w:t>
      </w:r>
      <w:r w:rsidRPr="00B96B36" w:rsidR="008C46A0">
        <w:rPr>
          <w:color w:val="141414"/>
          <w:szCs w:val="22"/>
        </w:rPr>
        <w:t xml:space="preserve">by </w:t>
      </w:r>
      <w:r w:rsidRPr="00B96B36" w:rsidR="008A0BD7">
        <w:rPr>
          <w:color w:val="141414"/>
          <w:szCs w:val="22"/>
        </w:rPr>
        <w:t>the Commission</w:t>
      </w:r>
      <w:r w:rsidRPr="00B96B36">
        <w:rPr>
          <w:color w:val="141414"/>
          <w:szCs w:val="22"/>
        </w:rPr>
        <w:t>.</w:t>
      </w:r>
      <w:r>
        <w:rPr>
          <w:rStyle w:val="FootnoteReference"/>
          <w:szCs w:val="22"/>
        </w:rPr>
        <w:footnoteReference w:id="21"/>
      </w:r>
      <w:r w:rsidRPr="00B96B36">
        <w:rPr>
          <w:color w:val="141414"/>
          <w:szCs w:val="22"/>
        </w:rPr>
        <w:t xml:space="preserve">  </w:t>
      </w:r>
    </w:p>
    <w:p w:rsidR="008C6D12" w:rsidRPr="00B96B36" w:rsidP="00E27F67" w14:paraId="139CC77F" w14:textId="5848EE87">
      <w:pPr>
        <w:numPr>
          <w:ilvl w:val="0"/>
          <w:numId w:val="22"/>
        </w:numPr>
        <w:rPr>
          <w:color w:val="141414"/>
          <w:szCs w:val="22"/>
        </w:rPr>
      </w:pPr>
      <w:r w:rsidRPr="005C2320">
        <w:rPr>
          <w:color w:val="141414"/>
          <w:szCs w:val="22"/>
        </w:rPr>
        <w:t>The Proceq GPR</w:t>
      </w:r>
      <w:r w:rsidR="000356BE">
        <w:rPr>
          <w:color w:val="141414"/>
          <w:szCs w:val="22"/>
        </w:rPr>
        <w:t xml:space="preserve"> device</w:t>
      </w:r>
      <w:r w:rsidRPr="005C2320">
        <w:rPr>
          <w:color w:val="141414"/>
          <w:szCs w:val="22"/>
        </w:rPr>
        <w:t xml:space="preserve"> shall operate with stepped frequency</w:t>
      </w:r>
      <w:r w:rsidR="006D725D">
        <w:rPr>
          <w:color w:val="141414"/>
          <w:szCs w:val="22"/>
        </w:rPr>
        <w:t xml:space="preserve"> CW</w:t>
      </w:r>
      <w:r w:rsidRPr="005C2320">
        <w:rPr>
          <w:color w:val="141414"/>
          <w:szCs w:val="22"/>
        </w:rPr>
        <w:t xml:space="preserve"> modulation in 10, 20 or 40 megahertz steps between </w:t>
      </w:r>
      <w:r w:rsidR="001728B3">
        <w:rPr>
          <w:color w:val="141414"/>
          <w:szCs w:val="22"/>
        </w:rPr>
        <w:t xml:space="preserve">200 </w:t>
      </w:r>
      <w:r w:rsidRPr="005C2320">
        <w:rPr>
          <w:color w:val="141414"/>
          <w:szCs w:val="22"/>
        </w:rPr>
        <w:t xml:space="preserve">and </w:t>
      </w:r>
      <w:r w:rsidR="001728B3">
        <w:rPr>
          <w:color w:val="141414"/>
          <w:szCs w:val="22"/>
        </w:rPr>
        <w:t>4000</w:t>
      </w:r>
      <w:r w:rsidRPr="005C2320">
        <w:rPr>
          <w:color w:val="141414"/>
          <w:szCs w:val="22"/>
        </w:rPr>
        <w:t xml:space="preserve"> MHz</w:t>
      </w:r>
      <w:r w:rsidRPr="00B96B36" w:rsidR="00960B18">
        <w:rPr>
          <w:color w:val="141414"/>
          <w:szCs w:val="22"/>
        </w:rPr>
        <w:t>.</w:t>
      </w:r>
    </w:p>
    <w:p w:rsidR="008A0BD7" w:rsidRPr="00B96B36" w:rsidP="00E27F67" w14:paraId="4F1D4E56" w14:textId="6F013A72">
      <w:pPr>
        <w:numPr>
          <w:ilvl w:val="0"/>
          <w:numId w:val="22"/>
        </w:numPr>
        <w:rPr>
          <w:color w:val="141414"/>
          <w:szCs w:val="22"/>
        </w:rPr>
      </w:pPr>
      <w:r>
        <w:rPr>
          <w:color w:val="141414"/>
          <w:szCs w:val="22"/>
        </w:rPr>
        <w:t>The Proceq GPR device dwell time on any one frequency shall not exceed 2 microseconds</w:t>
      </w:r>
      <w:r w:rsidRPr="00B96B36">
        <w:rPr>
          <w:color w:val="141414"/>
          <w:szCs w:val="22"/>
        </w:rPr>
        <w:t>.</w:t>
      </w:r>
    </w:p>
    <w:p w:rsidR="00B21FE2" w:rsidRPr="00B96B36" w:rsidP="00B96B36" w14:paraId="009E092A" w14:textId="3D5072C4">
      <w:pPr>
        <w:numPr>
          <w:ilvl w:val="0"/>
          <w:numId w:val="22"/>
        </w:numPr>
        <w:rPr>
          <w:color w:val="141414"/>
          <w:szCs w:val="22"/>
        </w:rPr>
      </w:pPr>
      <w:r w:rsidRPr="005C2320">
        <w:rPr>
          <w:color w:val="141414"/>
          <w:szCs w:val="22"/>
        </w:rPr>
        <w:t xml:space="preserve">The </w:t>
      </w:r>
      <w:r w:rsidR="00903770">
        <w:rPr>
          <w:color w:val="141414"/>
          <w:szCs w:val="22"/>
        </w:rPr>
        <w:t xml:space="preserve">dwell time </w:t>
      </w:r>
      <w:r w:rsidR="005839C8">
        <w:rPr>
          <w:color w:val="141414"/>
          <w:szCs w:val="22"/>
        </w:rPr>
        <w:t>during any step</w:t>
      </w:r>
      <w:r w:rsidR="008A0BD7">
        <w:rPr>
          <w:color w:val="141414"/>
          <w:szCs w:val="22"/>
        </w:rPr>
        <w:t xml:space="preserve"> </w:t>
      </w:r>
      <w:r w:rsidR="00903770">
        <w:rPr>
          <w:color w:val="141414"/>
          <w:szCs w:val="22"/>
        </w:rPr>
        <w:t xml:space="preserve">of the </w:t>
      </w:r>
      <w:r w:rsidR="008A0BD7">
        <w:rPr>
          <w:color w:val="141414"/>
          <w:szCs w:val="22"/>
        </w:rPr>
        <w:t>Proceq GPR shall</w:t>
      </w:r>
      <w:r w:rsidRPr="005C2320">
        <w:rPr>
          <w:color w:val="141414"/>
          <w:szCs w:val="22"/>
        </w:rPr>
        <w:t xml:space="preserve"> not exceed 0.04 percent</w:t>
      </w:r>
      <w:r w:rsidR="00903770">
        <w:rPr>
          <w:color w:val="141414"/>
          <w:szCs w:val="22"/>
        </w:rPr>
        <w:t xml:space="preserve"> of the devices </w:t>
      </w:r>
      <w:r w:rsidR="005839C8">
        <w:rPr>
          <w:color w:val="141414"/>
          <w:szCs w:val="22"/>
        </w:rPr>
        <w:t xml:space="preserve">minimum </w:t>
      </w:r>
      <w:r w:rsidR="00903770">
        <w:rPr>
          <w:color w:val="141414"/>
          <w:szCs w:val="22"/>
        </w:rPr>
        <w:t>scan/cycle rate</w:t>
      </w:r>
      <w:r w:rsidRPr="005C2320">
        <w:rPr>
          <w:color w:val="141414"/>
          <w:szCs w:val="22"/>
        </w:rPr>
        <w:t>.</w:t>
      </w:r>
    </w:p>
    <w:p w:rsidR="00953C44" w:rsidRPr="00B96B36" w:rsidP="00B96B36" w14:paraId="49D2424F" w14:textId="77777777">
      <w:pPr>
        <w:numPr>
          <w:ilvl w:val="0"/>
          <w:numId w:val="22"/>
        </w:numPr>
        <w:rPr>
          <w:color w:val="141414"/>
          <w:szCs w:val="22"/>
        </w:rPr>
      </w:pPr>
      <w:r w:rsidRPr="00B96B36">
        <w:rPr>
          <w:color w:val="141414"/>
          <w:szCs w:val="22"/>
        </w:rPr>
        <w:t xml:space="preserve">For certification testing, the measurement of emissions from the Proceq GPR </w:t>
      </w:r>
      <w:r w:rsidRPr="00B96B36" w:rsidR="000356BE">
        <w:rPr>
          <w:color w:val="141414"/>
          <w:szCs w:val="22"/>
        </w:rPr>
        <w:t xml:space="preserve">device </w:t>
      </w:r>
      <w:r w:rsidRPr="00B96B36">
        <w:rPr>
          <w:color w:val="141414"/>
          <w:szCs w:val="22"/>
        </w:rPr>
        <w:t>shall be conducted with the stepping function active for all possible frequency step sizes.</w:t>
      </w:r>
    </w:p>
    <w:p w:rsidR="00F00411" w:rsidRPr="00B96B36" w:rsidP="00B96B36" w14:paraId="2246B76E" w14:textId="3FC85760">
      <w:pPr>
        <w:numPr>
          <w:ilvl w:val="0"/>
          <w:numId w:val="22"/>
        </w:numPr>
        <w:rPr>
          <w:color w:val="141414"/>
          <w:szCs w:val="22"/>
        </w:rPr>
      </w:pPr>
      <w:r w:rsidRPr="00B96B36">
        <w:rPr>
          <w:color w:val="141414"/>
          <w:szCs w:val="22"/>
        </w:rPr>
        <w:t xml:space="preserve">The Proceq GPR </w:t>
      </w:r>
      <w:r w:rsidRPr="00B96B36" w:rsidR="000356BE">
        <w:rPr>
          <w:color w:val="141414"/>
          <w:szCs w:val="22"/>
        </w:rPr>
        <w:t xml:space="preserve">device </w:t>
      </w:r>
      <w:r w:rsidRPr="00B96B36">
        <w:rPr>
          <w:color w:val="141414"/>
          <w:szCs w:val="22"/>
        </w:rPr>
        <w:t>will comply with all other technical and operational requirements applicable to UWB GPR devices under Part 15, Subpart F of the Commission</w:t>
      </w:r>
      <w:r w:rsidRPr="00B96B36" w:rsidR="000356BE">
        <w:rPr>
          <w:color w:val="141414"/>
          <w:szCs w:val="22"/>
        </w:rPr>
        <w:t>’</w:t>
      </w:r>
      <w:r w:rsidRPr="00B96B36">
        <w:rPr>
          <w:color w:val="141414"/>
          <w:szCs w:val="22"/>
        </w:rPr>
        <w:t>s rules.</w:t>
      </w:r>
    </w:p>
    <w:p w:rsidR="00324978" w:rsidRPr="00B96B36" w:rsidP="00B96B36" w14:paraId="45EB1067" w14:textId="000A0172">
      <w:pPr>
        <w:numPr>
          <w:ilvl w:val="0"/>
          <w:numId w:val="22"/>
        </w:numPr>
        <w:rPr>
          <w:color w:val="141414"/>
          <w:szCs w:val="22"/>
        </w:rPr>
      </w:pPr>
      <w:r w:rsidRPr="00B96B36">
        <w:rPr>
          <w:color w:val="141414"/>
          <w:szCs w:val="22"/>
        </w:rPr>
        <w:t>The entities permitted to operate the Proceq GPR device are limited to those specifi</w:t>
      </w:r>
      <w:r w:rsidRPr="00B96B36" w:rsidR="00F836CB">
        <w:rPr>
          <w:color w:val="141414"/>
          <w:szCs w:val="22"/>
        </w:rPr>
        <w:t xml:space="preserve">ed in Section 15.509(b) </w:t>
      </w:r>
      <w:r w:rsidRPr="00B96B36">
        <w:rPr>
          <w:color w:val="141414"/>
          <w:szCs w:val="22"/>
        </w:rPr>
        <w:t>of the Commission’s rules.</w:t>
      </w:r>
    </w:p>
    <w:p w:rsidR="00324978" w:rsidRPr="00B96B36" w:rsidP="00B96B36" w14:paraId="15B8F1A7" w14:textId="0D32F2F1">
      <w:pPr>
        <w:numPr>
          <w:ilvl w:val="0"/>
          <w:numId w:val="22"/>
        </w:numPr>
        <w:rPr>
          <w:color w:val="141414"/>
          <w:szCs w:val="22"/>
        </w:rPr>
      </w:pPr>
      <w:r w:rsidRPr="00B96B36">
        <w:rPr>
          <w:color w:val="141414"/>
          <w:szCs w:val="22"/>
        </w:rPr>
        <w:t>The conditions established for this waiver are not applicable to mass marketed UWB GPR devices where further analysis would be necessary to assess the potential impact to authorized users.</w:t>
      </w:r>
    </w:p>
    <w:p w:rsidR="00B21FE2" w:rsidP="00E937AD" w14:paraId="5DE38C71" w14:textId="59E19C82">
      <w:pPr>
        <w:pStyle w:val="ParaNum"/>
      </w:pPr>
      <w:r w:rsidRPr="005C2320">
        <w:t xml:space="preserve">Accordingly, pursuant to </w:t>
      </w:r>
      <w:r w:rsidRPr="001D1C49">
        <w:t xml:space="preserve">authority in </w:t>
      </w:r>
      <w:r w:rsidRPr="005C2320">
        <w:t xml:space="preserve">Sections 0.31, 0.241, and </w:t>
      </w:r>
      <w:r w:rsidRPr="001D1C49">
        <w:t xml:space="preserve">1.3 </w:t>
      </w:r>
      <w:r w:rsidRPr="005C2320">
        <w:t xml:space="preserve">of </w:t>
      </w:r>
      <w:r w:rsidRPr="001D1C49">
        <w:t>the Commission</w:t>
      </w:r>
      <w:r w:rsidR="000356BE">
        <w:t>’</w:t>
      </w:r>
      <w:r w:rsidRPr="001D1C49">
        <w:t xml:space="preserve">s rules, 47 C.F.R. §§ 0.21, 0.241, and 1.3, and </w:t>
      </w:r>
      <w:r w:rsidRPr="005C2320">
        <w:t xml:space="preserve">Sections 4(i), 302, 303(e), and 303(r) of the Communications Act of 1934, as amended, 47 U.S.C. §§ 154(i), 302, 303(e), and 303(r), IT IS ORDERED that the Request for Waiver filed by </w:t>
      </w:r>
      <w:r w:rsidRPr="005C2320" w:rsidR="00F00411">
        <w:t>Proceq USA Inc.</w:t>
      </w:r>
      <w:r w:rsidRPr="005C2320">
        <w:t>, IS GRANTED, consistent with the terms of this Order.  This action is effective upon release of this Order</w:t>
      </w:r>
      <w:r w:rsidRPr="005C2320">
        <w:rPr>
          <w:b/>
        </w:rPr>
        <w:t>.</w:t>
      </w:r>
      <w:r w:rsidRPr="005C2320">
        <w:tab/>
      </w:r>
    </w:p>
    <w:p w:rsidR="00126816" w:rsidRPr="005C2320" w:rsidP="00126816" w14:paraId="3F3E117A" w14:textId="77777777">
      <w:pPr>
        <w:pStyle w:val="ParaNum"/>
        <w:numPr>
          <w:ilvl w:val="0"/>
          <w:numId w:val="0"/>
        </w:numPr>
        <w:tabs>
          <w:tab w:val="left" w:pos="720"/>
          <w:tab w:val="num" w:pos="1260"/>
          <w:tab w:val="left" w:pos="1800"/>
        </w:tabs>
        <w:ind w:left="180"/>
        <w:rPr>
          <w:szCs w:val="22"/>
        </w:rPr>
      </w:pPr>
    </w:p>
    <w:p w:rsidR="00B21FE2" w:rsidRPr="005C2320" w14:paraId="7D8FB1ED" w14:textId="77777777">
      <w:pPr>
        <w:pStyle w:val="ParaNum"/>
        <w:numPr>
          <w:ilvl w:val="0"/>
          <w:numId w:val="0"/>
        </w:numPr>
        <w:tabs>
          <w:tab w:val="left" w:pos="720"/>
          <w:tab w:val="left" w:pos="1800"/>
        </w:tabs>
        <w:ind w:left="18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t>FEDERAL COMMUNICATIONS COMMISSION</w:t>
      </w:r>
    </w:p>
    <w:p w:rsidR="00B21FE2" w14:paraId="0CA9BA00" w14:textId="18FB7BC0">
      <w:pPr>
        <w:pStyle w:val="Style3"/>
        <w:ind w:firstLine="0"/>
        <w:rPr>
          <w:szCs w:val="22"/>
        </w:rPr>
      </w:pPr>
    </w:p>
    <w:p w:rsidR="00126816" w:rsidRPr="005C2320" w14:paraId="02C74201" w14:textId="77777777">
      <w:pPr>
        <w:pStyle w:val="Style3"/>
        <w:ind w:firstLine="0"/>
        <w:rPr>
          <w:szCs w:val="22"/>
        </w:rPr>
      </w:pPr>
    </w:p>
    <w:p w:rsidR="00B21FE2" w:rsidRPr="005C2320" w14:paraId="665150DD" w14:textId="77777777">
      <w:pPr>
        <w:pStyle w:val="Style3"/>
        <w:spacing w:after="0"/>
        <w:ind w:firstLine="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t>Julius P. Knapp</w:t>
      </w:r>
    </w:p>
    <w:p w:rsidR="00B21FE2" w:rsidRPr="006519D3" w14:paraId="58981755" w14:textId="77777777">
      <w:pPr>
        <w:pStyle w:val="Style3"/>
        <w:ind w:firstLine="0"/>
        <w:rPr>
          <w:szCs w:val="22"/>
        </w:rPr>
      </w:pPr>
      <w:r w:rsidRPr="005C2320">
        <w:rPr>
          <w:szCs w:val="22"/>
        </w:rPr>
        <w:tab/>
      </w:r>
      <w:r w:rsidRPr="005C2320">
        <w:rPr>
          <w:szCs w:val="22"/>
        </w:rPr>
        <w:tab/>
      </w:r>
      <w:r w:rsidRPr="005C2320">
        <w:rPr>
          <w:szCs w:val="22"/>
        </w:rPr>
        <w:tab/>
      </w:r>
      <w:r w:rsidRPr="005C2320">
        <w:rPr>
          <w:szCs w:val="22"/>
        </w:rPr>
        <w:tab/>
      </w:r>
      <w:r w:rsidRPr="005C2320">
        <w:rPr>
          <w:szCs w:val="22"/>
        </w:rPr>
        <w:tab/>
      </w:r>
      <w:r w:rsidRPr="005C2320">
        <w:rPr>
          <w:szCs w:val="22"/>
        </w:rPr>
        <w:tab/>
        <w:t>Chief, Office of Engineering and Technology</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35D" w14:paraId="180962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8B3" w14:paraId="482DF058" w14:textId="68CABFE4">
    <w:pPr>
      <w:pStyle w:val="Footer"/>
      <w:jc w:val="center"/>
    </w:pPr>
    <w:r>
      <w:rPr>
        <w:rStyle w:val="PageNumber"/>
      </w:rPr>
      <w:fldChar w:fldCharType="begin"/>
    </w:r>
    <w:r>
      <w:rPr>
        <w:rStyle w:val="PageNumber"/>
      </w:rPr>
      <w:instrText xml:space="preserve"> PAGE </w:instrText>
    </w:r>
    <w:r>
      <w:rPr>
        <w:rStyle w:val="PageNumber"/>
      </w:rPr>
      <w:fldChar w:fldCharType="separate"/>
    </w:r>
    <w:r w:rsidR="00C7535D">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35D" w14:paraId="6D0B555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3CB1" w14:paraId="04F9809C" w14:textId="77777777">
      <w:pPr>
        <w:rPr>
          <w:sz w:val="20"/>
        </w:rPr>
      </w:pPr>
      <w:r>
        <w:rPr>
          <w:sz w:val="20"/>
        </w:rPr>
        <w:separator/>
      </w:r>
    </w:p>
  </w:footnote>
  <w:footnote w:type="continuationSeparator" w:id="1">
    <w:p w:rsidR="00073CB1" w14:paraId="705CC703" w14:textId="77777777">
      <w:pPr>
        <w:rPr>
          <w:sz w:val="20"/>
        </w:rPr>
      </w:pPr>
      <w:r>
        <w:rPr>
          <w:sz w:val="20"/>
        </w:rPr>
        <w:separator/>
      </w:r>
    </w:p>
    <w:p w:rsidR="00073CB1" w14:paraId="324BBF58" w14:textId="77777777">
      <w:pPr>
        <w:rPr>
          <w:sz w:val="20"/>
        </w:rPr>
      </w:pPr>
      <w:r>
        <w:rPr>
          <w:sz w:val="20"/>
        </w:rPr>
        <w:t>(...continued from previous page)</w:t>
      </w:r>
    </w:p>
  </w:footnote>
  <w:footnote w:type="continuationNotice" w:id="2">
    <w:p w:rsidR="00073CB1" w:rsidRPr="008061CF" w:rsidP="008061CF" w14:paraId="379BFF1A" w14:textId="77777777">
      <w:pPr>
        <w:pStyle w:val="Footer"/>
      </w:pPr>
    </w:p>
  </w:footnote>
  <w:footnote w:id="3">
    <w:p w:rsidR="001728B3" w14:paraId="3C8D0B90" w14:textId="64558F55">
      <w:pPr>
        <w:pStyle w:val="FootnoteText"/>
      </w:pPr>
      <w:r>
        <w:rPr>
          <w:rStyle w:val="FootnoteReference"/>
        </w:rPr>
        <w:footnoteRef/>
      </w:r>
      <w:r>
        <w:t xml:space="preserve"> </w:t>
      </w:r>
      <w:r>
        <w:rPr>
          <w:i/>
        </w:rPr>
        <w:tab/>
      </w:r>
      <w:r>
        <w:t xml:space="preserve">Petition </w:t>
      </w:r>
      <w:r w:rsidRPr="009C1206">
        <w:t xml:space="preserve">of </w:t>
      </w:r>
      <w:r w:rsidRPr="00EC42DA">
        <w:t>Proceq USA Inc.</w:t>
      </w:r>
      <w:r>
        <w:t xml:space="preserve"> for Waiver of Part 15 of the Commission’s Rules Applicable to Ultra-Wideband Devices</w:t>
      </w:r>
      <w:r>
        <w:rPr>
          <w:i/>
        </w:rPr>
        <w:t xml:space="preserve"> </w:t>
      </w:r>
      <w:r>
        <w:t xml:space="preserve">(filed September 11, 2017 (Proceq Waiver Request).  </w:t>
      </w:r>
      <w:r w:rsidRPr="00B65427" w:rsidR="005839C8">
        <w:rPr>
          <w:i/>
        </w:rPr>
        <w:t xml:space="preserve">See also </w:t>
      </w:r>
      <w:r w:rsidR="005839C8">
        <w:t xml:space="preserve">Amendment to Request for Waiver (filed February 27, 2018).  </w:t>
      </w:r>
      <w:r>
        <w:rPr>
          <w:i/>
        </w:rPr>
        <w:t>See also</w:t>
      </w:r>
      <w:r>
        <w:t xml:space="preserve"> 47 C.F.R §§</w:t>
      </w:r>
      <w:r w:rsidR="00CC6AD0">
        <w:t xml:space="preserve"> </w:t>
      </w:r>
      <w:r>
        <w:t>15.503(d), 15.521(d).</w:t>
      </w:r>
    </w:p>
  </w:footnote>
  <w:footnote w:id="4">
    <w:p w:rsidR="001728B3" w14:paraId="74F8D500" w14:textId="23543655">
      <w:pPr>
        <w:pStyle w:val="FootnoteText"/>
      </w:pPr>
      <w:r>
        <w:rPr>
          <w:rStyle w:val="FootnoteReference"/>
        </w:rPr>
        <w:footnoteRef/>
      </w:r>
      <w:r>
        <w:t xml:space="preserve"> </w:t>
      </w:r>
      <w:r>
        <w:tab/>
      </w:r>
      <w:r>
        <w:rPr>
          <w:i/>
        </w:rPr>
        <w:t xml:space="preserve">Revision of Part 15 of the Commission’s Rules Regarding Ultra-Wideband Transmission Systems, </w:t>
      </w:r>
      <w:r>
        <w:t xml:space="preserve">ET Docket No. 98-153, </w:t>
      </w:r>
      <w:r w:rsidRPr="00EC42DA">
        <w:t>First Report and Order</w:t>
      </w:r>
      <w:r>
        <w:t>, 17 FCC Rcd 7435 (2002) (1</w:t>
      </w:r>
      <w:r w:rsidRPr="00EC42DA">
        <w:rPr>
          <w:vertAlign w:val="superscript"/>
        </w:rPr>
        <w:t>st</w:t>
      </w:r>
      <w:r>
        <w:t xml:space="preserve"> R&amp;O); </w:t>
      </w:r>
      <w:r>
        <w:rPr>
          <w:i/>
        </w:rPr>
        <w:t xml:space="preserve">See also </w:t>
      </w:r>
      <w:r w:rsidRPr="00EC42DA">
        <w:t>Erratum</w:t>
      </w:r>
      <w:r>
        <w:t xml:space="preserve">, 17 FCC Rcd 10505 (2002); </w:t>
      </w:r>
      <w:r w:rsidRPr="00EC42DA">
        <w:t>Memorandum Opinion and Order and Further Notice of Proposed Rule Making</w:t>
      </w:r>
      <w:r>
        <w:t xml:space="preserve">, 18 FCC Rcd 3857 (2003); </w:t>
      </w:r>
      <w:r w:rsidRPr="00EC42DA">
        <w:t>Second Report and Order and Second Memorandum Opinion and Order</w:t>
      </w:r>
      <w:r>
        <w:t>, 19 FCC Rcd 24525 (2004) (2</w:t>
      </w:r>
      <w:r w:rsidRPr="00EC42DA">
        <w:rPr>
          <w:vertAlign w:val="superscript"/>
        </w:rPr>
        <w:t>nd</w:t>
      </w:r>
      <w:r>
        <w:t xml:space="preserve"> R&amp;O).  The UWB rules are codified at 47 C.F.R. §§ 15.501-15.525.</w:t>
      </w:r>
    </w:p>
  </w:footnote>
  <w:footnote w:id="5">
    <w:p w:rsidR="001728B3" w14:paraId="09104DCD" w14:textId="065DB25A">
      <w:pPr>
        <w:pStyle w:val="FootnoteText"/>
      </w:pPr>
      <w:r>
        <w:rPr>
          <w:rStyle w:val="FootnoteReference"/>
        </w:rPr>
        <w:footnoteRef/>
      </w:r>
      <w:r>
        <w:t xml:space="preserve"> The operation of Federal radio stations is regulated by the National Telecommunications and Information Administration (NTIA), while operation of stations by non-Federal entities (i.e. commercial enterprises, state and local governments, and the general public) is regulated by the Commission. </w:t>
      </w:r>
    </w:p>
  </w:footnote>
  <w:footnote w:id="6">
    <w:p w:rsidR="001728B3" w14:paraId="51855B0F" w14:textId="77777777">
      <w:pPr>
        <w:pStyle w:val="FootnoteText"/>
      </w:pPr>
      <w:r>
        <w:rPr>
          <w:rStyle w:val="FootnoteReference"/>
        </w:rPr>
        <w:footnoteRef/>
      </w:r>
      <w:r>
        <w:t xml:space="preserve"> 47 C.F.R. § 15.205.</w:t>
      </w:r>
    </w:p>
  </w:footnote>
  <w:footnote w:id="7">
    <w:p w:rsidR="001728B3" w14:paraId="04032106" w14:textId="77777777">
      <w:pPr>
        <w:pStyle w:val="FootnoteText"/>
      </w:pPr>
      <w:r>
        <w:rPr>
          <w:rStyle w:val="FootnoteReference"/>
        </w:rPr>
        <w:footnoteRef/>
      </w:r>
      <w:r>
        <w:t xml:space="preserve"> </w:t>
      </w:r>
      <w:r w:rsidRPr="002338D0">
        <w:t xml:space="preserve">47 C.F.R. § </w:t>
      </w:r>
      <w:r w:rsidRPr="004A5D91">
        <w:t>15.5</w:t>
      </w:r>
      <w:r>
        <w:t>.</w:t>
      </w:r>
    </w:p>
  </w:footnote>
  <w:footnote w:id="8">
    <w:p w:rsidR="00BC710A" w:rsidP="00BC710A" w14:paraId="0ECE57FA" w14:textId="4B20AFCF">
      <w:pPr>
        <w:pStyle w:val="FootnoteText"/>
      </w:pPr>
      <w:r>
        <w:rPr>
          <w:rStyle w:val="FootnoteReference"/>
        </w:rPr>
        <w:footnoteRef/>
      </w:r>
      <w:r>
        <w:t xml:space="preserve"> 47 C.F.R</w:t>
      </w:r>
      <w:r w:rsidR="00A91F32">
        <w:t xml:space="preserve">. </w:t>
      </w:r>
      <w:r w:rsidRPr="002338D0" w:rsidR="00A91F32">
        <w:t xml:space="preserve">§ </w:t>
      </w:r>
      <w:r w:rsidR="00A91F32">
        <w:t>15.509(b)</w:t>
      </w:r>
      <w:r>
        <w:t xml:space="preserve"> </w:t>
      </w:r>
    </w:p>
  </w:footnote>
  <w:footnote w:id="9">
    <w:p w:rsidR="001728B3" w14:paraId="0995B196" w14:textId="3D344259">
      <w:pPr>
        <w:pStyle w:val="FootnoteText"/>
      </w:pPr>
      <w:r>
        <w:rPr>
          <w:rStyle w:val="FootnoteReference"/>
        </w:rPr>
        <w:footnoteRef/>
      </w:r>
      <w:r>
        <w:t xml:space="preserve"> </w:t>
      </w:r>
      <w:r w:rsidRPr="005C2320">
        <w:rPr>
          <w:i/>
        </w:rPr>
        <w:t>See</w:t>
      </w:r>
      <w:r>
        <w:t xml:space="preserve"> Proceq Waiver request at 2.  Among other things, </w:t>
      </w:r>
      <w:r w:rsidRPr="005C2320">
        <w:rPr>
          <w:szCs w:val="22"/>
        </w:rPr>
        <w:t xml:space="preserve">Proceq claims that </w:t>
      </w:r>
      <w:r>
        <w:rPr>
          <w:szCs w:val="22"/>
        </w:rPr>
        <w:t xml:space="preserve">its device </w:t>
      </w:r>
      <w:r w:rsidRPr="005C2320">
        <w:rPr>
          <w:szCs w:val="22"/>
        </w:rPr>
        <w:t>provides better power density control across the entire GPR bandwidth, simplified electronics in terms of pulse generation and sampling</w:t>
      </w:r>
      <w:r>
        <w:rPr>
          <w:szCs w:val="22"/>
        </w:rPr>
        <w:t>,</w:t>
      </w:r>
      <w:r w:rsidRPr="005C2320">
        <w:rPr>
          <w:szCs w:val="22"/>
        </w:rPr>
        <w:t xml:space="preserve"> optimal power consumption</w:t>
      </w:r>
      <w:r>
        <w:rPr>
          <w:szCs w:val="22"/>
        </w:rPr>
        <w:t>, and includes general efficiencies in design and use.</w:t>
      </w:r>
    </w:p>
  </w:footnote>
  <w:footnote w:id="10">
    <w:p w:rsidR="001728B3" w:rsidP="00126816" w14:paraId="4ECA7160" w14:textId="77777777">
      <w:pPr>
        <w:pStyle w:val="FootnoteText"/>
      </w:pPr>
      <w:r>
        <w:rPr>
          <w:rStyle w:val="FootnoteReference"/>
        </w:rPr>
        <w:footnoteRef/>
      </w:r>
      <w:r>
        <w:t xml:space="preserve"> </w:t>
      </w:r>
      <w:r>
        <w:fldChar w:fldCharType="begin"/>
      </w:r>
      <w:r>
        <w:instrText xml:space="preserve"> HYPERLINK "https://web2.westlaw.com/find/default.wl?tf=-1&amp;rs=WLW8.08&amp;fn=_top&amp;sv=Split&amp;tc=-1&amp;docname=47CFRS1.3&amp;ordoc=2011591254&amp;findtype=L&amp;db=1000547&amp;vr=2.0&amp;rp=%2ffind%2fdefault.wl&amp;mt=Westlaw" \t "_top" </w:instrText>
      </w:r>
      <w:r>
        <w:fldChar w:fldCharType="separate"/>
      </w:r>
      <w:r>
        <w:t>47 C.F.R. § 1.3</w:t>
      </w:r>
      <w:r>
        <w:fldChar w:fldCharType="end"/>
      </w:r>
      <w:r>
        <w:t xml:space="preserve">. </w:t>
      </w:r>
      <w:r>
        <w:rPr>
          <w:i/>
          <w:iCs/>
        </w:rPr>
        <w:t>See also</w:t>
      </w:r>
      <w:r>
        <w:rPr>
          <w:iCs/>
        </w:rPr>
        <w:t xml:space="preserve"> </w:t>
      </w:r>
      <w:r>
        <w:fldChar w:fldCharType="begin"/>
      </w:r>
      <w:r>
        <w:instrText xml:space="preserve"> HYPERLINK "https://web2.westlaw.com/find/default.wl?tf=-1&amp;rs=WLW8.08&amp;serialnum=2007579635&amp;fn=_top&amp;sv=Split&amp;tc=-1&amp;findtype=Y&amp;ordoc=2011591254&amp;db=506&amp;vr=2.0&amp;rp=%2ffind%2fdefault.wl&amp;mt=Westlaw" \t "_top" </w:instrText>
      </w:r>
      <w:r>
        <w:fldChar w:fldCharType="separate"/>
      </w:r>
      <w:r>
        <w:rPr>
          <w:i/>
          <w:iCs/>
        </w:rPr>
        <w:t>ICO Global Communications (Holdings) Limited v. FCC</w:t>
      </w:r>
      <w:r>
        <w:t>, 428 F.3d 264 (D.C. Cir. 2005)</w:t>
      </w:r>
      <w:r>
        <w:fldChar w:fldCharType="end"/>
      </w:r>
      <w:r>
        <w:t xml:space="preserve">; </w:t>
      </w:r>
      <w:r>
        <w:fldChar w:fldCharType="begin"/>
      </w:r>
      <w:r>
        <w:instrText xml:space="preserve"> HYPERLINK "https://web2.westlaw.com/find/default.wl?tf=-1&amp;rs=WLW8.08&amp;serialnum=1990047144&amp;fn=_top&amp;sv=Split&amp;tc=-1&amp;findtype=Y&amp;ordoc=2011591254&amp;db=350&amp;vr=2.0&amp;rp=%2ffind%2fdefault.wl&amp;mt=Westlaw" \t "_top" </w:instrText>
      </w:r>
      <w:r>
        <w:fldChar w:fldCharType="separate"/>
      </w:r>
      <w:r>
        <w:rPr>
          <w:i/>
          <w:iCs/>
        </w:rPr>
        <w:t>Northeast Cellular Telephone Co. v. FCC</w:t>
      </w:r>
      <w:r>
        <w:t>, 897 F.2d 1164 (D.C. Cir. 1990)</w:t>
      </w:r>
      <w:r>
        <w:fldChar w:fldCharType="end"/>
      </w:r>
      <w:r>
        <w:t xml:space="preserve">; </w:t>
      </w:r>
      <w:r>
        <w:fldChar w:fldCharType="begin"/>
      </w:r>
      <w:r>
        <w:instrText xml:space="preserve"> HYPERLINK "https://web2.westlaw.com/find/default.wl?tf=-1&amp;rs=WLW8.08&amp;serialnum=1969121124&amp;fn=_top&amp;sv=Split&amp;tc=-1&amp;findtype=Y&amp;ordoc=2011591254&amp;db=350&amp;vr=2.0&amp;rp=%2ffind%2fdefault.wl&amp;mt=Westlaw" \t "_top" </w:instrText>
      </w:r>
      <w:r>
        <w:fldChar w:fldCharType="separate"/>
      </w:r>
      <w:r>
        <w:rPr>
          <w:i/>
          <w:iCs/>
        </w:rPr>
        <w:t>WAIT Radio v. FCC</w:t>
      </w:r>
      <w:r>
        <w:t>, 418 F.2d 1153 (D.C. Cir. 1969)</w:t>
      </w:r>
      <w:r>
        <w:fldChar w:fldCharType="end"/>
      </w:r>
      <w:r>
        <w:t>.</w:t>
      </w:r>
    </w:p>
  </w:footnote>
  <w:footnote w:id="11">
    <w:p w:rsidR="001728B3" w:rsidP="00126816" w14:paraId="476C5E52" w14:textId="0EC70658">
      <w:pPr>
        <w:pStyle w:val="FootnoteText"/>
      </w:pPr>
      <w:r>
        <w:rPr>
          <w:rStyle w:val="FootnoteReference"/>
        </w:rPr>
        <w:footnoteRef/>
      </w:r>
      <w:r>
        <w:t xml:space="preserve"> </w:t>
      </w:r>
      <w:r>
        <w:rPr>
          <w:i/>
          <w:iCs/>
        </w:rPr>
        <w:t>Northeast Cellular</w:t>
      </w:r>
      <w:r>
        <w:t xml:space="preserve">, </w:t>
      </w:r>
      <w:r w:rsidRPr="00BC3CDD" w:rsidR="00BC3CDD">
        <w:t>897 F.2d</w:t>
      </w:r>
      <w:r w:rsidR="00BC3CDD">
        <w:t xml:space="preserve"> </w:t>
      </w:r>
      <w:r>
        <w:t xml:space="preserve">at 1166; </w:t>
      </w:r>
      <w:r>
        <w:rPr>
          <w:i/>
        </w:rPr>
        <w:t>see also</w:t>
      </w:r>
      <w:r>
        <w:t xml:space="preserve"> </w:t>
      </w:r>
      <w:r>
        <w:fldChar w:fldCharType="begin"/>
      </w:r>
      <w:r>
        <w:instrText xml:space="preserve"> HYPERLINK "https://web2.westlaw.com/find/default.wl?tf=-1&amp;rs=WLW8.08&amp;referencepositiontype=S&amp;serialnum=2007579635&amp;fn=_top&amp;sv=Split&amp;referenceposition=269&amp;findtype=Y&amp;tc=-1&amp;ordoc=2011591254&amp;db=506&amp;vr=2.0&amp;rp=%2ffind%2fdefault.wl&amp;mt=Westlaw" \t "_top" </w:instrText>
      </w:r>
      <w:r>
        <w:fldChar w:fldCharType="separate"/>
      </w:r>
      <w:r>
        <w:rPr>
          <w:i/>
          <w:iCs/>
        </w:rPr>
        <w:t>ICO Global Communications</w:t>
      </w:r>
      <w:r>
        <w:t xml:space="preserve">, </w:t>
      </w:r>
      <w:r w:rsidRPr="00BC3CDD" w:rsidR="00BC3CDD">
        <w:t xml:space="preserve">428 F.3d </w:t>
      </w:r>
      <w:r>
        <w:t>at 269</w:t>
      </w:r>
      <w:r>
        <w:fldChar w:fldCharType="end"/>
      </w:r>
      <w:r>
        <w:t xml:space="preserve"> (quoting </w:t>
      </w:r>
      <w:r>
        <w:rPr>
          <w:i/>
          <w:iCs/>
        </w:rPr>
        <w:t>Northeast Cellular</w:t>
      </w:r>
      <w:r>
        <w:t xml:space="preserve">); </w:t>
      </w:r>
      <w:r>
        <w:fldChar w:fldCharType="begin"/>
      </w:r>
      <w:r>
        <w:instrText xml:space="preserve"> HYPERLINK "https://web2.westlaw.com/find/default.wl?tf=-1&amp;rs=WLW8.08&amp;referencepositiontype=S&amp;serialnum=1969121124&amp;fn=_top&amp;sv=Split&amp;referenceposition=1157&amp;findtype=Y&amp;tc=-1&amp;ordoc=2011591254&amp;db=350&amp;vr=2.0&amp;rp=%2ffind%2fdefault.wl&amp;mt=Westlaw" \t "_top" </w:instrText>
      </w:r>
      <w:r>
        <w:fldChar w:fldCharType="separate"/>
      </w:r>
      <w:r>
        <w:rPr>
          <w:i/>
          <w:iCs/>
        </w:rPr>
        <w:t>WAIT Radio</w:t>
      </w:r>
      <w:r>
        <w:t xml:space="preserve">, </w:t>
      </w:r>
      <w:r w:rsidRPr="00BC3CDD" w:rsidR="00BC3CDD">
        <w:t>418 F.2d</w:t>
      </w:r>
      <w:r w:rsidR="00BC3CDD">
        <w:rPr>
          <w:i/>
        </w:rPr>
        <w:t xml:space="preserve"> </w:t>
      </w:r>
      <w:r>
        <w:t>at 1157-59</w:t>
      </w:r>
      <w:r>
        <w:fldChar w:fldCharType="end"/>
      </w:r>
      <w:r>
        <w:t>.</w:t>
      </w:r>
    </w:p>
  </w:footnote>
  <w:footnote w:id="12">
    <w:p w:rsidR="001728B3" w:rsidP="002338D0" w14:paraId="236B3F97" w14:textId="416CC705">
      <w:r>
        <w:rPr>
          <w:rStyle w:val="FootnoteReference"/>
        </w:rPr>
        <w:footnoteRef/>
      </w:r>
      <w:r>
        <w:t xml:space="preserve"> </w:t>
      </w:r>
      <w:r>
        <w:rPr>
          <w:i/>
          <w:iCs/>
          <w:sz w:val="20"/>
          <w:szCs w:val="19"/>
        </w:rPr>
        <w:t>See, e.g.</w:t>
      </w:r>
      <w:r>
        <w:rPr>
          <w:iCs/>
          <w:sz w:val="20"/>
          <w:szCs w:val="19"/>
        </w:rPr>
        <w:t xml:space="preserve">, </w:t>
      </w:r>
      <w:r>
        <w:fldChar w:fldCharType="begin"/>
      </w:r>
      <w:r>
        <w:instrText xml:space="preserve"> HYPERLINK "https://web2.westlaw.com/find/default.wl?tf=-1&amp;rs=WLW8.08&amp;referencepositiontype=S&amp;serialnum=1969121124&amp;fn=_top&amp;sv=Split&amp;referenceposition=1157&amp;findtype=Y&amp;tc=-1&amp;ordoc=2011591254&amp;db=350&amp;vr=2.0&amp;rp=%2ffind%2fdefault.wl&amp;mt=Westlaw" \t "_top" </w:instrText>
      </w:r>
      <w:r>
        <w:fldChar w:fldCharType="separate"/>
      </w:r>
      <w:r>
        <w:rPr>
          <w:i/>
          <w:iCs/>
          <w:sz w:val="20"/>
        </w:rPr>
        <w:t>WAIT Radio</w:t>
      </w:r>
      <w:r w:rsidR="00CC6AD0">
        <w:rPr>
          <w:iCs/>
          <w:sz w:val="20"/>
        </w:rPr>
        <w:t xml:space="preserve">, </w:t>
      </w:r>
      <w:r w:rsidRPr="00BC3CDD" w:rsidR="00BC3CDD">
        <w:rPr>
          <w:iCs/>
          <w:sz w:val="20"/>
        </w:rPr>
        <w:t>418 F.2d</w:t>
      </w:r>
      <w:r w:rsidRPr="00BC3CDD" w:rsidR="00BC3CDD">
        <w:rPr>
          <w:i/>
          <w:iCs/>
          <w:sz w:val="20"/>
        </w:rPr>
        <w:t xml:space="preserve"> </w:t>
      </w:r>
      <w:r>
        <w:rPr>
          <w:sz w:val="20"/>
        </w:rPr>
        <w:t>at 1157</w:t>
      </w:r>
      <w:r>
        <w:fldChar w:fldCharType="end"/>
      </w:r>
      <w:r>
        <w:rPr>
          <w:sz w:val="20"/>
          <w:szCs w:val="19"/>
        </w:rPr>
        <w:t xml:space="preserve"> (stating that even though the overall objectives of a general rule have been adjudged to be in the public interest, it is possible that application of the rule to a specific case may not serve the public interest if an applicant's proposal does not undermine the public interest policy served by the rule); </w:t>
      </w:r>
      <w:r>
        <w:rPr>
          <w:i/>
          <w:iCs/>
          <w:sz w:val="20"/>
          <w:szCs w:val="19"/>
        </w:rPr>
        <w:t>Northeast Cellular</w:t>
      </w:r>
      <w:r>
        <w:rPr>
          <w:sz w:val="20"/>
          <w:szCs w:val="19"/>
        </w:rPr>
        <w:t xml:space="preserve">, </w:t>
      </w:r>
      <w:r w:rsidR="00BC3CDD">
        <w:rPr>
          <w:sz w:val="20"/>
          <w:szCs w:val="19"/>
        </w:rPr>
        <w:t xml:space="preserve">897 F.2d </w:t>
      </w:r>
      <w:r>
        <w:rPr>
          <w:sz w:val="20"/>
          <w:szCs w:val="19"/>
        </w:rPr>
        <w:t>at 1166 (stating that in granting a waiver, an agency must explain why deviation from the general rule better serves the public interest than would strict adherence to the rule).</w:t>
      </w:r>
    </w:p>
  </w:footnote>
  <w:footnote w:id="13">
    <w:p w:rsidR="001728B3" w:rsidP="003265FA" w14:paraId="6473487D" w14:textId="504DF8E2">
      <w:pPr>
        <w:pStyle w:val="FootnoteText"/>
      </w:pPr>
      <w:r>
        <w:rPr>
          <w:rStyle w:val="FootnoteReference"/>
        </w:rPr>
        <w:footnoteRef/>
      </w:r>
      <w:r>
        <w:t xml:space="preserve"> Stepped and swept frequency devices like Proceq’s have a difficult time complying with our rules because the large bandwidth is achieved by stepping or sweeping a narrow signal through the broader frequency range, and therefore won’t be instantaneously wide enough to meet the rules’ specific requirements.</w:t>
      </w:r>
    </w:p>
  </w:footnote>
  <w:footnote w:id="14">
    <w:p w:rsidR="001728B3" w:rsidRPr="00EC42DA" w14:paraId="35B0CBF0" w14:textId="5A51DFAD">
      <w:pPr>
        <w:pStyle w:val="FootnoteText"/>
      </w:pPr>
      <w:r>
        <w:rPr>
          <w:rStyle w:val="FootnoteReference"/>
        </w:rPr>
        <w:footnoteRef/>
      </w:r>
      <w:r>
        <w:t xml:space="preserve"> </w:t>
      </w:r>
      <w:r>
        <w:rPr>
          <w:i/>
        </w:rPr>
        <w:t>See</w:t>
      </w:r>
      <w:r>
        <w:t xml:space="preserve"> 1</w:t>
      </w:r>
      <w:r w:rsidRPr="00EC42DA">
        <w:rPr>
          <w:vertAlign w:val="superscript"/>
        </w:rPr>
        <w:t>st</w:t>
      </w:r>
      <w:r>
        <w:t xml:space="preserve"> R&amp;O, 17 FCC Rcd at </w:t>
      </w:r>
      <w:r w:rsidRPr="00EC42DA">
        <w:t>7437-7440, 7450, 7476 and 7494</w:t>
      </w:r>
      <w:r>
        <w:t>.</w:t>
      </w:r>
    </w:p>
  </w:footnote>
  <w:footnote w:id="15">
    <w:p w:rsidR="001728B3" w:rsidRPr="005C2320" w:rsidP="0095088A" w14:paraId="78A85597" w14:textId="346CEB41">
      <w:pPr>
        <w:pStyle w:val="FootnoteText"/>
      </w:pPr>
      <w:r>
        <w:rPr>
          <w:rStyle w:val="FootnoteReference"/>
        </w:rPr>
        <w:footnoteRef/>
      </w:r>
      <w:r>
        <w:t xml:space="preserve"> </w:t>
      </w:r>
      <w:r w:rsidRPr="00B044FD">
        <w:rPr>
          <w:i/>
        </w:rPr>
        <w:t>See</w:t>
      </w:r>
      <w:r w:rsidRPr="00B044FD">
        <w:t xml:space="preserve"> </w:t>
      </w:r>
      <w:r>
        <w:t>Proceq</w:t>
      </w:r>
      <w:r w:rsidRPr="00B044FD">
        <w:t xml:space="preserve"> Waiver Request at </w:t>
      </w:r>
      <w:r>
        <w:t>9</w:t>
      </w:r>
      <w:r w:rsidRPr="00B044FD">
        <w:t>-1</w:t>
      </w:r>
      <w:r>
        <w:t>0</w:t>
      </w:r>
      <w:r w:rsidRPr="00B044FD">
        <w:t xml:space="preserve"> (citing </w:t>
      </w:r>
      <w:r w:rsidRPr="00B044FD">
        <w:rPr>
          <w:i/>
        </w:rPr>
        <w:t>Petition for Waiver of the Part 15 UWB Regulations Filed by the Multi-band OFDM Alliance Special Interest Group,</w:t>
      </w:r>
      <w:r>
        <w:rPr>
          <w:i/>
        </w:rPr>
        <w:t xml:space="preserve"> </w:t>
      </w:r>
      <w:r w:rsidRPr="00B044FD">
        <w:t>ET Docket No. 04-352</w:t>
      </w:r>
      <w:r>
        <w:t xml:space="preserve">, </w:t>
      </w:r>
      <w:r w:rsidRPr="00EC42DA">
        <w:t>Order</w:t>
      </w:r>
      <w:r w:rsidRPr="00B044FD">
        <w:t>, 20 FCC Rcd 5528</w:t>
      </w:r>
      <w:r>
        <w:t xml:space="preserve"> (</w:t>
      </w:r>
      <w:r w:rsidRPr="00B044FD">
        <w:t>2005</w:t>
      </w:r>
      <w:r>
        <w:t>) (</w:t>
      </w:r>
      <w:r w:rsidRPr="00B044FD">
        <w:t xml:space="preserve">MBOA-SIG Waiver), </w:t>
      </w:r>
      <w:r>
        <w:t xml:space="preserve">as well as </w:t>
      </w:r>
      <w:r w:rsidRPr="00B044FD">
        <w:rPr>
          <w:i/>
        </w:rPr>
        <w:t>Curtiss-Wright Controls Inc. Request for Waiver of Part 15 of the Commission’s Rules Applicable to Ultra-Wideband Devices,</w:t>
      </w:r>
      <w:r w:rsidRPr="00B044FD">
        <w:t xml:space="preserve"> ET Docket No. 10-167, </w:t>
      </w:r>
      <w:r>
        <w:t>Order</w:t>
      </w:r>
      <w:r w:rsidRPr="00B044FD">
        <w:t xml:space="preserve">, </w:t>
      </w:r>
      <w:r w:rsidRPr="00303D84">
        <w:t>27</w:t>
      </w:r>
      <w:r w:rsidRPr="00B044FD">
        <w:t xml:space="preserve"> FCC Rcd </w:t>
      </w:r>
      <w:r w:rsidRPr="005C2320">
        <w:rPr>
          <w:color w:val="000000" w:themeColor="text1"/>
        </w:rPr>
        <w:t>234</w:t>
      </w:r>
      <w:r>
        <w:rPr>
          <w:color w:val="000000" w:themeColor="text1"/>
        </w:rPr>
        <w:t xml:space="preserve">, </w:t>
      </w:r>
      <w:r>
        <w:t>(OET</w:t>
      </w:r>
      <w:r w:rsidRPr="00B044FD">
        <w:t xml:space="preserve"> 2012</w:t>
      </w:r>
      <w:r>
        <w:t>)</w:t>
      </w:r>
      <w:r w:rsidRPr="00B044FD">
        <w:t xml:space="preserve"> (CWCI Waiver)</w:t>
      </w:r>
      <w:r>
        <w:t xml:space="preserve"> and</w:t>
      </w:r>
      <w:r w:rsidRPr="005C2320">
        <w:rPr>
          <w:color w:val="000000" w:themeColor="text1"/>
        </w:rPr>
        <w:t xml:space="preserve"> </w:t>
      </w:r>
      <w:r w:rsidRPr="005C2320">
        <w:rPr>
          <w:i/>
        </w:rPr>
        <w:t>Kyma Medical Technologies Ltd.,, Request for Waiver of Part 15 of the Commission’s Rules Applicable to Ultra-Wideband Devices</w:t>
      </w:r>
      <w:r w:rsidRPr="005C2320">
        <w:t xml:space="preserve">, ET Docket No. 15-119, </w:t>
      </w:r>
      <w:r>
        <w:t>Order, 31 FCC Rcd 9705 (OET</w:t>
      </w:r>
      <w:r w:rsidRPr="005C2320">
        <w:t xml:space="preserve"> 2016</w:t>
      </w:r>
      <w:r>
        <w:t>) (</w:t>
      </w:r>
      <w:r w:rsidRPr="005C2320">
        <w:t>Kyma Waiver)</w:t>
      </w:r>
      <w:r>
        <w:t>).</w:t>
      </w:r>
    </w:p>
  </w:footnote>
  <w:footnote w:id="16">
    <w:p w:rsidR="001728B3" w:rsidP="0095088A" w14:paraId="11FF81B8" w14:textId="35D1A587">
      <w:pPr>
        <w:pStyle w:val="FootnoteText"/>
      </w:pPr>
      <w:r>
        <w:rPr>
          <w:rStyle w:val="FootnoteReference"/>
        </w:rPr>
        <w:footnoteRef/>
      </w:r>
      <w:r>
        <w:t xml:space="preserve"> </w:t>
      </w:r>
      <w:r>
        <w:rPr>
          <w:i/>
        </w:rPr>
        <w:t xml:space="preserve">See, e.g., </w:t>
      </w:r>
      <w:r w:rsidRPr="00B044FD">
        <w:t>MBOA-SIG Waiver</w:t>
      </w:r>
      <w:r>
        <w:t>, 20 FCC Rcd at 5535.</w:t>
      </w:r>
    </w:p>
  </w:footnote>
  <w:footnote w:id="17">
    <w:p w:rsidR="001728B3" w:rsidP="0095088A" w14:paraId="12202259" w14:textId="46C7FD91">
      <w:pPr>
        <w:pStyle w:val="FootnoteText"/>
      </w:pPr>
      <w:r>
        <w:rPr>
          <w:rStyle w:val="FootnoteReference"/>
        </w:rPr>
        <w:footnoteRef/>
      </w:r>
      <w:r>
        <w:t xml:space="preserve"> </w:t>
      </w:r>
      <w:r>
        <w:rPr>
          <w:i/>
        </w:rPr>
        <w:t>Id</w:t>
      </w:r>
      <w:r>
        <w:t xml:space="preserve">., 20 FCC Rcd at 5534. </w:t>
      </w:r>
    </w:p>
  </w:footnote>
  <w:footnote w:id="18">
    <w:p w:rsidR="001728B3" w14:paraId="75D27424" w14:textId="124F1B75">
      <w:pPr>
        <w:pStyle w:val="FootnoteText"/>
      </w:pPr>
      <w:r>
        <w:rPr>
          <w:rStyle w:val="FootnoteReference"/>
        </w:rPr>
        <w:footnoteRef/>
      </w:r>
      <w:r>
        <w:t xml:space="preserve"> </w:t>
      </w:r>
      <w:r w:rsidRPr="002338D0">
        <w:rPr>
          <w:i/>
        </w:rPr>
        <w:t>See</w:t>
      </w:r>
      <w:r>
        <w:t xml:space="preserve"> CWCI Waiver, 27 FCC Rcd at 242.  </w:t>
      </w:r>
      <w:r w:rsidRPr="002338D0">
        <w:rPr>
          <w:i/>
        </w:rPr>
        <w:t>See also</w:t>
      </w:r>
      <w:r>
        <w:t>, MBOA-SIG Waiver, 20 FCC Rcd at 5531-5536.</w:t>
      </w:r>
    </w:p>
  </w:footnote>
  <w:footnote w:id="19">
    <w:p w:rsidR="001728B3" w:rsidP="00126816" w14:paraId="7F38B3C0" w14:textId="77777777">
      <w:pPr>
        <w:pStyle w:val="FootnoteText"/>
      </w:pPr>
      <w:r>
        <w:rPr>
          <w:rStyle w:val="FootnoteReference"/>
        </w:rPr>
        <w:footnoteRef/>
      </w:r>
      <w:r>
        <w:t xml:space="preserve"> Our reliance on the MBOA-SIG Waiver and the CWCI Waiver decision in this instance is only relative to the measurement procedure in Section 15.521(d).  </w:t>
      </w:r>
    </w:p>
  </w:footnote>
  <w:footnote w:id="20">
    <w:p w:rsidR="001728B3" w:rsidP="00452A8F" w14:paraId="65977A22" w14:textId="4B2ECF3E">
      <w:pPr>
        <w:pStyle w:val="FootnoteText"/>
      </w:pPr>
      <w:r w:rsidRPr="00B77100">
        <w:rPr>
          <w:rStyle w:val="FootnoteReference"/>
        </w:rPr>
        <w:footnoteRef/>
      </w:r>
      <w:r w:rsidRPr="00B77100">
        <w:t xml:space="preserve"> </w:t>
      </w:r>
      <w:r w:rsidRPr="00F06604">
        <w:rPr>
          <w:szCs w:val="22"/>
        </w:rPr>
        <w:t>Additional constraints beyond those already designed into the system do not appear to be warranted</w:t>
      </w:r>
      <w:r>
        <w:rPr>
          <w:szCs w:val="22"/>
        </w:rPr>
        <w:t>.</w:t>
      </w:r>
      <w:r w:rsidRPr="002338D0">
        <w:rPr>
          <w:i/>
        </w:rPr>
        <w:t xml:space="preserve"> </w:t>
      </w:r>
      <w:r>
        <w:rPr>
          <w:i/>
        </w:rPr>
        <w:t xml:space="preserve"> </w:t>
      </w:r>
      <w:r>
        <w:t xml:space="preserve">Proceq provides the dwell time for its GPR on any one frequency as 2 microseconds.  </w:t>
      </w:r>
      <w:r w:rsidRPr="002338D0">
        <w:rPr>
          <w:i/>
        </w:rPr>
        <w:t>See</w:t>
      </w:r>
      <w:r>
        <w:t xml:space="preserve"> Proceq Waiver Request at 12.  </w:t>
      </w:r>
    </w:p>
  </w:footnote>
  <w:footnote w:id="21">
    <w:p w:rsidR="00BC3CDD" w:rsidP="00BC3CDD" w14:paraId="28FDB6C5" w14:textId="77777777">
      <w:pPr>
        <w:pStyle w:val="FootnoteText"/>
      </w:pPr>
      <w:r>
        <w:rPr>
          <w:rStyle w:val="FootnoteReference"/>
        </w:rPr>
        <w:footnoteRef/>
      </w:r>
      <w:r>
        <w:t xml:space="preserve"> The filing for certification should include a copy of this waiver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35D" w14:paraId="56F43B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8B3" w14:paraId="541F8E48" w14:textId="462DBE0D">
    <w:pPr>
      <w:pStyle w:val="Header"/>
      <w:rPr>
        <w:b w:val="0"/>
      </w:rPr>
    </w:pPr>
    <w:r>
      <w:tab/>
      <w:t>Federal Communications Commission</w:t>
    </w:r>
    <w:r>
      <w:tab/>
      <w:t>DA 1</w:t>
    </w:r>
    <w:r w:rsidR="007E6147">
      <w:t>8</w:t>
    </w:r>
    <w:r>
      <w:t>-</w:t>
    </w:r>
    <w:r w:rsidR="003E1550">
      <w:t>251</w:t>
    </w:r>
    <w:r>
      <w:t xml:space="preserve"> </w:t>
    </w:r>
  </w:p>
  <w:p w:rsidR="001728B3" w14:paraId="59A243E2"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3"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728B3" w14:paraId="41132C3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8B3" w14:paraId="7A2F69BA" w14:textId="449E4FD7">
    <w:pPr>
      <w:pStyle w:val="Header"/>
      <w:rPr>
        <w:b w:val="0"/>
      </w:rPr>
    </w:pPr>
    <w:r>
      <w:rPr>
        <w:b w:val="0"/>
        <w:noProof/>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-247650</wp:posOffset>
              </wp:positionV>
              <wp:extent cx="6210300" cy="34290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210300" cy="3429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728B3" w14:textId="77777777"/>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489pt;height:27pt;margin-top:-19.5pt;margin-left:-7.5pt;mso-height-percent:0;mso-height-relative:page;mso-width-percent:0;mso-width-relative:page;mso-wrap-distance-bottom:0;mso-wrap-distance-left:9pt;mso-wrap-distance-right:9pt;mso-wrap-distance-top:0;mso-wrap-style:square;position:absolute;visibility:visible;v-text-anchor:top;z-index:251663360" filled="f" stroked="f">
              <v:textbox>
                <w:txbxContent>
                  <w:p w:rsidR="001728B3" w14:paraId="6AD87FB2" w14:textId="77777777"/>
                </w:txbxContent>
              </v:textbox>
            </v:shape>
          </w:pict>
        </mc:Fallback>
      </mc:AlternateContent>
    </w:r>
    <w:r>
      <w:tab/>
      <w:t>Federal C</w:t>
    </w:r>
    <w:r w:rsidR="00E937AD">
      <w:t>ommunications Commission</w:t>
    </w:r>
    <w:r w:rsidR="00E937AD">
      <w:tab/>
      <w:t>DA 18-</w:t>
    </w:r>
    <w:r w:rsidR="003E1550">
      <w:t>251</w:t>
    </w:r>
  </w:p>
  <w:p w:rsidR="001728B3" w14:paraId="07F7F68A" w14:textId="77777777">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1"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DA780B"/>
    <w:multiLevelType w:val="hybridMultilevel"/>
    <w:tmpl w:val="D5FEF9A8"/>
    <w:lvl w:ilvl="0">
      <w:start w:val="121"/>
      <w:numFmt w:val="bullet"/>
      <w:lvlText w:val="-"/>
      <w:lvlJc w:val="left"/>
      <w:pPr>
        <w:ind w:left="1074" w:hanging="360"/>
      </w:pPr>
      <w:rPr>
        <w:rFonts w:ascii="Times New Roman" w:eastAsia="Times New Roman" w:hAnsi="Times New Roman" w:cs="Times New Roman" w:hint="default"/>
      </w:rPr>
    </w:lvl>
    <w:lvl w:ilvl="1" w:tentative="1">
      <w:start w:val="1"/>
      <w:numFmt w:val="bullet"/>
      <w:lvlText w:val="o"/>
      <w:lvlJc w:val="left"/>
      <w:pPr>
        <w:ind w:left="1794" w:hanging="360"/>
      </w:pPr>
      <w:rPr>
        <w:rFonts w:ascii="Courier New" w:hAnsi="Courier New" w:cs="Courier New" w:hint="default"/>
      </w:rPr>
    </w:lvl>
    <w:lvl w:ilvl="2" w:tentative="1">
      <w:start w:val="1"/>
      <w:numFmt w:val="bullet"/>
      <w:lvlText w:val=""/>
      <w:lvlJc w:val="left"/>
      <w:pPr>
        <w:ind w:left="2514" w:hanging="360"/>
      </w:pPr>
      <w:rPr>
        <w:rFonts w:ascii="Wingdings" w:hAnsi="Wingdings" w:hint="default"/>
      </w:rPr>
    </w:lvl>
    <w:lvl w:ilvl="3" w:tentative="1">
      <w:start w:val="1"/>
      <w:numFmt w:val="bullet"/>
      <w:lvlText w:val=""/>
      <w:lvlJc w:val="left"/>
      <w:pPr>
        <w:ind w:left="3234" w:hanging="360"/>
      </w:pPr>
      <w:rPr>
        <w:rFonts w:ascii="Symbol" w:hAnsi="Symbol" w:hint="default"/>
      </w:rPr>
    </w:lvl>
    <w:lvl w:ilvl="4" w:tentative="1">
      <w:start w:val="1"/>
      <w:numFmt w:val="bullet"/>
      <w:lvlText w:val="o"/>
      <w:lvlJc w:val="left"/>
      <w:pPr>
        <w:ind w:left="3954" w:hanging="360"/>
      </w:pPr>
      <w:rPr>
        <w:rFonts w:ascii="Courier New" w:hAnsi="Courier New" w:cs="Courier New" w:hint="default"/>
      </w:rPr>
    </w:lvl>
    <w:lvl w:ilvl="5" w:tentative="1">
      <w:start w:val="1"/>
      <w:numFmt w:val="bullet"/>
      <w:lvlText w:val=""/>
      <w:lvlJc w:val="left"/>
      <w:pPr>
        <w:ind w:left="4674" w:hanging="360"/>
      </w:pPr>
      <w:rPr>
        <w:rFonts w:ascii="Wingdings" w:hAnsi="Wingdings" w:hint="default"/>
      </w:rPr>
    </w:lvl>
    <w:lvl w:ilvl="6" w:tentative="1">
      <w:start w:val="1"/>
      <w:numFmt w:val="bullet"/>
      <w:lvlText w:val=""/>
      <w:lvlJc w:val="left"/>
      <w:pPr>
        <w:ind w:left="5394" w:hanging="360"/>
      </w:pPr>
      <w:rPr>
        <w:rFonts w:ascii="Symbol" w:hAnsi="Symbol" w:hint="default"/>
      </w:rPr>
    </w:lvl>
    <w:lvl w:ilvl="7" w:tentative="1">
      <w:start w:val="1"/>
      <w:numFmt w:val="bullet"/>
      <w:lvlText w:val="o"/>
      <w:lvlJc w:val="left"/>
      <w:pPr>
        <w:ind w:left="6114" w:hanging="360"/>
      </w:pPr>
      <w:rPr>
        <w:rFonts w:ascii="Courier New" w:hAnsi="Courier New" w:cs="Courier New" w:hint="default"/>
      </w:rPr>
    </w:lvl>
    <w:lvl w:ilvl="8" w:tentative="1">
      <w:start w:val="1"/>
      <w:numFmt w:val="bullet"/>
      <w:lvlText w:val=""/>
      <w:lvlJc w:val="left"/>
      <w:pPr>
        <w:ind w:left="6834" w:hanging="360"/>
      </w:pPr>
      <w:rPr>
        <w:rFonts w:ascii="Wingdings" w:hAnsi="Wingdings" w:hint="default"/>
      </w:r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70A60D36"/>
    <w:lvl w:ilvl="0">
      <w:start w:val="1"/>
      <w:numFmt w:val="decimal"/>
      <w:pStyle w:val="ParaNum"/>
      <w:lvlText w:val="%1."/>
      <w:lvlJc w:val="left"/>
      <w:pPr>
        <w:tabs>
          <w:tab w:val="num" w:pos="1080"/>
        </w:tabs>
        <w:ind w:left="0" w:firstLine="720"/>
      </w:pPr>
      <w:rPr>
        <w:b w:val="0"/>
      </w:rPr>
    </w:lvl>
  </w:abstractNum>
  <w:abstractNum w:abstractNumId="26">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7">
    <w:nsid w:val="65721A72"/>
    <w:multiLevelType w:val="hybridMultilevel"/>
    <w:tmpl w:val="6D32A2AC"/>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6"/>
  </w:num>
  <w:num w:numId="2">
    <w:abstractNumId w:val="28"/>
  </w:num>
  <w:num w:numId="3">
    <w:abstractNumId w:val="4"/>
  </w:num>
  <w:num w:numId="4">
    <w:abstractNumId w:val="21"/>
  </w:num>
  <w:num w:numId="5">
    <w:abstractNumId w:val="9"/>
  </w:num>
  <w:num w:numId="6">
    <w:abstractNumId w:val="24"/>
  </w:num>
  <w:num w:numId="7">
    <w:abstractNumId w:val="17"/>
  </w:num>
  <w:num w:numId="8">
    <w:abstractNumId w:val="10"/>
  </w:num>
  <w:num w:numId="9">
    <w:abstractNumId w:val="23"/>
  </w:num>
  <w:num w:numId="10">
    <w:abstractNumId w:val="15"/>
  </w:num>
  <w:num w:numId="11">
    <w:abstractNumId w:val="14"/>
  </w:num>
  <w:num w:numId="12">
    <w:abstractNumId w:val="11"/>
  </w:num>
  <w:num w:numId="13">
    <w:abstractNumId w:val="16"/>
  </w:num>
  <w:num w:numId="14">
    <w:abstractNumId w:val="22"/>
  </w:num>
  <w:num w:numId="15">
    <w:abstractNumId w:val="2"/>
  </w:num>
  <w:num w:numId="16">
    <w:abstractNumId w:val="3"/>
  </w:num>
  <w:num w:numId="17">
    <w:abstractNumId w:val="12"/>
  </w:num>
  <w:num w:numId="18">
    <w:abstractNumId w:val="1"/>
  </w:num>
  <w:num w:numId="19">
    <w:abstractNumId w:val="13"/>
  </w:num>
  <w:num w:numId="20">
    <w:abstractNumId w:val="18"/>
  </w:num>
  <w:num w:numId="21">
    <w:abstractNumId w:val="20"/>
  </w:num>
  <w:num w:numId="22">
    <w:abstractNumId w:val="27"/>
  </w:num>
  <w:num w:numId="23">
    <w:abstractNumId w:val="8"/>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num>
  <w:num w:numId="28">
    <w:abstractNumId w:val="16"/>
    <w:lvlOverride w:ilvl="0">
      <w:startOverride w:val="1"/>
    </w:lvlOverride>
  </w:num>
  <w:num w:numId="29">
    <w:abstractNumId w:val="5"/>
  </w:num>
  <w:num w:numId="30">
    <w:abstractNumId w:val="25"/>
  </w:num>
  <w:num w:numId="31">
    <w:abstractNumId w:val="7"/>
  </w:num>
  <w:num w:numId="32">
    <w:abstractNumId w:val="19"/>
  </w:num>
  <w:num w:numId="33">
    <w:abstractNumId w:val="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14"/>
    <w:rsid w:val="00001969"/>
    <w:rsid w:val="00005A98"/>
    <w:rsid w:val="00011E84"/>
    <w:rsid w:val="00017883"/>
    <w:rsid w:val="0003199D"/>
    <w:rsid w:val="00032446"/>
    <w:rsid w:val="000356BE"/>
    <w:rsid w:val="00036A66"/>
    <w:rsid w:val="000372A0"/>
    <w:rsid w:val="00040CDE"/>
    <w:rsid w:val="0004138F"/>
    <w:rsid w:val="000572C9"/>
    <w:rsid w:val="00070002"/>
    <w:rsid w:val="00071452"/>
    <w:rsid w:val="00073622"/>
    <w:rsid w:val="00073CB1"/>
    <w:rsid w:val="000756B2"/>
    <w:rsid w:val="0007757C"/>
    <w:rsid w:val="0008016C"/>
    <w:rsid w:val="000805C6"/>
    <w:rsid w:val="000832FA"/>
    <w:rsid w:val="00084A74"/>
    <w:rsid w:val="000869A5"/>
    <w:rsid w:val="00090942"/>
    <w:rsid w:val="000923B5"/>
    <w:rsid w:val="0009514C"/>
    <w:rsid w:val="000A6CC8"/>
    <w:rsid w:val="000B0E9F"/>
    <w:rsid w:val="000B222F"/>
    <w:rsid w:val="000B4805"/>
    <w:rsid w:val="000C2B51"/>
    <w:rsid w:val="000D056C"/>
    <w:rsid w:val="000D273B"/>
    <w:rsid w:val="000E050F"/>
    <w:rsid w:val="000E055D"/>
    <w:rsid w:val="000E3C8F"/>
    <w:rsid w:val="000E6266"/>
    <w:rsid w:val="000E65DA"/>
    <w:rsid w:val="000E77F6"/>
    <w:rsid w:val="000F6271"/>
    <w:rsid w:val="000F6A3C"/>
    <w:rsid w:val="00104085"/>
    <w:rsid w:val="001177C1"/>
    <w:rsid w:val="00123C3A"/>
    <w:rsid w:val="00126816"/>
    <w:rsid w:val="00137FE5"/>
    <w:rsid w:val="00142C36"/>
    <w:rsid w:val="00147814"/>
    <w:rsid w:val="001501B5"/>
    <w:rsid w:val="0015240F"/>
    <w:rsid w:val="001600C2"/>
    <w:rsid w:val="00164382"/>
    <w:rsid w:val="001645C7"/>
    <w:rsid w:val="001646A1"/>
    <w:rsid w:val="001728B3"/>
    <w:rsid w:val="00180F2C"/>
    <w:rsid w:val="00182B93"/>
    <w:rsid w:val="001845AA"/>
    <w:rsid w:val="00187268"/>
    <w:rsid w:val="00190807"/>
    <w:rsid w:val="001976BD"/>
    <w:rsid w:val="001A54C1"/>
    <w:rsid w:val="001A5C96"/>
    <w:rsid w:val="001A7D2A"/>
    <w:rsid w:val="001C0D92"/>
    <w:rsid w:val="001C7C93"/>
    <w:rsid w:val="001D1C49"/>
    <w:rsid w:val="001D1D7B"/>
    <w:rsid w:val="001D35CD"/>
    <w:rsid w:val="001D505D"/>
    <w:rsid w:val="001D7766"/>
    <w:rsid w:val="001E16A7"/>
    <w:rsid w:val="001E16FD"/>
    <w:rsid w:val="0020282F"/>
    <w:rsid w:val="0020295C"/>
    <w:rsid w:val="002115D8"/>
    <w:rsid w:val="002137F7"/>
    <w:rsid w:val="00217C5D"/>
    <w:rsid w:val="00223636"/>
    <w:rsid w:val="00224E67"/>
    <w:rsid w:val="002338D0"/>
    <w:rsid w:val="00237882"/>
    <w:rsid w:val="00250187"/>
    <w:rsid w:val="00250B22"/>
    <w:rsid w:val="002548E2"/>
    <w:rsid w:val="00260235"/>
    <w:rsid w:val="002621DC"/>
    <w:rsid w:val="0026686B"/>
    <w:rsid w:val="00266F40"/>
    <w:rsid w:val="00267AE9"/>
    <w:rsid w:val="00277EE6"/>
    <w:rsid w:val="0028026C"/>
    <w:rsid w:val="002910C2"/>
    <w:rsid w:val="002930E4"/>
    <w:rsid w:val="00293B8B"/>
    <w:rsid w:val="002B1815"/>
    <w:rsid w:val="002C0DCE"/>
    <w:rsid w:val="002C323C"/>
    <w:rsid w:val="002D004A"/>
    <w:rsid w:val="002D1700"/>
    <w:rsid w:val="002D68DB"/>
    <w:rsid w:val="002D70C0"/>
    <w:rsid w:val="002E109D"/>
    <w:rsid w:val="002E1B7B"/>
    <w:rsid w:val="002F535C"/>
    <w:rsid w:val="00300301"/>
    <w:rsid w:val="00301154"/>
    <w:rsid w:val="003019D5"/>
    <w:rsid w:val="00303D84"/>
    <w:rsid w:val="0031068F"/>
    <w:rsid w:val="00311489"/>
    <w:rsid w:val="00316852"/>
    <w:rsid w:val="0032325B"/>
    <w:rsid w:val="00324978"/>
    <w:rsid w:val="003265FA"/>
    <w:rsid w:val="00334847"/>
    <w:rsid w:val="003367A5"/>
    <w:rsid w:val="0034772A"/>
    <w:rsid w:val="00347733"/>
    <w:rsid w:val="003504DB"/>
    <w:rsid w:val="003507A2"/>
    <w:rsid w:val="00352CDE"/>
    <w:rsid w:val="0035455C"/>
    <w:rsid w:val="0037087F"/>
    <w:rsid w:val="00382CC8"/>
    <w:rsid w:val="003864A9"/>
    <w:rsid w:val="003867AB"/>
    <w:rsid w:val="00394B16"/>
    <w:rsid w:val="0039555A"/>
    <w:rsid w:val="003A2766"/>
    <w:rsid w:val="003A78B5"/>
    <w:rsid w:val="003B0DC7"/>
    <w:rsid w:val="003B630B"/>
    <w:rsid w:val="003B64D8"/>
    <w:rsid w:val="003C17EF"/>
    <w:rsid w:val="003C611B"/>
    <w:rsid w:val="003C638F"/>
    <w:rsid w:val="003E1550"/>
    <w:rsid w:val="003E5FD3"/>
    <w:rsid w:val="003F0289"/>
    <w:rsid w:val="003F2D8B"/>
    <w:rsid w:val="004010FE"/>
    <w:rsid w:val="00413660"/>
    <w:rsid w:val="0041463A"/>
    <w:rsid w:val="004179AA"/>
    <w:rsid w:val="004179AF"/>
    <w:rsid w:val="0042061B"/>
    <w:rsid w:val="00433D08"/>
    <w:rsid w:val="0043484B"/>
    <w:rsid w:val="00434E25"/>
    <w:rsid w:val="00436504"/>
    <w:rsid w:val="00440E77"/>
    <w:rsid w:val="00441B64"/>
    <w:rsid w:val="00450366"/>
    <w:rsid w:val="00452A8F"/>
    <w:rsid w:val="00457AD1"/>
    <w:rsid w:val="004607B2"/>
    <w:rsid w:val="00463F19"/>
    <w:rsid w:val="00480472"/>
    <w:rsid w:val="0048147E"/>
    <w:rsid w:val="00485979"/>
    <w:rsid w:val="004903AA"/>
    <w:rsid w:val="00493AC0"/>
    <w:rsid w:val="004A0459"/>
    <w:rsid w:val="004A1CD0"/>
    <w:rsid w:val="004A5559"/>
    <w:rsid w:val="004A5A10"/>
    <w:rsid w:val="004A5D91"/>
    <w:rsid w:val="004B3396"/>
    <w:rsid w:val="004B6648"/>
    <w:rsid w:val="004B66A1"/>
    <w:rsid w:val="004C38A7"/>
    <w:rsid w:val="004D7907"/>
    <w:rsid w:val="004E2C20"/>
    <w:rsid w:val="004E6666"/>
    <w:rsid w:val="004E7E06"/>
    <w:rsid w:val="004F7477"/>
    <w:rsid w:val="005077E8"/>
    <w:rsid w:val="005100A2"/>
    <w:rsid w:val="0051424A"/>
    <w:rsid w:val="00516C6C"/>
    <w:rsid w:val="005174C3"/>
    <w:rsid w:val="00527507"/>
    <w:rsid w:val="00533902"/>
    <w:rsid w:val="005357F2"/>
    <w:rsid w:val="00535A38"/>
    <w:rsid w:val="005361E0"/>
    <w:rsid w:val="00537070"/>
    <w:rsid w:val="0054086B"/>
    <w:rsid w:val="00552FE9"/>
    <w:rsid w:val="00555819"/>
    <w:rsid w:val="00557E25"/>
    <w:rsid w:val="00560BAA"/>
    <w:rsid w:val="00561369"/>
    <w:rsid w:val="00563472"/>
    <w:rsid w:val="00566A36"/>
    <w:rsid w:val="00572727"/>
    <w:rsid w:val="00574094"/>
    <w:rsid w:val="00576BF4"/>
    <w:rsid w:val="005839C8"/>
    <w:rsid w:val="0058471B"/>
    <w:rsid w:val="00586A2E"/>
    <w:rsid w:val="00587074"/>
    <w:rsid w:val="00590D17"/>
    <w:rsid w:val="005910E9"/>
    <w:rsid w:val="00597C1A"/>
    <w:rsid w:val="005A00DD"/>
    <w:rsid w:val="005A395F"/>
    <w:rsid w:val="005B5408"/>
    <w:rsid w:val="005C2320"/>
    <w:rsid w:val="005C3D93"/>
    <w:rsid w:val="005D2455"/>
    <w:rsid w:val="005D3E49"/>
    <w:rsid w:val="005D5A91"/>
    <w:rsid w:val="005E187A"/>
    <w:rsid w:val="005E7022"/>
    <w:rsid w:val="005F1C9D"/>
    <w:rsid w:val="005F28DA"/>
    <w:rsid w:val="005F3AE8"/>
    <w:rsid w:val="005F4747"/>
    <w:rsid w:val="00603223"/>
    <w:rsid w:val="0060328D"/>
    <w:rsid w:val="00603542"/>
    <w:rsid w:val="006045E8"/>
    <w:rsid w:val="00611042"/>
    <w:rsid w:val="00611994"/>
    <w:rsid w:val="00612FB5"/>
    <w:rsid w:val="00624BCE"/>
    <w:rsid w:val="00630CE9"/>
    <w:rsid w:val="00633019"/>
    <w:rsid w:val="00633525"/>
    <w:rsid w:val="0063507A"/>
    <w:rsid w:val="006448FD"/>
    <w:rsid w:val="006519D3"/>
    <w:rsid w:val="00653597"/>
    <w:rsid w:val="00657476"/>
    <w:rsid w:val="0065750C"/>
    <w:rsid w:val="0066068C"/>
    <w:rsid w:val="006643FC"/>
    <w:rsid w:val="00666313"/>
    <w:rsid w:val="00667E78"/>
    <w:rsid w:val="006719F6"/>
    <w:rsid w:val="006763B7"/>
    <w:rsid w:val="006804CB"/>
    <w:rsid w:val="00681D5A"/>
    <w:rsid w:val="006842E7"/>
    <w:rsid w:val="00684ABA"/>
    <w:rsid w:val="006946FA"/>
    <w:rsid w:val="00696426"/>
    <w:rsid w:val="00697B9F"/>
    <w:rsid w:val="006A4DE7"/>
    <w:rsid w:val="006A7C89"/>
    <w:rsid w:val="006B2668"/>
    <w:rsid w:val="006B35E2"/>
    <w:rsid w:val="006C610A"/>
    <w:rsid w:val="006D043D"/>
    <w:rsid w:val="006D725D"/>
    <w:rsid w:val="006E04AD"/>
    <w:rsid w:val="006E66BA"/>
    <w:rsid w:val="006F0FCA"/>
    <w:rsid w:val="006F0FD9"/>
    <w:rsid w:val="006F18DE"/>
    <w:rsid w:val="006F407C"/>
    <w:rsid w:val="007136D8"/>
    <w:rsid w:val="00715182"/>
    <w:rsid w:val="0071741F"/>
    <w:rsid w:val="00720B09"/>
    <w:rsid w:val="00725F04"/>
    <w:rsid w:val="00730BAD"/>
    <w:rsid w:val="0073299A"/>
    <w:rsid w:val="00733539"/>
    <w:rsid w:val="00735BCC"/>
    <w:rsid w:val="00740000"/>
    <w:rsid w:val="0074174D"/>
    <w:rsid w:val="007450A8"/>
    <w:rsid w:val="0075081A"/>
    <w:rsid w:val="007545E5"/>
    <w:rsid w:val="00756D02"/>
    <w:rsid w:val="00762714"/>
    <w:rsid w:val="00767558"/>
    <w:rsid w:val="00776FD4"/>
    <w:rsid w:val="00794626"/>
    <w:rsid w:val="007A2DF7"/>
    <w:rsid w:val="007B3ABE"/>
    <w:rsid w:val="007D4917"/>
    <w:rsid w:val="007D62EA"/>
    <w:rsid w:val="007E431E"/>
    <w:rsid w:val="007E6147"/>
    <w:rsid w:val="00800861"/>
    <w:rsid w:val="008061CF"/>
    <w:rsid w:val="008062E7"/>
    <w:rsid w:val="00806AA3"/>
    <w:rsid w:val="0081490E"/>
    <w:rsid w:val="008374E8"/>
    <w:rsid w:val="0084376C"/>
    <w:rsid w:val="00851C8D"/>
    <w:rsid w:val="0086447F"/>
    <w:rsid w:val="00870877"/>
    <w:rsid w:val="00873AC7"/>
    <w:rsid w:val="00882305"/>
    <w:rsid w:val="00882A21"/>
    <w:rsid w:val="00893264"/>
    <w:rsid w:val="008A0A9A"/>
    <w:rsid w:val="008A0BD7"/>
    <w:rsid w:val="008A1FBA"/>
    <w:rsid w:val="008A266F"/>
    <w:rsid w:val="008A789B"/>
    <w:rsid w:val="008B5273"/>
    <w:rsid w:val="008B62A7"/>
    <w:rsid w:val="008C050E"/>
    <w:rsid w:val="008C0B97"/>
    <w:rsid w:val="008C1F68"/>
    <w:rsid w:val="008C44F8"/>
    <w:rsid w:val="008C46A0"/>
    <w:rsid w:val="008C4A20"/>
    <w:rsid w:val="008C6D12"/>
    <w:rsid w:val="008D4DF1"/>
    <w:rsid w:val="008D5674"/>
    <w:rsid w:val="008D6B12"/>
    <w:rsid w:val="008E0F52"/>
    <w:rsid w:val="008F45A7"/>
    <w:rsid w:val="009014ED"/>
    <w:rsid w:val="00903770"/>
    <w:rsid w:val="009055D8"/>
    <w:rsid w:val="009061BB"/>
    <w:rsid w:val="00910D18"/>
    <w:rsid w:val="009132DD"/>
    <w:rsid w:val="00913EFF"/>
    <w:rsid w:val="00914A9D"/>
    <w:rsid w:val="009166F3"/>
    <w:rsid w:val="00916BF9"/>
    <w:rsid w:val="00916EA8"/>
    <w:rsid w:val="00917014"/>
    <w:rsid w:val="009268AD"/>
    <w:rsid w:val="009333FD"/>
    <w:rsid w:val="00935F4D"/>
    <w:rsid w:val="00936537"/>
    <w:rsid w:val="0094061C"/>
    <w:rsid w:val="009427FF"/>
    <w:rsid w:val="0095088A"/>
    <w:rsid w:val="00953C44"/>
    <w:rsid w:val="00956C94"/>
    <w:rsid w:val="00960B18"/>
    <w:rsid w:val="00962440"/>
    <w:rsid w:val="009750DF"/>
    <w:rsid w:val="00976A77"/>
    <w:rsid w:val="00981C27"/>
    <w:rsid w:val="0098487F"/>
    <w:rsid w:val="00986328"/>
    <w:rsid w:val="009874A8"/>
    <w:rsid w:val="00991E2A"/>
    <w:rsid w:val="00992768"/>
    <w:rsid w:val="009A24EE"/>
    <w:rsid w:val="009A43DB"/>
    <w:rsid w:val="009C1206"/>
    <w:rsid w:val="009C1E3D"/>
    <w:rsid w:val="009C21AC"/>
    <w:rsid w:val="009C4073"/>
    <w:rsid w:val="009C411B"/>
    <w:rsid w:val="009C53BF"/>
    <w:rsid w:val="009C6F27"/>
    <w:rsid w:val="009D532F"/>
    <w:rsid w:val="009D57B9"/>
    <w:rsid w:val="009E4455"/>
    <w:rsid w:val="009F0138"/>
    <w:rsid w:val="009F0310"/>
    <w:rsid w:val="009F62E2"/>
    <w:rsid w:val="00A0124A"/>
    <w:rsid w:val="00A03059"/>
    <w:rsid w:val="00A03133"/>
    <w:rsid w:val="00A059BF"/>
    <w:rsid w:val="00A071D2"/>
    <w:rsid w:val="00A14916"/>
    <w:rsid w:val="00A20C73"/>
    <w:rsid w:val="00A23FCE"/>
    <w:rsid w:val="00A47239"/>
    <w:rsid w:val="00A4730F"/>
    <w:rsid w:val="00A47987"/>
    <w:rsid w:val="00A47D2B"/>
    <w:rsid w:val="00A55B83"/>
    <w:rsid w:val="00A561A4"/>
    <w:rsid w:val="00A638F0"/>
    <w:rsid w:val="00A67765"/>
    <w:rsid w:val="00A73E5B"/>
    <w:rsid w:val="00A74F81"/>
    <w:rsid w:val="00A7588C"/>
    <w:rsid w:val="00A80378"/>
    <w:rsid w:val="00A832E0"/>
    <w:rsid w:val="00A85B01"/>
    <w:rsid w:val="00A86F22"/>
    <w:rsid w:val="00A91F32"/>
    <w:rsid w:val="00A931F6"/>
    <w:rsid w:val="00A94B85"/>
    <w:rsid w:val="00A96BD0"/>
    <w:rsid w:val="00AA1BCD"/>
    <w:rsid w:val="00AA4255"/>
    <w:rsid w:val="00AA4840"/>
    <w:rsid w:val="00AA666F"/>
    <w:rsid w:val="00AA7B77"/>
    <w:rsid w:val="00AB065A"/>
    <w:rsid w:val="00AB11BC"/>
    <w:rsid w:val="00AC008D"/>
    <w:rsid w:val="00AC1449"/>
    <w:rsid w:val="00AC41FA"/>
    <w:rsid w:val="00AC63D6"/>
    <w:rsid w:val="00AC7A8A"/>
    <w:rsid w:val="00AD2C54"/>
    <w:rsid w:val="00AD786C"/>
    <w:rsid w:val="00AD7D87"/>
    <w:rsid w:val="00AE02F1"/>
    <w:rsid w:val="00AE05EB"/>
    <w:rsid w:val="00AE3876"/>
    <w:rsid w:val="00AE43FB"/>
    <w:rsid w:val="00AE4EB2"/>
    <w:rsid w:val="00AE590A"/>
    <w:rsid w:val="00AE6BDB"/>
    <w:rsid w:val="00AF0DCA"/>
    <w:rsid w:val="00AF3DA0"/>
    <w:rsid w:val="00AF4681"/>
    <w:rsid w:val="00B0223A"/>
    <w:rsid w:val="00B04336"/>
    <w:rsid w:val="00B044FD"/>
    <w:rsid w:val="00B1598E"/>
    <w:rsid w:val="00B20064"/>
    <w:rsid w:val="00B21FE2"/>
    <w:rsid w:val="00B30D79"/>
    <w:rsid w:val="00B33C86"/>
    <w:rsid w:val="00B3522D"/>
    <w:rsid w:val="00B53943"/>
    <w:rsid w:val="00B635C6"/>
    <w:rsid w:val="00B65427"/>
    <w:rsid w:val="00B71630"/>
    <w:rsid w:val="00B72F00"/>
    <w:rsid w:val="00B75370"/>
    <w:rsid w:val="00B76A4D"/>
    <w:rsid w:val="00B77100"/>
    <w:rsid w:val="00B84393"/>
    <w:rsid w:val="00B85B1A"/>
    <w:rsid w:val="00B93EAB"/>
    <w:rsid w:val="00B96B36"/>
    <w:rsid w:val="00BA082A"/>
    <w:rsid w:val="00BA1F9D"/>
    <w:rsid w:val="00BA61B8"/>
    <w:rsid w:val="00BB2339"/>
    <w:rsid w:val="00BC084C"/>
    <w:rsid w:val="00BC0AF8"/>
    <w:rsid w:val="00BC23DC"/>
    <w:rsid w:val="00BC3CDD"/>
    <w:rsid w:val="00BC5D1C"/>
    <w:rsid w:val="00BC710A"/>
    <w:rsid w:val="00BD45B7"/>
    <w:rsid w:val="00BE74A6"/>
    <w:rsid w:val="00BF080F"/>
    <w:rsid w:val="00C11133"/>
    <w:rsid w:val="00C11AA7"/>
    <w:rsid w:val="00C12E8C"/>
    <w:rsid w:val="00C22B45"/>
    <w:rsid w:val="00C3024C"/>
    <w:rsid w:val="00C36B2A"/>
    <w:rsid w:val="00C418F3"/>
    <w:rsid w:val="00C5207B"/>
    <w:rsid w:val="00C5393B"/>
    <w:rsid w:val="00C55460"/>
    <w:rsid w:val="00C5572F"/>
    <w:rsid w:val="00C56646"/>
    <w:rsid w:val="00C57FD8"/>
    <w:rsid w:val="00C60AB2"/>
    <w:rsid w:val="00C63973"/>
    <w:rsid w:val="00C64270"/>
    <w:rsid w:val="00C6481F"/>
    <w:rsid w:val="00C73D5D"/>
    <w:rsid w:val="00C7535D"/>
    <w:rsid w:val="00C80D5E"/>
    <w:rsid w:val="00C825A8"/>
    <w:rsid w:val="00C8423F"/>
    <w:rsid w:val="00C97EDB"/>
    <w:rsid w:val="00CA063B"/>
    <w:rsid w:val="00CA0D1D"/>
    <w:rsid w:val="00CA3518"/>
    <w:rsid w:val="00CB1AB7"/>
    <w:rsid w:val="00CC28D6"/>
    <w:rsid w:val="00CC4D43"/>
    <w:rsid w:val="00CC5413"/>
    <w:rsid w:val="00CC6AD0"/>
    <w:rsid w:val="00CD2145"/>
    <w:rsid w:val="00CD5B2E"/>
    <w:rsid w:val="00CF11BC"/>
    <w:rsid w:val="00CF1DA9"/>
    <w:rsid w:val="00D007BA"/>
    <w:rsid w:val="00D015E3"/>
    <w:rsid w:val="00D11030"/>
    <w:rsid w:val="00D15ED6"/>
    <w:rsid w:val="00D22137"/>
    <w:rsid w:val="00D300AF"/>
    <w:rsid w:val="00D37896"/>
    <w:rsid w:val="00D43F43"/>
    <w:rsid w:val="00D52455"/>
    <w:rsid w:val="00D544B4"/>
    <w:rsid w:val="00D625BA"/>
    <w:rsid w:val="00D638FA"/>
    <w:rsid w:val="00D70D5F"/>
    <w:rsid w:val="00D71B23"/>
    <w:rsid w:val="00D73546"/>
    <w:rsid w:val="00D8015E"/>
    <w:rsid w:val="00D81B2D"/>
    <w:rsid w:val="00D831C6"/>
    <w:rsid w:val="00D84708"/>
    <w:rsid w:val="00D905F4"/>
    <w:rsid w:val="00D96A6F"/>
    <w:rsid w:val="00DA136A"/>
    <w:rsid w:val="00DA5104"/>
    <w:rsid w:val="00DB04B9"/>
    <w:rsid w:val="00DB1380"/>
    <w:rsid w:val="00DB4B80"/>
    <w:rsid w:val="00DC70F6"/>
    <w:rsid w:val="00DC7500"/>
    <w:rsid w:val="00DE1DA0"/>
    <w:rsid w:val="00DE280C"/>
    <w:rsid w:val="00DF4533"/>
    <w:rsid w:val="00E00477"/>
    <w:rsid w:val="00E009DC"/>
    <w:rsid w:val="00E02CB9"/>
    <w:rsid w:val="00E105ED"/>
    <w:rsid w:val="00E114A0"/>
    <w:rsid w:val="00E11910"/>
    <w:rsid w:val="00E14DF4"/>
    <w:rsid w:val="00E15C9F"/>
    <w:rsid w:val="00E17CCD"/>
    <w:rsid w:val="00E2095A"/>
    <w:rsid w:val="00E228AA"/>
    <w:rsid w:val="00E22A6F"/>
    <w:rsid w:val="00E26690"/>
    <w:rsid w:val="00E26F81"/>
    <w:rsid w:val="00E27F67"/>
    <w:rsid w:val="00E32D6B"/>
    <w:rsid w:val="00E3583E"/>
    <w:rsid w:val="00E41ED8"/>
    <w:rsid w:val="00E5152D"/>
    <w:rsid w:val="00E605FE"/>
    <w:rsid w:val="00E61851"/>
    <w:rsid w:val="00E62963"/>
    <w:rsid w:val="00E64720"/>
    <w:rsid w:val="00E65823"/>
    <w:rsid w:val="00E7230C"/>
    <w:rsid w:val="00E74FAE"/>
    <w:rsid w:val="00E7567A"/>
    <w:rsid w:val="00E75B27"/>
    <w:rsid w:val="00E81ED5"/>
    <w:rsid w:val="00E83FC9"/>
    <w:rsid w:val="00E86219"/>
    <w:rsid w:val="00E91E84"/>
    <w:rsid w:val="00E937AD"/>
    <w:rsid w:val="00EA5755"/>
    <w:rsid w:val="00EB22B7"/>
    <w:rsid w:val="00EB404D"/>
    <w:rsid w:val="00EC0ACF"/>
    <w:rsid w:val="00EC14F8"/>
    <w:rsid w:val="00EC42DA"/>
    <w:rsid w:val="00EC5B61"/>
    <w:rsid w:val="00EC5E8F"/>
    <w:rsid w:val="00ED22CD"/>
    <w:rsid w:val="00ED4F01"/>
    <w:rsid w:val="00EE09CC"/>
    <w:rsid w:val="00EE4AEA"/>
    <w:rsid w:val="00EE7661"/>
    <w:rsid w:val="00EE7971"/>
    <w:rsid w:val="00EF0EC7"/>
    <w:rsid w:val="00EF5AF4"/>
    <w:rsid w:val="00EF661A"/>
    <w:rsid w:val="00EF6830"/>
    <w:rsid w:val="00EF6FD1"/>
    <w:rsid w:val="00F00411"/>
    <w:rsid w:val="00F05587"/>
    <w:rsid w:val="00F0588E"/>
    <w:rsid w:val="00F06604"/>
    <w:rsid w:val="00F07C1A"/>
    <w:rsid w:val="00F13D28"/>
    <w:rsid w:val="00F15D1E"/>
    <w:rsid w:val="00F171E7"/>
    <w:rsid w:val="00F172F2"/>
    <w:rsid w:val="00F22034"/>
    <w:rsid w:val="00F2496B"/>
    <w:rsid w:val="00F25BEE"/>
    <w:rsid w:val="00F25FAE"/>
    <w:rsid w:val="00F30FCE"/>
    <w:rsid w:val="00F33827"/>
    <w:rsid w:val="00F41D07"/>
    <w:rsid w:val="00F42BE8"/>
    <w:rsid w:val="00F4451B"/>
    <w:rsid w:val="00F51200"/>
    <w:rsid w:val="00F6472F"/>
    <w:rsid w:val="00F6666A"/>
    <w:rsid w:val="00F77B8E"/>
    <w:rsid w:val="00F8010D"/>
    <w:rsid w:val="00F836CB"/>
    <w:rsid w:val="00F851E4"/>
    <w:rsid w:val="00F86EB5"/>
    <w:rsid w:val="00F92D23"/>
    <w:rsid w:val="00F952C3"/>
    <w:rsid w:val="00F96D15"/>
    <w:rsid w:val="00FA358E"/>
    <w:rsid w:val="00FA37FB"/>
    <w:rsid w:val="00FA50E4"/>
    <w:rsid w:val="00FB1888"/>
    <w:rsid w:val="00FC0F7B"/>
    <w:rsid w:val="00FC1BD7"/>
    <w:rsid w:val="00FC3E00"/>
    <w:rsid w:val="00FC6542"/>
    <w:rsid w:val="00FC6D02"/>
    <w:rsid w:val="00FD1149"/>
    <w:rsid w:val="00FD28BC"/>
    <w:rsid w:val="00FD5014"/>
    <w:rsid w:val="00FE3580"/>
    <w:rsid w:val="00FE639C"/>
    <w:rsid w:val="00FF0075"/>
    <w:rsid w:val="00FF5305"/>
    <w:rsid w:val="00FF5A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382"/>
    <w:pPr>
      <w:widowControl w:val="0"/>
    </w:pPr>
    <w:rPr>
      <w:snapToGrid w:val="0"/>
      <w:kern w:val="28"/>
      <w:sz w:val="22"/>
    </w:rPr>
  </w:style>
  <w:style w:type="paragraph" w:styleId="Heading1">
    <w:name w:val="heading 1"/>
    <w:basedOn w:val="Normal"/>
    <w:next w:val="ParaNum"/>
    <w:qFormat/>
    <w:rsid w:val="00164382"/>
    <w:pPr>
      <w:keepNext/>
      <w:numPr>
        <w:numId w:val="3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64382"/>
    <w:pPr>
      <w:keepNext/>
      <w:numPr>
        <w:ilvl w:val="1"/>
        <w:numId w:val="31"/>
      </w:numPr>
      <w:spacing w:after="120"/>
      <w:outlineLvl w:val="1"/>
    </w:pPr>
    <w:rPr>
      <w:b/>
    </w:rPr>
  </w:style>
  <w:style w:type="paragraph" w:styleId="Heading3">
    <w:name w:val="heading 3"/>
    <w:basedOn w:val="Normal"/>
    <w:next w:val="ParaNum"/>
    <w:qFormat/>
    <w:rsid w:val="00164382"/>
    <w:pPr>
      <w:keepNext/>
      <w:numPr>
        <w:ilvl w:val="2"/>
        <w:numId w:val="31"/>
      </w:numPr>
      <w:tabs>
        <w:tab w:val="left" w:pos="2160"/>
      </w:tabs>
      <w:spacing w:after="120"/>
      <w:outlineLvl w:val="2"/>
    </w:pPr>
    <w:rPr>
      <w:b/>
    </w:rPr>
  </w:style>
  <w:style w:type="paragraph" w:styleId="Heading4">
    <w:name w:val="heading 4"/>
    <w:basedOn w:val="Normal"/>
    <w:next w:val="ParaNum"/>
    <w:qFormat/>
    <w:rsid w:val="00164382"/>
    <w:pPr>
      <w:keepNext/>
      <w:numPr>
        <w:ilvl w:val="3"/>
        <w:numId w:val="31"/>
      </w:numPr>
      <w:tabs>
        <w:tab w:val="left" w:pos="2880"/>
      </w:tabs>
      <w:spacing w:after="120"/>
      <w:outlineLvl w:val="3"/>
    </w:pPr>
    <w:rPr>
      <w:b/>
    </w:rPr>
  </w:style>
  <w:style w:type="paragraph" w:styleId="Heading5">
    <w:name w:val="heading 5"/>
    <w:basedOn w:val="Normal"/>
    <w:next w:val="ParaNum"/>
    <w:qFormat/>
    <w:rsid w:val="00164382"/>
    <w:pPr>
      <w:keepNext/>
      <w:numPr>
        <w:ilvl w:val="4"/>
        <w:numId w:val="31"/>
      </w:numPr>
      <w:tabs>
        <w:tab w:val="left" w:pos="3600"/>
      </w:tabs>
      <w:suppressAutoHyphens/>
      <w:spacing w:after="120"/>
      <w:outlineLvl w:val="4"/>
    </w:pPr>
    <w:rPr>
      <w:b/>
    </w:rPr>
  </w:style>
  <w:style w:type="paragraph" w:styleId="Heading6">
    <w:name w:val="heading 6"/>
    <w:basedOn w:val="Normal"/>
    <w:next w:val="ParaNum"/>
    <w:qFormat/>
    <w:rsid w:val="00164382"/>
    <w:pPr>
      <w:numPr>
        <w:ilvl w:val="5"/>
        <w:numId w:val="31"/>
      </w:numPr>
      <w:tabs>
        <w:tab w:val="left" w:pos="4320"/>
      </w:tabs>
      <w:spacing w:after="120"/>
      <w:outlineLvl w:val="5"/>
    </w:pPr>
    <w:rPr>
      <w:b/>
    </w:rPr>
  </w:style>
  <w:style w:type="paragraph" w:styleId="Heading7">
    <w:name w:val="heading 7"/>
    <w:basedOn w:val="Normal"/>
    <w:next w:val="ParaNum"/>
    <w:qFormat/>
    <w:rsid w:val="00164382"/>
    <w:pPr>
      <w:numPr>
        <w:ilvl w:val="6"/>
        <w:numId w:val="31"/>
      </w:numPr>
      <w:tabs>
        <w:tab w:val="left" w:pos="5040"/>
      </w:tabs>
      <w:spacing w:after="120"/>
      <w:ind w:left="5040" w:hanging="720"/>
      <w:outlineLvl w:val="6"/>
    </w:pPr>
    <w:rPr>
      <w:b/>
    </w:rPr>
  </w:style>
  <w:style w:type="paragraph" w:styleId="Heading8">
    <w:name w:val="heading 8"/>
    <w:basedOn w:val="Normal"/>
    <w:next w:val="ParaNum"/>
    <w:qFormat/>
    <w:rsid w:val="00164382"/>
    <w:pPr>
      <w:numPr>
        <w:ilvl w:val="7"/>
        <w:numId w:val="31"/>
      </w:numPr>
      <w:tabs>
        <w:tab w:val="clear" w:pos="5400"/>
        <w:tab w:val="left" w:pos="5760"/>
      </w:tabs>
      <w:spacing w:after="120"/>
      <w:ind w:left="5760" w:hanging="720"/>
      <w:outlineLvl w:val="7"/>
    </w:pPr>
    <w:rPr>
      <w:b/>
    </w:rPr>
  </w:style>
  <w:style w:type="paragraph" w:styleId="Heading9">
    <w:name w:val="heading 9"/>
    <w:basedOn w:val="Normal"/>
    <w:next w:val="ParaNum"/>
    <w:qFormat/>
    <w:rsid w:val="00164382"/>
    <w:pPr>
      <w:numPr>
        <w:ilvl w:val="8"/>
        <w:numId w:val="3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pPr>
    <w:rPr>
      <w:b/>
    </w:rPr>
  </w:style>
  <w:style w:type="paragraph" w:customStyle="1" w:styleId="ParaNum">
    <w:name w:val="ParaNum"/>
    <w:basedOn w:val="Normal"/>
    <w:rsid w:val="00164382"/>
    <w:pPr>
      <w:numPr>
        <w:numId w:val="30"/>
      </w:numPr>
      <w:tabs>
        <w:tab w:val="clear" w:pos="1080"/>
        <w:tab w:val="num" w:pos="1440"/>
      </w:tabs>
      <w:spacing w:after="120"/>
    </w:pPr>
  </w:style>
  <w:style w:type="paragraph" w:styleId="FootnoteText">
    <w:name w:val="footnote text"/>
    <w:aliases w:val="Footnote Text Char,Footnote Text Char Char2 Char,Footnote Text Char Char2 Char Char Char,Footnote Text Char1,Footnote Text Char1 Char2,Footnote Text Char1 Char2 Char Char,Footnote Text Char1 Char2 Char Char Char Char,fn,footnote text"/>
    <w:link w:val="FootnoteTextChar2"/>
    <w:rsid w:val="00164382"/>
    <w:pPr>
      <w:spacing w:after="120"/>
    </w:pPr>
  </w:style>
  <w:style w:type="paragraph" w:customStyle="1" w:styleId="Bullet">
    <w:name w:val="Bullet"/>
    <w:basedOn w:val="Normal"/>
    <w:rsid w:val="00164382"/>
    <w:pPr>
      <w:tabs>
        <w:tab w:val="left" w:pos="2160"/>
      </w:tabs>
      <w:spacing w:after="220"/>
      <w:ind w:left="2160" w:hanging="720"/>
    </w:pPr>
  </w:style>
  <w:style w:type="paragraph" w:styleId="BlockText">
    <w:name w:val="Block Text"/>
    <w:basedOn w:val="Normal"/>
    <w:rsid w:val="00164382"/>
    <w:pPr>
      <w:spacing w:after="240"/>
      <w:ind w:left="1440" w:right="1440"/>
    </w:pPr>
  </w:style>
  <w:style w:type="paragraph" w:customStyle="1" w:styleId="TableFormat">
    <w:name w:val="TableFormat"/>
    <w:basedOn w:val="Bullet"/>
    <w:rsid w:val="00164382"/>
    <w:pPr>
      <w:tabs>
        <w:tab w:val="clear" w:pos="2160"/>
        <w:tab w:val="left" w:pos="5040"/>
      </w:tabs>
      <w:ind w:left="5040" w:hanging="3600"/>
    </w:pPr>
  </w:style>
  <w:style w:type="character" w:styleId="FootnoteReference">
    <w:name w:val="footnote reference"/>
    <w:aliases w:val="Appel note de bas de p"/>
    <w:rsid w:val="00164382"/>
    <w:rPr>
      <w:rFonts w:ascii="Times New Roman" w:hAnsi="Times New Roman"/>
      <w:dstrike w:val="0"/>
      <w:color w:val="auto"/>
      <w:sz w:val="20"/>
      <w:vertAlign w:val="superscript"/>
    </w:rPr>
  </w:style>
  <w:style w:type="paragraph" w:styleId="Header">
    <w:name w:val="header"/>
    <w:basedOn w:val="Normal"/>
    <w:autoRedefine/>
    <w:rsid w:val="00164382"/>
    <w:pPr>
      <w:tabs>
        <w:tab w:val="center" w:pos="4680"/>
        <w:tab w:val="right" w:pos="9360"/>
      </w:tabs>
    </w:pPr>
    <w:rPr>
      <w:b/>
    </w:rPr>
  </w:style>
  <w:style w:type="paragraph" w:styleId="Footer">
    <w:name w:val="footer"/>
    <w:basedOn w:val="Normal"/>
    <w:rsid w:val="00164382"/>
    <w:pPr>
      <w:tabs>
        <w:tab w:val="center" w:pos="4320"/>
        <w:tab w:val="right" w:pos="8640"/>
      </w:tabs>
    </w:pPr>
  </w:style>
  <w:style w:type="paragraph" w:styleId="TOC2">
    <w:name w:val="toc 2"/>
    <w:basedOn w:val="Normal"/>
    <w:next w:val="Normal"/>
    <w:semiHidden/>
    <w:rsid w:val="00164382"/>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164382"/>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16438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6438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6438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6438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6438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6438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64382"/>
    <w:pPr>
      <w:tabs>
        <w:tab w:val="left" w:pos="3240"/>
        <w:tab w:val="right" w:leader="dot" w:pos="9360"/>
      </w:tabs>
      <w:suppressAutoHyphens/>
      <w:ind w:left="3240" w:hanging="360"/>
    </w:pPr>
    <w:rPr>
      <w:noProof/>
    </w:rPr>
  </w:style>
  <w:style w:type="character" w:styleId="PageNumber">
    <w:name w:val="page number"/>
    <w:basedOn w:val="DefaultParagraphFont"/>
    <w:rsid w:val="00164382"/>
  </w:style>
  <w:style w:type="paragraph" w:styleId="Title">
    <w:name w:val="Title"/>
    <w:basedOn w:val="Normal"/>
    <w:qFormat/>
    <w:pPr>
      <w:jc w:val="center"/>
    </w:pPr>
    <w:rPr>
      <w:b/>
    </w:rPr>
  </w:style>
  <w:style w:type="character" w:customStyle="1" w:styleId="documentbody1">
    <w:name w:val="documentbody1"/>
    <w:rPr>
      <w:rFonts w:ascii="Verdana" w:hAnsi="Verdana" w:hint="default"/>
      <w:sz w:val="19"/>
      <w:szCs w:val="19"/>
    </w:rPr>
  </w:style>
  <w:style w:type="paragraph" w:customStyle="1" w:styleId="Style3">
    <w:name w:val="Style3"/>
    <w:basedOn w:val="ParaNum"/>
    <w:pPr>
      <w:numPr>
        <w:numId w:val="0"/>
      </w:numPr>
      <w:tabs>
        <w:tab w:val="left" w:pos="720"/>
        <w:tab w:val="left" w:pos="1800"/>
      </w:tabs>
      <w:ind w:firstLine="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EmailStyle401">
    <w:name w:val="EmailStyle401"/>
    <w:semiHidden/>
    <w:rPr>
      <w:rFonts w:ascii="Arial" w:hAnsi="Arial" w:cs="Arial"/>
      <w:color w:val="000080"/>
      <w:sz w:val="20"/>
      <w:szCs w:val="20"/>
    </w:rPr>
  </w:style>
  <w:style w:type="character" w:styleId="CommentReference">
    <w:name w:val="annotation reference"/>
    <w:semiHidden/>
    <w:rPr>
      <w:sz w:val="18"/>
    </w:rPr>
  </w:style>
  <w:style w:type="paragraph" w:styleId="CommentText">
    <w:name w:val="annotation text"/>
    <w:basedOn w:val="Normal"/>
    <w:link w:val="CommentTextChar"/>
    <w:semiHidden/>
    <w:rPr>
      <w:sz w:val="24"/>
      <w:szCs w:val="24"/>
    </w:rPr>
  </w:style>
  <w:style w:type="paragraph" w:styleId="CommentSubject">
    <w:name w:val="annotation subject"/>
    <w:basedOn w:val="CommentText"/>
    <w:next w:val="CommentText"/>
    <w:semiHidden/>
    <w:rPr>
      <w:sz w:val="22"/>
      <w:szCs w:val="20"/>
    </w:rPr>
  </w:style>
  <w:style w:type="paragraph" w:customStyle="1" w:styleId="Default">
    <w:name w:val="Default"/>
    <w:pPr>
      <w:autoSpaceDE w:val="0"/>
      <w:autoSpaceDN w:val="0"/>
      <w:adjustRightInd w:val="0"/>
      <w:spacing w:after="120"/>
    </w:pPr>
    <w:rPr>
      <w:rFonts w:ascii="Arial" w:eastAsia="Calibri" w:hAnsi="Arial" w:cs="Arial"/>
      <w:color w:val="000000"/>
      <w:sz w:val="24"/>
      <w:szCs w:val="24"/>
    </w:rPr>
  </w:style>
  <w:style w:type="paragraph" w:styleId="ListParagraph">
    <w:name w:val="List Paragraph"/>
    <w:basedOn w:val="Normal"/>
    <w:uiPriority w:val="34"/>
    <w:qFormat/>
    <w:pPr>
      <w:ind w:left="720"/>
    </w:pPr>
    <w:rPr>
      <w:sz w:val="24"/>
      <w:szCs w:val="24"/>
    </w:rPr>
  </w:style>
  <w:style w:type="character" w:customStyle="1" w:styleId="FootnoteTextChar2">
    <w:name w:val="Footnote Text Char2"/>
    <w:aliases w:val="Footnote Text Char Char,Footnote Text Char Char2 Char Char,Footnote Text Char Char2 Char Char Char Char,Footnote Text Char1 Char2 Char,Footnote Text Char1 Char2 Char Char Char,Footnote Text Char1 Char2 Char Char Char Char Char"/>
    <w:link w:val="FootnoteText"/>
    <w:rsid w:val="00A74F81"/>
  </w:style>
  <w:style w:type="character" w:customStyle="1" w:styleId="CommentTextChar">
    <w:name w:val="Comment Text Char"/>
    <w:link w:val="CommentText"/>
    <w:semiHidden/>
    <w:rsid w:val="00A74F81"/>
    <w:rPr>
      <w:sz w:val="24"/>
      <w:szCs w:val="24"/>
    </w:rPr>
  </w:style>
  <w:style w:type="character" w:customStyle="1" w:styleId="highlight">
    <w:name w:val="highlight"/>
    <w:rsid w:val="00C8423F"/>
  </w:style>
  <w:style w:type="paragraph" w:styleId="Revision">
    <w:name w:val="Revision"/>
    <w:hidden/>
    <w:uiPriority w:val="99"/>
    <w:semiHidden/>
    <w:rsid w:val="007D4917"/>
    <w:rPr>
      <w:sz w:val="22"/>
    </w:rPr>
  </w:style>
  <w:style w:type="paragraph" w:styleId="EndnoteText">
    <w:name w:val="endnote text"/>
    <w:basedOn w:val="Normal"/>
    <w:link w:val="EndnoteTextChar"/>
    <w:semiHidden/>
    <w:rsid w:val="00164382"/>
    <w:rPr>
      <w:sz w:val="20"/>
    </w:rPr>
  </w:style>
  <w:style w:type="character" w:customStyle="1" w:styleId="EndnoteTextChar">
    <w:name w:val="Endnote Text Char"/>
    <w:basedOn w:val="DefaultParagraphFont"/>
    <w:link w:val="EndnoteText"/>
    <w:semiHidden/>
    <w:rsid w:val="00AE6BDB"/>
    <w:rPr>
      <w:snapToGrid w:val="0"/>
      <w:kern w:val="28"/>
    </w:rPr>
  </w:style>
  <w:style w:type="character" w:styleId="EndnoteReference">
    <w:name w:val="endnote reference"/>
    <w:semiHidden/>
    <w:rsid w:val="00164382"/>
    <w:rPr>
      <w:vertAlign w:val="superscript"/>
    </w:rPr>
  </w:style>
  <w:style w:type="paragraph" w:styleId="TOAHeading">
    <w:name w:val="toa heading"/>
    <w:basedOn w:val="Normal"/>
    <w:next w:val="Normal"/>
    <w:semiHidden/>
    <w:rsid w:val="00164382"/>
    <w:pPr>
      <w:tabs>
        <w:tab w:val="right" w:pos="9360"/>
      </w:tabs>
      <w:suppressAutoHyphens/>
    </w:pPr>
  </w:style>
  <w:style w:type="character" w:customStyle="1" w:styleId="EquationCaption">
    <w:name w:val="_Equation Caption"/>
    <w:rsid w:val="00164382"/>
  </w:style>
  <w:style w:type="paragraph" w:customStyle="1" w:styleId="Paratitle">
    <w:name w:val="Para title"/>
    <w:basedOn w:val="Normal"/>
    <w:rsid w:val="00164382"/>
    <w:pPr>
      <w:tabs>
        <w:tab w:val="center" w:pos="9270"/>
      </w:tabs>
      <w:spacing w:after="240"/>
    </w:pPr>
    <w:rPr>
      <w:spacing w:val="-2"/>
    </w:rPr>
  </w:style>
  <w:style w:type="paragraph" w:customStyle="1" w:styleId="TOCTitle">
    <w:name w:val="TOC Title"/>
    <w:basedOn w:val="Normal"/>
    <w:rsid w:val="0016438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64382"/>
    <w:pPr>
      <w:jc w:val="center"/>
    </w:pPr>
    <w:rPr>
      <w:rFonts w:ascii="Times New Roman Bold" w:hAnsi="Times New Roman Bold"/>
      <w:b/>
      <w:bCs/>
      <w:caps/>
      <w:szCs w:val="22"/>
    </w:rPr>
  </w:style>
  <w:style w:type="character" w:styleId="Hyperlink">
    <w:name w:val="Hyperlink"/>
    <w:rsid w:val="001643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19141-EB86-4490-A603-A5DB96F1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2018-03-14T16:58:34Z</dcterms:created>
  <dcterms:modified xsi:type="dcterms:W3CDTF">2018-03-14T16:58:34Z</dcterms:modified>
</cp:coreProperties>
</file>