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P="006A627A">
      <w:pPr>
        <w:widowControl/>
        <w:jc w:val="center"/>
        <w:rPr>
          <w:b/>
        </w:rPr>
      </w:pPr>
      <w:bookmarkStart w:id="0" w:name="_GoBack"/>
      <w:bookmarkEnd w:id="0"/>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921803" w:rsidP="006A627A">
      <w:pPr>
        <w:pStyle w:val="StyleBoldCentered"/>
        <w:widowControl/>
      </w:pPr>
      <w:r>
        <w:t>F</w:t>
      </w:r>
      <w:r>
        <w:rPr>
          <w:caps w:val="0"/>
        </w:rPr>
        <w:t>ederal Communications Commission</w:t>
      </w:r>
    </w:p>
    <w:p w:rsidR="004C2EE3" w:rsidP="006A627A">
      <w:pPr>
        <w:pStyle w:val="StyleBoldCentered"/>
        <w:widowControl/>
      </w:pPr>
      <w:r>
        <w:rPr>
          <w:caps w:val="0"/>
        </w:rPr>
        <w:t>Washington, D.C. 20554</w:t>
      </w:r>
    </w:p>
    <w:p w:rsidR="004C2EE3" w:rsidP="006A627A">
      <w:pPr>
        <w:widowControl/>
      </w:pPr>
    </w:p>
    <w:p w:rsidR="004C2EE3" w:rsidP="006A627A">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rsidP="006A627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rsidP="006A627A">
            <w:pPr>
              <w:widowControl/>
              <w:tabs>
                <w:tab w:val="center" w:pos="4680"/>
              </w:tabs>
              <w:suppressAutoHyphens/>
              <w:rPr>
                <w:rStyle w:val="DefaultParagraphFont"/>
                <w:snapToGrid w:val="0"/>
                <w:spacing w:val="-2"/>
                <w:kern w:val="28"/>
                <w:sz w:val="22"/>
                <w:lang w:val="en-US" w:eastAsia="en-US" w:bidi="ar-SA"/>
              </w:rPr>
            </w:pPr>
          </w:p>
          <w:p w:rsidR="004C2EE3" w:rsidP="006A627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License Acquisitions, LLC</w:t>
            </w:r>
          </w:p>
          <w:p w:rsidR="00004CEC" w:rsidP="006A627A">
            <w:pPr>
              <w:widowControl/>
              <w:tabs>
                <w:tab w:val="center" w:pos="4680"/>
              </w:tabs>
              <w:suppressAutoHyphens/>
              <w:rPr>
                <w:rStyle w:val="DefaultParagraphFont"/>
                <w:snapToGrid w:val="0"/>
                <w:spacing w:val="-2"/>
                <w:kern w:val="28"/>
                <w:sz w:val="22"/>
                <w:lang w:val="en-US" w:eastAsia="en-US" w:bidi="ar-SA"/>
              </w:rPr>
            </w:pPr>
          </w:p>
          <w:p w:rsidR="00004CEC" w:rsidRPr="007115F7" w:rsidP="006A627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Request to Rescind ESMR Election</w:t>
            </w:r>
          </w:p>
        </w:tc>
        <w:tc>
          <w:tcPr>
            <w:tcW w:w="630" w:type="dxa"/>
          </w:tcPr>
          <w:p w:rsidR="004C2EE3" w:rsidP="006A627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6A627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6A627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6A627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F74625" w:rsidP="006A627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P="006A627A">
            <w:pPr>
              <w:widowControl/>
              <w:tabs>
                <w:tab w:val="center" w:pos="4680"/>
              </w:tabs>
              <w:suppressAutoHyphens/>
              <w:rPr>
                <w:rStyle w:val="DefaultParagraphFont"/>
                <w:snapToGrid w:val="0"/>
                <w:spacing w:val="-2"/>
                <w:kern w:val="28"/>
                <w:sz w:val="22"/>
                <w:lang w:val="en-US" w:eastAsia="en-US" w:bidi="ar-SA"/>
              </w:rPr>
            </w:pPr>
          </w:p>
          <w:p w:rsidR="004C2EE3" w:rsidP="006A627A">
            <w:pPr>
              <w:pStyle w:val="TOAHeading"/>
              <w:widowControl/>
              <w:tabs>
                <w:tab w:val="center" w:pos="4680"/>
                <w:tab w:val="clear" w:pos="9360"/>
              </w:tabs>
              <w:suppressAutoHyphens/>
              <w:rPr>
                <w:rStyle w:val="DefaultParagraphFont"/>
                <w:snapToGrid w:val="0"/>
                <w:spacing w:val="-2"/>
                <w:kern w:val="28"/>
                <w:sz w:val="22"/>
                <w:lang w:val="en-US" w:eastAsia="en-US" w:bidi="ar-SA"/>
              </w:rPr>
            </w:pPr>
          </w:p>
          <w:p w:rsidR="004C2EE3" w:rsidP="006A627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02-55</w:t>
            </w:r>
          </w:p>
        </w:tc>
      </w:tr>
    </w:tbl>
    <w:p w:rsidR="004C2EE3" w:rsidP="006A627A">
      <w:pPr>
        <w:widowControl/>
      </w:pPr>
    </w:p>
    <w:p w:rsidR="00841AB1" w:rsidP="006A627A">
      <w:pPr>
        <w:pStyle w:val="StyleBoldCentered"/>
        <w:widowControl/>
      </w:pPr>
      <w:r>
        <w:t>ORDER</w:t>
      </w:r>
    </w:p>
    <w:p w:rsidR="004C2EE3" w:rsidP="006A627A">
      <w:pPr>
        <w:widowControl/>
        <w:tabs>
          <w:tab w:val="left" w:pos="-720"/>
        </w:tabs>
        <w:suppressAutoHyphens/>
        <w:spacing w:line="227" w:lineRule="auto"/>
        <w:rPr>
          <w:spacing w:val="-2"/>
        </w:rPr>
      </w:pPr>
    </w:p>
    <w:p w:rsidR="004C2EE3" w:rsidP="006A627A">
      <w:pPr>
        <w:widowControl/>
        <w:tabs>
          <w:tab w:val="left" w:pos="720"/>
          <w:tab w:val="right" w:pos="9360"/>
        </w:tabs>
        <w:suppressAutoHyphens/>
        <w:spacing w:line="227" w:lineRule="auto"/>
        <w:rPr>
          <w:spacing w:val="-2"/>
        </w:rPr>
      </w:pPr>
      <w:r>
        <w:rPr>
          <w:b/>
          <w:spacing w:val="-2"/>
        </w:rPr>
        <w:t xml:space="preserve">Adopted:  </w:t>
      </w:r>
      <w:r w:rsidR="00F74625">
        <w:rPr>
          <w:b/>
          <w:spacing w:val="-2"/>
        </w:rPr>
        <w:t>March 12,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4625">
        <w:rPr>
          <w:b/>
          <w:spacing w:val="-2"/>
        </w:rPr>
        <w:t>March 12, 2018</w:t>
      </w:r>
    </w:p>
    <w:p w:rsidR="00822CE0" w:rsidP="006A627A">
      <w:pPr>
        <w:widowControl/>
      </w:pPr>
    </w:p>
    <w:p w:rsidR="002C00E8" w:rsidP="006A627A">
      <w:pPr>
        <w:widowControl/>
      </w:pPr>
      <w:r>
        <w:t xml:space="preserve">By </w:t>
      </w:r>
      <w:r w:rsidR="004E4A22">
        <w:t>the</w:t>
      </w:r>
      <w:r w:rsidR="00004CEC">
        <w:t xml:space="preserve"> Chief, Policy and </w:t>
      </w:r>
      <w:r w:rsidR="00A560DE">
        <w:t xml:space="preserve">Licensing </w:t>
      </w:r>
      <w:r w:rsidR="00004CEC">
        <w:t>Division, Public Safety and Homeland Security Bureau:</w:t>
      </w:r>
    </w:p>
    <w:p w:rsidR="00004CEC" w:rsidP="006A627A">
      <w:pPr>
        <w:widowControl/>
      </w:pPr>
    </w:p>
    <w:p w:rsidR="00004CEC" w:rsidP="006A627A">
      <w:pPr>
        <w:pStyle w:val="Heading1"/>
        <w:widowControl/>
      </w:pPr>
      <w:r>
        <w:t>introduction</w:t>
      </w:r>
    </w:p>
    <w:p w:rsidR="008E7B85" w:rsidP="008E7B85">
      <w:pPr>
        <w:pStyle w:val="ParaNum"/>
        <w:widowControl/>
      </w:pPr>
      <w:r>
        <w:t xml:space="preserve">In this Order, we deny a request by License Acquisitions, Inc. </w:t>
      </w:r>
      <w:r w:rsidR="00A5044E">
        <w:t xml:space="preserve">(License Acquisitions) </w:t>
      </w:r>
      <w:r>
        <w:t xml:space="preserve">to rescind its election </w:t>
      </w:r>
      <w:r w:rsidR="00BD37DE">
        <w:t xml:space="preserve">under the 800 MHz rebanding program </w:t>
      </w:r>
      <w:r>
        <w:t>to relocate to the Enhanced Specialized Mobile Radio (ESMR) portion of the band.</w:t>
      </w:r>
      <w:r>
        <w:rPr>
          <w:rStyle w:val="FootnoteReference"/>
        </w:rPr>
        <w:footnoteReference w:id="3"/>
      </w:r>
      <w:r w:rsidR="004C6620">
        <w:t xml:space="preserve">   </w:t>
      </w:r>
      <w:r>
        <w:t xml:space="preserve"> </w:t>
      </w:r>
    </w:p>
    <w:p w:rsidR="008E7B85" w:rsidP="008E7B85">
      <w:pPr>
        <w:pStyle w:val="ParaNum"/>
        <w:widowControl/>
      </w:pPr>
      <w:r>
        <w:t xml:space="preserve">The request arises from the early stages of </w:t>
      </w:r>
      <w:r w:rsidR="00783119">
        <w:t xml:space="preserve">the rebanding </w:t>
      </w:r>
      <w:r>
        <w:t>program</w:t>
      </w:r>
      <w:r w:rsidR="00783119">
        <w:t>,</w:t>
      </w:r>
      <w:r>
        <w:rPr>
          <w:rStyle w:val="FootnoteReference"/>
        </w:rPr>
        <w:footnoteReference w:id="4"/>
      </w:r>
      <w:r w:rsidR="004C6620">
        <w:t xml:space="preserve"> </w:t>
      </w:r>
      <w:r>
        <w:t xml:space="preserve">when </w:t>
      </w:r>
      <w:r w:rsidR="004C6620">
        <w:t xml:space="preserve">800 MHz incumbents </w:t>
      </w:r>
      <w:r w:rsidR="00783119">
        <w:t xml:space="preserve">that held geographic area licenses in the former interleaved portions of the band </w:t>
      </w:r>
      <w:r w:rsidR="0067378C">
        <w:t>(</w:t>
      </w:r>
      <w:r w:rsidR="00925696">
        <w:t>809.75-816</w:t>
      </w:r>
      <w:r w:rsidR="00003BEF">
        <w:t>/854.75</w:t>
      </w:r>
      <w:r w:rsidR="001D37EA">
        <w:t>-861 MHz</w:t>
      </w:r>
      <w:r w:rsidR="0067378C">
        <w:t xml:space="preserve">) </w:t>
      </w:r>
      <w:r w:rsidR="00783119">
        <w:t xml:space="preserve">were </w:t>
      </w:r>
      <w:r>
        <w:t xml:space="preserve">allowed to choose between two </w:t>
      </w:r>
      <w:r w:rsidR="00783119">
        <w:t>relocation option</w:t>
      </w:r>
      <w:r>
        <w:t xml:space="preserve">s: (1) </w:t>
      </w:r>
      <w:r w:rsidR="00C24ABE">
        <w:t>t</w:t>
      </w:r>
      <w:r w:rsidR="00783119">
        <w:t xml:space="preserve">hey could </w:t>
      </w:r>
      <w:r w:rsidR="004C6620">
        <w:t xml:space="preserve">elect to </w:t>
      </w:r>
      <w:r w:rsidR="00783119">
        <w:t>remain in the interleaved p</w:t>
      </w:r>
      <w:r w:rsidR="00D17C37">
        <w:t xml:space="preserve">ortion of the band and operate </w:t>
      </w:r>
      <w:r w:rsidR="00783119">
        <w:t>high-site systems</w:t>
      </w:r>
      <w:r w:rsidR="00C24ABE">
        <w:t>,</w:t>
      </w:r>
      <w:r>
        <w:rPr>
          <w:rStyle w:val="FootnoteReference"/>
        </w:rPr>
        <w:footnoteReference w:id="5"/>
      </w:r>
      <w:r w:rsidR="00783119">
        <w:t xml:space="preserve"> or </w:t>
      </w:r>
      <w:r w:rsidR="00925696">
        <w:t xml:space="preserve">(2) </w:t>
      </w:r>
      <w:r w:rsidR="00C24ABE">
        <w:t xml:space="preserve">they could </w:t>
      </w:r>
      <w:r w:rsidR="004C6620">
        <w:t xml:space="preserve">elect to </w:t>
      </w:r>
      <w:r w:rsidR="00783119">
        <w:t xml:space="preserve">relocate to the ESMR band </w:t>
      </w:r>
      <w:r w:rsidR="0067378C">
        <w:t xml:space="preserve">(816-824/861-869 MHz) </w:t>
      </w:r>
      <w:r w:rsidR="00C24ABE">
        <w:t xml:space="preserve">and </w:t>
      </w:r>
      <w:r w:rsidR="00783119">
        <w:t xml:space="preserve">operate </w:t>
      </w:r>
      <w:r w:rsidR="00D17C37">
        <w:t>low-site</w:t>
      </w:r>
      <w:r w:rsidR="00CA1CFD">
        <w:t xml:space="preserve"> </w:t>
      </w:r>
      <w:r w:rsidR="00783119">
        <w:t>cellular-architecture systems.</w:t>
      </w:r>
      <w:r>
        <w:rPr>
          <w:vertAlign w:val="superscript"/>
        </w:rPr>
        <w:footnoteReference w:id="6"/>
      </w:r>
      <w:r w:rsidR="004C6620">
        <w:t xml:space="preserve"> </w:t>
      </w:r>
      <w:r w:rsidRPr="008E7B85">
        <w:rPr>
          <w:rStyle w:val="FootnoteReference"/>
        </w:rPr>
        <w:t xml:space="preserve"> </w:t>
      </w:r>
      <w:r w:rsidR="00EA1805">
        <w:t xml:space="preserve">Based on each licensee’s election, the </w:t>
      </w:r>
      <w:r w:rsidR="00FE7224">
        <w:t xml:space="preserve">800 MHz Transition Administrator (TA) </w:t>
      </w:r>
      <w:r w:rsidR="00EA1805">
        <w:t xml:space="preserve">would then assign the licensee channels in the appropriate band, and the licensee would proceed with rebanding in accordance with its election. </w:t>
      </w:r>
    </w:p>
    <w:p w:rsidR="009B1290" w:rsidP="008F2732">
      <w:pPr>
        <w:pStyle w:val="ParaNum"/>
      </w:pPr>
      <w:r>
        <w:t>Silver Palm Communications</w:t>
      </w:r>
      <w:r w:rsidR="00865CC9">
        <w:t xml:space="preserve">, Inc. (Silver Palm), </w:t>
      </w:r>
      <w:r w:rsidR="004C6620">
        <w:t xml:space="preserve">the predecessor </w:t>
      </w:r>
      <w:r w:rsidR="002E7647">
        <w:t xml:space="preserve">licensee </w:t>
      </w:r>
      <w:r w:rsidR="004C6620">
        <w:t xml:space="preserve">to License Acquisitions, </w:t>
      </w:r>
      <w:r w:rsidR="00865CC9">
        <w:t xml:space="preserve">held </w:t>
      </w:r>
      <w:r w:rsidR="003E152B">
        <w:t xml:space="preserve">several </w:t>
      </w:r>
      <w:r w:rsidR="004702FF">
        <w:t xml:space="preserve">800 MHz </w:t>
      </w:r>
      <w:r w:rsidR="00865CC9">
        <w:t>geographic-area licenses</w:t>
      </w:r>
      <w:r w:rsidR="002E7647">
        <w:t xml:space="preserve"> in Texas</w:t>
      </w:r>
      <w:r w:rsidR="00965A2E">
        <w:t xml:space="preserve">, </w:t>
      </w:r>
      <w:r w:rsidR="002E7647">
        <w:t>Oklahoma</w:t>
      </w:r>
      <w:r w:rsidR="00965A2E">
        <w:t>, and New Mexico</w:t>
      </w:r>
      <w:r w:rsidR="002E7647">
        <w:t>.</w:t>
      </w:r>
      <w:bookmarkStart w:id="1" w:name="_Ref505933670"/>
      <w:r>
        <w:rPr>
          <w:rStyle w:val="FootnoteReference"/>
        </w:rPr>
        <w:footnoteReference w:id="7"/>
      </w:r>
      <w:bookmarkEnd w:id="1"/>
      <w:r w:rsidR="00865CC9">
        <w:t xml:space="preserve"> </w:t>
      </w:r>
      <w:r w:rsidR="00CA1CFD">
        <w:t xml:space="preserve"> </w:t>
      </w:r>
      <w:r w:rsidR="002E7647">
        <w:t>In May 2005, Silver Pal</w:t>
      </w:r>
      <w:r w:rsidR="00CA1CFD">
        <w:t>m</w:t>
      </w:r>
      <w:r w:rsidR="002E7647">
        <w:t xml:space="preserve"> </w:t>
      </w:r>
      <w:r w:rsidR="00865CC9">
        <w:t xml:space="preserve">elected to relocate those licenses to the ESMR band, and so notified the </w:t>
      </w:r>
      <w:r w:rsidR="003E152B">
        <w:t>TA</w:t>
      </w:r>
      <w:r w:rsidR="00865CC9">
        <w:t>.</w:t>
      </w:r>
      <w:r>
        <w:rPr>
          <w:rStyle w:val="FootnoteReference"/>
        </w:rPr>
        <w:footnoteReference w:id="8"/>
      </w:r>
      <w:r>
        <w:t xml:space="preserve"> </w:t>
      </w:r>
      <w:r w:rsidR="00874EAF">
        <w:t xml:space="preserve"> </w:t>
      </w:r>
      <w:r w:rsidR="002E7647">
        <w:t xml:space="preserve">In </w:t>
      </w:r>
      <w:r w:rsidR="0067378C">
        <w:t xml:space="preserve">October 2005, the Commission ordered that licensees </w:t>
      </w:r>
      <w:r w:rsidR="001D37EA">
        <w:t>that</w:t>
      </w:r>
      <w:r w:rsidR="0067378C">
        <w:t xml:space="preserve"> had elected to relocate to the ESMR band be given a new election window in which to either rescind or reaffirm their previous elections</w:t>
      </w:r>
      <w:r w:rsidR="00EA1805">
        <w:t xml:space="preserve">, and the TA </w:t>
      </w:r>
      <w:r w:rsidR="0067378C">
        <w:t xml:space="preserve">opened a 20-day election window </w:t>
      </w:r>
      <w:r w:rsidR="00EA1805">
        <w:t>pursuant to the Commission’s directive.</w:t>
      </w:r>
      <w:r>
        <w:rPr>
          <w:vertAlign w:val="superscript"/>
        </w:rPr>
        <w:footnoteReference w:id="9"/>
      </w:r>
      <w:r w:rsidRPr="00650EAF" w:rsidR="00650EAF">
        <w:t xml:space="preserve"> </w:t>
      </w:r>
      <w:r w:rsidR="001D37EA">
        <w:t xml:space="preserve"> </w:t>
      </w:r>
      <w:r w:rsidR="00EA1805">
        <w:t xml:space="preserve">In February 2006, </w:t>
      </w:r>
      <w:r w:rsidR="00B72933">
        <w:t xml:space="preserve">Silver Palm </w:t>
      </w:r>
      <w:r>
        <w:t xml:space="preserve">reaffirmed </w:t>
      </w:r>
      <w:r w:rsidR="00CA1CFD">
        <w:t>its election to relocate to the ESM</w:t>
      </w:r>
      <w:r w:rsidR="001B6458">
        <w:t>R</w:t>
      </w:r>
      <w:r w:rsidR="00CA1CFD">
        <w:t xml:space="preserve"> band and </w:t>
      </w:r>
      <w:r w:rsidR="001B6458">
        <w:t xml:space="preserve">to </w:t>
      </w:r>
      <w:r w:rsidR="00CA1CFD">
        <w:t>c</w:t>
      </w:r>
      <w:r w:rsidR="00650EAF">
        <w:t>onstruct an</w:t>
      </w:r>
      <w:r w:rsidR="00CA1CFD">
        <w:t xml:space="preserve">d operate a cellular architecture </w:t>
      </w:r>
      <w:r w:rsidR="00650EAF">
        <w:t>system.</w:t>
      </w:r>
      <w:r>
        <w:rPr>
          <w:rStyle w:val="FootnoteReference"/>
        </w:rPr>
        <w:footnoteReference w:id="10"/>
      </w:r>
      <w:r w:rsidR="00650EAF">
        <w:t xml:space="preserve"> </w:t>
      </w:r>
      <w:r w:rsidR="008F2732">
        <w:t xml:space="preserve"> In July 2010, </w:t>
      </w:r>
      <w:r w:rsidRPr="008F2732" w:rsidR="008F2732">
        <w:t>License Acquisitions acquired the Silver Palm licenses</w:t>
      </w:r>
      <w:r w:rsidR="008F2732">
        <w:t>, subject to Silver Palm’s ESMR election.</w:t>
      </w:r>
      <w:r w:rsidR="00B72933">
        <w:t xml:space="preserve"> </w:t>
      </w:r>
      <w:r w:rsidR="004F2CFF">
        <w:t xml:space="preserve">  </w:t>
      </w:r>
    </w:p>
    <w:p w:rsidR="00B72933" w:rsidP="00756EF1">
      <w:pPr>
        <w:pStyle w:val="ParaNum"/>
        <w:widowControl/>
      </w:pPr>
      <w:r>
        <w:t xml:space="preserve">On </w:t>
      </w:r>
      <w:r>
        <w:t xml:space="preserve">November 28, 2017, License Acquisitions </w:t>
      </w:r>
      <w:r>
        <w:t xml:space="preserve">filed a letter </w:t>
      </w:r>
      <w:r>
        <w:t>seek</w:t>
      </w:r>
      <w:r w:rsidR="001B6458">
        <w:t>ing</w:t>
      </w:r>
      <w:r>
        <w:t xml:space="preserve"> to rescind </w:t>
      </w:r>
      <w:r w:rsidR="00925696">
        <w:t xml:space="preserve">the </w:t>
      </w:r>
      <w:r>
        <w:t xml:space="preserve">ESMR election and </w:t>
      </w:r>
      <w:r w:rsidR="001B6458">
        <w:t xml:space="preserve">requesting that it be assigned back </w:t>
      </w:r>
      <w:r>
        <w:t xml:space="preserve">the </w:t>
      </w:r>
      <w:r w:rsidR="00925696">
        <w:t xml:space="preserve">non-ESMR </w:t>
      </w:r>
      <w:r>
        <w:t xml:space="preserve">channels </w:t>
      </w:r>
      <w:r w:rsidR="00543BD1">
        <w:t xml:space="preserve">that were </w:t>
      </w:r>
      <w:r>
        <w:t xml:space="preserve">licensed to Silver Palm </w:t>
      </w:r>
      <w:r w:rsidR="001B6458">
        <w:t xml:space="preserve">prior to </w:t>
      </w:r>
      <w:r w:rsidR="00491DBB">
        <w:t>its election</w:t>
      </w:r>
      <w:r w:rsidR="001B6458">
        <w:t xml:space="preserve">.  </w:t>
      </w:r>
      <w:r w:rsidR="00A03936">
        <w:t xml:space="preserve">In support of its request, </w:t>
      </w:r>
      <w:r w:rsidRPr="00EA1805" w:rsidR="00EA1805">
        <w:rPr>
          <w:szCs w:val="22"/>
        </w:rPr>
        <w:t>License Acquisitions</w:t>
      </w:r>
      <w:r w:rsidR="004702FF">
        <w:rPr>
          <w:szCs w:val="22"/>
        </w:rPr>
        <w:t xml:space="preserve"> state</w:t>
      </w:r>
      <w:r w:rsidR="00A03936">
        <w:rPr>
          <w:szCs w:val="22"/>
        </w:rPr>
        <w:t>s</w:t>
      </w:r>
      <w:r w:rsidR="00470420">
        <w:rPr>
          <w:szCs w:val="22"/>
        </w:rPr>
        <w:t xml:space="preserve"> </w:t>
      </w:r>
      <w:r w:rsidRPr="00D96EE7" w:rsidR="00EA1805">
        <w:rPr>
          <w:szCs w:val="22"/>
        </w:rPr>
        <w:t>“events that have since transpired</w:t>
      </w:r>
      <w:r w:rsidR="00A03936">
        <w:rPr>
          <w:szCs w:val="22"/>
        </w:rPr>
        <w:t>”</w:t>
      </w:r>
      <w:r w:rsidRPr="00D96EE7" w:rsidR="00EA1805">
        <w:rPr>
          <w:szCs w:val="22"/>
        </w:rPr>
        <w:t xml:space="preserve"> make License Acquisitions’ “only course of action</w:t>
      </w:r>
      <w:r w:rsidR="00A5044E">
        <w:rPr>
          <w:szCs w:val="22"/>
        </w:rPr>
        <w:t xml:space="preserve"> . . .</w:t>
      </w:r>
      <w:r w:rsidRPr="00D96EE7" w:rsidR="00EA1805">
        <w:rPr>
          <w:szCs w:val="22"/>
        </w:rPr>
        <w:t xml:space="preserve"> to rescind the Election. . .”</w:t>
      </w:r>
      <w:r>
        <w:rPr>
          <w:rStyle w:val="FootnoteReference"/>
          <w:sz w:val="22"/>
          <w:szCs w:val="22"/>
        </w:rPr>
        <w:footnoteReference w:id="11"/>
      </w:r>
      <w:r w:rsidRPr="00EA1805" w:rsidR="00EA1805">
        <w:rPr>
          <w:szCs w:val="22"/>
        </w:rPr>
        <w:t xml:space="preserve">  </w:t>
      </w:r>
      <w:r w:rsidR="00470420">
        <w:rPr>
          <w:szCs w:val="22"/>
        </w:rPr>
        <w:t xml:space="preserve">License Acquisitions does not describe the nature of these events.  </w:t>
      </w:r>
    </w:p>
    <w:p w:rsidR="00AF73C8" w:rsidP="006A627A">
      <w:pPr>
        <w:pStyle w:val="Heading1"/>
        <w:widowControl/>
      </w:pPr>
      <w:r>
        <w:t>discussion</w:t>
      </w:r>
    </w:p>
    <w:p w:rsidR="00EA1805" w:rsidP="00372C98">
      <w:pPr>
        <w:pStyle w:val="ParaNum"/>
        <w:widowControl/>
        <w:tabs>
          <w:tab w:val="clear" w:pos="1080"/>
          <w:tab w:val="num" w:pos="1440"/>
        </w:tabs>
        <w:rPr>
          <w:szCs w:val="22"/>
        </w:rPr>
      </w:pPr>
      <w:r>
        <w:t>We treat License Acquisitions</w:t>
      </w:r>
      <w:r w:rsidR="00FE7307">
        <w:t>’</w:t>
      </w:r>
      <w:r>
        <w:t xml:space="preserve"> letter as a request for waiver </w:t>
      </w:r>
      <w:r w:rsidR="00FE7307">
        <w:t xml:space="preserve">to allow it to withdraw or rescind </w:t>
      </w:r>
      <w:r w:rsidR="004702FF">
        <w:t xml:space="preserve">an ESMR election </w:t>
      </w:r>
      <w:r w:rsidR="0079265B">
        <w:t xml:space="preserve">12 years </w:t>
      </w:r>
      <w:r w:rsidR="004702FF">
        <w:t xml:space="preserve">after the expiration </w:t>
      </w:r>
      <w:r>
        <w:t xml:space="preserve">of the </w:t>
      </w:r>
      <w:r w:rsidR="0079265B">
        <w:t xml:space="preserve">election window in </w:t>
      </w:r>
      <w:r>
        <w:t>2006</w:t>
      </w:r>
      <w:r w:rsidR="0079265B">
        <w:t xml:space="preserve">. </w:t>
      </w:r>
      <w:r w:rsidR="0070507D">
        <w:t xml:space="preserve"> </w:t>
      </w:r>
      <w:r w:rsidR="0079265B">
        <w:t>F</w:t>
      </w:r>
      <w:r>
        <w:t>or the reasons set out below, deny the request.</w:t>
      </w:r>
    </w:p>
    <w:p w:rsidR="00AF73C8" w:rsidRPr="008E7B85" w:rsidP="00372C98">
      <w:pPr>
        <w:pStyle w:val="ParaNum"/>
        <w:widowControl/>
        <w:tabs>
          <w:tab w:val="clear" w:pos="1080"/>
          <w:tab w:val="num" w:pos="1440"/>
        </w:tabs>
        <w:rPr>
          <w:szCs w:val="22"/>
        </w:rPr>
      </w:pPr>
      <w:r w:rsidRPr="008E7B85">
        <w:rPr>
          <w:szCs w:val="22"/>
        </w:rPr>
        <w:t>Section 1.925 of the Commission's rules states that </w:t>
      </w:r>
      <w:r w:rsidRPr="008E7B85">
        <w:rPr>
          <w:bCs/>
          <w:szCs w:val="22"/>
        </w:rPr>
        <w:t>to</w:t>
      </w:r>
      <w:r w:rsidRPr="008E7B85">
        <w:rPr>
          <w:szCs w:val="22"/>
        </w:rPr>
        <w:t> </w:t>
      </w:r>
      <w:r w:rsidRPr="008E7B85">
        <w:rPr>
          <w:bCs/>
          <w:szCs w:val="22"/>
        </w:rPr>
        <w:t>obtain</w:t>
      </w:r>
      <w:r w:rsidRPr="00C24ABE">
        <w:rPr>
          <w:szCs w:val="22"/>
        </w:rPr>
        <w:t> </w:t>
      </w:r>
      <w:r w:rsidRPr="00C24ABE">
        <w:rPr>
          <w:bCs/>
          <w:szCs w:val="22"/>
        </w:rPr>
        <w:t>a</w:t>
      </w:r>
      <w:r w:rsidRPr="004C6620">
        <w:rPr>
          <w:szCs w:val="22"/>
        </w:rPr>
        <w:t> </w:t>
      </w:r>
      <w:r w:rsidRPr="004C6620">
        <w:rPr>
          <w:bCs/>
          <w:szCs w:val="22"/>
        </w:rPr>
        <w:t>waiver</w:t>
      </w:r>
      <w:r w:rsidRPr="004C6620">
        <w:rPr>
          <w:szCs w:val="22"/>
        </w:rPr>
        <w:t xml:space="preserve"> of the Commission's rules, a petitioner must </w:t>
      </w:r>
      <w:r w:rsidRPr="005259C6">
        <w:t>demonstrate</w:t>
      </w:r>
      <w:r w:rsidRPr="008E7B85">
        <w:rPr>
          <w:szCs w:val="22"/>
        </w:rPr>
        <w:t xml:space="preserve"> either that: (i) the underlying purpose of the rule(s) would not be served or would be frustrated by application to the present case, and that a grant of waiver would be in the public interest;</w:t>
      </w:r>
      <w:r>
        <w:rPr>
          <w:szCs w:val="22"/>
          <w:vertAlign w:val="superscript"/>
        </w:rPr>
        <w:footnoteReference w:id="12"/>
      </w:r>
      <w:r w:rsidRPr="008E7B85">
        <w:rPr>
          <w:szCs w:val="22"/>
        </w:rPr>
        <w:t> or (ii) in view of unique or unusual factual circumstances of the instant case, application of the rule(s) would be inequitable, unduly burdensome, or contrary to the public interest, or the applicant has no reasonable alternative.</w:t>
      </w:r>
      <w:r>
        <w:rPr>
          <w:szCs w:val="22"/>
          <w:vertAlign w:val="superscript"/>
        </w:rPr>
        <w:footnoteReference w:id="13"/>
      </w:r>
      <w:r w:rsidRPr="008E7B85">
        <w:rPr>
          <w:szCs w:val="22"/>
        </w:rPr>
        <w:t xml:space="preserve">  </w:t>
      </w:r>
    </w:p>
    <w:p w:rsidR="005E5C56" w:rsidP="006A627A">
      <w:pPr>
        <w:pStyle w:val="ParaNum"/>
        <w:widowControl/>
        <w:tabs>
          <w:tab w:val="clear" w:pos="1080"/>
          <w:tab w:val="num" w:pos="1440"/>
        </w:tabs>
        <w:rPr>
          <w:szCs w:val="22"/>
        </w:rPr>
      </w:pPr>
      <w:r w:rsidRPr="0064770E">
        <w:rPr>
          <w:szCs w:val="22"/>
        </w:rPr>
        <w:t xml:space="preserve">Under the first prong </w:t>
      </w:r>
      <w:r>
        <w:rPr>
          <w:szCs w:val="22"/>
        </w:rPr>
        <w:t xml:space="preserve">of the Commission’s waiver standard, </w:t>
      </w:r>
      <w:r w:rsidRPr="0064770E">
        <w:rPr>
          <w:szCs w:val="22"/>
        </w:rPr>
        <w:t xml:space="preserve">we find that the </w:t>
      </w:r>
      <w:r>
        <w:rPr>
          <w:szCs w:val="22"/>
        </w:rPr>
        <w:t xml:space="preserve">intent of the </w:t>
      </w:r>
      <w:r w:rsidR="00A03936">
        <w:rPr>
          <w:szCs w:val="22"/>
        </w:rPr>
        <w:t xml:space="preserve">February 2006 deadline on </w:t>
      </w:r>
      <w:r w:rsidRPr="0064770E">
        <w:rPr>
          <w:szCs w:val="22"/>
        </w:rPr>
        <w:t>ESMR elections would be frustrated were we to grant the requested relief.  Th</w:t>
      </w:r>
      <w:r>
        <w:rPr>
          <w:szCs w:val="22"/>
        </w:rPr>
        <w:t xml:space="preserve">e Commission </w:t>
      </w:r>
      <w:r w:rsidRPr="0064770E">
        <w:rPr>
          <w:szCs w:val="22"/>
        </w:rPr>
        <w:t xml:space="preserve">imposed </w:t>
      </w:r>
      <w:r>
        <w:rPr>
          <w:szCs w:val="22"/>
        </w:rPr>
        <w:t xml:space="preserve">this </w:t>
      </w:r>
      <w:r w:rsidR="00A03936">
        <w:rPr>
          <w:szCs w:val="22"/>
        </w:rPr>
        <w:t xml:space="preserve">deadline </w:t>
      </w:r>
      <w:r w:rsidRPr="0064770E">
        <w:rPr>
          <w:szCs w:val="22"/>
        </w:rPr>
        <w:t xml:space="preserve">to </w:t>
      </w:r>
      <w:r w:rsidR="00A5044E">
        <w:rPr>
          <w:szCs w:val="22"/>
        </w:rPr>
        <w:t xml:space="preserve">define </w:t>
      </w:r>
      <w:r w:rsidRPr="0064770E">
        <w:rPr>
          <w:szCs w:val="22"/>
        </w:rPr>
        <w:t xml:space="preserve">the spectrum landscape </w:t>
      </w:r>
      <w:r w:rsidR="00A5044E">
        <w:rPr>
          <w:szCs w:val="22"/>
        </w:rPr>
        <w:t xml:space="preserve">at the outset of the rebanding process </w:t>
      </w:r>
      <w:r w:rsidRPr="0064770E">
        <w:rPr>
          <w:szCs w:val="22"/>
        </w:rPr>
        <w:t xml:space="preserve">so that the </w:t>
      </w:r>
      <w:r w:rsidR="008801C6">
        <w:rPr>
          <w:szCs w:val="22"/>
        </w:rPr>
        <w:t>T</w:t>
      </w:r>
      <w:r w:rsidRPr="0064770E">
        <w:rPr>
          <w:szCs w:val="22"/>
        </w:rPr>
        <w:t>A</w:t>
      </w:r>
      <w:r>
        <w:rPr>
          <w:szCs w:val="22"/>
        </w:rPr>
        <w:t xml:space="preserve"> </w:t>
      </w:r>
      <w:r w:rsidR="00A5044E">
        <w:rPr>
          <w:szCs w:val="22"/>
        </w:rPr>
        <w:t xml:space="preserve">could develop a rebanding band plan based on </w:t>
      </w:r>
      <w:r w:rsidRPr="0064770E">
        <w:rPr>
          <w:szCs w:val="22"/>
        </w:rPr>
        <w:t>a clear delineation of which licensees required frequencies in the ESMR and non-ESMR portion</w:t>
      </w:r>
      <w:r>
        <w:rPr>
          <w:szCs w:val="22"/>
        </w:rPr>
        <w:t>s</w:t>
      </w:r>
      <w:r w:rsidRPr="0064770E">
        <w:rPr>
          <w:szCs w:val="22"/>
        </w:rPr>
        <w:t xml:space="preserve"> of the band. </w:t>
      </w:r>
      <w:r w:rsidR="00A5044E">
        <w:rPr>
          <w:szCs w:val="22"/>
        </w:rPr>
        <w:t xml:space="preserve"> Allowing License Acquisitions to switch from ESMR to non-ESMR spectrum 12 years after the fact would </w:t>
      </w:r>
      <w:r w:rsidR="006D5F7D">
        <w:rPr>
          <w:szCs w:val="22"/>
        </w:rPr>
        <w:t xml:space="preserve">require revisions to the band plan that would </w:t>
      </w:r>
      <w:r>
        <w:rPr>
          <w:szCs w:val="22"/>
        </w:rPr>
        <w:t xml:space="preserve">be highly disruptive to the almost-completed rebanding process and would in fact unwind progress that has already been made.  </w:t>
      </w:r>
    </w:p>
    <w:p w:rsidR="00A5044E" w:rsidP="006A627A">
      <w:pPr>
        <w:pStyle w:val="ParaNum"/>
        <w:widowControl/>
        <w:tabs>
          <w:tab w:val="clear" w:pos="1080"/>
          <w:tab w:val="num" w:pos="1440"/>
        </w:tabs>
        <w:rPr>
          <w:szCs w:val="22"/>
        </w:rPr>
      </w:pPr>
      <w:r>
        <w:rPr>
          <w:szCs w:val="22"/>
        </w:rPr>
        <w:t xml:space="preserve">License </w:t>
      </w:r>
      <w:r w:rsidRPr="005259C6">
        <w:t>Acquisitions</w:t>
      </w:r>
      <w:r>
        <w:rPr>
          <w:szCs w:val="22"/>
        </w:rPr>
        <w:t xml:space="preserve"> </w:t>
      </w:r>
      <w:r w:rsidRPr="0064770E" w:rsidR="00AF73C8">
        <w:rPr>
          <w:szCs w:val="22"/>
        </w:rPr>
        <w:t xml:space="preserve">concedes that, if its request were granted, the TA would need to identify new </w:t>
      </w:r>
      <w:r w:rsidR="00AF73C8">
        <w:rPr>
          <w:szCs w:val="22"/>
        </w:rPr>
        <w:t xml:space="preserve">non-ESMR </w:t>
      </w:r>
      <w:r w:rsidRPr="0064770E" w:rsidR="00AF73C8">
        <w:rPr>
          <w:szCs w:val="22"/>
        </w:rPr>
        <w:t>freq</w:t>
      </w:r>
      <w:r w:rsidR="00AF73C8">
        <w:rPr>
          <w:szCs w:val="22"/>
        </w:rPr>
        <w:t>uencies for</w:t>
      </w:r>
      <w:r>
        <w:rPr>
          <w:szCs w:val="22"/>
        </w:rPr>
        <w:t xml:space="preserve"> License Acquisitions </w:t>
      </w:r>
      <w:r w:rsidR="00C2180C">
        <w:rPr>
          <w:szCs w:val="22"/>
        </w:rPr>
        <w:t xml:space="preserve">to the extent its licenses are </w:t>
      </w:r>
      <w:r w:rsidR="00AF73C8">
        <w:rPr>
          <w:szCs w:val="22"/>
        </w:rPr>
        <w:t>within the U.S. -</w:t>
      </w:r>
      <w:r w:rsidRPr="0064770E" w:rsidR="00AF73C8">
        <w:rPr>
          <w:szCs w:val="22"/>
        </w:rPr>
        <w:t xml:space="preserve"> Mexico sharing zone.</w:t>
      </w:r>
      <w:r>
        <w:rPr>
          <w:szCs w:val="22"/>
          <w:vertAlign w:val="superscript"/>
        </w:rPr>
        <w:footnoteReference w:id="14"/>
      </w:r>
      <w:r w:rsidRPr="0064770E" w:rsidR="00AF73C8">
        <w:rPr>
          <w:szCs w:val="22"/>
        </w:rPr>
        <w:t xml:space="preserve"> </w:t>
      </w:r>
      <w:r w:rsidR="00AF73C8">
        <w:rPr>
          <w:szCs w:val="22"/>
        </w:rPr>
        <w:t xml:space="preserve"> </w:t>
      </w:r>
      <w:r w:rsidRPr="0064770E" w:rsidR="00AF73C8">
        <w:rPr>
          <w:szCs w:val="22"/>
        </w:rPr>
        <w:t xml:space="preserve">The Commission </w:t>
      </w:r>
      <w:r w:rsidR="005E5C56">
        <w:rPr>
          <w:szCs w:val="22"/>
        </w:rPr>
        <w:t xml:space="preserve">has already established a cross-border band plan </w:t>
      </w:r>
      <w:r w:rsidR="009371B8">
        <w:rPr>
          <w:szCs w:val="22"/>
        </w:rPr>
        <w:t xml:space="preserve">agreement </w:t>
      </w:r>
      <w:r w:rsidRPr="0064770E" w:rsidR="00AF73C8">
        <w:rPr>
          <w:szCs w:val="22"/>
        </w:rPr>
        <w:t xml:space="preserve">with its Mexico counterpart </w:t>
      </w:r>
      <w:r w:rsidR="009371B8">
        <w:rPr>
          <w:szCs w:val="22"/>
        </w:rPr>
        <w:t>and has released a revised Mexico border band plan</w:t>
      </w:r>
      <w:r w:rsidRPr="0064770E" w:rsidR="00AF73C8">
        <w:rPr>
          <w:szCs w:val="22"/>
        </w:rPr>
        <w:t>.</w:t>
      </w:r>
      <w:r>
        <w:rPr>
          <w:rStyle w:val="FootnoteReference"/>
          <w:szCs w:val="22"/>
        </w:rPr>
        <w:footnoteReference w:id="15"/>
      </w:r>
      <w:r w:rsidRPr="0064770E" w:rsidR="00AF73C8">
        <w:rPr>
          <w:szCs w:val="22"/>
        </w:rPr>
        <w:t xml:space="preserve">  Changing th</w:t>
      </w:r>
      <w:r w:rsidR="00C2180C">
        <w:rPr>
          <w:szCs w:val="22"/>
        </w:rPr>
        <w:t xml:space="preserve">e band </w:t>
      </w:r>
      <w:r w:rsidR="00C2180C">
        <w:rPr>
          <w:szCs w:val="22"/>
        </w:rPr>
        <w:t xml:space="preserve">plan </w:t>
      </w:r>
      <w:r w:rsidRPr="0064770E" w:rsidR="00AF73C8">
        <w:rPr>
          <w:szCs w:val="22"/>
        </w:rPr>
        <w:t xml:space="preserve">to </w:t>
      </w:r>
      <w:r w:rsidR="00AF73C8">
        <w:rPr>
          <w:szCs w:val="22"/>
        </w:rPr>
        <w:t xml:space="preserve">accommodate </w:t>
      </w:r>
      <w:r>
        <w:rPr>
          <w:szCs w:val="22"/>
        </w:rPr>
        <w:t>License Acquisitions’</w:t>
      </w:r>
      <w:r w:rsidRPr="0064770E" w:rsidR="00AF73C8">
        <w:rPr>
          <w:szCs w:val="22"/>
        </w:rPr>
        <w:t xml:space="preserve"> </w:t>
      </w:r>
      <w:r w:rsidR="00AF73C8">
        <w:rPr>
          <w:szCs w:val="22"/>
        </w:rPr>
        <w:t xml:space="preserve">request </w:t>
      </w:r>
      <w:r w:rsidRPr="0064770E" w:rsidR="00AF73C8">
        <w:rPr>
          <w:szCs w:val="22"/>
        </w:rPr>
        <w:t xml:space="preserve">to rescind its ESMR election would entail additional effort by the TA and delay the rebanding of </w:t>
      </w:r>
      <w:r>
        <w:rPr>
          <w:szCs w:val="22"/>
        </w:rPr>
        <w:t xml:space="preserve">both U.S. and </w:t>
      </w:r>
      <w:r w:rsidRPr="0064770E" w:rsidR="00AF73C8">
        <w:rPr>
          <w:szCs w:val="22"/>
        </w:rPr>
        <w:t xml:space="preserve">Mexico licensees. </w:t>
      </w:r>
      <w:r w:rsidR="00AF73C8">
        <w:rPr>
          <w:szCs w:val="22"/>
        </w:rPr>
        <w:t xml:space="preserve"> </w:t>
      </w:r>
    </w:p>
    <w:p w:rsidR="00AF73C8" w:rsidP="006A627A">
      <w:pPr>
        <w:pStyle w:val="ParaNum"/>
        <w:widowControl/>
        <w:tabs>
          <w:tab w:val="clear" w:pos="1080"/>
          <w:tab w:val="num" w:pos="1440"/>
        </w:tabs>
        <w:rPr>
          <w:szCs w:val="22"/>
        </w:rPr>
      </w:pPr>
      <w:r>
        <w:rPr>
          <w:szCs w:val="22"/>
        </w:rPr>
        <w:t xml:space="preserve">Similarly, </w:t>
      </w:r>
      <w:r w:rsidR="001F7E6E">
        <w:rPr>
          <w:szCs w:val="22"/>
        </w:rPr>
        <w:t xml:space="preserve">allowing </w:t>
      </w:r>
      <w:r>
        <w:rPr>
          <w:szCs w:val="22"/>
        </w:rPr>
        <w:t xml:space="preserve">License Acquisitions to rescind </w:t>
      </w:r>
      <w:r w:rsidR="001F7E6E">
        <w:rPr>
          <w:szCs w:val="22"/>
        </w:rPr>
        <w:t xml:space="preserve">the ESMR election for </w:t>
      </w:r>
      <w:r>
        <w:rPr>
          <w:szCs w:val="22"/>
        </w:rPr>
        <w:t xml:space="preserve">its </w:t>
      </w:r>
      <w:r w:rsidR="001F7E6E">
        <w:rPr>
          <w:szCs w:val="22"/>
        </w:rPr>
        <w:t>licenses in non-border areas of the United States</w:t>
      </w:r>
      <w:r>
        <w:rPr>
          <w:szCs w:val="22"/>
        </w:rPr>
        <w:t xml:space="preserve"> </w:t>
      </w:r>
      <w:r w:rsidR="001F7E6E">
        <w:rPr>
          <w:szCs w:val="22"/>
        </w:rPr>
        <w:t xml:space="preserve">would entail </w:t>
      </w:r>
      <w:r>
        <w:rPr>
          <w:szCs w:val="22"/>
        </w:rPr>
        <w:t xml:space="preserve">reopening the rebanding process in areas where </w:t>
      </w:r>
      <w:r w:rsidR="009371B8">
        <w:rPr>
          <w:szCs w:val="22"/>
        </w:rPr>
        <w:t>rebanding has</w:t>
      </w:r>
      <w:r w:rsidR="00BE2D92">
        <w:rPr>
          <w:szCs w:val="22"/>
        </w:rPr>
        <w:t xml:space="preserve"> </w:t>
      </w:r>
      <w:r>
        <w:rPr>
          <w:szCs w:val="22"/>
        </w:rPr>
        <w:t>been completed.</w:t>
      </w:r>
      <w:r>
        <w:rPr>
          <w:rStyle w:val="FootnoteReference"/>
          <w:szCs w:val="22"/>
        </w:rPr>
        <w:footnoteReference w:id="16"/>
      </w:r>
      <w:r>
        <w:rPr>
          <w:szCs w:val="22"/>
        </w:rPr>
        <w:t xml:space="preserve">  In order to assign non-ESMR channels to License Acquisitions, the TA would have to </w:t>
      </w:r>
      <w:r w:rsidR="001F7E6E">
        <w:rPr>
          <w:szCs w:val="22"/>
        </w:rPr>
        <w:t>implement a new</w:t>
      </w:r>
      <w:r>
        <w:rPr>
          <w:szCs w:val="22"/>
        </w:rPr>
        <w:t xml:space="preserve"> </w:t>
      </w:r>
      <w:r w:rsidR="001F7E6E">
        <w:rPr>
          <w:szCs w:val="22"/>
        </w:rPr>
        <w:t>band plan</w:t>
      </w:r>
      <w:r>
        <w:rPr>
          <w:szCs w:val="22"/>
        </w:rPr>
        <w:t xml:space="preserve"> and </w:t>
      </w:r>
      <w:r w:rsidR="00CC782F">
        <w:rPr>
          <w:szCs w:val="22"/>
        </w:rPr>
        <w:t xml:space="preserve">identify vacated channels </w:t>
      </w:r>
      <w:r w:rsidR="001F7E6E">
        <w:rPr>
          <w:szCs w:val="22"/>
        </w:rPr>
        <w:t xml:space="preserve">in </w:t>
      </w:r>
      <w:r w:rsidR="00CC782F">
        <w:rPr>
          <w:szCs w:val="22"/>
        </w:rPr>
        <w:t xml:space="preserve">the interleaved band.  Under the 800 MHz rebanding rules, following completion of rebanding in a region, these vacated channels are to be made available for licensing </w:t>
      </w:r>
      <w:r w:rsidR="001F7E6E">
        <w:rPr>
          <w:szCs w:val="22"/>
        </w:rPr>
        <w:t xml:space="preserve">to public safety for </w:t>
      </w:r>
      <w:r w:rsidR="00CC782F">
        <w:rPr>
          <w:szCs w:val="22"/>
        </w:rPr>
        <w:t>five</w:t>
      </w:r>
      <w:r w:rsidR="001F7E6E">
        <w:rPr>
          <w:szCs w:val="22"/>
        </w:rPr>
        <w:t xml:space="preserve"> years and to public safety and critical infrastructure industries for the last </w:t>
      </w:r>
      <w:r w:rsidR="00CC782F">
        <w:rPr>
          <w:szCs w:val="22"/>
        </w:rPr>
        <w:t>two</w:t>
      </w:r>
      <w:r w:rsidR="001F7E6E">
        <w:rPr>
          <w:szCs w:val="22"/>
        </w:rPr>
        <w:t xml:space="preserve"> years of the </w:t>
      </w:r>
      <w:r w:rsidR="00CC782F">
        <w:rPr>
          <w:szCs w:val="22"/>
        </w:rPr>
        <w:t>five</w:t>
      </w:r>
      <w:r w:rsidR="001F7E6E">
        <w:rPr>
          <w:szCs w:val="22"/>
        </w:rPr>
        <w:t xml:space="preserve"> year term.</w:t>
      </w:r>
      <w:r>
        <w:rPr>
          <w:rStyle w:val="FootnoteReference"/>
          <w:szCs w:val="22"/>
        </w:rPr>
        <w:footnoteReference w:id="17"/>
      </w:r>
      <w:r w:rsidR="00003BEF">
        <w:rPr>
          <w:szCs w:val="22"/>
        </w:rPr>
        <w:t xml:space="preserve"> </w:t>
      </w:r>
      <w:r w:rsidR="001F7E6E">
        <w:rPr>
          <w:szCs w:val="22"/>
        </w:rPr>
        <w:t xml:space="preserve"> </w:t>
      </w:r>
      <w:r w:rsidR="001F7E6F">
        <w:rPr>
          <w:szCs w:val="22"/>
        </w:rPr>
        <w:t xml:space="preserve">Granting License Acquisitions’ request would effectively confer it preferential access to these channels and </w:t>
      </w:r>
      <w:r w:rsidR="00D6547E">
        <w:rPr>
          <w:szCs w:val="22"/>
        </w:rPr>
        <w:t xml:space="preserve">reduce the number of vacated channels available for new licensing, </w:t>
      </w:r>
      <w:r w:rsidR="00003BEF">
        <w:rPr>
          <w:szCs w:val="22"/>
        </w:rPr>
        <w:t>with no offsetting public interest benefit</w:t>
      </w:r>
      <w:r>
        <w:rPr>
          <w:szCs w:val="22"/>
        </w:rPr>
        <w:t>.</w:t>
      </w:r>
      <w:r>
        <w:rPr>
          <w:rStyle w:val="FootnoteReference"/>
          <w:sz w:val="22"/>
          <w:szCs w:val="22"/>
        </w:rPr>
        <w:footnoteReference w:id="18"/>
      </w:r>
      <w:r>
        <w:rPr>
          <w:szCs w:val="22"/>
        </w:rPr>
        <w:t xml:space="preserve">  </w:t>
      </w:r>
    </w:p>
    <w:p w:rsidR="00AF73C8" w:rsidRPr="00EA1805" w:rsidP="00372C98">
      <w:pPr>
        <w:pStyle w:val="ParaNum"/>
        <w:widowControl/>
        <w:tabs>
          <w:tab w:val="clear" w:pos="1080"/>
          <w:tab w:val="num" w:pos="1440"/>
        </w:tabs>
        <w:rPr>
          <w:szCs w:val="22"/>
        </w:rPr>
      </w:pPr>
      <w:r w:rsidRPr="00EA1805">
        <w:rPr>
          <w:szCs w:val="22"/>
        </w:rPr>
        <w:t xml:space="preserve">With respect to the second prong of the Commission’s waiver standard, we find that </w:t>
      </w:r>
      <w:r w:rsidRPr="00EA1805" w:rsidR="008801C6">
        <w:rPr>
          <w:szCs w:val="22"/>
        </w:rPr>
        <w:t>License Acquisitions</w:t>
      </w:r>
      <w:r w:rsidR="00216A64">
        <w:rPr>
          <w:szCs w:val="22"/>
        </w:rPr>
        <w:t xml:space="preserve"> has failed to demonstrate the existence </w:t>
      </w:r>
      <w:r w:rsidR="00470420">
        <w:rPr>
          <w:szCs w:val="22"/>
        </w:rPr>
        <w:t xml:space="preserve">of </w:t>
      </w:r>
      <w:r w:rsidRPr="00EA1805">
        <w:rPr>
          <w:szCs w:val="22"/>
        </w:rPr>
        <w:t>unique or unusual</w:t>
      </w:r>
      <w:r w:rsidR="00216A64">
        <w:rPr>
          <w:szCs w:val="22"/>
        </w:rPr>
        <w:t xml:space="preserve"> circumstances</w:t>
      </w:r>
      <w:r w:rsidRPr="00EA1805">
        <w:rPr>
          <w:szCs w:val="22"/>
        </w:rPr>
        <w:t xml:space="preserve">. </w:t>
      </w:r>
      <w:r w:rsidRPr="00FE7224" w:rsidR="008801C6">
        <w:rPr>
          <w:szCs w:val="22"/>
        </w:rPr>
        <w:t xml:space="preserve"> </w:t>
      </w:r>
      <w:r w:rsidRPr="00EA1805">
        <w:rPr>
          <w:szCs w:val="22"/>
        </w:rPr>
        <w:t xml:space="preserve">The case law establishes that parties “must </w:t>
      </w:r>
      <w:r w:rsidRPr="005259C6">
        <w:t>plead</w:t>
      </w:r>
      <w:r w:rsidRPr="00EA1805">
        <w:rPr>
          <w:szCs w:val="22"/>
        </w:rPr>
        <w:t xml:space="preserve"> with particularity the facts and circumstances that warrant a waiver.”</w:t>
      </w:r>
      <w:r>
        <w:rPr>
          <w:szCs w:val="22"/>
          <w:vertAlign w:val="superscript"/>
        </w:rPr>
        <w:footnoteReference w:id="19"/>
      </w:r>
      <w:r w:rsidRPr="00EA1805">
        <w:rPr>
          <w:szCs w:val="22"/>
        </w:rPr>
        <w:t xml:space="preserve">  </w:t>
      </w:r>
      <w:r w:rsidRPr="00EA1805" w:rsidR="00216A64">
        <w:rPr>
          <w:szCs w:val="22"/>
        </w:rPr>
        <w:t>License Acquisitions</w:t>
      </w:r>
      <w:r w:rsidR="00470420">
        <w:rPr>
          <w:szCs w:val="22"/>
        </w:rPr>
        <w:t xml:space="preserve">, however, fails to describe the nature of the </w:t>
      </w:r>
      <w:r w:rsidRPr="00EA1805" w:rsidR="00216A64">
        <w:rPr>
          <w:szCs w:val="22"/>
        </w:rPr>
        <w:t>“events that have since transpired</w:t>
      </w:r>
      <w:r w:rsidR="00470420">
        <w:rPr>
          <w:szCs w:val="22"/>
        </w:rPr>
        <w:t>”</w:t>
      </w:r>
      <w:r w:rsidRPr="00EA1805" w:rsidR="00216A64">
        <w:rPr>
          <w:szCs w:val="22"/>
        </w:rPr>
        <w:t xml:space="preserve"> </w:t>
      </w:r>
      <w:r w:rsidR="00470420">
        <w:rPr>
          <w:szCs w:val="22"/>
        </w:rPr>
        <w:t>that allegedly compel it to seek to rescind the ESMR election.</w:t>
      </w:r>
      <w:r>
        <w:rPr>
          <w:rStyle w:val="FootnoteReference"/>
          <w:sz w:val="22"/>
          <w:szCs w:val="22"/>
        </w:rPr>
        <w:footnoteReference w:id="20"/>
      </w:r>
      <w:r w:rsidRPr="00EA1805" w:rsidR="00216A64">
        <w:rPr>
          <w:szCs w:val="22"/>
        </w:rPr>
        <w:t xml:space="preserve">  </w:t>
      </w:r>
      <w:r w:rsidRPr="00EA1805">
        <w:rPr>
          <w:szCs w:val="22"/>
        </w:rPr>
        <w:t>Relying on unspecified events without explaining the substance or implications of those events does not meet the particularity requirement or surmount the “high hurdle” that courts have placed before proponents of waiver requests.</w:t>
      </w:r>
      <w:r>
        <w:rPr>
          <w:rStyle w:val="FootnoteReference"/>
          <w:sz w:val="22"/>
          <w:szCs w:val="22"/>
        </w:rPr>
        <w:footnoteReference w:id="21"/>
      </w:r>
      <w:r w:rsidRPr="00EA1805">
        <w:rPr>
          <w:szCs w:val="22"/>
        </w:rPr>
        <w:t xml:space="preserve">    </w:t>
      </w:r>
    </w:p>
    <w:p w:rsidR="005259C6" w:rsidRPr="00EA1805" w:rsidP="00372C98">
      <w:pPr>
        <w:pStyle w:val="ParaNum"/>
        <w:widowControl/>
        <w:tabs>
          <w:tab w:val="clear" w:pos="1080"/>
          <w:tab w:val="num" w:pos="1440"/>
        </w:tabs>
        <w:rPr>
          <w:szCs w:val="22"/>
        </w:rPr>
      </w:pPr>
      <w:r w:rsidRPr="00EA1805">
        <w:rPr>
          <w:szCs w:val="22"/>
        </w:rPr>
        <w:t>Moreover, d</w:t>
      </w:r>
      <w:r w:rsidRPr="00EA1805" w:rsidR="00AF73C8">
        <w:rPr>
          <w:szCs w:val="22"/>
        </w:rPr>
        <w:t>enial of</w:t>
      </w:r>
      <w:r w:rsidRPr="00EA1805" w:rsidR="008801C6">
        <w:rPr>
          <w:szCs w:val="22"/>
        </w:rPr>
        <w:t xml:space="preserve"> License Acquisitions’</w:t>
      </w:r>
      <w:r w:rsidRPr="00EA1805">
        <w:rPr>
          <w:szCs w:val="22"/>
        </w:rPr>
        <w:t xml:space="preserve"> </w:t>
      </w:r>
      <w:r w:rsidRPr="00EA1805" w:rsidR="00AF73C8">
        <w:rPr>
          <w:szCs w:val="22"/>
        </w:rPr>
        <w:t xml:space="preserve">request is </w:t>
      </w:r>
      <w:r w:rsidRPr="00FE7224" w:rsidR="00AF73C8">
        <w:rPr>
          <w:szCs w:val="22"/>
        </w:rPr>
        <w:t>neither inequitable, unduly burdensome, nor contrary to the public interest</w:t>
      </w:r>
      <w:r w:rsidRPr="00EA1805" w:rsidR="00AF73C8">
        <w:rPr>
          <w:szCs w:val="22"/>
        </w:rPr>
        <w:t xml:space="preserve">. </w:t>
      </w:r>
      <w:r w:rsidRPr="00EA1805" w:rsidR="008801C6">
        <w:rPr>
          <w:szCs w:val="22"/>
        </w:rPr>
        <w:t xml:space="preserve"> </w:t>
      </w:r>
      <w:r w:rsidR="00216A64">
        <w:rPr>
          <w:szCs w:val="22"/>
        </w:rPr>
        <w:t xml:space="preserve">Prior to filing this request, </w:t>
      </w:r>
      <w:r w:rsidRPr="005259C6" w:rsidR="008801C6">
        <w:t>License</w:t>
      </w:r>
      <w:r w:rsidRPr="00EA1805" w:rsidR="008801C6">
        <w:rPr>
          <w:szCs w:val="22"/>
        </w:rPr>
        <w:t xml:space="preserve"> Acquisitions </w:t>
      </w:r>
      <w:r w:rsidR="00216A64">
        <w:rPr>
          <w:szCs w:val="22"/>
        </w:rPr>
        <w:t xml:space="preserve">consistently </w:t>
      </w:r>
      <w:r w:rsidRPr="00EA1805" w:rsidR="00AF73C8">
        <w:rPr>
          <w:szCs w:val="22"/>
        </w:rPr>
        <w:t xml:space="preserve">represented to the Commission </w:t>
      </w:r>
      <w:r w:rsidRPr="00EA1805" w:rsidR="00216A64">
        <w:rPr>
          <w:szCs w:val="22"/>
        </w:rPr>
        <w:t xml:space="preserve">that it </w:t>
      </w:r>
      <w:r w:rsidR="00216A64">
        <w:rPr>
          <w:szCs w:val="22"/>
        </w:rPr>
        <w:t xml:space="preserve">was </w:t>
      </w:r>
      <w:r w:rsidRPr="00EA1805" w:rsidR="00216A64">
        <w:rPr>
          <w:szCs w:val="22"/>
        </w:rPr>
        <w:t>fully prepared to implement an ESMR system</w:t>
      </w:r>
      <w:r w:rsidR="00470420">
        <w:rPr>
          <w:szCs w:val="22"/>
        </w:rPr>
        <w:t>,</w:t>
      </w:r>
      <w:r w:rsidR="00216A64">
        <w:rPr>
          <w:szCs w:val="22"/>
        </w:rPr>
        <w:t xml:space="preserve"> and </w:t>
      </w:r>
      <w:r w:rsidRPr="00EA1805" w:rsidR="00AF73C8">
        <w:rPr>
          <w:szCs w:val="22"/>
        </w:rPr>
        <w:t>that it had purchased equipment</w:t>
      </w:r>
      <w:r w:rsidR="00216A64">
        <w:rPr>
          <w:szCs w:val="22"/>
        </w:rPr>
        <w:t xml:space="preserve"> and </w:t>
      </w:r>
      <w:r w:rsidRPr="00EA1805" w:rsidR="00AF73C8">
        <w:rPr>
          <w:szCs w:val="22"/>
        </w:rPr>
        <w:t xml:space="preserve">obtained site leases </w:t>
      </w:r>
      <w:r w:rsidR="00470420">
        <w:rPr>
          <w:szCs w:val="22"/>
        </w:rPr>
        <w:t xml:space="preserve">in preparation </w:t>
      </w:r>
      <w:r w:rsidRPr="00EA1805" w:rsidR="00AF73C8">
        <w:rPr>
          <w:szCs w:val="22"/>
        </w:rPr>
        <w:t xml:space="preserve">for construction of </w:t>
      </w:r>
      <w:r w:rsidR="00216A64">
        <w:rPr>
          <w:szCs w:val="22"/>
        </w:rPr>
        <w:t xml:space="preserve">such a </w:t>
      </w:r>
      <w:r w:rsidRPr="00EA1805" w:rsidR="00AF73C8">
        <w:rPr>
          <w:szCs w:val="22"/>
        </w:rPr>
        <w:t>system</w:t>
      </w:r>
      <w:r w:rsidR="00216A64">
        <w:rPr>
          <w:szCs w:val="22"/>
        </w:rPr>
        <w:t>.</w:t>
      </w:r>
      <w:r>
        <w:rPr>
          <w:rStyle w:val="FootnoteReference"/>
          <w:sz w:val="22"/>
          <w:szCs w:val="22"/>
        </w:rPr>
        <w:footnoteReference w:id="22"/>
      </w:r>
      <w:r w:rsidRPr="00EA1805" w:rsidR="00AF73C8">
        <w:rPr>
          <w:szCs w:val="22"/>
        </w:rPr>
        <w:t xml:space="preserve"> </w:t>
      </w:r>
      <w:r w:rsidR="00470420">
        <w:rPr>
          <w:szCs w:val="22"/>
        </w:rPr>
        <w:t xml:space="preserve"> License Acquisitions </w:t>
      </w:r>
      <w:r w:rsidR="00661EB1">
        <w:rPr>
          <w:szCs w:val="22"/>
        </w:rPr>
        <w:t xml:space="preserve">has not provided any </w:t>
      </w:r>
      <w:r w:rsidRPr="00EA1805" w:rsidR="00AF73C8">
        <w:rPr>
          <w:szCs w:val="22"/>
        </w:rPr>
        <w:t>justification</w:t>
      </w:r>
      <w:r w:rsidR="00661EB1">
        <w:rPr>
          <w:szCs w:val="22"/>
        </w:rPr>
        <w:t xml:space="preserve"> for its eleventh-hour reversal of position or demonstrated that it would be inequitable or burdensome to require License Acquisitions to continue to abide by the ESMR election</w:t>
      </w:r>
      <w:r w:rsidR="000D5214">
        <w:rPr>
          <w:szCs w:val="22"/>
        </w:rPr>
        <w:t xml:space="preserve"> that has applied to these licenses since 2006</w:t>
      </w:r>
      <w:r w:rsidR="00661EB1">
        <w:rPr>
          <w:szCs w:val="22"/>
        </w:rPr>
        <w:t xml:space="preserve">.  </w:t>
      </w:r>
      <w:r w:rsidRPr="00EA1805" w:rsidR="00AF73C8">
        <w:rPr>
          <w:szCs w:val="22"/>
        </w:rPr>
        <w:t xml:space="preserve">  </w:t>
      </w:r>
    </w:p>
    <w:p w:rsidR="00AF73C8" w:rsidP="006A627A">
      <w:pPr>
        <w:pStyle w:val="ParaNum"/>
        <w:widowControl/>
        <w:tabs>
          <w:tab w:val="clear" w:pos="1080"/>
          <w:tab w:val="num" w:pos="1440"/>
        </w:tabs>
        <w:rPr>
          <w:szCs w:val="22"/>
        </w:rPr>
      </w:pPr>
      <w:r>
        <w:rPr>
          <w:szCs w:val="22"/>
        </w:rPr>
        <w:t xml:space="preserve">For the reasons set out above, </w:t>
      </w:r>
      <w:r>
        <w:rPr>
          <w:szCs w:val="22"/>
        </w:rPr>
        <w:t>we deny</w:t>
      </w:r>
      <w:r w:rsidR="008801C6">
        <w:rPr>
          <w:szCs w:val="22"/>
        </w:rPr>
        <w:t xml:space="preserve"> License Acquisitions’ </w:t>
      </w:r>
      <w:r>
        <w:rPr>
          <w:szCs w:val="22"/>
        </w:rPr>
        <w:t xml:space="preserve">request to rescind its ESMR election.  Our action today is limited to </w:t>
      </w:r>
      <w:r w:rsidR="008801C6">
        <w:rPr>
          <w:szCs w:val="22"/>
        </w:rPr>
        <w:t xml:space="preserve">License Acquisitions </w:t>
      </w:r>
      <w:r>
        <w:rPr>
          <w:szCs w:val="22"/>
        </w:rPr>
        <w:t xml:space="preserve">request to rescind </w:t>
      </w:r>
      <w:r>
        <w:rPr>
          <w:szCs w:val="22"/>
        </w:rPr>
        <w:t xml:space="preserve">the </w:t>
      </w:r>
      <w:r>
        <w:rPr>
          <w:szCs w:val="22"/>
        </w:rPr>
        <w:t xml:space="preserve">ESMR election and does not affect any </w:t>
      </w:r>
      <w:r w:rsidR="00470420">
        <w:rPr>
          <w:szCs w:val="22"/>
        </w:rPr>
        <w:t xml:space="preserve">other pending matter relating to License Acquisitions, including </w:t>
      </w:r>
      <w:r>
        <w:rPr>
          <w:szCs w:val="22"/>
        </w:rPr>
        <w:t xml:space="preserve">the </w:t>
      </w:r>
      <w:r w:rsidRPr="005259C6">
        <w:t>contested</w:t>
      </w:r>
      <w:r>
        <w:rPr>
          <w:szCs w:val="22"/>
        </w:rPr>
        <w:t xml:space="preserve"> renewal of certain</w:t>
      </w:r>
      <w:r w:rsidR="008801C6">
        <w:rPr>
          <w:szCs w:val="22"/>
        </w:rPr>
        <w:t xml:space="preserve"> License Acquisitions </w:t>
      </w:r>
      <w:r>
        <w:rPr>
          <w:szCs w:val="22"/>
        </w:rPr>
        <w:t xml:space="preserve">licenses or other pending waiver requests </w:t>
      </w:r>
      <w:r w:rsidR="006017DF">
        <w:rPr>
          <w:szCs w:val="22"/>
        </w:rPr>
        <w:t xml:space="preserve">by </w:t>
      </w:r>
      <w:r>
        <w:rPr>
          <w:szCs w:val="22"/>
        </w:rPr>
        <w:t>L</w:t>
      </w:r>
      <w:r>
        <w:rPr>
          <w:szCs w:val="22"/>
        </w:rPr>
        <w:t>icense Acquisitions</w:t>
      </w:r>
      <w:r>
        <w:rPr>
          <w:szCs w:val="22"/>
        </w:rPr>
        <w:t>.</w:t>
      </w:r>
      <w:r>
        <w:rPr>
          <w:rStyle w:val="FootnoteReference"/>
          <w:szCs w:val="22"/>
        </w:rPr>
        <w:footnoteReference w:id="23"/>
      </w:r>
    </w:p>
    <w:p w:rsidR="006A627A" w:rsidP="00CB4F20">
      <w:pPr>
        <w:pStyle w:val="Heading1"/>
        <w:keepLines/>
      </w:pPr>
      <w:r>
        <w:t>ordering clause</w:t>
      </w:r>
    </w:p>
    <w:p w:rsidR="00AF73C8" w:rsidP="00CB4F20">
      <w:pPr>
        <w:pStyle w:val="ParaNum"/>
        <w:keepNext/>
        <w:keepLines/>
        <w:widowControl/>
        <w:tabs>
          <w:tab w:val="clear" w:pos="1080"/>
          <w:tab w:val="num" w:pos="1440"/>
        </w:tabs>
        <w:rPr>
          <w:szCs w:val="22"/>
        </w:rPr>
      </w:pPr>
      <w:r>
        <w:rPr>
          <w:szCs w:val="22"/>
        </w:rPr>
        <w:t xml:space="preserve">IT IS THEREFORE ORDERED that the Petition to Rescind Election to Relocate 800 MHz SMR EA Licenses to </w:t>
      </w:r>
      <w:r w:rsidRPr="005259C6">
        <w:t>the</w:t>
      </w:r>
      <w:r>
        <w:rPr>
          <w:szCs w:val="22"/>
        </w:rPr>
        <w:t xml:space="preserve"> ESMR Band, filed by License Acquisitions, LLC, On November 28, 2017, IS DENIED.</w:t>
      </w:r>
    </w:p>
    <w:p w:rsidR="00AF73C8" w:rsidP="00CB4F20">
      <w:pPr>
        <w:pStyle w:val="ParaNum"/>
        <w:keepNext/>
        <w:keepLines/>
        <w:widowControl/>
        <w:tabs>
          <w:tab w:val="clear" w:pos="1080"/>
          <w:tab w:val="num" w:pos="1440"/>
        </w:tabs>
        <w:rPr>
          <w:szCs w:val="22"/>
        </w:rPr>
      </w:pPr>
      <w:r>
        <w:rPr>
          <w:szCs w:val="22"/>
        </w:rPr>
        <w:t xml:space="preserve">This action is taken pursuant to delegated authority </w:t>
      </w:r>
      <w:r w:rsidRPr="00C716E3">
        <w:rPr>
          <w:szCs w:val="22"/>
        </w:rPr>
        <w:t>pursuant to Sections 0.191</w:t>
      </w:r>
      <w:r>
        <w:rPr>
          <w:szCs w:val="22"/>
        </w:rPr>
        <w:t xml:space="preserve">, </w:t>
      </w:r>
      <w:r w:rsidRPr="00C716E3">
        <w:rPr>
          <w:szCs w:val="22"/>
        </w:rPr>
        <w:t xml:space="preserve">0.392 </w:t>
      </w:r>
      <w:r>
        <w:rPr>
          <w:szCs w:val="22"/>
        </w:rPr>
        <w:t xml:space="preserve">and 1.925 </w:t>
      </w:r>
      <w:r w:rsidRPr="00C716E3">
        <w:rPr>
          <w:szCs w:val="22"/>
        </w:rPr>
        <w:t xml:space="preserve">of the </w:t>
      </w:r>
      <w:r w:rsidRPr="005259C6">
        <w:t>Commission's</w:t>
      </w:r>
      <w:r w:rsidRPr="00C716E3">
        <w:rPr>
          <w:szCs w:val="22"/>
        </w:rPr>
        <w:t xml:space="preserve"> rules, 47 CFR §§ 0.191</w:t>
      </w:r>
      <w:r>
        <w:rPr>
          <w:szCs w:val="22"/>
        </w:rPr>
        <w:t>,</w:t>
      </w:r>
      <w:r w:rsidRPr="00C716E3">
        <w:rPr>
          <w:szCs w:val="22"/>
        </w:rPr>
        <w:t> 0.392</w:t>
      </w:r>
      <w:r>
        <w:rPr>
          <w:szCs w:val="22"/>
        </w:rPr>
        <w:t>, 1.925</w:t>
      </w:r>
      <w:r w:rsidRPr="00C716E3">
        <w:rPr>
          <w:szCs w:val="22"/>
        </w:rPr>
        <w:t>.</w:t>
      </w:r>
    </w:p>
    <w:p w:rsidR="00AF73C8" w:rsidP="00CB4F20">
      <w:pPr>
        <w:keepNext/>
        <w:keepLines/>
        <w:widowControl/>
        <w:ind w:firstLine="720"/>
        <w:rPr>
          <w:szCs w:val="22"/>
        </w:rPr>
      </w:pPr>
    </w:p>
    <w:p w:rsidR="00AF73C8" w:rsidP="00CB4F20">
      <w:pPr>
        <w:keepNext/>
        <w:keepLines/>
        <w:widowControl/>
        <w:ind w:left="2880" w:firstLine="720"/>
        <w:rPr>
          <w:szCs w:val="22"/>
        </w:rPr>
      </w:pPr>
      <w:r>
        <w:rPr>
          <w:szCs w:val="22"/>
        </w:rPr>
        <w:t>FEDERAL COMMUNICATIONS COMMISSION</w:t>
      </w:r>
    </w:p>
    <w:p w:rsidR="00AF73C8" w:rsidP="00CB4F20">
      <w:pPr>
        <w:keepNext/>
        <w:keepLines/>
        <w:widowControl/>
        <w:ind w:left="2880" w:firstLine="720"/>
        <w:rPr>
          <w:szCs w:val="22"/>
        </w:rPr>
      </w:pPr>
    </w:p>
    <w:p w:rsidR="00AF73C8" w:rsidP="00CB4F20">
      <w:pPr>
        <w:keepNext/>
        <w:keepLines/>
        <w:widowControl/>
        <w:ind w:left="2880" w:firstLine="720"/>
        <w:rPr>
          <w:szCs w:val="22"/>
        </w:rPr>
      </w:pPr>
    </w:p>
    <w:p w:rsidR="00AF73C8" w:rsidP="00CB4F20">
      <w:pPr>
        <w:keepNext/>
        <w:keepLines/>
        <w:widowControl/>
        <w:ind w:left="2880" w:firstLine="720"/>
        <w:rPr>
          <w:szCs w:val="22"/>
        </w:rPr>
      </w:pPr>
    </w:p>
    <w:p w:rsidR="00AF73C8" w:rsidP="00CB4F20">
      <w:pPr>
        <w:keepNext/>
        <w:keepLines/>
        <w:widowControl/>
        <w:ind w:left="2880" w:firstLine="720"/>
        <w:rPr>
          <w:szCs w:val="22"/>
        </w:rPr>
      </w:pPr>
      <w:r>
        <w:rPr>
          <w:szCs w:val="22"/>
        </w:rPr>
        <w:t>Michael J. Wilhelm</w:t>
      </w:r>
    </w:p>
    <w:p w:rsidR="00AF73C8" w:rsidP="00CB4F20">
      <w:pPr>
        <w:keepNext/>
        <w:keepLines/>
        <w:widowControl/>
        <w:ind w:left="2880" w:firstLine="720"/>
        <w:rPr>
          <w:szCs w:val="22"/>
        </w:rPr>
      </w:pPr>
      <w:r>
        <w:rPr>
          <w:szCs w:val="22"/>
        </w:rPr>
        <w:t>Chief, Policy and Licensing Division</w:t>
      </w:r>
    </w:p>
    <w:p w:rsidR="00AF73C8" w:rsidRPr="005259C6" w:rsidP="00CB4F20">
      <w:pPr>
        <w:keepNext/>
        <w:keepLines/>
        <w:widowControl/>
        <w:ind w:left="2880" w:firstLine="720"/>
        <w:rPr>
          <w:szCs w:val="22"/>
        </w:rPr>
      </w:pPr>
      <w:r>
        <w:rPr>
          <w:szCs w:val="22"/>
        </w:rPr>
        <w:t xml:space="preserve">Public Safety and Homeland Security Bureau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758D9">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6741">
      <w:r>
        <w:separator/>
      </w:r>
    </w:p>
  </w:footnote>
  <w:footnote w:type="continuationSeparator" w:id="1">
    <w:p w:rsidR="000D6741" w:rsidP="00C721AC">
      <w:pPr>
        <w:spacing w:before="120"/>
        <w:rPr>
          <w:sz w:val="20"/>
        </w:rPr>
      </w:pPr>
      <w:r>
        <w:rPr>
          <w:sz w:val="20"/>
        </w:rPr>
        <w:t xml:space="preserve">(Continued from previous page)  </w:t>
      </w:r>
      <w:r>
        <w:rPr>
          <w:sz w:val="20"/>
        </w:rPr>
        <w:separator/>
      </w:r>
    </w:p>
  </w:footnote>
  <w:footnote w:type="continuationNotice" w:id="2">
    <w:p w:rsidR="000D6741" w:rsidP="00C721AC">
      <w:pPr>
        <w:jc w:val="right"/>
        <w:rPr>
          <w:sz w:val="20"/>
        </w:rPr>
      </w:pPr>
      <w:r>
        <w:rPr>
          <w:sz w:val="20"/>
        </w:rPr>
        <w:t>(continued….)</w:t>
      </w:r>
    </w:p>
  </w:footnote>
  <w:footnote w:id="3">
    <w:p w:rsidR="004C6620" w:rsidP="004C6620">
      <w:pPr>
        <w:pStyle w:val="FootnoteText"/>
      </w:pPr>
      <w:r>
        <w:rPr>
          <w:rStyle w:val="FootnoteReference"/>
        </w:rPr>
        <w:footnoteRef/>
      </w:r>
      <w:r>
        <w:t xml:space="preserve"> Letter from Rob Somers, Esq., General Counsel, License Acquisitions, LLC, to Marlene H. Dortch, Secretary, Federal Communications Commission, Nov. 28, 2017 (License Acquisitions letter).</w:t>
      </w:r>
    </w:p>
  </w:footnote>
  <w:footnote w:id="4">
    <w:p w:rsidR="004C6620" w:rsidP="004C6620">
      <w:pPr>
        <w:pStyle w:val="FootnoteText"/>
      </w:pPr>
      <w:r>
        <w:rPr>
          <w:rStyle w:val="FootnoteReference"/>
        </w:rPr>
        <w:footnoteRef/>
      </w:r>
      <w:r>
        <w:t xml:space="preserve"> </w:t>
      </w:r>
      <w:r w:rsidRPr="00372C98">
        <w:rPr>
          <w:i/>
        </w:rPr>
        <w:t>Improving Pub. Safety Communications in the 800 MHz Band, Consolidating the 800 &amp; 900 MHz Industrial/land Transp. &amp; Bus. Pool Channels</w:t>
      </w:r>
      <w:r w:rsidRPr="00865CC9">
        <w:t xml:space="preserve">, </w:t>
      </w:r>
      <w:r w:rsidR="001D37EA">
        <w:t xml:space="preserve">Report and Order, </w:t>
      </w:r>
      <w:r w:rsidRPr="00865CC9">
        <w:t>20 FCC Rcd</w:t>
      </w:r>
      <w:r>
        <w:t xml:space="preserve"> 16015 (</w:t>
      </w:r>
      <w:r w:rsidRPr="00583FFE">
        <w:rPr>
          <w:i/>
        </w:rPr>
        <w:t>800 MHz Report and Order</w:t>
      </w:r>
      <w:r>
        <w:t>).</w:t>
      </w:r>
    </w:p>
  </w:footnote>
  <w:footnote w:id="5">
    <w:p w:rsidR="00C24ABE" w:rsidP="00C24ABE">
      <w:pPr>
        <w:pStyle w:val="FootnoteText"/>
      </w:pPr>
      <w:r>
        <w:rPr>
          <w:rStyle w:val="FootnoteReference"/>
        </w:rPr>
        <w:footnoteRef/>
      </w:r>
      <w:r>
        <w:t xml:space="preserve"> A high-site system is one in which wide-area coverage is achieved from one, or a few, base stations with antennas mounted on high towers, buildings, promontories, hills, mountains, etc. </w:t>
      </w:r>
    </w:p>
  </w:footnote>
  <w:footnote w:id="6">
    <w:p w:rsidR="004C6620" w:rsidP="004C6620">
      <w:pPr>
        <w:pStyle w:val="FootnoteText"/>
      </w:pPr>
      <w:r>
        <w:rPr>
          <w:rStyle w:val="FootnoteReference"/>
        </w:rPr>
        <w:footnoteRef/>
      </w:r>
      <w:r>
        <w:t xml:space="preserve"> A low-site system is one that uses multiple base stations, arranged in a cellular configuration, with relatively low antenna elevations and frequency reuse.</w:t>
      </w:r>
    </w:p>
  </w:footnote>
  <w:footnote w:id="7">
    <w:p w:rsidR="00756EF1">
      <w:pPr>
        <w:pStyle w:val="FootnoteText"/>
      </w:pPr>
      <w:r>
        <w:rPr>
          <w:rStyle w:val="FootnoteReference"/>
        </w:rPr>
        <w:footnoteRef/>
      </w:r>
      <w:r>
        <w:t xml:space="preserve"> </w:t>
      </w:r>
      <w:r w:rsidR="00D94F37">
        <w:t xml:space="preserve"> </w:t>
      </w:r>
      <w:r w:rsidR="00982312">
        <w:t>Silver Palm held the following licenses:  WPLM 227, BEA 126, Western Oklahoma, WPLM228, BEA 128 Abilene, Texas; WPLM 229, BEA 129 San Angelo, Texas; WPLM 230, BEA 138, Amarillo Texas, New Mexico; WPSJ 755, BEA 129 San Angelo, Texas; WPSJ 756, BEA 134 San Antonio, Texas; WPSJ760, BEA Western Oklahoma; WPSJ 761, BEA 126, Abilene, Texas; WPSJ 762, BEA 129, San Angelo, Texas; WPSJ 766, BEA 130, Austin-San Marco</w:t>
      </w:r>
      <w:r w:rsidR="00874EAF">
        <w:t xml:space="preserve">, Texas; WPSJ 767, BEA 127, Dallas-Fort Worth Texas, Arizona, Oklahoma. </w:t>
      </w:r>
      <w:r w:rsidR="00CA1CFD">
        <w:t>License Acquisitions acquired the Silver Palm licenses in July 2010.</w:t>
      </w:r>
    </w:p>
  </w:footnote>
  <w:footnote w:id="8">
    <w:p w:rsidR="00874EAF">
      <w:pPr>
        <w:pStyle w:val="FootnoteText"/>
      </w:pPr>
      <w:r>
        <w:rPr>
          <w:rStyle w:val="FootnoteReference"/>
        </w:rPr>
        <w:footnoteRef/>
      </w:r>
      <w:r>
        <w:t xml:space="preserve"> Letter from William J. Sill, Esq. and David Judelsohn, Esq. counsel to Silver Palm, to Robert B. Kelly, Esq., 800 MHz Transition Administrator, May 13, 2005.  </w:t>
      </w:r>
    </w:p>
  </w:footnote>
  <w:footnote w:id="9">
    <w:p w:rsidR="00650EAF" w:rsidP="00650EAF">
      <w:pPr>
        <w:pStyle w:val="FootnoteText"/>
      </w:pPr>
      <w:r>
        <w:rPr>
          <w:rStyle w:val="FootnoteReference"/>
        </w:rPr>
        <w:footnoteRef/>
      </w:r>
      <w:r>
        <w:t xml:space="preserve"> </w:t>
      </w:r>
      <w:r w:rsidRPr="009B1290">
        <w:rPr>
          <w:i/>
        </w:rPr>
        <w:t>800 MHz Report and Order</w:t>
      </w:r>
      <w:r>
        <w:rPr>
          <w:i/>
        </w:rPr>
        <w:t xml:space="preserve">, </w:t>
      </w:r>
      <w:r>
        <w:t>20</w:t>
      </w:r>
      <w:r w:rsidRPr="00237204">
        <w:t xml:space="preserve"> </w:t>
      </w:r>
      <w:r>
        <w:t>FCC Rcd at 16028 paras. 27-28 (</w:t>
      </w:r>
      <w:r w:rsidRPr="00237204">
        <w:t>2005)</w:t>
      </w:r>
      <w:r>
        <w:t xml:space="preserve">. </w:t>
      </w:r>
    </w:p>
  </w:footnote>
  <w:footnote w:id="10">
    <w:p w:rsidR="00874EAF">
      <w:pPr>
        <w:pStyle w:val="FootnoteText"/>
      </w:pPr>
      <w:r>
        <w:rPr>
          <w:rStyle w:val="FootnoteReference"/>
        </w:rPr>
        <w:footnoteRef/>
      </w:r>
      <w:r>
        <w:t xml:space="preserve"> </w:t>
      </w:r>
      <w:r w:rsidRPr="00874EAF">
        <w:t xml:space="preserve"> Letter from William J. Sill, Esq., counsel to Silver Palm, to Steve Lederman, Esq., </w:t>
      </w:r>
      <w:r w:rsidRPr="004F2CFF" w:rsidR="004F2CFF">
        <w:t>800 MHz Transition Administrator</w:t>
      </w:r>
      <w:r w:rsidR="004F2CFF">
        <w:t xml:space="preserve">, Feb. 6, 2006. </w:t>
      </w:r>
    </w:p>
  </w:footnote>
  <w:footnote w:id="11">
    <w:p w:rsidR="00EA1805" w:rsidP="00EA1805">
      <w:pPr>
        <w:pStyle w:val="FootnoteText"/>
      </w:pPr>
      <w:r>
        <w:rPr>
          <w:rStyle w:val="FootnoteReference"/>
        </w:rPr>
        <w:footnoteRef/>
      </w:r>
      <w:r>
        <w:t xml:space="preserve"> License Acquisitions Letter at 1.</w:t>
      </w:r>
    </w:p>
  </w:footnote>
  <w:footnote w:id="12">
    <w:p w:rsidR="00AF73C8" w:rsidP="00AF73C8">
      <w:pPr>
        <w:pStyle w:val="FootnoteText"/>
      </w:pPr>
      <w:r>
        <w:rPr>
          <w:rStyle w:val="FootnoteReference"/>
        </w:rPr>
        <w:footnoteRef/>
      </w:r>
      <w:r>
        <w:t xml:space="preserve"> </w:t>
      </w:r>
      <w:r w:rsidRPr="00E2597F">
        <w:t>47 CFR § 1.925(b)(3)(i)</w:t>
      </w:r>
      <w:r>
        <w:t>.</w:t>
      </w:r>
    </w:p>
  </w:footnote>
  <w:footnote w:id="13">
    <w:p w:rsidR="00AF73C8" w:rsidP="00AF73C8">
      <w:pPr>
        <w:pStyle w:val="FootnoteText"/>
      </w:pPr>
      <w:r>
        <w:rPr>
          <w:rStyle w:val="FootnoteReference"/>
        </w:rPr>
        <w:footnoteRef/>
      </w:r>
      <w:r>
        <w:t xml:space="preserve"> </w:t>
      </w:r>
      <w:r w:rsidRPr="00B62DA1">
        <w:t>47 CFR § 1.925(b)(3)(ii)</w:t>
      </w:r>
      <w:r>
        <w:t>.</w:t>
      </w:r>
    </w:p>
  </w:footnote>
  <w:footnote w:id="14">
    <w:p w:rsidR="00AF73C8" w:rsidP="00AF73C8">
      <w:pPr>
        <w:pStyle w:val="FootnoteText"/>
      </w:pPr>
      <w:r>
        <w:rPr>
          <w:rStyle w:val="FootnoteReference"/>
        </w:rPr>
        <w:footnoteRef/>
      </w:r>
      <w:r w:rsidR="008801C6">
        <w:t xml:space="preserve"> License Acquisitions </w:t>
      </w:r>
      <w:r>
        <w:t>Letter at 1, n.3.</w:t>
      </w:r>
    </w:p>
  </w:footnote>
  <w:footnote w:id="15">
    <w:p w:rsidR="00CC782F" w:rsidRPr="009371B8" w:rsidP="00925696">
      <w:pPr>
        <w:widowControl/>
        <w:spacing w:after="120"/>
      </w:pPr>
      <w:r w:rsidRPr="00981E67">
        <w:rPr>
          <w:rStyle w:val="FootnoteReference"/>
        </w:rPr>
        <w:footnoteRef/>
      </w:r>
      <w:r w:rsidR="00981E67">
        <w:t xml:space="preserve"> </w:t>
      </w:r>
      <w:r w:rsidRPr="00925696" w:rsidR="00981E67">
        <w:rPr>
          <w:i/>
          <w:snapToGrid/>
          <w:kern w:val="0"/>
          <w:sz w:val="20"/>
        </w:rPr>
        <w:t>See</w:t>
      </w:r>
      <w:r w:rsidRPr="00925696" w:rsidR="0024690D">
        <w:rPr>
          <w:snapToGrid/>
          <w:kern w:val="0"/>
          <w:sz w:val="20"/>
        </w:rPr>
        <w:t xml:space="preserve"> Protocol Between the Department of State of the United States of America and the Secretariat of Communications and Transportation of the United Mexican States Concerning the Allotment,</w:t>
      </w:r>
      <w:r w:rsidR="0024690D">
        <w:t xml:space="preserve"> </w:t>
      </w:r>
      <w:r w:rsidRPr="00925696" w:rsidR="0024690D">
        <w:rPr>
          <w:snapToGrid/>
          <w:kern w:val="0"/>
          <w:sz w:val="20"/>
        </w:rPr>
        <w:t>Assignment and Use of the 806-824/851-869 MHz and 896-901/935-940 MHz Bands for Terrestrial Non-Broadcasting Radiocommunication Services Along the Common Border, June 8 2012.</w:t>
      </w:r>
      <w:r w:rsidR="00981E67">
        <w:t xml:space="preserve">  </w:t>
      </w:r>
      <w:r w:rsidRPr="00925696" w:rsidR="00111465">
        <w:rPr>
          <w:rFonts w:cs="Arial"/>
          <w:i/>
          <w:snapToGrid/>
          <w:color w:val="252525"/>
          <w:kern w:val="0"/>
          <w:sz w:val="20"/>
          <w:szCs w:val="30"/>
        </w:rPr>
        <w:t>See also</w:t>
      </w:r>
      <w:r w:rsidRPr="00925696" w:rsidR="009371B8">
        <w:rPr>
          <w:rFonts w:cs="Arial"/>
          <w:i/>
          <w:snapToGrid/>
          <w:color w:val="252525"/>
          <w:kern w:val="0"/>
          <w:sz w:val="20"/>
          <w:szCs w:val="30"/>
        </w:rPr>
        <w:t xml:space="preserve"> Improving Public Safety Communications in the 800 MHz Band</w:t>
      </w:r>
      <w:r w:rsidR="009371B8">
        <w:rPr>
          <w:i/>
        </w:rPr>
        <w:t>,</w:t>
      </w:r>
      <w:r w:rsidRPr="009371B8" w:rsidR="009371B8">
        <w:rPr>
          <w:i/>
        </w:rPr>
        <w:t xml:space="preserve"> </w:t>
      </w:r>
      <w:r w:rsidRPr="009371B8" w:rsidR="009371B8">
        <w:rPr>
          <w:rFonts w:cs="Arial"/>
          <w:i/>
          <w:snapToGrid/>
          <w:color w:val="252525"/>
          <w:kern w:val="0"/>
          <w:sz w:val="20"/>
          <w:szCs w:val="30"/>
        </w:rPr>
        <w:t>New 800 MHz </w:t>
      </w:r>
      <w:r w:rsidRPr="009371B8" w:rsidR="009371B8">
        <w:rPr>
          <w:rFonts w:cs="Arial"/>
          <w:bCs/>
          <w:i/>
          <w:snapToGrid/>
          <w:color w:val="252525"/>
          <w:kern w:val="0"/>
          <w:sz w:val="20"/>
          <w:szCs w:val="30"/>
        </w:rPr>
        <w:t>Band</w:t>
      </w:r>
      <w:r w:rsidRPr="009371B8" w:rsidR="009371B8">
        <w:rPr>
          <w:rFonts w:cs="Arial"/>
          <w:i/>
          <w:snapToGrid/>
          <w:color w:val="252525"/>
          <w:kern w:val="0"/>
          <w:sz w:val="20"/>
          <w:szCs w:val="30"/>
        </w:rPr>
        <w:t> </w:t>
      </w:r>
      <w:r w:rsidRPr="009371B8" w:rsidR="009371B8">
        <w:rPr>
          <w:rFonts w:cs="Arial"/>
          <w:bCs/>
          <w:i/>
          <w:snapToGrid/>
          <w:color w:val="252525"/>
          <w:kern w:val="0"/>
          <w:sz w:val="20"/>
          <w:szCs w:val="30"/>
        </w:rPr>
        <w:t>Plan</w:t>
      </w:r>
      <w:r w:rsidRPr="009371B8" w:rsidR="009371B8">
        <w:rPr>
          <w:rFonts w:cs="Arial"/>
          <w:i/>
          <w:snapToGrid/>
          <w:color w:val="252525"/>
          <w:kern w:val="0"/>
          <w:sz w:val="20"/>
          <w:szCs w:val="30"/>
        </w:rPr>
        <w:t> for U.S. — </w:t>
      </w:r>
      <w:r w:rsidRPr="009371B8" w:rsidR="009371B8">
        <w:rPr>
          <w:rFonts w:cs="Arial"/>
          <w:bCs/>
          <w:i/>
          <w:snapToGrid/>
          <w:color w:val="252525"/>
          <w:kern w:val="0"/>
          <w:sz w:val="20"/>
          <w:szCs w:val="30"/>
        </w:rPr>
        <w:t>Mexico</w:t>
      </w:r>
      <w:r w:rsidRPr="009371B8" w:rsidR="009371B8">
        <w:rPr>
          <w:rFonts w:cs="Arial"/>
          <w:i/>
          <w:snapToGrid/>
          <w:color w:val="252525"/>
          <w:kern w:val="0"/>
          <w:sz w:val="20"/>
          <w:szCs w:val="30"/>
        </w:rPr>
        <w:t> Sharing Zone</w:t>
      </w:r>
      <w:r w:rsidR="009371B8">
        <w:rPr>
          <w:rFonts w:cs="Arial"/>
          <w:i/>
          <w:snapToGrid/>
          <w:color w:val="252525"/>
          <w:kern w:val="0"/>
          <w:sz w:val="20"/>
          <w:szCs w:val="30"/>
        </w:rPr>
        <w:t xml:space="preserve">, </w:t>
      </w:r>
      <w:r w:rsidR="009371B8">
        <w:rPr>
          <w:rFonts w:cs="Arial"/>
          <w:snapToGrid/>
          <w:color w:val="252525"/>
          <w:kern w:val="0"/>
          <w:sz w:val="20"/>
          <w:szCs w:val="30"/>
        </w:rPr>
        <w:t>Fifth Report and Order, 28 FCC Rcd 4085 (2013).</w:t>
      </w:r>
    </w:p>
  </w:footnote>
  <w:footnote w:id="16">
    <w:p w:rsidR="00CC782F">
      <w:pPr>
        <w:pStyle w:val="FootnoteText"/>
      </w:pPr>
      <w:r w:rsidRPr="00C545D6">
        <w:rPr>
          <w:rStyle w:val="FootnoteReference"/>
        </w:rPr>
        <w:footnoteRef/>
      </w:r>
      <w:r w:rsidRPr="00C545D6">
        <w:t xml:space="preserve"> </w:t>
      </w:r>
      <w:r w:rsidR="00C545D6">
        <w:t>With the exception of Nevada, t</w:t>
      </w:r>
      <w:r w:rsidRPr="00C545D6" w:rsidR="00BE2D92">
        <w:t xml:space="preserve">he only regions outside the Mexico border area that are not fully complete are those in which License Acquisitions </w:t>
      </w:r>
      <w:r w:rsidRPr="00C545D6" w:rsidR="00C545D6">
        <w:t>holds an EA license.</w:t>
      </w:r>
      <w:r w:rsidR="0070507D">
        <w:t xml:space="preserve">  </w:t>
      </w:r>
      <w:r w:rsidR="00C545D6">
        <w:t>Letter to David Furth, Deputy Chief, Public Safety and Homeland Security Bureau from James Goldstein, Sprint – Status Report on 800 MHz Band Reconfiguration – Feb. 1, 2018 at 2.</w:t>
      </w:r>
    </w:p>
  </w:footnote>
  <w:footnote w:id="17">
    <w:p w:rsidR="00CC782F" w:rsidP="00BE2D92">
      <w:pPr>
        <w:pStyle w:val="FootnoteText"/>
      </w:pPr>
      <w:r w:rsidRPr="00BE2D92">
        <w:rPr>
          <w:rStyle w:val="FootnoteReference"/>
        </w:rPr>
        <w:footnoteRef/>
      </w:r>
      <w:r w:rsidRPr="00BE2D92">
        <w:t xml:space="preserve"> </w:t>
      </w:r>
      <w:r w:rsidRPr="00583FFE" w:rsidR="008C72E8">
        <w:rPr>
          <w:i/>
        </w:rPr>
        <w:t xml:space="preserve"> 800 MHz Report and Order</w:t>
      </w:r>
      <w:r w:rsidR="008C72E8">
        <w:t xml:space="preserve">, 19 FCC Rcd at 15052, para. 152. </w:t>
      </w:r>
    </w:p>
  </w:footnote>
  <w:footnote w:id="18">
    <w:p w:rsidR="00AF73C8" w:rsidP="00AF73C8">
      <w:pPr>
        <w:pStyle w:val="FootnoteText"/>
      </w:pPr>
      <w:r>
        <w:rPr>
          <w:rStyle w:val="FootnoteReference"/>
        </w:rPr>
        <w:footnoteRef/>
      </w:r>
      <w:r>
        <w:t xml:space="preserve"> We are not persuaded by </w:t>
      </w:r>
      <w:r w:rsidR="00A560DE">
        <w:t xml:space="preserve">License Acquisition’s </w:t>
      </w:r>
      <w:r>
        <w:t>arguments that granting its request would advance the public interest.  It claims that allowing it to vacate the ESMR portion of the band would lessen potential interference to Sprint Corporation’s (Sprint) operations.</w:t>
      </w:r>
      <w:r w:rsidR="008801C6">
        <w:t xml:space="preserve"> </w:t>
      </w:r>
      <w:r w:rsidR="0070507D">
        <w:t xml:space="preserve"> </w:t>
      </w:r>
      <w:r w:rsidR="008801C6">
        <w:t xml:space="preserve">License Acquisitions </w:t>
      </w:r>
      <w:r>
        <w:t>Letter at 2.  The Commission’s rules establish standards for interference avoidance and L</w:t>
      </w:r>
      <w:r w:rsidR="006A627A">
        <w:t xml:space="preserve">icense </w:t>
      </w:r>
      <w:r>
        <w:t>A</w:t>
      </w:r>
      <w:r w:rsidR="006A627A">
        <w:t>cquisitions’</w:t>
      </w:r>
      <w:r>
        <w:t xml:space="preserve"> adherence to those rules avoids any potential interference to Sprint. </w:t>
      </w:r>
      <w:r w:rsidR="008801C6">
        <w:t xml:space="preserve"> License Acquisitions </w:t>
      </w:r>
      <w:r>
        <w:t xml:space="preserve">also claims that, with grant of its request, Sprint would have access to additional spectrum, thereby improving service to its subscribers. </w:t>
      </w:r>
      <w:r w:rsidRPr="00512F2C">
        <w:rPr>
          <w:i/>
        </w:rPr>
        <w:t>Id</w:t>
      </w:r>
      <w:r>
        <w:t xml:space="preserve">. </w:t>
      </w:r>
      <w:r w:rsidR="008801C6">
        <w:t xml:space="preserve"> License Acquisitions </w:t>
      </w:r>
      <w:r>
        <w:t xml:space="preserve">has not shown that Sprint’s existing spectrum is inadequate to furnish adequate subscriber service.  </w:t>
      </w:r>
      <w:r w:rsidRPr="00512F2C">
        <w:t>Finally,</w:t>
      </w:r>
      <w:r w:rsidR="008801C6">
        <w:t xml:space="preserve"> License Acquisitions </w:t>
      </w:r>
      <w:r w:rsidRPr="00512F2C">
        <w:t xml:space="preserve">represents that </w:t>
      </w:r>
      <w:r>
        <w:t xml:space="preserve">granting its request would benefit the public by </w:t>
      </w:r>
      <w:r w:rsidRPr="00512F2C">
        <w:t>allow</w:t>
      </w:r>
      <w:r>
        <w:t>ing</w:t>
      </w:r>
      <w:r w:rsidR="008801C6">
        <w:t xml:space="preserve"> License Acquisitions </w:t>
      </w:r>
      <w:r w:rsidRPr="00512F2C">
        <w:t>to provide “machine-to-machine network services to mobile devices.”</w:t>
      </w:r>
      <w:r>
        <w:t xml:space="preserve"> </w:t>
      </w:r>
      <w:r w:rsidRPr="00512F2C">
        <w:rPr>
          <w:i/>
        </w:rPr>
        <w:t>Id</w:t>
      </w:r>
      <w:r>
        <w:t xml:space="preserve">. </w:t>
      </w:r>
      <w:r w:rsidR="008801C6">
        <w:t xml:space="preserve"> License Acquisitions </w:t>
      </w:r>
      <w:r>
        <w:t>has neither demonstrated a demand for such network service nor shown that it would be superior to the ESMR service that</w:t>
      </w:r>
      <w:r w:rsidR="008801C6">
        <w:t xml:space="preserve"> License Acquisitions </w:t>
      </w:r>
      <w:r>
        <w:t xml:space="preserve">represented it would provide.   </w:t>
      </w:r>
    </w:p>
  </w:footnote>
  <w:footnote w:id="19">
    <w:p w:rsidR="00AF73C8" w:rsidP="00AF73C8">
      <w:pPr>
        <w:pStyle w:val="FootnoteText"/>
      </w:pPr>
      <w:r>
        <w:rPr>
          <w:rStyle w:val="FootnoteReference"/>
        </w:rPr>
        <w:footnoteRef/>
      </w:r>
      <w:r>
        <w:t xml:space="preserve"> </w:t>
      </w:r>
      <w:r w:rsidRPr="00B62DA1">
        <w:rPr>
          <w:i/>
          <w:iCs/>
        </w:rPr>
        <w:t>WAIT Radio v. FCC</w:t>
      </w:r>
      <w:r w:rsidRPr="00B62DA1">
        <w:t>, 418 F.2d 1153, 1157 (D.C. Cir. 1969), </w:t>
      </w:r>
      <w:r w:rsidRPr="00B62DA1">
        <w:rPr>
          <w:i/>
          <w:iCs/>
        </w:rPr>
        <w:t>aff'd</w:t>
      </w:r>
      <w:r w:rsidRPr="00B62DA1">
        <w:t>, 459 F.2d 1203 (1973), </w:t>
      </w:r>
      <w:r w:rsidRPr="00B62DA1">
        <w:rPr>
          <w:i/>
          <w:iCs/>
        </w:rPr>
        <w:t>cert. denied</w:t>
      </w:r>
      <w:r w:rsidRPr="00B62DA1">
        <w:t>, 409 U.S. 1027 (1972)</w:t>
      </w:r>
      <w:r>
        <w:t xml:space="preserve"> (</w:t>
      </w:r>
      <w:r w:rsidRPr="006628A9">
        <w:rPr>
          <w:i/>
        </w:rPr>
        <w:t>WAIT Radio</w:t>
      </w:r>
      <w:r>
        <w:t xml:space="preserve">) </w:t>
      </w:r>
      <w:r w:rsidRPr="00B62DA1">
        <w:t>(</w:t>
      </w:r>
      <w:r w:rsidRPr="00B62DA1">
        <w:rPr>
          <w:i/>
          <w:iCs/>
        </w:rPr>
        <w:t>citing Rio Grande Family Radio Fellowship, Inc. v. FCC</w:t>
      </w:r>
      <w:r w:rsidRPr="00B62DA1">
        <w:t>, 406 F.2d 664 (D.C. Cir. 1968)); Birach Broad. Corp., </w:t>
      </w:r>
      <w:r w:rsidRPr="00B62DA1">
        <w:rPr>
          <w:i/>
          <w:iCs/>
        </w:rPr>
        <w:t>Memorandum Opinion and Order</w:t>
      </w:r>
      <w:r w:rsidRPr="00B62DA1">
        <w:t>, 18 FCC Rcd 1414, 1415 (2003)</w:t>
      </w:r>
      <w:r>
        <w:t>.</w:t>
      </w:r>
    </w:p>
  </w:footnote>
  <w:footnote w:id="20">
    <w:p w:rsidR="00216A64" w:rsidP="00216A64">
      <w:pPr>
        <w:pStyle w:val="FootnoteText"/>
      </w:pPr>
      <w:r>
        <w:rPr>
          <w:rStyle w:val="FootnoteReference"/>
        </w:rPr>
        <w:footnoteRef/>
      </w:r>
      <w:r>
        <w:t xml:space="preserve"> License Acquisitions Letter at 1.</w:t>
      </w:r>
    </w:p>
  </w:footnote>
  <w:footnote w:id="21">
    <w:p w:rsidR="00AF73C8" w:rsidP="00AF73C8">
      <w:pPr>
        <w:pStyle w:val="FootnoteText"/>
      </w:pPr>
      <w:r>
        <w:rPr>
          <w:rStyle w:val="FootnoteReference"/>
        </w:rPr>
        <w:footnoteRef/>
      </w:r>
      <w:r>
        <w:t xml:space="preserve"> </w:t>
      </w:r>
      <w:r w:rsidRPr="000C6D00">
        <w:rPr>
          <w:i/>
        </w:rPr>
        <w:t>Id.</w:t>
      </w:r>
    </w:p>
  </w:footnote>
  <w:footnote w:id="22">
    <w:p w:rsidR="00AF73C8" w:rsidP="00AF73C8">
      <w:pPr>
        <w:pStyle w:val="FootnoteText"/>
      </w:pPr>
      <w:r>
        <w:rPr>
          <w:rStyle w:val="FootnoteReference"/>
        </w:rPr>
        <w:footnoteRef/>
      </w:r>
      <w:r>
        <w:t xml:space="preserve"> Letter from Carole L. Downs, Manager, License Acquisitions, LLC, to Michael J. Wilhelm, Deputy Chief, Policy and Licensing Division, Public Safety and Homeland Security Bureau, July 7, 2011; Letter from</w:t>
      </w:r>
      <w:r w:rsidRPr="006628A9">
        <w:t xml:space="preserve"> Carole L. Downs, Manager, License Acquisitions, LLC, to Michael J. Wilhelm, Deputy Chief, Policy and Licensing Division, Public Safety and Homeland Security Bureau</w:t>
      </w:r>
      <w:r>
        <w:t xml:space="preserve">, July 14, 2015.  </w:t>
      </w:r>
    </w:p>
  </w:footnote>
  <w:footnote w:id="23">
    <w:p w:rsidR="00A106C7">
      <w:pPr>
        <w:pStyle w:val="FootnoteText"/>
      </w:pPr>
      <w:r>
        <w:rPr>
          <w:rStyle w:val="FootnoteReference"/>
        </w:rPr>
        <w:footnoteRef/>
      </w:r>
      <w:r>
        <w:t xml:space="preserve"> </w:t>
      </w:r>
      <w:r w:rsidRPr="00CB4F20">
        <w:rPr>
          <w:i/>
        </w:rPr>
        <w:t>See</w:t>
      </w:r>
      <w:r>
        <w:t xml:space="preserve"> ULS file numbers associated with the call signs listed </w:t>
      </w:r>
      <w:r w:rsidRPr="00CB4F20">
        <w:rPr>
          <w:i/>
        </w:rPr>
        <w:t>supra</w:t>
      </w:r>
      <w:r>
        <w:t xml:space="preserve"> n.</w:t>
      </w:r>
      <w:r>
        <w:fldChar w:fldCharType="begin"/>
      </w:r>
      <w:r>
        <w:instrText xml:space="preserve"> NOTEREF _Ref505933670 \h </w:instrText>
      </w:r>
      <w:r>
        <w:fldChar w:fldCharType="separate"/>
      </w:r>
      <w:r>
        <w:t>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B4F20">
      <w:t xml:space="preserve">DA </w:t>
    </w:r>
    <w:r w:rsidR="00F74625">
      <w:t>18</w:t>
    </w:r>
    <w:r w:rsidR="00CB4F20">
      <w:t>-</w:t>
    </w:r>
    <w:r w:rsidR="00F74625">
      <w:t>238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D37CF">
      <w:rPr>
        <w:spacing w:val="-2"/>
      </w:rPr>
      <w:t xml:space="preserve">DA </w:t>
    </w:r>
    <w:r w:rsidR="00F74625">
      <w:rPr>
        <w:spacing w:val="-2"/>
      </w:rPr>
      <w:t>18</w:t>
    </w:r>
    <w:r w:rsidR="00DD37CF">
      <w:rPr>
        <w:spacing w:val="-2"/>
      </w:rPr>
      <w:t>-</w:t>
    </w:r>
    <w:r w:rsidR="00F74625">
      <w:rPr>
        <w:spacing w:val="-2"/>
      </w:rPr>
      <w:t>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14770BF"/>
    <w:multiLevelType w:val="hybridMultilevel"/>
    <w:tmpl w:val="63807C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C"/>
    <w:rsid w:val="00003BEF"/>
    <w:rsid w:val="00004CEC"/>
    <w:rsid w:val="00036039"/>
    <w:rsid w:val="00037F90"/>
    <w:rsid w:val="000875BF"/>
    <w:rsid w:val="00093A00"/>
    <w:rsid w:val="00096D8C"/>
    <w:rsid w:val="000C0B65"/>
    <w:rsid w:val="000C6D00"/>
    <w:rsid w:val="000D5214"/>
    <w:rsid w:val="000D6741"/>
    <w:rsid w:val="000E05FE"/>
    <w:rsid w:val="000E3D42"/>
    <w:rsid w:val="00100EA7"/>
    <w:rsid w:val="00111465"/>
    <w:rsid w:val="00122BD5"/>
    <w:rsid w:val="00133F79"/>
    <w:rsid w:val="00137F90"/>
    <w:rsid w:val="001746F7"/>
    <w:rsid w:val="00194A66"/>
    <w:rsid w:val="001B6458"/>
    <w:rsid w:val="001D37EA"/>
    <w:rsid w:val="001D435A"/>
    <w:rsid w:val="001D6BCF"/>
    <w:rsid w:val="001E01CA"/>
    <w:rsid w:val="001F7E6E"/>
    <w:rsid w:val="001F7E6F"/>
    <w:rsid w:val="00216A64"/>
    <w:rsid w:val="00237204"/>
    <w:rsid w:val="0024690D"/>
    <w:rsid w:val="002659C6"/>
    <w:rsid w:val="00275CF5"/>
    <w:rsid w:val="0028301F"/>
    <w:rsid w:val="00285017"/>
    <w:rsid w:val="002A2101"/>
    <w:rsid w:val="002A2D2E"/>
    <w:rsid w:val="002C00E8"/>
    <w:rsid w:val="002E7647"/>
    <w:rsid w:val="00304215"/>
    <w:rsid w:val="00343749"/>
    <w:rsid w:val="003660ED"/>
    <w:rsid w:val="00372C98"/>
    <w:rsid w:val="00373186"/>
    <w:rsid w:val="003B0550"/>
    <w:rsid w:val="003B2EC1"/>
    <w:rsid w:val="003B694F"/>
    <w:rsid w:val="003D6E5C"/>
    <w:rsid w:val="003E152B"/>
    <w:rsid w:val="003F171C"/>
    <w:rsid w:val="003F3B1F"/>
    <w:rsid w:val="00412FC5"/>
    <w:rsid w:val="00422276"/>
    <w:rsid w:val="004242F1"/>
    <w:rsid w:val="00445A00"/>
    <w:rsid w:val="00451B0F"/>
    <w:rsid w:val="00470178"/>
    <w:rsid w:val="004702FF"/>
    <w:rsid w:val="00470420"/>
    <w:rsid w:val="00491DBB"/>
    <w:rsid w:val="004C2EE3"/>
    <w:rsid w:val="004C6620"/>
    <w:rsid w:val="004E4A22"/>
    <w:rsid w:val="004F2CFF"/>
    <w:rsid w:val="00511968"/>
    <w:rsid w:val="00512F2C"/>
    <w:rsid w:val="005259C6"/>
    <w:rsid w:val="00541FA9"/>
    <w:rsid w:val="00543BD1"/>
    <w:rsid w:val="0055614C"/>
    <w:rsid w:val="00583FFE"/>
    <w:rsid w:val="005E14C2"/>
    <w:rsid w:val="005E5C56"/>
    <w:rsid w:val="006017DF"/>
    <w:rsid w:val="00607BA5"/>
    <w:rsid w:val="0061180A"/>
    <w:rsid w:val="00626EB6"/>
    <w:rsid w:val="0064770E"/>
    <w:rsid w:val="00650EAF"/>
    <w:rsid w:val="00655D03"/>
    <w:rsid w:val="00661EB1"/>
    <w:rsid w:val="006628A9"/>
    <w:rsid w:val="0067378C"/>
    <w:rsid w:val="006758D9"/>
    <w:rsid w:val="00683388"/>
    <w:rsid w:val="00683F84"/>
    <w:rsid w:val="006A627A"/>
    <w:rsid w:val="006A6A81"/>
    <w:rsid w:val="006D5F7D"/>
    <w:rsid w:val="006F396B"/>
    <w:rsid w:val="006F7393"/>
    <w:rsid w:val="0070224F"/>
    <w:rsid w:val="0070507D"/>
    <w:rsid w:val="007115F7"/>
    <w:rsid w:val="00755AFA"/>
    <w:rsid w:val="00756EF1"/>
    <w:rsid w:val="00783119"/>
    <w:rsid w:val="00785689"/>
    <w:rsid w:val="00786096"/>
    <w:rsid w:val="0079265B"/>
    <w:rsid w:val="0079754B"/>
    <w:rsid w:val="007A1E6D"/>
    <w:rsid w:val="007B0EB2"/>
    <w:rsid w:val="007D2BE2"/>
    <w:rsid w:val="007E50DF"/>
    <w:rsid w:val="00810B6F"/>
    <w:rsid w:val="00822CE0"/>
    <w:rsid w:val="00841AB1"/>
    <w:rsid w:val="008610DE"/>
    <w:rsid w:val="00865CC9"/>
    <w:rsid w:val="0087003A"/>
    <w:rsid w:val="00874860"/>
    <w:rsid w:val="00874EAF"/>
    <w:rsid w:val="008801C6"/>
    <w:rsid w:val="008C68F1"/>
    <w:rsid w:val="008C72E8"/>
    <w:rsid w:val="008E7B85"/>
    <w:rsid w:val="008F2732"/>
    <w:rsid w:val="00921803"/>
    <w:rsid w:val="00925696"/>
    <w:rsid w:val="009264A5"/>
    <w:rsid w:val="00926503"/>
    <w:rsid w:val="00931EC5"/>
    <w:rsid w:val="009371B8"/>
    <w:rsid w:val="00965A2E"/>
    <w:rsid w:val="009726D8"/>
    <w:rsid w:val="00981E67"/>
    <w:rsid w:val="00982312"/>
    <w:rsid w:val="00984B1B"/>
    <w:rsid w:val="009B1290"/>
    <w:rsid w:val="009F76DB"/>
    <w:rsid w:val="00A03936"/>
    <w:rsid w:val="00A106C7"/>
    <w:rsid w:val="00A32C3B"/>
    <w:rsid w:val="00A45F4F"/>
    <w:rsid w:val="00A5044E"/>
    <w:rsid w:val="00A560DE"/>
    <w:rsid w:val="00A600A9"/>
    <w:rsid w:val="00AA55B7"/>
    <w:rsid w:val="00AA5B9E"/>
    <w:rsid w:val="00AB2407"/>
    <w:rsid w:val="00AB53DF"/>
    <w:rsid w:val="00AE26EF"/>
    <w:rsid w:val="00AF73C8"/>
    <w:rsid w:val="00B07E5C"/>
    <w:rsid w:val="00B62DA1"/>
    <w:rsid w:val="00B72933"/>
    <w:rsid w:val="00B811F7"/>
    <w:rsid w:val="00BA5DC6"/>
    <w:rsid w:val="00BA6196"/>
    <w:rsid w:val="00BC6D8C"/>
    <w:rsid w:val="00BD37DE"/>
    <w:rsid w:val="00BE1923"/>
    <w:rsid w:val="00BE2D92"/>
    <w:rsid w:val="00C2180C"/>
    <w:rsid w:val="00C24ABE"/>
    <w:rsid w:val="00C34006"/>
    <w:rsid w:val="00C426B1"/>
    <w:rsid w:val="00C545D6"/>
    <w:rsid w:val="00C66160"/>
    <w:rsid w:val="00C716E3"/>
    <w:rsid w:val="00C721AC"/>
    <w:rsid w:val="00C90D6A"/>
    <w:rsid w:val="00CA1CFD"/>
    <w:rsid w:val="00CA247E"/>
    <w:rsid w:val="00CB4F20"/>
    <w:rsid w:val="00CC72B6"/>
    <w:rsid w:val="00CC782F"/>
    <w:rsid w:val="00CD0904"/>
    <w:rsid w:val="00D0218D"/>
    <w:rsid w:val="00D17C37"/>
    <w:rsid w:val="00D25FB5"/>
    <w:rsid w:val="00D44223"/>
    <w:rsid w:val="00D6547E"/>
    <w:rsid w:val="00D94F37"/>
    <w:rsid w:val="00D96EE7"/>
    <w:rsid w:val="00DA2529"/>
    <w:rsid w:val="00DB130A"/>
    <w:rsid w:val="00DB2EBB"/>
    <w:rsid w:val="00DC10A1"/>
    <w:rsid w:val="00DC655F"/>
    <w:rsid w:val="00DD0B59"/>
    <w:rsid w:val="00DD37CF"/>
    <w:rsid w:val="00DD7EBD"/>
    <w:rsid w:val="00DE693D"/>
    <w:rsid w:val="00DF62B6"/>
    <w:rsid w:val="00E07225"/>
    <w:rsid w:val="00E2597F"/>
    <w:rsid w:val="00E5409F"/>
    <w:rsid w:val="00EA1805"/>
    <w:rsid w:val="00EE6488"/>
    <w:rsid w:val="00F021FA"/>
    <w:rsid w:val="00F47C3B"/>
    <w:rsid w:val="00F51C04"/>
    <w:rsid w:val="00F62E97"/>
    <w:rsid w:val="00F64209"/>
    <w:rsid w:val="00F74625"/>
    <w:rsid w:val="00F93BF5"/>
    <w:rsid w:val="00FE2979"/>
    <w:rsid w:val="00FE7224"/>
    <w:rsid w:val="00FE7307"/>
    <w:rsid w:val="00FF59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AF73C8"/>
  </w:style>
  <w:style w:type="paragraph" w:styleId="ListParagraph">
    <w:name w:val="List Paragraph"/>
    <w:basedOn w:val="Normal"/>
    <w:uiPriority w:val="34"/>
    <w:qFormat/>
    <w:rsid w:val="005259C6"/>
    <w:pPr>
      <w:ind w:left="720"/>
    </w:pPr>
  </w:style>
  <w:style w:type="paragraph" w:styleId="BalloonText">
    <w:name w:val="Balloon Text"/>
    <w:basedOn w:val="Normal"/>
    <w:link w:val="BalloonTextChar"/>
    <w:rsid w:val="00A560DE"/>
    <w:rPr>
      <w:rFonts w:ascii="Segoe UI" w:hAnsi="Segoe UI" w:cs="Segoe UI"/>
      <w:sz w:val="18"/>
      <w:szCs w:val="18"/>
    </w:rPr>
  </w:style>
  <w:style w:type="character" w:customStyle="1" w:styleId="BalloonTextChar">
    <w:name w:val="Balloon Text Char"/>
    <w:basedOn w:val="DefaultParagraphFont"/>
    <w:link w:val="BalloonText"/>
    <w:rsid w:val="00A560DE"/>
    <w:rPr>
      <w:rFonts w:ascii="Segoe UI" w:hAnsi="Segoe UI" w:cs="Segoe UI"/>
      <w:snapToGrid w:val="0"/>
      <w:kern w:val="28"/>
      <w:sz w:val="18"/>
      <w:szCs w:val="18"/>
    </w:rPr>
  </w:style>
  <w:style w:type="character" w:styleId="CommentReference">
    <w:name w:val="annotation reference"/>
    <w:basedOn w:val="DefaultParagraphFont"/>
    <w:rsid w:val="00A560DE"/>
    <w:rPr>
      <w:sz w:val="16"/>
      <w:szCs w:val="16"/>
    </w:rPr>
  </w:style>
  <w:style w:type="paragraph" w:styleId="CommentText">
    <w:name w:val="annotation text"/>
    <w:basedOn w:val="Normal"/>
    <w:link w:val="CommentTextChar"/>
    <w:rsid w:val="00A560DE"/>
    <w:rPr>
      <w:sz w:val="20"/>
    </w:rPr>
  </w:style>
  <w:style w:type="character" w:customStyle="1" w:styleId="CommentTextChar">
    <w:name w:val="Comment Text Char"/>
    <w:basedOn w:val="DefaultParagraphFont"/>
    <w:link w:val="CommentText"/>
    <w:rsid w:val="00A560DE"/>
    <w:rPr>
      <w:snapToGrid w:val="0"/>
      <w:kern w:val="28"/>
    </w:rPr>
  </w:style>
  <w:style w:type="paragraph" w:styleId="CommentSubject">
    <w:name w:val="annotation subject"/>
    <w:basedOn w:val="CommentText"/>
    <w:next w:val="CommentText"/>
    <w:link w:val="CommentSubjectChar"/>
    <w:rsid w:val="00A560DE"/>
    <w:rPr>
      <w:b/>
      <w:bCs/>
    </w:rPr>
  </w:style>
  <w:style w:type="character" w:customStyle="1" w:styleId="CommentSubjectChar">
    <w:name w:val="Comment Subject Char"/>
    <w:basedOn w:val="CommentTextChar"/>
    <w:link w:val="CommentSubject"/>
    <w:rsid w:val="00A560DE"/>
    <w:rPr>
      <w:b/>
      <w:bCs/>
      <w:snapToGrid w:val="0"/>
      <w:kern w:val="28"/>
    </w:rPr>
  </w:style>
  <w:style w:type="paragraph" w:styleId="Revision">
    <w:name w:val="Revision"/>
    <w:hidden/>
    <w:uiPriority w:val="99"/>
    <w:semiHidden/>
    <w:rsid w:val="000D521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0AFE-10CE-4C1A-94A9-02470D62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2018-03-12T16:32:14Z</dcterms:created>
  <dcterms:modified xsi:type="dcterms:W3CDTF">2018-03-12T16:32:14Z</dcterms:modified>
</cp:coreProperties>
</file>