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4379A" w:rsidP="00B4379A" w14:paraId="5EAE34DB" w14:textId="77777777">
      <w:pPr>
        <w:jc w:val="right"/>
        <w:rPr>
          <w:b/>
          <w:szCs w:val="22"/>
        </w:rPr>
      </w:pPr>
      <w:bookmarkStart w:id="0" w:name="_GoBack"/>
      <w:bookmarkEnd w:id="0"/>
    </w:p>
    <w:p w:rsidR="00B4379A" w:rsidRPr="005949D3" w:rsidP="00B4379A" w14:paraId="5C2E8DAC" w14:textId="01B51D91">
      <w:pPr>
        <w:jc w:val="right"/>
        <w:rPr>
          <w:b/>
          <w:szCs w:val="22"/>
        </w:rPr>
      </w:pPr>
      <w:r w:rsidRPr="005949D3">
        <w:rPr>
          <w:b/>
          <w:szCs w:val="22"/>
        </w:rPr>
        <w:t>DA 18-</w:t>
      </w:r>
      <w:r w:rsidR="00F23A03">
        <w:rPr>
          <w:b/>
          <w:szCs w:val="22"/>
        </w:rPr>
        <w:t>216</w:t>
      </w:r>
    </w:p>
    <w:p w:rsidR="00B4379A" w:rsidRPr="005949D3" w:rsidP="00B4379A" w14:paraId="00FDF0B5" w14:textId="1AD1C5E0">
      <w:pPr>
        <w:spacing w:before="60"/>
        <w:jc w:val="right"/>
        <w:rPr>
          <w:b/>
          <w:szCs w:val="22"/>
        </w:rPr>
      </w:pPr>
      <w:r w:rsidRPr="00F23A03">
        <w:rPr>
          <w:b/>
          <w:szCs w:val="22"/>
        </w:rPr>
        <w:t>March</w:t>
      </w:r>
      <w:r w:rsidRPr="00F23A03" w:rsidR="00CD6A6B">
        <w:rPr>
          <w:b/>
          <w:szCs w:val="22"/>
        </w:rPr>
        <w:t xml:space="preserve"> </w:t>
      </w:r>
      <w:r w:rsidR="00F23A03">
        <w:rPr>
          <w:b/>
          <w:szCs w:val="22"/>
        </w:rPr>
        <w:t>6</w:t>
      </w:r>
      <w:r w:rsidRPr="00F23A03" w:rsidR="00CD6A6B">
        <w:rPr>
          <w:b/>
          <w:szCs w:val="22"/>
        </w:rPr>
        <w:t xml:space="preserve">, </w:t>
      </w:r>
      <w:r w:rsidRPr="00F23A03">
        <w:rPr>
          <w:b/>
          <w:szCs w:val="22"/>
        </w:rPr>
        <w:t>2</w:t>
      </w:r>
      <w:r w:rsidRPr="00B738B2">
        <w:rPr>
          <w:b/>
          <w:szCs w:val="22"/>
        </w:rPr>
        <w:t>018</w:t>
      </w:r>
    </w:p>
    <w:p w:rsidR="00B4379A" w:rsidRPr="005949D3" w:rsidP="00B4379A" w14:paraId="2907EE7A" w14:textId="77777777">
      <w:pPr>
        <w:jc w:val="right"/>
        <w:rPr>
          <w:sz w:val="24"/>
        </w:rPr>
      </w:pPr>
    </w:p>
    <w:p w:rsidR="00B4379A" w:rsidRPr="005949D3" w:rsidP="00B4379A" w14:paraId="305483EE" w14:textId="77777777">
      <w:pPr>
        <w:jc w:val="center"/>
        <w:rPr>
          <w:b/>
          <w:sz w:val="24"/>
        </w:rPr>
      </w:pPr>
      <w:r>
        <w:rPr>
          <w:b/>
          <w:sz w:val="24"/>
        </w:rPr>
        <w:t>NOTICE OF EFFECTIVE DATE OF</w:t>
      </w:r>
      <w:r w:rsidRPr="005949D3">
        <w:rPr>
          <w:b/>
          <w:sz w:val="24"/>
        </w:rPr>
        <w:t xml:space="preserve"> HEARING AID COMPATIBILITY </w:t>
      </w:r>
      <w:r>
        <w:rPr>
          <w:b/>
          <w:sz w:val="24"/>
        </w:rPr>
        <w:t>RULES</w:t>
      </w:r>
    </w:p>
    <w:p w:rsidR="00B4379A" w:rsidP="00B4379A" w14:paraId="35561CFD" w14:textId="77777777">
      <w:pPr>
        <w:spacing w:line="227" w:lineRule="auto"/>
        <w:jc w:val="center"/>
        <w:rPr>
          <w:b/>
        </w:rPr>
      </w:pPr>
    </w:p>
    <w:p w:rsidR="00B4379A" w:rsidRPr="005949D3" w:rsidP="00B4379A" w14:paraId="43A2D7BC" w14:textId="77777777">
      <w:pPr>
        <w:spacing w:line="227" w:lineRule="auto"/>
        <w:jc w:val="center"/>
        <w:rPr>
          <w:b/>
          <w:sz w:val="24"/>
        </w:rPr>
      </w:pPr>
      <w:r w:rsidRPr="005949D3">
        <w:rPr>
          <w:b/>
        </w:rPr>
        <w:t>CG Docket No. 13-46, WT Docket Nos. 07-250 and 10-254</w:t>
      </w:r>
    </w:p>
    <w:p w:rsidR="00B4379A" w:rsidRPr="005949D3" w:rsidP="00B4379A" w14:paraId="593B23DF" w14:textId="77777777">
      <w:pPr>
        <w:rPr>
          <w:sz w:val="24"/>
        </w:rPr>
      </w:pPr>
    </w:p>
    <w:p w:rsidR="00B4379A" w:rsidRPr="005949D3" w:rsidP="00B4379A" w14:paraId="4CDBF8A1" w14:textId="77777777">
      <w:pPr>
        <w:spacing w:after="120"/>
        <w:rPr>
          <w:szCs w:val="22"/>
        </w:rPr>
      </w:pPr>
      <w:r w:rsidRPr="005949D3">
        <w:rPr>
          <w:sz w:val="24"/>
        </w:rPr>
        <w:tab/>
      </w:r>
      <w:r w:rsidRPr="005949D3">
        <w:rPr>
          <w:szCs w:val="22"/>
        </w:rPr>
        <w:t>On October 24, 2017, the Federal Communications Commission (Commission or FCC)</w:t>
      </w:r>
      <w:r w:rsidRPr="005949D3">
        <w:rPr>
          <w:szCs w:val="22"/>
          <w:vertAlign w:val="superscript"/>
        </w:rPr>
        <w:t xml:space="preserve"> </w:t>
      </w:r>
      <w:r w:rsidRPr="005949D3">
        <w:rPr>
          <w:szCs w:val="22"/>
        </w:rPr>
        <w:t xml:space="preserve">amended the hearing aid compatibility (HAC) rules </w:t>
      </w:r>
      <w:r>
        <w:rPr>
          <w:szCs w:val="22"/>
        </w:rPr>
        <w:t>governing wireline and wireless handsets.</w:t>
      </w:r>
      <w:r>
        <w:rPr>
          <w:szCs w:val="22"/>
          <w:vertAlign w:val="superscript"/>
        </w:rPr>
        <w:footnoteReference w:id="3"/>
      </w:r>
      <w:r w:rsidRPr="005949D3">
        <w:rPr>
          <w:szCs w:val="22"/>
        </w:rPr>
        <w:t xml:space="preserve">  Among other things, the Commission approved a new wireline HAC volume control standard</w:t>
      </w:r>
      <w:r>
        <w:rPr>
          <w:szCs w:val="22"/>
        </w:rPr>
        <w:t>,</w:t>
      </w:r>
      <w:r w:rsidRPr="005949D3">
        <w:rPr>
          <w:szCs w:val="22"/>
        </w:rPr>
        <w:t xml:space="preserve"> adopt</w:t>
      </w:r>
      <w:r>
        <w:rPr>
          <w:szCs w:val="22"/>
        </w:rPr>
        <w:t>ed</w:t>
      </w:r>
      <w:r w:rsidRPr="005949D3">
        <w:rPr>
          <w:szCs w:val="22"/>
        </w:rPr>
        <w:t xml:space="preserve"> a requirement for volume control in wireless handsets</w:t>
      </w:r>
      <w:r w:rsidRPr="00B738B2">
        <w:rPr>
          <w:szCs w:val="22"/>
        </w:rPr>
        <w:t>, and eliminated an obsolete wireless handset standard.</w:t>
      </w:r>
      <w:r>
        <w:rPr>
          <w:szCs w:val="22"/>
          <w:vertAlign w:val="superscript"/>
        </w:rPr>
        <w:footnoteReference w:id="4"/>
      </w:r>
      <w:r w:rsidRPr="00B738B2">
        <w:rPr>
          <w:szCs w:val="22"/>
        </w:rPr>
        <w:t xml:space="preserve">  The effective date for these rules is March 30, 2018</w:t>
      </w:r>
      <w:r>
        <w:rPr>
          <w:szCs w:val="22"/>
        </w:rPr>
        <w:t>,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which </w:t>
      </w:r>
      <w:r w:rsidRPr="005949D3">
        <w:rPr>
          <w:szCs w:val="22"/>
        </w:rPr>
        <w:t xml:space="preserve">is thirty days after the date of publication of the </w:t>
      </w:r>
      <w:r w:rsidRPr="005949D3">
        <w:rPr>
          <w:i/>
          <w:szCs w:val="22"/>
        </w:rPr>
        <w:t xml:space="preserve">HAC Order </w:t>
      </w:r>
      <w:r w:rsidRPr="005949D3">
        <w:rPr>
          <w:szCs w:val="22"/>
        </w:rPr>
        <w:t xml:space="preserve">in the </w:t>
      </w:r>
      <w:r w:rsidRPr="005949D3">
        <w:rPr>
          <w:i/>
          <w:szCs w:val="22"/>
        </w:rPr>
        <w:t>Federal Register</w:t>
      </w:r>
      <w:r w:rsidRPr="005949D3">
        <w:rPr>
          <w:szCs w:val="22"/>
        </w:rPr>
        <w:t>.</w:t>
      </w:r>
      <w:r>
        <w:rPr>
          <w:szCs w:val="22"/>
          <w:vertAlign w:val="superscript"/>
        </w:rPr>
        <w:footnoteReference w:id="6"/>
      </w:r>
      <w:r w:rsidRPr="005949D3">
        <w:rPr>
          <w:szCs w:val="22"/>
        </w:rPr>
        <w:t xml:space="preserve">    </w:t>
      </w:r>
    </w:p>
    <w:p w:rsidR="00B4379A" w:rsidRPr="005949D3" w:rsidP="00B4379A" w14:paraId="2DDE116E" w14:textId="40A90FC5">
      <w:pPr>
        <w:spacing w:after="120"/>
        <w:rPr>
          <w:szCs w:val="22"/>
        </w:rPr>
      </w:pPr>
      <w:r w:rsidRPr="005949D3">
        <w:rPr>
          <w:szCs w:val="22"/>
        </w:rPr>
        <w:tab/>
      </w:r>
      <w:r w:rsidRPr="005949D3">
        <w:rPr>
          <w:szCs w:val="22"/>
        </w:rPr>
        <w:t xml:space="preserve">To request materials in accessible formats for people with disabilities (braille, large print, electronic files, or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5949D3">
        <w:rPr>
          <w:color w:val="0000FF"/>
          <w:szCs w:val="22"/>
          <w:u w:val="single"/>
        </w:rPr>
        <w:t>fcc504@fcc.gov</w:t>
      </w:r>
      <w:r>
        <w:fldChar w:fldCharType="end"/>
      </w:r>
      <w:r w:rsidRPr="005949D3">
        <w:rPr>
          <w:szCs w:val="22"/>
        </w:rPr>
        <w:t xml:space="preserve"> or call the Consumer and Governmental Affairs Bureau at (202) 418-0530 (voice), (</w:t>
      </w:r>
      <w:r w:rsidRPr="005949D3">
        <w:t>844) 432-2275 (videophone), or</w:t>
      </w:r>
      <w:r w:rsidRPr="005949D3">
        <w:rPr>
          <w:szCs w:val="22"/>
        </w:rPr>
        <w:t xml:space="preserve"> (202) 418-0432 (TTY).  </w:t>
      </w:r>
    </w:p>
    <w:p w:rsidR="006A1F49" w:rsidP="00DE060C" w14:paraId="3B4F73BD" w14:textId="30A59324">
      <w:pPr>
        <w:spacing w:after="120"/>
        <w:rPr>
          <w:szCs w:val="22"/>
        </w:rPr>
      </w:pPr>
      <w:r w:rsidRPr="005949D3">
        <w:rPr>
          <w:szCs w:val="22"/>
        </w:rPr>
        <w:tab/>
        <w:t xml:space="preserve">For further information about this proceeding, please contact (1) for wireless issues: Jonathan Lechter at (202) 418-7387 or </w:t>
      </w:r>
      <w:r>
        <w:fldChar w:fldCharType="begin"/>
      </w:r>
      <w:r>
        <w:instrText xml:space="preserve"> HYPERLINK "mailto:Jonathan.Lechter@fcc.gov" </w:instrText>
      </w:r>
      <w:r>
        <w:fldChar w:fldCharType="separate"/>
      </w:r>
      <w:r w:rsidRPr="005949D3">
        <w:rPr>
          <w:color w:val="0000FF"/>
          <w:szCs w:val="22"/>
          <w:u w:val="single"/>
        </w:rPr>
        <w:t>Jonathan.Lechter@fcc.gov</w:t>
      </w:r>
      <w:r>
        <w:fldChar w:fldCharType="end"/>
      </w:r>
      <w:r w:rsidRPr="005949D3">
        <w:rPr>
          <w:szCs w:val="22"/>
        </w:rPr>
        <w:t xml:space="preserve">; and (2) for wireline issues:  Susan Bahr at (202) 418-0573 or </w:t>
      </w:r>
      <w:r>
        <w:fldChar w:fldCharType="begin"/>
      </w:r>
      <w:r>
        <w:instrText xml:space="preserve"> HYPERLINK "mailto:Susan.Bahr@fcc.gov" </w:instrText>
      </w:r>
      <w:r>
        <w:fldChar w:fldCharType="separate"/>
      </w:r>
      <w:r w:rsidRPr="005949D3">
        <w:rPr>
          <w:color w:val="0000FF"/>
          <w:szCs w:val="22"/>
          <w:u w:val="single"/>
        </w:rPr>
        <w:t>Susan.Bahr@fcc.gov</w:t>
      </w:r>
      <w:r>
        <w:fldChar w:fldCharType="end"/>
      </w:r>
      <w:r>
        <w:rPr>
          <w:szCs w:val="22"/>
        </w:rPr>
        <w:t>.</w:t>
      </w:r>
    </w:p>
    <w:p w:rsidR="00F23A03" w:rsidP="00DE060C" w14:paraId="6D0857E8" w14:textId="7421470E">
      <w:pPr>
        <w:spacing w:after="120"/>
        <w:rPr>
          <w:szCs w:val="22"/>
        </w:rPr>
      </w:pPr>
    </w:p>
    <w:p w:rsidR="00F23A03" w:rsidP="00DE060C" w14:paraId="3BAFD3F4" w14:textId="636318D2">
      <w:pPr>
        <w:spacing w:after="120"/>
        <w:rPr>
          <w:szCs w:val="22"/>
        </w:rPr>
      </w:pPr>
    </w:p>
    <w:p w:rsidR="00F23A03" w:rsidRPr="00F23A03" w:rsidP="00F23A03" w14:paraId="6BBC20AE" w14:textId="18D88C99">
      <w:pPr>
        <w:spacing w:after="120"/>
        <w:jc w:val="center"/>
        <w:rPr>
          <w:b/>
          <w:sz w:val="24"/>
        </w:rPr>
      </w:pPr>
      <w:r w:rsidRPr="00F23A03">
        <w:rPr>
          <w:b/>
          <w:szCs w:val="22"/>
        </w:rPr>
        <w:t>-FCC-</w:t>
      </w:r>
    </w:p>
    <w:sectPr w:rsidSect="00DF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54C260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55C898F" w14:textId="77777777">
    <w:pPr>
      <w:pStyle w:val="Footer"/>
    </w:pPr>
  </w:p>
  <w:p w:rsidR="003660ED" w14:paraId="4A15D557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1C1A26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 w14:paraId="7C7F757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10E92B5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379A" w14:paraId="7217FE23" w14:textId="77777777">
      <w:r>
        <w:separator/>
      </w:r>
    </w:p>
  </w:footnote>
  <w:footnote w:type="continuationSeparator" w:id="1">
    <w:p w:rsidR="00B4379A" w:rsidP="00C721AC" w14:paraId="70F6F8D8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4379A" w:rsidP="00C721AC" w14:paraId="461210B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4379A" w:rsidRPr="00852BDB" w:rsidP="00B4379A" w14:paraId="5C03E7D5" w14:textId="77777777">
      <w:pPr>
        <w:pStyle w:val="FootnoteText"/>
      </w:pPr>
      <w:r w:rsidRPr="00DA3CED">
        <w:rPr>
          <w:rStyle w:val="FootnoteReference"/>
        </w:rPr>
        <w:footnoteRef/>
      </w:r>
      <w:r w:rsidRPr="00DA3CED">
        <w:t xml:space="preserve"> </w:t>
      </w:r>
      <w:r w:rsidRPr="00DA3CED">
        <w:rPr>
          <w:i/>
        </w:rPr>
        <w:t>Access to Telecommunication Equipment and Services by Persons with Disabilities</w:t>
      </w:r>
      <w:r w:rsidRPr="00DA3CED">
        <w:t>;</w:t>
      </w:r>
      <w:r w:rsidRPr="00DA3CED">
        <w:rPr>
          <w:i/>
        </w:rPr>
        <w:t xml:space="preserve"> Amendment of the Commission’s Rules Governing Hearing Aid-Compatible Mobile Handsets</w:t>
      </w:r>
      <w:r w:rsidRPr="00DA3CED">
        <w:t>;</w:t>
      </w:r>
      <w:r w:rsidRPr="00DA3CED">
        <w:rPr>
          <w:i/>
        </w:rPr>
        <w:t xml:space="preserve"> Comment Sought on 2010 Review of Hearing </w:t>
      </w:r>
      <w:r w:rsidRPr="00852BDB">
        <w:rPr>
          <w:i/>
        </w:rPr>
        <w:t>Aid Compatibility Regulations</w:t>
      </w:r>
      <w:r w:rsidRPr="00852BDB">
        <w:t>, Report and Order and Order on Reconsideration, 32 FCC Rcd 9063 (2017) (</w:t>
      </w:r>
      <w:r w:rsidRPr="00852BDB">
        <w:rPr>
          <w:i/>
        </w:rPr>
        <w:t>HAC Order</w:t>
      </w:r>
      <w:r w:rsidRPr="00852BDB">
        <w:t xml:space="preserve">), </w:t>
      </w:r>
      <w:r>
        <w:fldChar w:fldCharType="begin"/>
      </w:r>
      <w:r>
        <w:instrText xml:space="preserve"> HYPERLINK "https://apps.fcc.gov/edocs_public/attachmatch/FCC-17-135A1_Rcd.pdf" </w:instrText>
      </w:r>
      <w:r>
        <w:fldChar w:fldCharType="separate"/>
      </w:r>
      <w:r w:rsidRPr="00852BDB">
        <w:rPr>
          <w:rStyle w:val="Hyperlink"/>
        </w:rPr>
        <w:t>https://apps.fcc.gov/edocs_public/attachmatch/FCC-17-135A1_Rcd.pdf</w:t>
      </w:r>
      <w:r>
        <w:fldChar w:fldCharType="end"/>
      </w:r>
      <w:r w:rsidRPr="00852BDB">
        <w:t>.</w:t>
      </w:r>
    </w:p>
  </w:footnote>
  <w:footnote w:id="4">
    <w:p w:rsidR="00B4379A" w:rsidRPr="00B95BD4" w:rsidP="00B4379A" w14:paraId="1CE1B3D1" w14:textId="77777777">
      <w:pPr>
        <w:spacing w:after="120"/>
        <w:rPr>
          <w:sz w:val="20"/>
        </w:rPr>
      </w:pPr>
      <w:r w:rsidRPr="00B95BD4">
        <w:rPr>
          <w:rStyle w:val="FootnoteReference"/>
        </w:rPr>
        <w:footnoteRef/>
      </w:r>
      <w:r w:rsidRPr="00B95BD4">
        <w:rPr>
          <w:sz w:val="20"/>
        </w:rPr>
        <w:t xml:space="preserve"> </w:t>
      </w:r>
      <w:r>
        <w:rPr>
          <w:i/>
          <w:iCs/>
          <w:sz w:val="20"/>
        </w:rPr>
        <w:t>HAC Order</w:t>
      </w:r>
      <w:r>
        <w:rPr>
          <w:sz w:val="20"/>
        </w:rPr>
        <w:t>, 32 FCC Rcd at 9064; 47 CFR §§ 20.19(b)(1)-(2), (e)(1)(iii)(B)-(D), (f)(1)(i)-(ii), (k)(2), (l), 68.1, 68.2(a), 68.3 (selected definitions), 68.224(b), 68.317(a)(1)-(2), (h)-(i), 68.320(e</w:t>
      </w:r>
      <w:r w:rsidRPr="00620861">
        <w:rPr>
          <w:sz w:val="20"/>
        </w:rPr>
        <w:t>).</w:t>
      </w:r>
    </w:p>
  </w:footnote>
  <w:footnote w:id="5">
    <w:p w:rsidR="00B4379A" w:rsidP="00B4379A" w14:paraId="19BC1FD0" w14:textId="5F3E0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0861">
        <w:t>In addition, certain rules are subject to a transition period</w:t>
      </w:r>
      <w:r>
        <w:t>,</w:t>
      </w:r>
      <w:r w:rsidRPr="00620861">
        <w:t xml:space="preserve"> and affected entities are not required to comply with those rules until the end of the transition period.</w:t>
      </w:r>
      <w:r>
        <w:t xml:space="preserve">  </w:t>
      </w:r>
      <w:r w:rsidR="006674CF">
        <w:rPr>
          <w:i/>
        </w:rPr>
        <w:t xml:space="preserve">See </w:t>
      </w:r>
      <w:r w:rsidR="00F23E56">
        <w:t>47 CFR §§ 20.19(b)(1)-(2), (e)(1)(iii)(B)-(D), (f)(1)(ii), 68.317(a)(1)-(2)</w:t>
      </w:r>
      <w:r w:rsidR="00237AD8">
        <w:t>, (h)</w:t>
      </w:r>
      <w:r w:rsidR="00747F33">
        <w:t>.</w:t>
      </w:r>
    </w:p>
  </w:footnote>
  <w:footnote w:id="6">
    <w:p w:rsidR="00B4379A" w:rsidRPr="00DA3CED" w:rsidP="00B4379A" w14:paraId="611D1B98" w14:textId="77777777">
      <w:pPr>
        <w:pStyle w:val="FootnoteText"/>
      </w:pPr>
      <w:r w:rsidRPr="00852BDB">
        <w:rPr>
          <w:rStyle w:val="FootnoteReference"/>
        </w:rPr>
        <w:footnoteRef/>
      </w:r>
      <w:r w:rsidRPr="00852BDB">
        <w:t xml:space="preserve"> Federal Communications Commission, </w:t>
      </w:r>
      <w:r w:rsidRPr="00E20B25">
        <w:t xml:space="preserve">Hearing Aid Compatibility </w:t>
      </w:r>
      <w:r w:rsidRPr="00B738B2">
        <w:t>Standards, 83 Fed. Reg</w:t>
      </w:r>
      <w:r w:rsidRPr="00961F26">
        <w:t>.</w:t>
      </w:r>
      <w:r w:rsidR="00961F26">
        <w:t xml:space="preserve"> 8624</w:t>
      </w:r>
      <w:r w:rsidRPr="00852BDB">
        <w:t xml:space="preserve"> (</w:t>
      </w:r>
      <w:r w:rsidRPr="00B738B2">
        <w:t>Feb. 28,</w:t>
      </w:r>
      <w:r w:rsidRPr="00852BDB">
        <w:t xml:space="preserve"> 201</w:t>
      </w:r>
      <w:r>
        <w:t>8</w:t>
      </w:r>
      <w:r w:rsidRPr="00852BDB">
        <w:t>).  However</w:t>
      </w:r>
      <w:r>
        <w:t>,</w:t>
      </w:r>
      <w:r w:rsidRPr="00852BDB">
        <w:t xml:space="preserve"> the </w:t>
      </w:r>
      <w:r>
        <w:t>new sections</w:t>
      </w:r>
      <w:r w:rsidRPr="00852BDB">
        <w:t xml:space="preserve"> 47 CFR §§ 68.501-</w:t>
      </w:r>
      <w:r>
        <w:t>5</w:t>
      </w:r>
      <w:r w:rsidRPr="00852BDB">
        <w:t>04</w:t>
      </w:r>
      <w:r>
        <w:t>,</w:t>
      </w:r>
      <w:r w:rsidRPr="00852BDB">
        <w:t xml:space="preserve"> </w:t>
      </w:r>
      <w:r>
        <w:t xml:space="preserve">applicable to </w:t>
      </w:r>
      <w:r w:rsidRPr="00852BDB">
        <w:t>wireline handsets used for advanced communications services</w:t>
      </w:r>
      <w:r>
        <w:t>,</w:t>
      </w:r>
      <w:r w:rsidRPr="00852BDB">
        <w:t xml:space="preserve"> </w:t>
      </w:r>
      <w:r>
        <w:t>which contain</w:t>
      </w:r>
      <w:r w:rsidRPr="00852BDB">
        <w:t xml:space="preserve"> information </w:t>
      </w:r>
      <w:r w:rsidRPr="00EB54CC">
        <w:t>collection requirements</w:t>
      </w:r>
      <w:r>
        <w:t>,</w:t>
      </w:r>
      <w:r w:rsidRPr="00EB54CC">
        <w:t xml:space="preserve"> require approval by the Office of Management and Budget</w:t>
      </w:r>
      <w:r>
        <w:t xml:space="preserve"> (OMB)</w:t>
      </w:r>
      <w:r w:rsidRPr="00EB54CC">
        <w:t xml:space="preserve"> under the Paperw</w:t>
      </w:r>
      <w:r>
        <w:t>ork Reduction Act of 1995, Pub. L. No. 104-13, 109 Stat. 163 (1995) (codified at 44 U.S.C. §§ 3501-3520),</w:t>
      </w:r>
      <w:r w:rsidRPr="00EB54CC">
        <w:t xml:space="preserve"> and shall become effective after the Commission publishes a notice in the </w:t>
      </w:r>
      <w:r w:rsidRPr="00EB54CC">
        <w:rPr>
          <w:i/>
        </w:rPr>
        <w:t>Federal Register</w:t>
      </w:r>
      <w:r w:rsidRPr="00EB54CC">
        <w:t xml:space="preserve"> announcing OMB approval and </w:t>
      </w:r>
      <w:r>
        <w:t>an</w:t>
      </w:r>
      <w:r w:rsidRPr="00EB54CC">
        <w:t xml:space="preserve"> effective date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5B9E" w14:paraId="2F3936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5B9E" w14:paraId="02CE3CD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58DCD44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23A41621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paraId="68F1C45B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paraId="1E06C521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10168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2AC76DF9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218CEDF1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paraId="3690F6D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 w14:paraId="725A6A1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A"/>
    <w:rsid w:val="00036039"/>
    <w:rsid w:val="00037F90"/>
    <w:rsid w:val="000875BF"/>
    <w:rsid w:val="00096D8C"/>
    <w:rsid w:val="000C0B65"/>
    <w:rsid w:val="000C0F40"/>
    <w:rsid w:val="000E05FE"/>
    <w:rsid w:val="000E3D42"/>
    <w:rsid w:val="00122BD5"/>
    <w:rsid w:val="00133F79"/>
    <w:rsid w:val="00194A66"/>
    <w:rsid w:val="001D6BCF"/>
    <w:rsid w:val="001E01CA"/>
    <w:rsid w:val="00223EEA"/>
    <w:rsid w:val="00237AD8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949D3"/>
    <w:rsid w:val="005E14C2"/>
    <w:rsid w:val="00607BA5"/>
    <w:rsid w:val="0061180A"/>
    <w:rsid w:val="00613A78"/>
    <w:rsid w:val="00620861"/>
    <w:rsid w:val="00626EB6"/>
    <w:rsid w:val="00655D03"/>
    <w:rsid w:val="006674CF"/>
    <w:rsid w:val="00683388"/>
    <w:rsid w:val="00683F84"/>
    <w:rsid w:val="006A1F49"/>
    <w:rsid w:val="006A6A81"/>
    <w:rsid w:val="006B1456"/>
    <w:rsid w:val="006D78B8"/>
    <w:rsid w:val="006F7393"/>
    <w:rsid w:val="0070224F"/>
    <w:rsid w:val="007115F7"/>
    <w:rsid w:val="00747F33"/>
    <w:rsid w:val="00785689"/>
    <w:rsid w:val="0079754B"/>
    <w:rsid w:val="007A1E6D"/>
    <w:rsid w:val="007B0EB2"/>
    <w:rsid w:val="007F413A"/>
    <w:rsid w:val="00810B6F"/>
    <w:rsid w:val="00822CE0"/>
    <w:rsid w:val="00841AB1"/>
    <w:rsid w:val="00852BDB"/>
    <w:rsid w:val="008C68F1"/>
    <w:rsid w:val="00921803"/>
    <w:rsid w:val="00926503"/>
    <w:rsid w:val="00936F0F"/>
    <w:rsid w:val="00961F26"/>
    <w:rsid w:val="009726D8"/>
    <w:rsid w:val="00987730"/>
    <w:rsid w:val="009F76DB"/>
    <w:rsid w:val="00A32C3B"/>
    <w:rsid w:val="00A45F4F"/>
    <w:rsid w:val="00A600A9"/>
    <w:rsid w:val="00AA2CCD"/>
    <w:rsid w:val="00AA55B7"/>
    <w:rsid w:val="00AA5B9E"/>
    <w:rsid w:val="00AB2407"/>
    <w:rsid w:val="00AB53DF"/>
    <w:rsid w:val="00AC424B"/>
    <w:rsid w:val="00AF01DA"/>
    <w:rsid w:val="00AF46DC"/>
    <w:rsid w:val="00B07E5C"/>
    <w:rsid w:val="00B20363"/>
    <w:rsid w:val="00B338A9"/>
    <w:rsid w:val="00B4379A"/>
    <w:rsid w:val="00B679AB"/>
    <w:rsid w:val="00B71668"/>
    <w:rsid w:val="00B738B2"/>
    <w:rsid w:val="00B76DB8"/>
    <w:rsid w:val="00B811F7"/>
    <w:rsid w:val="00B93116"/>
    <w:rsid w:val="00B95BD4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CD6A6B"/>
    <w:rsid w:val="00D0218D"/>
    <w:rsid w:val="00D216CD"/>
    <w:rsid w:val="00D25FB5"/>
    <w:rsid w:val="00D44223"/>
    <w:rsid w:val="00D47505"/>
    <w:rsid w:val="00D72FA4"/>
    <w:rsid w:val="00DA2529"/>
    <w:rsid w:val="00DA3CED"/>
    <w:rsid w:val="00DB130A"/>
    <w:rsid w:val="00DB2EBB"/>
    <w:rsid w:val="00DC10A1"/>
    <w:rsid w:val="00DC655F"/>
    <w:rsid w:val="00DD0B59"/>
    <w:rsid w:val="00DD7EBD"/>
    <w:rsid w:val="00DE060C"/>
    <w:rsid w:val="00DE4C8D"/>
    <w:rsid w:val="00DF0810"/>
    <w:rsid w:val="00DF62B6"/>
    <w:rsid w:val="00E07225"/>
    <w:rsid w:val="00E20B25"/>
    <w:rsid w:val="00E245B5"/>
    <w:rsid w:val="00E5409F"/>
    <w:rsid w:val="00E92169"/>
    <w:rsid w:val="00EB4ACC"/>
    <w:rsid w:val="00EB54CC"/>
    <w:rsid w:val="00EE6488"/>
    <w:rsid w:val="00F021FA"/>
    <w:rsid w:val="00F23A03"/>
    <w:rsid w:val="00F23E56"/>
    <w:rsid w:val="00F62E97"/>
    <w:rsid w:val="00F64209"/>
    <w:rsid w:val="00F8591E"/>
    <w:rsid w:val="00F93BF5"/>
    <w:rsid w:val="00FA5B9E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9A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b/>
      <w:snapToGrid w:val="0"/>
      <w:kern w:val="28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b/>
      <w:snapToGrid w:val="0"/>
      <w:kern w:val="28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b/>
      <w:snapToGrid w:val="0"/>
      <w:kern w:val="28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b/>
      <w:snapToGrid w:val="0"/>
      <w:kern w:val="28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kern w:val="28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napToGrid w:val="0"/>
      <w:kern w:val="28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noProof/>
      <w:snapToGrid w:val="0"/>
      <w:kern w:val="28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noProof/>
      <w:snapToGrid w:val="0"/>
      <w:kern w:val="28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noProof/>
      <w:snapToGrid w:val="0"/>
      <w:kern w:val="28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noProof/>
      <w:snapToGrid w:val="0"/>
      <w:kern w:val="28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noProof/>
      <w:snapToGrid w:val="0"/>
      <w:kern w:val="28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noProof/>
      <w:snapToGrid w:val="0"/>
      <w:kern w:val="28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noProof/>
      <w:snapToGrid w:val="0"/>
      <w:kern w:val="28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noProof/>
      <w:snapToGrid w:val="0"/>
      <w:kern w:val="28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hAnsi="Arial" w:cs="Arial"/>
      <w:b/>
      <w:snapToGrid w:val="0"/>
      <w:kern w:val="28"/>
      <w:sz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snapToGrid w:val="0"/>
      <w:kern w:val="28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snapToGrid w:val="0"/>
      <w:spacing w:val="-2"/>
      <w:kern w:val="28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snapToGrid w:val="0"/>
      <w:kern w:val="28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hAnsi="Times New Roman Bold"/>
      <w:b/>
      <w:caps/>
      <w:snapToGrid w:val="0"/>
      <w:spacing w:val="-2"/>
      <w:kern w:val="28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rsid w:val="00B4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C2D6-DB3C-46AF-BD83-0E24D0D5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2018-03-06T17:21:54Z</dcterms:created>
  <dcterms:modified xsi:type="dcterms:W3CDTF">2018-03-06T17:21:54Z</dcterms:modified>
</cp:coreProperties>
</file>