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40DE2505"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253F0E7B" w14:textId="77777777">
      <w:pPr>
        <w:pStyle w:val="StyleBoldCentered"/>
      </w:pPr>
      <w:r>
        <w:t>F</w:t>
      </w:r>
      <w:r>
        <w:rPr>
          <w:caps w:val="0"/>
        </w:rPr>
        <w:t>ederal Communications Commission</w:t>
      </w:r>
    </w:p>
    <w:p w:rsidR="004C2EE3" w:rsidP="00096D8C" w14:paraId="7F1B3A1B" w14:textId="77777777">
      <w:pPr>
        <w:pStyle w:val="StyleBoldCentered"/>
      </w:pPr>
      <w:r>
        <w:rPr>
          <w:caps w:val="0"/>
        </w:rPr>
        <w:t>Washington, D.C. 20554</w:t>
      </w:r>
    </w:p>
    <w:p w:rsidR="004C2EE3" w:rsidP="0070224F" w14:paraId="52910B34" w14:textId="77777777"/>
    <w:p w:rsidR="004C2EE3" w:rsidP="0070224F" w14:paraId="2167AB3A"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58AAA8E"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14:paraId="212081AD"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14:paraId="771B86C3" w14:textId="77777777">
            <w:pPr>
              <w:widowControl w:val="0"/>
              <w:tabs>
                <w:tab w:val="center" w:pos="4680"/>
              </w:tabs>
              <w:suppressAutoHyphens/>
              <w:rPr>
                <w:rStyle w:val="DefaultParagraphFont"/>
                <w:snapToGrid w:val="0"/>
                <w:spacing w:val="-2"/>
                <w:kern w:val="28"/>
                <w:sz w:val="22"/>
                <w:lang w:val="en-US" w:eastAsia="en-US" w:bidi="ar-SA"/>
              </w:rPr>
            </w:pPr>
          </w:p>
          <w:p w:rsidR="0085132A" w:rsidP="0085132A" w14:paraId="760DDA87" w14:textId="77777777">
            <w:pPr>
              <w:widowControl w:val="0"/>
              <w:ind w:right="-18"/>
              <w:rPr>
                <w:rStyle w:val="DefaultParagraphFont"/>
                <w:snapToGrid w:val="0"/>
                <w:kern w:val="28"/>
                <w:sz w:val="22"/>
                <w:lang w:val="en-US" w:eastAsia="en-US" w:bidi="ar-SA"/>
              </w:rPr>
            </w:pPr>
            <w:r>
              <w:rPr>
                <w:snapToGrid w:val="0"/>
                <w:kern w:val="28"/>
                <w:sz w:val="22"/>
                <w:lang w:val="en-US" w:eastAsia="en-US" w:bidi="ar-SA"/>
              </w:rPr>
              <w:t>Connect America Fund</w:t>
            </w:r>
          </w:p>
          <w:p w:rsidR="0085132A" w:rsidP="0085132A" w14:paraId="0C855845" w14:textId="77777777">
            <w:pPr>
              <w:widowControl w:val="0"/>
              <w:ind w:right="-18"/>
              <w:rPr>
                <w:rStyle w:val="DefaultParagraphFont"/>
                <w:snapToGrid w:val="0"/>
                <w:kern w:val="28"/>
                <w:sz w:val="22"/>
                <w:lang w:val="en-US" w:eastAsia="en-US" w:bidi="ar-SA"/>
              </w:rPr>
            </w:pPr>
          </w:p>
          <w:p w:rsidR="0085132A" w:rsidP="0085132A" w14:paraId="7297FFD8" w14:textId="77777777">
            <w:pPr>
              <w:widowControl w:val="0"/>
              <w:ind w:right="-18"/>
              <w:rPr>
                <w:rStyle w:val="DefaultParagraphFont"/>
                <w:snapToGrid w:val="0"/>
                <w:kern w:val="28"/>
                <w:sz w:val="22"/>
                <w:lang w:val="en-US" w:eastAsia="en-US" w:bidi="ar-SA"/>
              </w:rPr>
            </w:pPr>
            <w:r>
              <w:rPr>
                <w:snapToGrid w:val="0"/>
                <w:kern w:val="28"/>
                <w:sz w:val="22"/>
                <w:lang w:val="en-US" w:eastAsia="en-US" w:bidi="ar-SA"/>
              </w:rPr>
              <w:t>Allband Communications Cooperative</w:t>
            </w:r>
          </w:p>
          <w:p w:rsidR="0085132A" w:rsidP="0085132A" w14:paraId="4C3EE4D3" w14:textId="77777777">
            <w:pPr>
              <w:widowControl w:val="0"/>
              <w:ind w:right="-18"/>
              <w:rPr>
                <w:rStyle w:val="DefaultParagraphFont"/>
                <w:snapToGrid w:val="0"/>
                <w:kern w:val="28"/>
                <w:sz w:val="22"/>
                <w:lang w:val="en-US" w:eastAsia="en-US" w:bidi="ar-SA"/>
              </w:rPr>
            </w:pPr>
            <w:r>
              <w:rPr>
                <w:snapToGrid w:val="0"/>
                <w:kern w:val="28"/>
                <w:sz w:val="22"/>
                <w:lang w:val="en-US" w:eastAsia="en-US" w:bidi="ar-SA"/>
              </w:rPr>
              <w:t>Petition for Waiver of Certain High-Cost</w:t>
            </w:r>
          </w:p>
          <w:p w:rsidR="004C2EE3" w:rsidRPr="007115F7" w:rsidP="0085132A" w14:paraId="23DD4719" w14:textId="77777777">
            <w:pPr>
              <w:widowControl w:val="0"/>
              <w:tabs>
                <w:tab w:val="center" w:pos="4680"/>
              </w:tabs>
              <w:suppressAutoHyphens/>
              <w:rPr>
                <w:rStyle w:val="DefaultParagraphFont"/>
                <w:snapToGrid w:val="0"/>
                <w:spacing w:val="-2"/>
                <w:kern w:val="28"/>
                <w:sz w:val="22"/>
                <w:lang w:val="en-US" w:eastAsia="en-US" w:bidi="ar-SA"/>
              </w:rPr>
            </w:pPr>
            <w:r>
              <w:rPr>
                <w:snapToGrid w:val="0"/>
                <w:kern w:val="28"/>
                <w:sz w:val="22"/>
                <w:lang w:val="en-US" w:eastAsia="en-US" w:bidi="ar-SA"/>
              </w:rPr>
              <w:t>Universal Service Rules</w:t>
            </w:r>
          </w:p>
        </w:tc>
        <w:tc>
          <w:tcPr>
            <w:tcW w:w="630" w:type="dxa"/>
          </w:tcPr>
          <w:p w:rsidR="004C2EE3" w14:paraId="7AFD58C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6442D9AD"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73A59B89"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334CC0DE"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228FE64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058225A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85132A" w14:paraId="6CEA8AA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14:paraId="7CD5D120" w14:textId="77777777">
            <w:pPr>
              <w:widowControl w:val="0"/>
              <w:tabs>
                <w:tab w:val="center" w:pos="4680"/>
              </w:tabs>
              <w:suppressAutoHyphens/>
              <w:rPr>
                <w:rStyle w:val="DefaultParagraphFont"/>
                <w:snapToGrid w:val="0"/>
                <w:spacing w:val="-2"/>
                <w:kern w:val="28"/>
                <w:sz w:val="22"/>
                <w:lang w:val="en-US" w:eastAsia="en-US" w:bidi="ar-SA"/>
              </w:rPr>
            </w:pPr>
          </w:p>
          <w:p w:rsidR="004C2EE3" w14:paraId="31C4BC20"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85132A" w:rsidRPr="00540842" w:rsidP="0085132A" w14:paraId="6371E912" w14:textId="77777777">
            <w:pPr>
              <w:widowControl w:val="0"/>
              <w:rPr>
                <w:rStyle w:val="DefaultParagraphFont"/>
                <w:snapToGrid w:val="0"/>
                <w:spacing w:val="-2"/>
                <w:kern w:val="28"/>
                <w:sz w:val="22"/>
                <w:lang w:val="en-US" w:eastAsia="en-US" w:bidi="ar-SA"/>
              </w:rPr>
            </w:pPr>
            <w:r w:rsidRPr="00540842">
              <w:rPr>
                <w:snapToGrid w:val="0"/>
                <w:spacing w:val="-2"/>
                <w:kern w:val="28"/>
                <w:sz w:val="22"/>
                <w:lang w:val="en-US" w:eastAsia="en-US" w:bidi="ar-SA"/>
              </w:rPr>
              <w:t>WC Docket No. 10-90</w:t>
            </w:r>
          </w:p>
          <w:p w:rsidR="004C2EE3" w14:paraId="24074264" w14:textId="77777777">
            <w:pPr>
              <w:widowControl w:val="0"/>
              <w:tabs>
                <w:tab w:val="center" w:pos="4680"/>
              </w:tabs>
              <w:suppressAutoHyphens/>
              <w:rPr>
                <w:rStyle w:val="DefaultParagraphFont"/>
                <w:snapToGrid w:val="0"/>
                <w:spacing w:val="-2"/>
                <w:kern w:val="28"/>
                <w:sz w:val="22"/>
                <w:lang w:val="en-US" w:eastAsia="en-US" w:bidi="ar-SA"/>
              </w:rPr>
            </w:pPr>
          </w:p>
        </w:tc>
      </w:tr>
    </w:tbl>
    <w:p w:rsidR="004C2EE3" w:rsidP="0070224F" w14:paraId="73BDD436" w14:textId="77777777"/>
    <w:p w:rsidR="00841AB1" w:rsidP="00F021FA" w14:paraId="54831886" w14:textId="77777777">
      <w:pPr>
        <w:pStyle w:val="StyleBoldCentered"/>
      </w:pPr>
      <w:r>
        <w:t>ORDER</w:t>
      </w:r>
    </w:p>
    <w:p w:rsidR="004C2EE3" w14:paraId="44509EBA" w14:textId="77777777">
      <w:pPr>
        <w:tabs>
          <w:tab w:val="left" w:pos="-720"/>
        </w:tabs>
        <w:suppressAutoHyphens/>
        <w:spacing w:line="227" w:lineRule="auto"/>
        <w:rPr>
          <w:spacing w:val="-2"/>
        </w:rPr>
      </w:pPr>
    </w:p>
    <w:p w:rsidR="004C2EE3" w:rsidP="00133F79" w14:paraId="63E61B70" w14:textId="639F5B95">
      <w:pPr>
        <w:tabs>
          <w:tab w:val="left" w:pos="720"/>
          <w:tab w:val="right" w:pos="9360"/>
        </w:tabs>
        <w:suppressAutoHyphens/>
        <w:spacing w:line="227" w:lineRule="auto"/>
        <w:rPr>
          <w:spacing w:val="-2"/>
        </w:rPr>
      </w:pPr>
      <w:r>
        <w:rPr>
          <w:b/>
          <w:spacing w:val="-2"/>
        </w:rPr>
        <w:t>Adopted:  February 22,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February 22, 2018</w:t>
      </w:r>
    </w:p>
    <w:p w:rsidR="00822CE0" w14:paraId="0DB777AD" w14:textId="77777777"/>
    <w:p w:rsidR="004C2EE3" w14:paraId="5276CF1C" w14:textId="77EF3A8C">
      <w:pPr>
        <w:rPr>
          <w:spacing w:val="-2"/>
        </w:rPr>
      </w:pPr>
      <w:r>
        <w:t xml:space="preserve">By </w:t>
      </w:r>
      <w:r w:rsidR="004E4A22">
        <w:t>the</w:t>
      </w:r>
      <w:r w:rsidR="002A2D2E">
        <w:t xml:space="preserve"> </w:t>
      </w:r>
      <w:r w:rsidR="00935212">
        <w:rPr>
          <w:spacing w:val="-2"/>
        </w:rPr>
        <w:t>Chief, Wireline Competition Bureau</w:t>
      </w:r>
      <w:r>
        <w:rPr>
          <w:spacing w:val="-2"/>
        </w:rPr>
        <w:t>:</w:t>
      </w:r>
      <w:r w:rsidR="00D65082">
        <w:rPr>
          <w:spacing w:val="-2"/>
        </w:rPr>
        <w:t xml:space="preserve">  </w:t>
      </w:r>
    </w:p>
    <w:p w:rsidR="00822CE0" w14:paraId="32F445E8" w14:textId="77777777">
      <w:pPr>
        <w:rPr>
          <w:spacing w:val="-2"/>
        </w:rPr>
      </w:pPr>
    </w:p>
    <w:p w:rsidR="00453E21" w:rsidRPr="00453E21" w:rsidP="00453E21" w14:paraId="68A1DDD1" w14:textId="2FF73E84">
      <w:pPr>
        <w:pStyle w:val="ListParagraph"/>
        <w:numPr>
          <w:ilvl w:val="0"/>
          <w:numId w:val="11"/>
        </w:numPr>
        <w:rPr>
          <w:b/>
          <w:spacing w:val="-2"/>
          <w:sz w:val="22"/>
        </w:rPr>
      </w:pPr>
      <w:r w:rsidRPr="00453E21">
        <w:rPr>
          <w:b/>
          <w:spacing w:val="-2"/>
          <w:sz w:val="22"/>
        </w:rPr>
        <w:t>INTRODUCTION</w:t>
      </w:r>
    </w:p>
    <w:p w:rsidR="00453E21" w14:paraId="24C7985C" w14:textId="77777777">
      <w:pPr>
        <w:rPr>
          <w:spacing w:val="-2"/>
        </w:rPr>
      </w:pPr>
    </w:p>
    <w:p w:rsidR="002F393C" w:rsidP="00D16A42" w14:paraId="602A9BDD" w14:textId="6C0702EC">
      <w:pPr>
        <w:pStyle w:val="ParaNum"/>
        <w:numPr>
          <w:ilvl w:val="0"/>
          <w:numId w:val="8"/>
        </w:numPr>
        <w:tabs>
          <w:tab w:val="clear" w:pos="1080"/>
          <w:tab w:val="num" w:pos="1440"/>
        </w:tabs>
      </w:pPr>
      <w:r w:rsidRPr="00E2677B">
        <w:t>In</w:t>
      </w:r>
      <w:r>
        <w:t xml:space="preserve"> </w:t>
      </w:r>
      <w:r w:rsidRPr="002F393C">
        <w:t xml:space="preserve">this </w:t>
      </w:r>
      <w:r w:rsidR="00C4455A">
        <w:t>O</w:t>
      </w:r>
      <w:r w:rsidR="00643B0A">
        <w:t>rder</w:t>
      </w:r>
      <w:r w:rsidRPr="002F393C">
        <w:t xml:space="preserve">, the </w:t>
      </w:r>
      <w:r w:rsidR="00643B0A">
        <w:t>Wireline Competition Bureau (Bureau) g</w:t>
      </w:r>
      <w:r w:rsidRPr="002F393C">
        <w:t>rants</w:t>
      </w:r>
      <w:r w:rsidR="00C4455A">
        <w:t xml:space="preserve"> in part and denies in part</w:t>
      </w:r>
      <w:r w:rsidR="00F01FDC">
        <w:t xml:space="preserve"> </w:t>
      </w:r>
      <w:r w:rsidR="00C92A6C">
        <w:t xml:space="preserve">a petition for waiver filed by </w:t>
      </w:r>
      <w:r w:rsidR="00F01FDC">
        <w:t>Allband Communications Cooperative</w:t>
      </w:r>
      <w:r w:rsidR="00152E33">
        <w:t xml:space="preserve"> (Allband</w:t>
      </w:r>
      <w:r w:rsidR="00F01FDC">
        <w:t>)</w:t>
      </w:r>
      <w:r w:rsidRPr="002F393C">
        <w:t xml:space="preserve"> </w:t>
      </w:r>
      <w:r w:rsidR="00F01FDC">
        <w:t>of section 54.302</w:t>
      </w:r>
      <w:r w:rsidRPr="00B81850" w:rsidR="00F01FDC">
        <w:t xml:space="preserve"> of the Commission’s rules</w:t>
      </w:r>
      <w:r w:rsidR="00C4455A">
        <w:t>.</w:t>
      </w:r>
      <w:r>
        <w:rPr>
          <w:rStyle w:val="FootnoteReference"/>
        </w:rPr>
        <w:footnoteReference w:id="3"/>
      </w:r>
      <w:r w:rsidR="00C4455A">
        <w:t xml:space="preserve">  </w:t>
      </w:r>
      <w:r w:rsidR="00ED5667">
        <w:t>The relief we grant today will enable this</w:t>
      </w:r>
      <w:r w:rsidR="002E457E">
        <w:t xml:space="preserve"> rate-of-return</w:t>
      </w:r>
      <w:r w:rsidR="00ED5667">
        <w:t xml:space="preserve"> incumbent local exchange carrier (LEC) to continue to provide voice and broadband services in parts of rural Michigan, which otherwise would go unserved</w:t>
      </w:r>
      <w:r w:rsidR="002E457E">
        <w:t xml:space="preserve">.  </w:t>
      </w:r>
    </w:p>
    <w:p w:rsidR="00453E21" w:rsidRPr="002E457E" w:rsidP="002E457E" w14:paraId="3B260B18" w14:textId="2476D720">
      <w:pPr>
        <w:pStyle w:val="ParaNum"/>
        <w:numPr>
          <w:ilvl w:val="0"/>
          <w:numId w:val="11"/>
        </w:numPr>
        <w:rPr>
          <w:b/>
        </w:rPr>
      </w:pPr>
      <w:r w:rsidRPr="002E457E">
        <w:rPr>
          <w:b/>
        </w:rPr>
        <w:t xml:space="preserve">BACKGROUND </w:t>
      </w:r>
    </w:p>
    <w:p w:rsidR="00620C08" w:rsidP="00152B98" w14:paraId="3F13D0E0" w14:textId="71FA876D">
      <w:pPr>
        <w:pStyle w:val="ParaNum"/>
        <w:widowControl/>
        <w:numPr>
          <w:ilvl w:val="0"/>
          <w:numId w:val="8"/>
        </w:numPr>
        <w:tabs>
          <w:tab w:val="clear" w:pos="1080"/>
          <w:tab w:val="num" w:pos="1440"/>
        </w:tabs>
      </w:pPr>
      <w:r>
        <w:t xml:space="preserve">Allband </w:t>
      </w:r>
      <w:r w:rsidRPr="000B7590" w:rsidR="0085132A">
        <w:t>is a</w:t>
      </w:r>
      <w:r w:rsidR="00265234">
        <w:t xml:space="preserve"> </w:t>
      </w:r>
      <w:r w:rsidRPr="000B7590" w:rsidR="0085132A">
        <w:t xml:space="preserve">rate-of-return </w:t>
      </w:r>
      <w:r w:rsidR="00152E33">
        <w:t xml:space="preserve">eligible telecommunications carrier (ETC) </w:t>
      </w:r>
      <w:r w:rsidRPr="000B7590" w:rsidR="0085132A">
        <w:t xml:space="preserve">incumbent </w:t>
      </w:r>
      <w:r w:rsidR="0085132A">
        <w:t>LEC</w:t>
      </w:r>
      <w:r w:rsidRPr="000B7590" w:rsidR="0085132A">
        <w:t>.</w:t>
      </w:r>
      <w:r>
        <w:rPr>
          <w:rStyle w:val="FootnoteReference"/>
        </w:rPr>
        <w:footnoteReference w:id="4"/>
      </w:r>
      <w:r w:rsidRPr="000B7590" w:rsidR="0085132A">
        <w:t xml:space="preserve">  The company provides</w:t>
      </w:r>
      <w:r w:rsidR="0085132A">
        <w:t xml:space="preserve"> voice and broadband</w:t>
      </w:r>
      <w:r w:rsidRPr="000B7590" w:rsidR="0085132A">
        <w:t xml:space="preserve"> service</w:t>
      </w:r>
      <w:r w:rsidR="0085132A">
        <w:t>s</w:t>
      </w:r>
      <w:r w:rsidRPr="000B7590" w:rsidR="0085132A">
        <w:t xml:space="preserve"> in the Robbs Creek Exchange, which </w:t>
      </w:r>
      <w:r w:rsidRPr="000B7590" w:rsidR="0088153B">
        <w:t>is in</w:t>
      </w:r>
      <w:r w:rsidRPr="000B7590" w:rsidR="0085132A">
        <w:t xml:space="preserve"> the </w:t>
      </w:r>
      <w:r w:rsidR="006A4B85">
        <w:t xml:space="preserve">northeast </w:t>
      </w:r>
      <w:r w:rsidR="00833A35">
        <w:t>portion o</w:t>
      </w:r>
      <w:r w:rsidR="006A4B85">
        <w:t xml:space="preserve">f </w:t>
      </w:r>
      <w:r w:rsidR="00D838D4">
        <w:t xml:space="preserve">the </w:t>
      </w:r>
      <w:r w:rsidRPr="000B7590" w:rsidR="006A4B85">
        <w:t>Lower Peninsula</w:t>
      </w:r>
      <w:r w:rsidRPr="000B7590" w:rsidR="0085132A">
        <w:t xml:space="preserve"> of Mich</w:t>
      </w:r>
      <w:r w:rsidR="0085132A">
        <w:t>igan</w:t>
      </w:r>
      <w:r w:rsidR="001C35C6">
        <w:t>, serving 156 loops in the study area</w:t>
      </w:r>
      <w:r w:rsidR="005C2704">
        <w:t>.</w:t>
      </w:r>
      <w:r>
        <w:rPr>
          <w:rStyle w:val="FootnoteReference"/>
        </w:rPr>
        <w:footnoteReference w:id="5"/>
      </w:r>
      <w:r w:rsidR="005C2704">
        <w:t xml:space="preserve">  </w:t>
      </w:r>
      <w:r>
        <w:t xml:space="preserve">Allband </w:t>
      </w:r>
      <w:r w:rsidR="001C35C6">
        <w:t>advertises residential rates of $44.99 per</w:t>
      </w:r>
      <w:r w:rsidR="00272797">
        <w:t xml:space="preserve"> month for unlimited 100/100 Mbp</w:t>
      </w:r>
      <w:r w:rsidR="001C35C6">
        <w:t>s Internet</w:t>
      </w:r>
      <w:r w:rsidR="00CF127C">
        <w:t>.</w:t>
      </w:r>
      <w:r>
        <w:rPr>
          <w:rStyle w:val="FootnoteReference"/>
        </w:rPr>
        <w:footnoteReference w:id="6"/>
      </w:r>
      <w:r w:rsidR="001C35C6">
        <w:t xml:space="preserve"> </w:t>
      </w:r>
      <w:r w:rsidR="00CF127C">
        <w:t xml:space="preserve"> In </w:t>
      </w:r>
      <w:r w:rsidRPr="000B7590" w:rsidR="00CF127C">
        <w:t>the rural communities surroun</w:t>
      </w:r>
      <w:r w:rsidR="00CF127C">
        <w:t xml:space="preserve">ding the Robbs Creek Exchange, </w:t>
      </w:r>
      <w:r>
        <w:t xml:space="preserve">Allband </w:t>
      </w:r>
      <w:r w:rsidRPr="000B7590" w:rsidR="0085132A">
        <w:t xml:space="preserve">provides </w:t>
      </w:r>
      <w:r w:rsidR="0085132A">
        <w:t xml:space="preserve">high-speed </w:t>
      </w:r>
      <w:r w:rsidRPr="000B7590" w:rsidR="0085132A">
        <w:t>broadband</w:t>
      </w:r>
      <w:r w:rsidR="0085132A">
        <w:t xml:space="preserve"> and VoIP</w:t>
      </w:r>
      <w:r w:rsidRPr="000B7590" w:rsidR="0085132A">
        <w:t xml:space="preserve"> services </w:t>
      </w:r>
      <w:r w:rsidR="0085132A">
        <w:t xml:space="preserve">through its </w:t>
      </w:r>
      <w:r w:rsidRPr="000B7590" w:rsidR="0085132A">
        <w:t>wholly owned subsidiary</w:t>
      </w:r>
      <w:r w:rsidR="0085132A">
        <w:t>,</w:t>
      </w:r>
      <w:r w:rsidRPr="000B7590" w:rsidR="0085132A">
        <w:t xml:space="preserve"> </w:t>
      </w:r>
      <w:r w:rsidR="0085132A">
        <w:t>Allband Multimedia</w:t>
      </w:r>
      <w:r w:rsidRPr="000B7590" w:rsidR="0085132A">
        <w:t xml:space="preserve"> LLC (</w:t>
      </w:r>
      <w:r w:rsidR="0085132A">
        <w:t>AMM)</w:t>
      </w:r>
      <w:r w:rsidR="00F650C5">
        <w:t xml:space="preserve">.  </w:t>
      </w:r>
      <w:r w:rsidRPr="002A5909" w:rsidR="002A5909">
        <w:t>AMM has approximately 650 customers</w:t>
      </w:r>
      <w:r w:rsidR="00B31A96">
        <w:t>,</w:t>
      </w:r>
      <w:r>
        <w:rPr>
          <w:rStyle w:val="FootnoteReference"/>
        </w:rPr>
        <w:footnoteReference w:id="7"/>
      </w:r>
      <w:r w:rsidR="00E35AD2">
        <w:t xml:space="preserve"> </w:t>
      </w:r>
      <w:r w:rsidR="00B31A96">
        <w:t>and it</w:t>
      </w:r>
      <w:r w:rsidR="00E35AD2">
        <w:t xml:space="preserve"> </w:t>
      </w:r>
      <w:r w:rsidR="00CF127C">
        <w:t>advertises residential rates of $59.99 per month for unlimited 100/50 M</w:t>
      </w:r>
      <w:r w:rsidR="00272797">
        <w:t>bp</w:t>
      </w:r>
      <w:r w:rsidR="00CF127C">
        <w:t>s Internet.</w:t>
      </w:r>
      <w:r>
        <w:rPr>
          <w:rStyle w:val="FootnoteReference"/>
        </w:rPr>
        <w:footnoteReference w:id="8"/>
      </w:r>
      <w:r w:rsidR="00CF127C">
        <w:t xml:space="preserve">  </w:t>
      </w:r>
      <w:r w:rsidR="00A83DCA">
        <w:t>Allband constructed t</w:t>
      </w:r>
      <w:r w:rsidR="00F03638">
        <w:t xml:space="preserve">he plant inside the study area </w:t>
      </w:r>
      <w:r w:rsidR="00A83DCA">
        <w:t>with an</w:t>
      </w:r>
      <w:r w:rsidR="00F03638">
        <w:t xml:space="preserve"> $8 million loan from the</w:t>
      </w:r>
      <w:r w:rsidR="00D16A42">
        <w:t xml:space="preserve"> Rural Utility Service</w:t>
      </w:r>
      <w:r w:rsidR="00F03638">
        <w:t xml:space="preserve"> </w:t>
      </w:r>
      <w:r w:rsidR="00D16A42">
        <w:t>(</w:t>
      </w:r>
      <w:r w:rsidR="00D838D4">
        <w:t>RUS</w:t>
      </w:r>
      <w:r w:rsidR="00D16A42">
        <w:t>)</w:t>
      </w:r>
      <w:r w:rsidR="000E582D">
        <w:t xml:space="preserve"> </w:t>
      </w:r>
      <w:r w:rsidR="00A80FAD">
        <w:t xml:space="preserve">that </w:t>
      </w:r>
      <w:r w:rsidR="000E582D">
        <w:t>originated in 2005</w:t>
      </w:r>
      <w:r w:rsidR="00A83DCA">
        <w:t xml:space="preserve">.  Allband constructed the </w:t>
      </w:r>
      <w:r w:rsidR="00F03638">
        <w:t>plan</w:t>
      </w:r>
      <w:r w:rsidR="00A83DCA">
        <w:t>t</w:t>
      </w:r>
      <w:r w:rsidR="00F03638">
        <w:t xml:space="preserve"> outside </w:t>
      </w:r>
      <w:r w:rsidR="00D838D4">
        <w:t>its</w:t>
      </w:r>
      <w:r w:rsidR="00F03638">
        <w:t xml:space="preserve"> study </w:t>
      </w:r>
      <w:r w:rsidR="00D838D4">
        <w:t xml:space="preserve">area </w:t>
      </w:r>
      <w:r w:rsidR="00A10C63">
        <w:t xml:space="preserve">with </w:t>
      </w:r>
      <w:r w:rsidR="00F03638">
        <w:t xml:space="preserve">$9.7 million </w:t>
      </w:r>
      <w:r w:rsidR="00A10C63">
        <w:t xml:space="preserve">in </w:t>
      </w:r>
      <w:r w:rsidR="00F03638">
        <w:t>grant</w:t>
      </w:r>
      <w:r w:rsidR="00A10C63">
        <w:t>s</w:t>
      </w:r>
      <w:r w:rsidR="00F03638">
        <w:t xml:space="preserve"> from the </w:t>
      </w:r>
      <w:r w:rsidRPr="00867D53" w:rsidR="00F03638">
        <w:t>American Recov</w:t>
      </w:r>
      <w:r w:rsidR="00F03638">
        <w:t>ery and Reinvestment Act (ARRA)</w:t>
      </w:r>
      <w:r w:rsidR="00A10C63">
        <w:t xml:space="preserve"> awarded in 2010</w:t>
      </w:r>
      <w:r w:rsidR="00F03638">
        <w:t>.</w:t>
      </w:r>
      <w:r>
        <w:rPr>
          <w:rStyle w:val="FootnoteReference"/>
        </w:rPr>
        <w:footnoteReference w:id="9"/>
      </w:r>
    </w:p>
    <w:p w:rsidR="0085132A" w:rsidP="00D16A42" w14:paraId="0AC35B19" w14:textId="2E82191E">
      <w:pPr>
        <w:pStyle w:val="ParaNum"/>
        <w:numPr>
          <w:ilvl w:val="0"/>
          <w:numId w:val="8"/>
        </w:numPr>
        <w:tabs>
          <w:tab w:val="left" w:pos="1440"/>
        </w:tabs>
      </w:pPr>
      <w:r>
        <w:tab/>
      </w:r>
      <w:r w:rsidRPr="00540842">
        <w:t xml:space="preserve">In the </w:t>
      </w:r>
      <w:r w:rsidRPr="0063292C">
        <w:rPr>
          <w:i/>
        </w:rPr>
        <w:t>USF/ICC Transformation Order</w:t>
      </w:r>
      <w:r w:rsidRPr="00540842">
        <w:t xml:space="preserve">, the </w:t>
      </w:r>
      <w:r w:rsidR="00C5346D">
        <w:t xml:space="preserve">Federal Communications </w:t>
      </w:r>
      <w:r w:rsidRPr="00540842">
        <w:t>Commission</w:t>
      </w:r>
      <w:r w:rsidR="00C5346D">
        <w:t xml:space="preserve"> (Commission)</w:t>
      </w:r>
      <w:r w:rsidRPr="00540842">
        <w:t xml:space="preserve"> adopted section 54.302, establishing a presumptive per</w:t>
      </w:r>
      <w:r w:rsidR="0081427B">
        <w:t xml:space="preserve"> loop</w:t>
      </w:r>
      <w:r w:rsidRPr="00540842">
        <w:t xml:space="preserve"> cap of $250 per month on total high-cost un</w:t>
      </w:r>
      <w:r w:rsidR="00F03638">
        <w:t>iversal service support for all ETCs</w:t>
      </w:r>
      <w:r w:rsidRPr="00540842">
        <w:t xml:space="preserve">, including </w:t>
      </w:r>
      <w:r w:rsidR="00F8354B">
        <w:t xml:space="preserve">incumbent </w:t>
      </w:r>
      <w:r>
        <w:t>LECs</w:t>
      </w:r>
      <w:r w:rsidRPr="00540842">
        <w:t>, to be phased in over three years.</w:t>
      </w:r>
      <w:r>
        <w:rPr>
          <w:rStyle w:val="FootnoteReference"/>
        </w:rPr>
        <w:footnoteReference w:id="10"/>
      </w:r>
      <w:r w:rsidRPr="00540842">
        <w:t xml:space="preserve">  The Commission concluded that support in excess of that amount should not be provided without further justification.</w:t>
      </w:r>
      <w:r>
        <w:rPr>
          <w:rStyle w:val="FootnoteReference"/>
        </w:rPr>
        <w:footnoteReference w:id="11"/>
      </w:r>
      <w:r>
        <w:t xml:space="preserve">  </w:t>
      </w:r>
      <w:r w:rsidRPr="00540842">
        <w:t xml:space="preserve">The </w:t>
      </w:r>
      <w:r w:rsidRPr="0063292C">
        <w:rPr>
          <w:i/>
        </w:rPr>
        <w:t>USF/ICC Transformation Order</w:t>
      </w:r>
      <w:r w:rsidRPr="00540842">
        <w:t xml:space="preserve"> noted that “any carrier negatively affected by the universal service reforms . . . [may] file a petition for waiver that clearly demonstrates that good cause exists for exempting the carrier from some or all of those reforms, and that waiver is necessary and in the public interest to ensure that consumers in the area continue to receive voice service.”</w:t>
      </w:r>
      <w:r>
        <w:rPr>
          <w:rStyle w:val="FootnoteReference"/>
        </w:rPr>
        <w:footnoteReference w:id="12"/>
      </w:r>
      <w:r w:rsidR="005A54D4">
        <w:t xml:space="preserve">  In the </w:t>
      </w:r>
      <w:r w:rsidRPr="0063292C" w:rsidR="005A54D4">
        <w:rPr>
          <w:i/>
        </w:rPr>
        <w:t>Fifth Order on Reconsideration</w:t>
      </w:r>
      <w:r w:rsidR="005A54D4">
        <w:t>, the Commission clarified that in evaluating waivers for additional support, it would also consider the impact on broadband-capable networks.</w:t>
      </w:r>
      <w:r>
        <w:rPr>
          <w:rStyle w:val="FootnoteReference"/>
        </w:rPr>
        <w:footnoteReference w:id="13"/>
      </w:r>
      <w:r w:rsidRPr="0063292C" w:rsidR="005A54D4">
        <w:rPr>
          <w:i/>
        </w:rPr>
        <w:t xml:space="preserve"> </w:t>
      </w:r>
      <w:r w:rsidR="005A54D4">
        <w:t xml:space="preserve">  </w:t>
      </w:r>
    </w:p>
    <w:p w:rsidR="00F03638" w:rsidP="00F03638" w14:paraId="038A8A2E" w14:textId="162EBBE7">
      <w:pPr>
        <w:pStyle w:val="ParaNum"/>
      </w:pPr>
      <w:r>
        <w:t>On</w:t>
      </w:r>
      <w:r w:rsidR="00FA3EED">
        <w:t xml:space="preserve"> February 3, 2012,</w:t>
      </w:r>
      <w:r w:rsidR="00A2362A">
        <w:t xml:space="preserve"> Allband petitioned for </w:t>
      </w:r>
      <w:r>
        <w:t>a waiver of section 54.302 until 2026</w:t>
      </w:r>
      <w:r w:rsidR="00A2362A">
        <w:t xml:space="preserve"> (the end of the RUS loan term)</w:t>
      </w:r>
      <w:r w:rsidR="00643B0A">
        <w:t>.</w:t>
      </w:r>
      <w:r>
        <w:rPr>
          <w:rStyle w:val="FootnoteReference"/>
        </w:rPr>
        <w:footnoteReference w:id="14"/>
      </w:r>
      <w:r w:rsidR="00FA3EED">
        <w:t xml:space="preserve">  </w:t>
      </w:r>
      <w:r w:rsidR="00A83DCA">
        <w:t>On July 25, 2012, the</w:t>
      </w:r>
      <w:r w:rsidR="00FA3EED">
        <w:t xml:space="preserve"> Bureau granted the waiver</w:t>
      </w:r>
      <w:r w:rsidR="00A2362A">
        <w:t xml:space="preserve">, </w:t>
      </w:r>
      <w:r w:rsidR="00FA3EED">
        <w:t xml:space="preserve">in part, </w:t>
      </w:r>
      <w:r w:rsidR="00EE0752">
        <w:t xml:space="preserve">waiving </w:t>
      </w:r>
      <w:r w:rsidR="008328FC">
        <w:t xml:space="preserve">section </w:t>
      </w:r>
      <w:r w:rsidR="006A4B85">
        <w:t xml:space="preserve">54.302 for </w:t>
      </w:r>
      <w:r w:rsidRPr="000B7590" w:rsidR="0085132A">
        <w:t>three</w:t>
      </w:r>
      <w:r w:rsidR="006A4B85">
        <w:t xml:space="preserve"> </w:t>
      </w:r>
      <w:r w:rsidRPr="000B7590" w:rsidR="0085132A">
        <w:t>year</w:t>
      </w:r>
      <w:r w:rsidR="006A4B85">
        <w:t xml:space="preserve">s </w:t>
      </w:r>
      <w:r w:rsidR="008C2A46">
        <w:t>until June 30, 2015.</w:t>
      </w:r>
      <w:r>
        <w:rPr>
          <w:rStyle w:val="FootnoteReference"/>
        </w:rPr>
        <w:footnoteReference w:id="15"/>
      </w:r>
      <w:r>
        <w:t xml:space="preserve">  </w:t>
      </w:r>
      <w:r w:rsidRPr="000B7590" w:rsidR="0085132A">
        <w:t xml:space="preserve">On December 31, 2014, Allband </w:t>
      </w:r>
      <w:r w:rsidR="00E1485B">
        <w:t xml:space="preserve">requested </w:t>
      </w:r>
      <w:r w:rsidR="002929E8">
        <w:t>a further</w:t>
      </w:r>
      <w:r w:rsidR="00E1485B">
        <w:t xml:space="preserve"> waiver again </w:t>
      </w:r>
      <w:r w:rsidR="00C300AA">
        <w:t xml:space="preserve">asking </w:t>
      </w:r>
      <w:r w:rsidRPr="000B7590" w:rsidR="0085132A">
        <w:t xml:space="preserve">that the Commission </w:t>
      </w:r>
      <w:r w:rsidR="00E1485B">
        <w:t xml:space="preserve">grant </w:t>
      </w:r>
      <w:r w:rsidRPr="000B7590" w:rsidR="0085132A">
        <w:t>Allband</w:t>
      </w:r>
      <w:r w:rsidR="00E1485B">
        <w:t xml:space="preserve"> a</w:t>
      </w:r>
      <w:r w:rsidRPr="000B7590" w:rsidR="0085132A">
        <w:t xml:space="preserve"> waiver </w:t>
      </w:r>
      <w:r w:rsidR="0085132A">
        <w:t>until the end of 2026 so that Allband could</w:t>
      </w:r>
      <w:r w:rsidRPr="000B7590" w:rsidR="0085132A">
        <w:t xml:space="preserve"> repay its </w:t>
      </w:r>
      <w:r w:rsidR="0085132A">
        <w:t>RUS loan</w:t>
      </w:r>
      <w:r w:rsidRPr="000B7590" w:rsidR="0085132A">
        <w:t xml:space="preserve"> and continue operations.</w:t>
      </w:r>
      <w:r>
        <w:rPr>
          <w:rStyle w:val="FootnoteReference"/>
        </w:rPr>
        <w:footnoteReference w:id="16"/>
      </w:r>
      <w:r w:rsidRPr="000B7590" w:rsidR="0085132A">
        <w:t xml:space="preserve">  </w:t>
      </w:r>
    </w:p>
    <w:p w:rsidR="0085132A" w:rsidP="00F03638" w14:paraId="74E3ADBF" w14:textId="6226B46B">
      <w:pPr>
        <w:pStyle w:val="ParaNum"/>
      </w:pPr>
      <w:r>
        <w:t>T</w:t>
      </w:r>
      <w:r w:rsidRPr="000B7590">
        <w:t>he Bureau extended the July 25, 2012 waiver on an interim basis for six months</w:t>
      </w:r>
      <w:r>
        <w:t xml:space="preserve"> </w:t>
      </w:r>
      <w:r w:rsidR="004E0ABC">
        <w:t>and</w:t>
      </w:r>
      <w:r w:rsidR="008C2A46">
        <w:t xml:space="preserve"> </w:t>
      </w:r>
      <w:r w:rsidRPr="000B7590">
        <w:t xml:space="preserve">directed </w:t>
      </w:r>
      <w:r w:rsidR="00412614">
        <w:t>the Universal Service Administrative Company (USAC)</w:t>
      </w:r>
      <w:r w:rsidRPr="000B7590">
        <w:t xml:space="preserve"> to undertake factual inquiries on certain accounting issues </w:t>
      </w:r>
      <w:r>
        <w:t>which the Bureau identified as requiring further review.</w:t>
      </w:r>
      <w:r>
        <w:rPr>
          <w:rStyle w:val="FootnoteReference"/>
        </w:rPr>
        <w:footnoteReference w:id="17"/>
      </w:r>
      <w:r w:rsidR="00EE0752">
        <w:t xml:space="preserve">  </w:t>
      </w:r>
      <w:r w:rsidRPr="000B7590">
        <w:t xml:space="preserve">On December 7, 2015, the </w:t>
      </w:r>
      <w:r w:rsidRPr="000B7590">
        <w:t xml:space="preserve">Bureau extended Allband’s interim waiver </w:t>
      </w:r>
      <w:r w:rsidR="004225BB">
        <w:t xml:space="preserve">until the earlier of </w:t>
      </w:r>
      <w:r w:rsidRPr="000B7590">
        <w:t xml:space="preserve">June 30, 2016 or the date </w:t>
      </w:r>
      <w:r w:rsidR="00D838D4">
        <w:t>on which the Commission ruled</w:t>
      </w:r>
      <w:r>
        <w:t xml:space="preserve"> on</w:t>
      </w:r>
      <w:r w:rsidRPr="000B7590">
        <w:t xml:space="preserve"> Allband’s Further Waiver Request.</w:t>
      </w:r>
      <w:r>
        <w:rPr>
          <w:rStyle w:val="FootnoteReference"/>
        </w:rPr>
        <w:footnoteReference w:id="18"/>
      </w:r>
      <w:r w:rsidR="008531C2">
        <w:t xml:space="preserve">  </w:t>
      </w:r>
      <w:r w:rsidRPr="00037D9E">
        <w:t xml:space="preserve"> </w:t>
      </w:r>
    </w:p>
    <w:p w:rsidR="00066735" w:rsidP="00066735" w14:paraId="5D8D6A93" w14:textId="0D09D02B">
      <w:pPr>
        <w:pStyle w:val="ParaNum"/>
      </w:pPr>
      <w:r>
        <w:t xml:space="preserve">On July 20, 2016, the Commission denied </w:t>
      </w:r>
      <w:r w:rsidRPr="00E54F84">
        <w:t xml:space="preserve">Allband’s </w:t>
      </w:r>
      <w:r w:rsidR="00A83DCA">
        <w:t>F</w:t>
      </w:r>
      <w:r w:rsidR="008C2A46">
        <w:t xml:space="preserve">urther </w:t>
      </w:r>
      <w:r w:rsidR="00A83DCA">
        <w:t>Waiver R</w:t>
      </w:r>
      <w:r w:rsidRPr="00E54F84">
        <w:t>eq</w:t>
      </w:r>
      <w:r w:rsidR="00282436">
        <w:t>uest</w:t>
      </w:r>
      <w:r w:rsidR="004958E8">
        <w:t xml:space="preserve"> reducing</w:t>
      </w:r>
      <w:r w:rsidR="000356C6">
        <w:t xml:space="preserve"> Allband’s high-cost support to $250 per</w:t>
      </w:r>
      <w:r w:rsidR="0081427B">
        <w:t xml:space="preserve"> loop</w:t>
      </w:r>
      <w:r w:rsidR="000356C6">
        <w:t xml:space="preserve"> per month</w:t>
      </w:r>
      <w:r w:rsidR="00EE0752">
        <w:t>.</w:t>
      </w:r>
      <w:r>
        <w:rPr>
          <w:rStyle w:val="FootnoteReference"/>
        </w:rPr>
        <w:footnoteReference w:id="19"/>
      </w:r>
      <w:r>
        <w:t xml:space="preserve">  </w:t>
      </w:r>
      <w:r w:rsidRPr="00E54F84">
        <w:t xml:space="preserve">The Commission </w:t>
      </w:r>
      <w:r w:rsidR="00282436">
        <w:t xml:space="preserve">determined that </w:t>
      </w:r>
      <w:r w:rsidRPr="00E54F84">
        <w:t xml:space="preserve">Allband consistently misapplied the </w:t>
      </w:r>
      <w:r w:rsidR="00282436">
        <w:t xml:space="preserve">Commission’s </w:t>
      </w:r>
      <w:r w:rsidRPr="00E54F84">
        <w:t>cost allocation rules rendering i</w:t>
      </w:r>
      <w:r w:rsidR="00906FEB">
        <w:t xml:space="preserve">ts cost accounting unreliable.  </w:t>
      </w:r>
      <w:r w:rsidR="00EE0752">
        <w:t xml:space="preserve">Consequently, the Commission </w:t>
      </w:r>
      <w:r w:rsidR="00810CAF">
        <w:t xml:space="preserve">found that it </w:t>
      </w:r>
      <w:r w:rsidR="00EE0752">
        <w:t xml:space="preserve">could not determine how much, if any, support above </w:t>
      </w:r>
      <w:r w:rsidR="004225BB">
        <w:t xml:space="preserve">the </w:t>
      </w:r>
      <w:r w:rsidR="00EE0752">
        <w:t>$250 per</w:t>
      </w:r>
      <w:r w:rsidR="0081427B">
        <w:t xml:space="preserve"> loop</w:t>
      </w:r>
      <w:r w:rsidR="00EE0752">
        <w:t xml:space="preserve"> per month cap was </w:t>
      </w:r>
      <w:r w:rsidR="00810CAF">
        <w:t>warranted</w:t>
      </w:r>
      <w:r w:rsidR="00EE0752">
        <w:t>.</w:t>
      </w:r>
      <w:r>
        <w:rPr>
          <w:rStyle w:val="FootnoteReference"/>
        </w:rPr>
        <w:footnoteReference w:id="20"/>
      </w:r>
      <w:r w:rsidR="00EE0752">
        <w:t xml:space="preserve">  </w:t>
      </w:r>
    </w:p>
    <w:p w:rsidR="00970532" w:rsidP="00066735" w14:paraId="153E82B7" w14:textId="69D9F3F9">
      <w:pPr>
        <w:pStyle w:val="ParaNum"/>
      </w:pPr>
      <w:r>
        <w:t>Furthermore, a</w:t>
      </w:r>
      <w:r>
        <w:t>s part of the denial</w:t>
      </w:r>
      <w:r w:rsidR="00282436">
        <w:t>, t</w:t>
      </w:r>
      <w:r w:rsidRPr="00E54F84" w:rsidR="00D427B9">
        <w:t xml:space="preserve">he Commission ordered </w:t>
      </w:r>
      <w:r w:rsidR="008531C2">
        <w:t>Allband “</w:t>
      </w:r>
      <w:r w:rsidRPr="00970532">
        <w:t xml:space="preserve">to revise its cost accounting practices to be consistent with </w:t>
      </w:r>
      <w:r>
        <w:t>[the Commission’s]</w:t>
      </w:r>
      <w:r w:rsidRPr="00970532">
        <w:t xml:space="preserve"> rules and submit information regarding its revised allocation of costs and associated r</w:t>
      </w:r>
      <w:r w:rsidR="00412614">
        <w:t xml:space="preserve">evisions to its cost studies to </w:t>
      </w:r>
      <w:r w:rsidR="000356C6">
        <w:t>USAC</w:t>
      </w:r>
      <w:r w:rsidRPr="00970532">
        <w:t xml:space="preserve"> for review</w:t>
      </w:r>
      <w:r>
        <w:t>.”</w:t>
      </w:r>
      <w:r>
        <w:rPr>
          <w:rStyle w:val="FootnoteReference"/>
        </w:rPr>
        <w:footnoteReference w:id="21"/>
      </w:r>
      <w:r w:rsidR="00066735">
        <w:t xml:space="preserve">  T</w:t>
      </w:r>
      <w:r w:rsidRPr="00066735" w:rsidR="00066735">
        <w:t xml:space="preserve">he Order </w:t>
      </w:r>
      <w:r w:rsidR="00F8354B">
        <w:t xml:space="preserve">required </w:t>
      </w:r>
      <w:r w:rsidRPr="00066735" w:rsidR="00066735">
        <w:t xml:space="preserve">USAC </w:t>
      </w:r>
      <w:r w:rsidR="0069105C">
        <w:t>t</w:t>
      </w:r>
      <w:r w:rsidR="00066735">
        <w:t xml:space="preserve">o complete its review </w:t>
      </w:r>
      <w:r w:rsidR="0046087D">
        <w:t xml:space="preserve">within </w:t>
      </w:r>
      <w:r w:rsidRPr="00066735" w:rsidR="0046087D">
        <w:t xml:space="preserve">three months </w:t>
      </w:r>
      <w:r w:rsidR="0046087D">
        <w:t xml:space="preserve">of the date on which </w:t>
      </w:r>
      <w:r w:rsidR="004225BB">
        <w:t>Allband submitted</w:t>
      </w:r>
      <w:r w:rsidRPr="00066735" w:rsidR="00066735">
        <w:t xml:space="preserve"> “detailed breakdowns by percentage of how each category of employee’s time is allocated between regulated and nonregulated activities for at least a three-month period in such a way that USAC can determine if Allband’s revised practices comply with </w:t>
      </w:r>
      <w:r w:rsidR="00066735">
        <w:t xml:space="preserve">[the Commission’s] </w:t>
      </w:r>
      <w:r w:rsidRPr="00066735" w:rsidR="00066735">
        <w:t>rules.”</w:t>
      </w:r>
      <w:r>
        <w:rPr>
          <w:rStyle w:val="FootnoteReference"/>
        </w:rPr>
        <w:footnoteReference w:id="22"/>
      </w:r>
      <w:r w:rsidR="00066735">
        <w:t xml:space="preserve"> </w:t>
      </w:r>
      <w:r w:rsidR="00265234">
        <w:t xml:space="preserve">  </w:t>
      </w:r>
    </w:p>
    <w:p w:rsidR="008D503D" w:rsidP="00970532" w14:paraId="73048A86" w14:textId="54A9509A">
      <w:pPr>
        <w:pStyle w:val="ParaNum"/>
      </w:pPr>
      <w:r w:rsidRPr="00E54F84">
        <w:t xml:space="preserve">On January 12, 2017, </w:t>
      </w:r>
      <w:r w:rsidR="00970532">
        <w:t xml:space="preserve">while USAC’s review </w:t>
      </w:r>
      <w:r w:rsidR="00FC245F">
        <w:t>was in progress</w:t>
      </w:r>
      <w:r w:rsidR="00970532">
        <w:t xml:space="preserve">, </w:t>
      </w:r>
      <w:r w:rsidRPr="00E54F84">
        <w:t xml:space="preserve">Allband filed an emergency petition for </w:t>
      </w:r>
      <w:r>
        <w:t xml:space="preserve">an interim </w:t>
      </w:r>
      <w:r w:rsidRPr="00E54F84">
        <w:t>waiver</w:t>
      </w:r>
      <w:r w:rsidR="00246E0F">
        <w:t xml:space="preserve"> </w:t>
      </w:r>
      <w:r w:rsidRPr="00E54F84">
        <w:t>of</w:t>
      </w:r>
      <w:r w:rsidR="00EE0752">
        <w:t xml:space="preserve"> section 54.302</w:t>
      </w:r>
      <w:r>
        <w:t xml:space="preserve">, </w:t>
      </w:r>
      <w:r w:rsidRPr="00E54F84">
        <w:t>req</w:t>
      </w:r>
      <w:r w:rsidR="00246E0F">
        <w:t>uesting $375 per</w:t>
      </w:r>
      <w:r w:rsidR="0081427B">
        <w:t xml:space="preserve"> loop</w:t>
      </w:r>
      <w:r w:rsidR="00246E0F">
        <w:t xml:space="preserve"> per month, pending completion of USAC’s review and subsequent </w:t>
      </w:r>
      <w:r w:rsidR="00582BAC">
        <w:t xml:space="preserve">Commission </w:t>
      </w:r>
      <w:r w:rsidR="00246E0F">
        <w:t xml:space="preserve">approval </w:t>
      </w:r>
      <w:r w:rsidR="00074D56">
        <w:t xml:space="preserve">of </w:t>
      </w:r>
      <w:r w:rsidR="00246E0F">
        <w:t>a further waiver increas</w:t>
      </w:r>
      <w:r w:rsidR="00FC245F">
        <w:t>ing</w:t>
      </w:r>
      <w:r w:rsidR="00074D56">
        <w:t xml:space="preserve"> per-line support above $375.</w:t>
      </w:r>
      <w:r>
        <w:rPr>
          <w:rStyle w:val="FootnoteReference"/>
        </w:rPr>
        <w:footnoteReference w:id="23"/>
      </w:r>
    </w:p>
    <w:p w:rsidR="007D6F55" w:rsidP="00970532" w14:paraId="16FD2D82" w14:textId="7013BD02">
      <w:pPr>
        <w:pStyle w:val="ParaNum"/>
      </w:pPr>
      <w:r>
        <w:t xml:space="preserve">USAC completed its review </w:t>
      </w:r>
      <w:r>
        <w:t>on April 13, 2017</w:t>
      </w:r>
      <w:r w:rsidR="008D503D">
        <w:t>.</w:t>
      </w:r>
      <w:r>
        <w:rPr>
          <w:rStyle w:val="FootnoteReference"/>
        </w:rPr>
        <w:footnoteReference w:id="24"/>
      </w:r>
      <w:r w:rsidR="008D503D">
        <w:t xml:space="preserve">  Allband </w:t>
      </w:r>
      <w:r w:rsidR="00FC35A2">
        <w:t xml:space="preserve">petitioned </w:t>
      </w:r>
      <w:r w:rsidR="008D503D">
        <w:t xml:space="preserve">for a </w:t>
      </w:r>
      <w:r w:rsidR="00F650C5">
        <w:t xml:space="preserve">waiver of 54.302 on July 27, 2017 requesting $457 </w:t>
      </w:r>
      <w:r w:rsidR="008D503D">
        <w:t>per loop per month</w:t>
      </w:r>
      <w:r w:rsidR="00FC35A2">
        <w:t xml:space="preserve"> as may be adjusted in future years based on annual cost studies</w:t>
      </w:r>
      <w:r w:rsidR="00F463FB">
        <w:t>,</w:t>
      </w:r>
      <w:r w:rsidR="00FB6F00">
        <w:t xml:space="preserve"> </w:t>
      </w:r>
      <w:r w:rsidR="00F463FB">
        <w:t xml:space="preserve">subject to a later determination of any claw-back, </w:t>
      </w:r>
      <w:r w:rsidR="00FB6F00">
        <w:t xml:space="preserve">until the end of the RUS </w:t>
      </w:r>
      <w:r w:rsidR="00F463FB">
        <w:t>loan</w:t>
      </w:r>
      <w:r w:rsidR="00FB6F00">
        <w:t xml:space="preserve"> term or </w:t>
      </w:r>
      <w:r w:rsidR="0046087D">
        <w:t xml:space="preserve">on a </w:t>
      </w:r>
      <w:r w:rsidR="00FB6F00">
        <w:t>“reasonably long-term and certain basis</w:t>
      </w:r>
      <w:r w:rsidR="00FC35A2">
        <w:t>.</w:t>
      </w:r>
      <w:r w:rsidR="00FB6F00">
        <w:t>”</w:t>
      </w:r>
      <w:r>
        <w:rPr>
          <w:rStyle w:val="FootnoteReference"/>
        </w:rPr>
        <w:footnoteReference w:id="25"/>
      </w:r>
      <w:r w:rsidR="00F463FB">
        <w:t xml:space="preserve">  </w:t>
      </w:r>
    </w:p>
    <w:p w:rsidR="00453E21" w:rsidP="00970532" w14:paraId="6385DCA7" w14:textId="62B00D5A">
      <w:pPr>
        <w:pStyle w:val="ParaNum"/>
      </w:pPr>
      <w:r>
        <w:t>Prior to the January 2017 E</w:t>
      </w:r>
      <w:r w:rsidR="00CD732E">
        <w:t xml:space="preserve">mergency </w:t>
      </w:r>
      <w:r>
        <w:t>P</w:t>
      </w:r>
      <w:r w:rsidR="00CD732E">
        <w:t xml:space="preserve">etition, </w:t>
      </w:r>
      <w:r w:rsidRPr="00265234" w:rsidR="00CD732E">
        <w:t xml:space="preserve">Allband petitioned the </w:t>
      </w:r>
      <w:r w:rsidR="00CD732E">
        <w:t xml:space="preserve">United States Court of Appeals for the Sixth Circuit </w:t>
      </w:r>
      <w:r w:rsidRPr="00265234" w:rsidR="00CD732E">
        <w:t xml:space="preserve">for review of the </w:t>
      </w:r>
      <w:r w:rsidRPr="004416D0" w:rsidR="00CD732E">
        <w:rPr>
          <w:i/>
        </w:rPr>
        <w:t>July 2016</w:t>
      </w:r>
      <w:r w:rsidRPr="00265234" w:rsidR="00CD732E">
        <w:t xml:space="preserve"> </w:t>
      </w:r>
      <w:r w:rsidR="00CD732E">
        <w:rPr>
          <w:i/>
        </w:rPr>
        <w:t>Waiver Order</w:t>
      </w:r>
      <w:r w:rsidR="00CD732E">
        <w:t xml:space="preserve">.  The petition for review </w:t>
      </w:r>
      <w:r w:rsidRPr="00265234" w:rsidR="00CD732E">
        <w:t>is currently in abeyance, at Allband’s re</w:t>
      </w:r>
      <w:r w:rsidR="00CD732E">
        <w:t xml:space="preserve">quest, </w:t>
      </w:r>
      <w:r>
        <w:t>pending Commission review of the</w:t>
      </w:r>
      <w:r w:rsidR="00CD732E">
        <w:t xml:space="preserve"> waiver</w:t>
      </w:r>
      <w:r w:rsidR="00582BAC">
        <w:t xml:space="preserve"> petitions</w:t>
      </w:r>
      <w:r w:rsidR="00D83EBB">
        <w:t>.</w:t>
      </w:r>
      <w:r>
        <w:rPr>
          <w:rStyle w:val="FootnoteReference"/>
        </w:rPr>
        <w:footnoteReference w:id="26"/>
      </w:r>
    </w:p>
    <w:p w:rsidR="00282436" w:rsidP="00395E76" w14:paraId="1A295CE2" w14:textId="47C7C02E">
      <w:pPr>
        <w:pStyle w:val="ParaNum"/>
        <w:keepNext/>
        <w:widowControl/>
        <w:numPr>
          <w:ilvl w:val="0"/>
          <w:numId w:val="11"/>
        </w:numPr>
        <w:rPr>
          <w:b/>
        </w:rPr>
      </w:pPr>
      <w:r w:rsidRPr="00453E21">
        <w:rPr>
          <w:b/>
        </w:rPr>
        <w:t>DISCUSSION</w:t>
      </w:r>
    </w:p>
    <w:p w:rsidR="00F22993" w:rsidRPr="00E83EC4" w:rsidP="00395E76" w14:paraId="4C58DBBB" w14:textId="63EB5DDA">
      <w:pPr>
        <w:pStyle w:val="ParaNum"/>
        <w:keepNext/>
        <w:widowControl/>
        <w:numPr>
          <w:ilvl w:val="1"/>
          <w:numId w:val="11"/>
        </w:numPr>
        <w:tabs>
          <w:tab w:val="left" w:pos="1440"/>
        </w:tabs>
        <w:ind w:hanging="720"/>
        <w:rPr>
          <w:b/>
        </w:rPr>
      </w:pPr>
      <w:r w:rsidRPr="00E83EC4">
        <w:rPr>
          <w:b/>
        </w:rPr>
        <w:t>Allband’s</w:t>
      </w:r>
      <w:r>
        <w:rPr>
          <w:b/>
        </w:rPr>
        <w:t xml:space="preserve"> </w:t>
      </w:r>
      <w:r w:rsidR="004E6E29">
        <w:rPr>
          <w:b/>
        </w:rPr>
        <w:t xml:space="preserve">Corrected </w:t>
      </w:r>
      <w:r>
        <w:rPr>
          <w:b/>
        </w:rPr>
        <w:t>Cost A</w:t>
      </w:r>
      <w:r w:rsidRPr="00E83EC4">
        <w:rPr>
          <w:b/>
        </w:rPr>
        <w:t>ccounting</w:t>
      </w:r>
      <w:r>
        <w:rPr>
          <w:b/>
        </w:rPr>
        <w:t xml:space="preserve"> </w:t>
      </w:r>
      <w:r w:rsidR="0046087D">
        <w:rPr>
          <w:b/>
        </w:rPr>
        <w:t>I</w:t>
      </w:r>
      <w:r>
        <w:rPr>
          <w:b/>
        </w:rPr>
        <w:t>s R</w:t>
      </w:r>
      <w:r w:rsidR="00F55667">
        <w:rPr>
          <w:b/>
        </w:rPr>
        <w:t>eliable</w:t>
      </w:r>
    </w:p>
    <w:p w:rsidR="00F22993" w:rsidP="00F22993" w14:paraId="3FF0F213" w14:textId="277B49B3">
      <w:pPr>
        <w:pStyle w:val="ParaNum"/>
      </w:pPr>
      <w:r>
        <w:t xml:space="preserve">USAC </w:t>
      </w:r>
      <w:r w:rsidR="00E83EC4">
        <w:t xml:space="preserve">concluded </w:t>
      </w:r>
      <w:r w:rsidR="009260B5">
        <w:t xml:space="preserve">that Allband </w:t>
      </w:r>
      <w:r>
        <w:t xml:space="preserve">made the </w:t>
      </w:r>
      <w:r w:rsidR="00E83EC4">
        <w:t xml:space="preserve">necessary </w:t>
      </w:r>
      <w:r w:rsidR="00541BBC">
        <w:t>adjustments</w:t>
      </w:r>
      <w:r>
        <w:t xml:space="preserve"> to its co</w:t>
      </w:r>
      <w:r w:rsidR="00A360C6">
        <w:t xml:space="preserve">st accounting and allocations.  </w:t>
      </w:r>
      <w:r w:rsidR="004958E8">
        <w:t xml:space="preserve">Specifically, </w:t>
      </w:r>
      <w:r w:rsidR="00A360C6">
        <w:t>U</w:t>
      </w:r>
      <w:r w:rsidR="00CD732E">
        <w:t xml:space="preserve">SAC </w:t>
      </w:r>
      <w:r w:rsidR="00A360C6">
        <w:t>determined</w:t>
      </w:r>
      <w:r w:rsidR="00CD732E">
        <w:t xml:space="preserve"> that “</w:t>
      </w:r>
      <w:r w:rsidRPr="00CD732E" w:rsidR="00CD732E">
        <w:t>Allband appears to have adjusted its cost accounting practices to substantially comply with the FCC’s rules for cost allocation between regulated and nonregulated activities.</w:t>
      </w:r>
      <w:r w:rsidR="00CD732E">
        <w:t>”</w:t>
      </w:r>
      <w:r>
        <w:rPr>
          <w:rStyle w:val="FootnoteReference"/>
        </w:rPr>
        <w:footnoteReference w:id="27"/>
      </w:r>
      <w:r>
        <w:t xml:space="preserve">  </w:t>
      </w:r>
      <w:r w:rsidR="00C47815">
        <w:t xml:space="preserve">Based on our own review of </w:t>
      </w:r>
      <w:r w:rsidR="00FC35A2">
        <w:t>the USAC R</w:t>
      </w:r>
      <w:r w:rsidR="00C47815">
        <w:t>eport, w</w:t>
      </w:r>
      <w:r w:rsidR="00CD732E">
        <w:t xml:space="preserve">e agree with </w:t>
      </w:r>
      <w:r w:rsidR="00E83EC4">
        <w:t>USAC’s</w:t>
      </w:r>
      <w:r w:rsidR="009260B5">
        <w:t xml:space="preserve"> conclusion that Allband</w:t>
      </w:r>
      <w:r w:rsidR="00053E3A">
        <w:t xml:space="preserve">’s </w:t>
      </w:r>
      <w:r w:rsidR="009E1CB2">
        <w:t>adjusted</w:t>
      </w:r>
      <w:r w:rsidR="00053E3A">
        <w:t xml:space="preserve"> cost accounting</w:t>
      </w:r>
      <w:r w:rsidR="009260B5">
        <w:t xml:space="preserve"> no</w:t>
      </w:r>
      <w:r w:rsidR="00855B4A">
        <w:t>w</w:t>
      </w:r>
      <w:r w:rsidR="009260B5">
        <w:t xml:space="preserve"> complies with th</w:t>
      </w:r>
      <w:r w:rsidR="009E1CB2">
        <w:t>e Commission’s rules</w:t>
      </w:r>
      <w:r w:rsidR="0046087D">
        <w:t xml:space="preserve">.  </w:t>
      </w:r>
      <w:r w:rsidR="00053E3A">
        <w:t xml:space="preserve">  </w:t>
      </w:r>
      <w:r w:rsidR="00CD732E">
        <w:t xml:space="preserve">  </w:t>
      </w:r>
    </w:p>
    <w:p w:rsidR="004C4B56" w:rsidP="00124FCA" w14:paraId="0F769518" w14:textId="5F6121C5">
      <w:pPr>
        <w:pStyle w:val="ParaNum"/>
      </w:pPr>
      <w:r>
        <w:t xml:space="preserve">While </w:t>
      </w:r>
      <w:r w:rsidR="00C47815">
        <w:t xml:space="preserve">USAC </w:t>
      </w:r>
      <w:r w:rsidR="00344E7F">
        <w:t xml:space="preserve">reported </w:t>
      </w:r>
      <w:r w:rsidR="00745BA2">
        <w:t>an</w:t>
      </w:r>
      <w:r w:rsidR="00C47815">
        <w:t xml:space="preserve"> </w:t>
      </w:r>
      <w:r>
        <w:t>instance</w:t>
      </w:r>
      <w:r w:rsidR="00745BA2">
        <w:t xml:space="preserve"> of</w:t>
      </w:r>
      <w:r w:rsidR="00C47815">
        <w:t xml:space="preserve"> imp</w:t>
      </w:r>
      <w:r>
        <w:t>rope</w:t>
      </w:r>
      <w:r w:rsidR="00AE133A">
        <w:t>r time reporting and three</w:t>
      </w:r>
      <w:r w:rsidR="00745BA2">
        <w:t xml:space="preserve"> instances where Allband </w:t>
      </w:r>
      <w:r>
        <w:t>lack</w:t>
      </w:r>
      <w:r w:rsidR="00745BA2">
        <w:t xml:space="preserve">ed </w:t>
      </w:r>
      <w:r w:rsidR="00E83EC4">
        <w:t>supporting</w:t>
      </w:r>
      <w:r>
        <w:t xml:space="preserve"> </w:t>
      </w:r>
      <w:r w:rsidR="00AE133A">
        <w:t>documentation for time entries</w:t>
      </w:r>
      <w:r>
        <w:t xml:space="preserve">, </w:t>
      </w:r>
      <w:r w:rsidR="00C47815">
        <w:t xml:space="preserve">Allband </w:t>
      </w:r>
      <w:r w:rsidR="00AE133A">
        <w:t xml:space="preserve">has since </w:t>
      </w:r>
      <w:r w:rsidR="00C47815">
        <w:t xml:space="preserve">revised its procedures so </w:t>
      </w:r>
      <w:r w:rsidR="00745BA2">
        <w:t>that</w:t>
      </w:r>
      <w:r w:rsidR="00AE133A">
        <w:t xml:space="preserve"> these </w:t>
      </w:r>
      <w:r w:rsidR="00C47815">
        <w:t xml:space="preserve">mistakes are </w:t>
      </w:r>
      <w:r w:rsidR="00745BA2">
        <w:t xml:space="preserve">not </w:t>
      </w:r>
      <w:r w:rsidR="00C47815">
        <w:t xml:space="preserve">likely to </w:t>
      </w:r>
      <w:r w:rsidR="00AE133A">
        <w:t>reoccur</w:t>
      </w:r>
      <w:r w:rsidR="00C47815">
        <w:t>.</w:t>
      </w:r>
      <w:r>
        <w:rPr>
          <w:rStyle w:val="FootnoteReference"/>
        </w:rPr>
        <w:footnoteReference w:id="28"/>
      </w:r>
      <w:r w:rsidR="00440AF6">
        <w:t xml:space="preserve">  T</w:t>
      </w:r>
      <w:r>
        <w:t xml:space="preserve">he </w:t>
      </w:r>
      <w:r w:rsidR="00A915EC">
        <w:t xml:space="preserve">changes </w:t>
      </w:r>
      <w:r w:rsidR="00C0094B">
        <w:t xml:space="preserve">Allband made </w:t>
      </w:r>
      <w:r w:rsidR="00A915EC">
        <w:t xml:space="preserve">to </w:t>
      </w:r>
      <w:r w:rsidR="00745BA2">
        <w:t xml:space="preserve">its </w:t>
      </w:r>
      <w:r w:rsidR="00A915EC">
        <w:t xml:space="preserve">time reporting </w:t>
      </w:r>
      <w:r w:rsidR="00745BA2">
        <w:t xml:space="preserve">procedures </w:t>
      </w:r>
      <w:r w:rsidR="00440AF6">
        <w:t xml:space="preserve">also </w:t>
      </w:r>
      <w:r w:rsidR="00A915EC">
        <w:t xml:space="preserve">address the </w:t>
      </w:r>
      <w:r w:rsidR="00AE133A">
        <w:t xml:space="preserve">Commission’s </w:t>
      </w:r>
      <w:r w:rsidR="00A915EC">
        <w:t>concerns</w:t>
      </w:r>
      <w:r w:rsidR="0038490E">
        <w:t xml:space="preserve"> regarding</w:t>
      </w:r>
      <w:r w:rsidR="00A915EC">
        <w:t xml:space="preserve"> </w:t>
      </w:r>
      <w:r w:rsidR="00745BA2">
        <w:t xml:space="preserve">compliance with the </w:t>
      </w:r>
      <w:r w:rsidR="00A915EC">
        <w:t>affiliate transactions</w:t>
      </w:r>
      <w:r w:rsidR="00745BA2">
        <w:t xml:space="preserve"> rules</w:t>
      </w:r>
      <w:r w:rsidR="00A915EC">
        <w:t>.</w:t>
      </w:r>
      <w:r>
        <w:rPr>
          <w:rStyle w:val="FootnoteReference"/>
        </w:rPr>
        <w:footnoteReference w:id="29"/>
      </w:r>
    </w:p>
    <w:p w:rsidR="00E83EC4" w:rsidP="00124FCA" w14:paraId="0ACC126A" w14:textId="318B201A">
      <w:pPr>
        <w:pStyle w:val="ParaNum"/>
      </w:pPr>
      <w:r>
        <w:t xml:space="preserve">Additionally, </w:t>
      </w:r>
      <w:r w:rsidR="00F22993">
        <w:t xml:space="preserve">USAC </w:t>
      </w:r>
      <w:r w:rsidR="00124FCA">
        <w:t xml:space="preserve">reviewed 57 general ledger transactions and </w:t>
      </w:r>
      <w:r w:rsidR="00F22993">
        <w:t xml:space="preserve">found </w:t>
      </w:r>
      <w:r w:rsidR="00124FCA">
        <w:t>eight</w:t>
      </w:r>
      <w:r w:rsidR="00F22993">
        <w:t xml:space="preserve"> instances of improper expenditures.</w:t>
      </w:r>
      <w:r>
        <w:rPr>
          <w:rStyle w:val="FootnoteReference"/>
        </w:rPr>
        <w:footnoteReference w:id="30"/>
      </w:r>
      <w:r w:rsidR="00F22993">
        <w:t xml:space="preserve">  </w:t>
      </w:r>
      <w:r w:rsidR="0046087D">
        <w:t>W</w:t>
      </w:r>
      <w:r w:rsidR="00124FCA">
        <w:t>e agree with USAC</w:t>
      </w:r>
      <w:r w:rsidR="0046087D">
        <w:t>, however,</w:t>
      </w:r>
      <w:r w:rsidR="00124FCA">
        <w:t xml:space="preserve"> that </w:t>
      </w:r>
      <w:r w:rsidR="00F0329C">
        <w:t>the majority of these</w:t>
      </w:r>
      <w:r w:rsidR="00124FCA">
        <w:t xml:space="preserve"> eight transactions </w:t>
      </w:r>
      <w:r w:rsidR="00C47815">
        <w:t>“</w:t>
      </w:r>
      <w:r w:rsidRPr="00C47815" w:rsidR="00C47815">
        <w:t>involved complex classifications and a degree of subjectivity</w:t>
      </w:r>
      <w:r w:rsidR="00C47815">
        <w:t>.”</w:t>
      </w:r>
      <w:r>
        <w:rPr>
          <w:rStyle w:val="FootnoteReference"/>
        </w:rPr>
        <w:footnoteReference w:id="31"/>
      </w:r>
      <w:r w:rsidR="00F0329C">
        <w:t xml:space="preserve">  Moreover, Allband corrected its </w:t>
      </w:r>
      <w:r w:rsidR="00A915EC">
        <w:t>process</w:t>
      </w:r>
      <w:r w:rsidR="00F0329C">
        <w:t xml:space="preserve"> for reporting expenses </w:t>
      </w:r>
      <w:r w:rsidR="00124FCA">
        <w:t>to account for USAC</w:t>
      </w:r>
      <w:r w:rsidR="0020192C">
        <w:t>’s</w:t>
      </w:r>
      <w:r w:rsidR="00124FCA">
        <w:t xml:space="preserve"> findings.</w:t>
      </w:r>
      <w:r>
        <w:rPr>
          <w:rStyle w:val="FootnoteReference"/>
        </w:rPr>
        <w:footnoteReference w:id="32"/>
      </w:r>
      <w:r w:rsidR="00124FCA">
        <w:t xml:space="preserve">  </w:t>
      </w:r>
      <w:r w:rsidR="00A915EC">
        <w:t xml:space="preserve">Finally, </w:t>
      </w:r>
      <w:r w:rsidR="00F22993">
        <w:t>Allband’s</w:t>
      </w:r>
      <w:r w:rsidR="00A915EC">
        <w:t xml:space="preserve"> </w:t>
      </w:r>
      <w:r w:rsidR="00124FCA">
        <w:t xml:space="preserve">new </w:t>
      </w:r>
      <w:r w:rsidR="00A915EC">
        <w:t>allocators for corporate oper</w:t>
      </w:r>
      <w:r w:rsidR="00F22993">
        <w:t>ations, plant, customer service</w:t>
      </w:r>
      <w:r w:rsidR="00A915EC">
        <w:t xml:space="preserve">, </w:t>
      </w:r>
      <w:r w:rsidR="00F22993">
        <w:t xml:space="preserve">and total company are </w:t>
      </w:r>
      <w:r w:rsidR="00BE73BF">
        <w:t>reasonable</w:t>
      </w:r>
      <w:r w:rsidR="00A915EC">
        <w:t xml:space="preserve"> </w:t>
      </w:r>
      <w:r w:rsidR="00BE73BF">
        <w:t xml:space="preserve">given the number of </w:t>
      </w:r>
      <w:r w:rsidR="00A915EC">
        <w:t xml:space="preserve">lines between </w:t>
      </w:r>
      <w:r w:rsidR="0046087D">
        <w:t xml:space="preserve">Allband </w:t>
      </w:r>
      <w:r w:rsidR="00A915EC">
        <w:t>and AMM</w:t>
      </w:r>
      <w:r w:rsidR="00124FCA">
        <w:t xml:space="preserve"> and their respective revenues</w:t>
      </w:r>
      <w:r w:rsidR="00A915EC">
        <w:t>.</w:t>
      </w:r>
      <w:r>
        <w:rPr>
          <w:rStyle w:val="FootnoteReference"/>
        </w:rPr>
        <w:footnoteReference w:id="33"/>
      </w:r>
      <w:r w:rsidR="007D54C8">
        <w:t xml:space="preserve">  </w:t>
      </w:r>
      <w:r w:rsidR="00F22993">
        <w:t xml:space="preserve">Accordingly, we find that Allband’s cost accounting </w:t>
      </w:r>
      <w:r w:rsidR="00590D00">
        <w:t xml:space="preserve">is </w:t>
      </w:r>
      <w:r w:rsidR="00F22993">
        <w:t>reliable</w:t>
      </w:r>
      <w:r w:rsidR="0020192C">
        <w:t>.</w:t>
      </w:r>
      <w:r w:rsidR="007D54C8">
        <w:t xml:space="preserve">  </w:t>
      </w:r>
    </w:p>
    <w:p w:rsidR="00C47815" w:rsidP="00E83EC4" w14:paraId="201EFACC" w14:textId="7E8F9183">
      <w:pPr>
        <w:pStyle w:val="ParaNum"/>
        <w:numPr>
          <w:ilvl w:val="1"/>
          <w:numId w:val="11"/>
        </w:numPr>
        <w:ind w:hanging="720"/>
        <w:rPr>
          <w:b/>
        </w:rPr>
      </w:pPr>
      <w:r>
        <w:rPr>
          <w:b/>
        </w:rPr>
        <w:t>Standard in Evaluating Waiver of the $250 Per Loop Per Month Cap</w:t>
      </w:r>
      <w:r w:rsidR="00554002">
        <w:rPr>
          <w:b/>
        </w:rPr>
        <w:t xml:space="preserve"> </w:t>
      </w:r>
    </w:p>
    <w:p w:rsidR="00613A32" w:rsidP="00683E87" w14:paraId="45C7E523" w14:textId="4E304B5F">
      <w:pPr>
        <w:pStyle w:val="ParaNum"/>
      </w:pPr>
      <w:r>
        <w:t>Because we determine that Allband’s cos</w:t>
      </w:r>
      <w:r w:rsidR="00267ED8">
        <w:t>t accounting is reliabl</w:t>
      </w:r>
      <w:r w:rsidR="00447F30">
        <w:t xml:space="preserve">e, </w:t>
      </w:r>
      <w:r>
        <w:t xml:space="preserve">we </w:t>
      </w:r>
      <w:r w:rsidR="00683E87">
        <w:t>a</w:t>
      </w:r>
      <w:r>
        <w:t xml:space="preserve">pply our standard waiver </w:t>
      </w:r>
      <w:r w:rsidR="00683E87">
        <w:t xml:space="preserve">criteria to Allband’s petition </w:t>
      </w:r>
      <w:r w:rsidR="0078387F">
        <w:t>accounting for</w:t>
      </w:r>
      <w:r w:rsidR="00EA36EC">
        <w:t xml:space="preserve"> </w:t>
      </w:r>
      <w:r>
        <w:t xml:space="preserve">the Commission’s guidance in the </w:t>
      </w:r>
      <w:r w:rsidRPr="00A915EC">
        <w:rPr>
          <w:i/>
        </w:rPr>
        <w:t xml:space="preserve">USF/ICC Transformation Order </w:t>
      </w:r>
      <w:r>
        <w:t xml:space="preserve">and the </w:t>
      </w:r>
      <w:r w:rsidRPr="00A915EC">
        <w:rPr>
          <w:i/>
        </w:rPr>
        <w:t>Fifth Order on Reconsideration</w:t>
      </w:r>
      <w:r>
        <w:t>.</w:t>
      </w:r>
      <w:r>
        <w:rPr>
          <w:rStyle w:val="FootnoteReference"/>
        </w:rPr>
        <w:footnoteReference w:id="34"/>
      </w:r>
      <w:r w:rsidR="00683E87">
        <w:t xml:space="preserve">  </w:t>
      </w:r>
      <w:r w:rsidRPr="00594CEA">
        <w:t>Generally, the Commission’s rules may be waived if good cause is shown.</w:t>
      </w:r>
      <w:r>
        <w:rPr>
          <w:rStyle w:val="FootnoteReference"/>
        </w:rPr>
        <w:footnoteReference w:id="35"/>
      </w:r>
      <w:r>
        <w:t xml:space="preserve">  </w:t>
      </w:r>
      <w:r w:rsidRPr="00594CEA">
        <w:t>The Commission may exercise its discretion to waive a rule where the particular facts make strict compliance inconsistent with the public interest.</w:t>
      </w:r>
      <w:r>
        <w:rPr>
          <w:rStyle w:val="FootnoteReference"/>
        </w:rPr>
        <w:footnoteReference w:id="36"/>
      </w:r>
      <w:r w:rsidRPr="00594CEA">
        <w:t xml:space="preserve">  In addition, the Commission may take into account considerations of hardship, equity, or more effective implementation of overall policy on an individual basis.</w:t>
      </w:r>
      <w:r>
        <w:rPr>
          <w:rStyle w:val="FootnoteReference"/>
        </w:rPr>
        <w:footnoteReference w:id="37"/>
      </w:r>
      <w:r w:rsidRPr="00594CEA">
        <w:t xml:space="preserve">  Waiver of the Commission’s rules is appropriate if (i) special circumstances warrant a deviation from the general rule and (ii) such deviation will serve the public interest.</w:t>
      </w:r>
      <w:r>
        <w:rPr>
          <w:rStyle w:val="FootnoteReference"/>
        </w:rPr>
        <w:footnoteReference w:id="38"/>
      </w:r>
      <w:r w:rsidRPr="00594CEA">
        <w:t xml:space="preserve"> </w:t>
      </w:r>
      <w:r>
        <w:t xml:space="preserve"> </w:t>
      </w:r>
    </w:p>
    <w:p w:rsidR="00613A32" w:rsidP="00613A32" w14:paraId="11CDC089" w14:textId="2B0C25FB">
      <w:pPr>
        <w:pStyle w:val="ParaNum"/>
      </w:pPr>
      <w:r>
        <w:t xml:space="preserve">In the </w:t>
      </w:r>
      <w:r w:rsidRPr="00E83EC4">
        <w:rPr>
          <w:i/>
        </w:rPr>
        <w:t>Fifth Order on Reconsideration</w:t>
      </w:r>
      <w:r>
        <w:t xml:space="preserve">, the Commission said that it </w:t>
      </w:r>
      <w:r>
        <w:rPr>
          <w:szCs w:val="22"/>
        </w:rPr>
        <w:t>envisions “granting relief to incumbent telephone companies only in those circumstances in which the petitioner can demonstrate that consumers served by such carriers face a significant risk of losing access to a broadband-capable network that provides both voice as well as broadband today, at reasonably comparable rates, in areas where there are no alternative providers of voice or broadband.”</w:t>
      </w:r>
      <w:r>
        <w:rPr>
          <w:rStyle w:val="FootnoteReference"/>
          <w:szCs w:val="22"/>
        </w:rPr>
        <w:footnoteReference w:id="39"/>
      </w:r>
      <w:r>
        <w:rPr>
          <w:szCs w:val="22"/>
        </w:rPr>
        <w:t xml:space="preserve">  In addition, the Commission said </w:t>
      </w:r>
      <w:r w:rsidR="00EA36EC">
        <w:rPr>
          <w:szCs w:val="22"/>
        </w:rPr>
        <w:t xml:space="preserve">in the </w:t>
      </w:r>
      <w:r w:rsidR="00EA36EC">
        <w:rPr>
          <w:i/>
        </w:rPr>
        <w:t>USF/ICC Transformation Order</w:t>
      </w:r>
      <w:r w:rsidR="00EA36EC">
        <w:rPr>
          <w:szCs w:val="22"/>
        </w:rPr>
        <w:t xml:space="preserve"> </w:t>
      </w:r>
      <w:r>
        <w:rPr>
          <w:szCs w:val="22"/>
        </w:rPr>
        <w:t>that “</w:t>
      </w:r>
      <w:r>
        <w:t>any company that seeks additional funding will be subject to a thorough total company earnings review.”</w:t>
      </w:r>
      <w:r>
        <w:rPr>
          <w:rStyle w:val="FootnoteReference"/>
        </w:rPr>
        <w:footnoteReference w:id="40"/>
      </w:r>
      <w:r w:rsidR="00A37660">
        <w:t xml:space="preserve"> </w:t>
      </w:r>
      <w:r w:rsidR="00EA36EC">
        <w:t xml:space="preserve">  </w:t>
      </w:r>
    </w:p>
    <w:p w:rsidR="00A37660" w:rsidP="00A37660" w14:paraId="55C3F631" w14:textId="796924ED">
      <w:pPr>
        <w:pStyle w:val="ParaNum"/>
        <w:numPr>
          <w:ilvl w:val="1"/>
          <w:numId w:val="11"/>
        </w:numPr>
        <w:ind w:hanging="720"/>
      </w:pPr>
      <w:r>
        <w:rPr>
          <w:b/>
        </w:rPr>
        <w:t xml:space="preserve">Allband </w:t>
      </w:r>
      <w:r w:rsidR="007E2797">
        <w:rPr>
          <w:b/>
        </w:rPr>
        <w:t xml:space="preserve">Has </w:t>
      </w:r>
      <w:r>
        <w:rPr>
          <w:b/>
        </w:rPr>
        <w:t>Demonstrated Good Cause Exists to Grant a Waiver of</w:t>
      </w:r>
      <w:r w:rsidRPr="00E83EC4">
        <w:rPr>
          <w:b/>
        </w:rPr>
        <w:t xml:space="preserve"> Section 54.302</w:t>
      </w:r>
    </w:p>
    <w:p w:rsidR="00611352" w:rsidP="00F918B3" w14:paraId="19867561" w14:textId="7874132F">
      <w:pPr>
        <w:pStyle w:val="ParaNum"/>
      </w:pPr>
      <w:r>
        <w:t xml:space="preserve">Allband contends that a waiver is necessary and in the public interest because the revenue reductions caused by </w:t>
      </w:r>
      <w:r w:rsidR="0078387F">
        <w:t xml:space="preserve">section </w:t>
      </w:r>
      <w:r>
        <w:t xml:space="preserve">54.302 and the </w:t>
      </w:r>
      <w:r w:rsidRPr="00611352">
        <w:rPr>
          <w:i/>
        </w:rPr>
        <w:t xml:space="preserve">July 2016 </w:t>
      </w:r>
      <w:r w:rsidR="00057F8E">
        <w:rPr>
          <w:i/>
        </w:rPr>
        <w:t xml:space="preserve">Waiver </w:t>
      </w:r>
      <w:r w:rsidRPr="00611352">
        <w:rPr>
          <w:i/>
        </w:rPr>
        <w:t>Order</w:t>
      </w:r>
      <w:r>
        <w:t xml:space="preserve"> will irreparably harm Allband and its customers by providing insufficient revenues to continue to provide voice and 911 </w:t>
      </w:r>
      <w:r w:rsidR="00023A68">
        <w:t xml:space="preserve">incumbent </w:t>
      </w:r>
      <w:r>
        <w:t xml:space="preserve">LEC services, pay </w:t>
      </w:r>
      <w:r w:rsidR="00057F8E">
        <w:t>the principal and interest on the</w:t>
      </w:r>
      <w:r>
        <w:t xml:space="preserve"> RUS loan, and continue operations as an </w:t>
      </w:r>
      <w:r w:rsidR="00023A68">
        <w:t xml:space="preserve">incumbent </w:t>
      </w:r>
      <w:r>
        <w:t>LEC in an otherwise unserved territory.</w:t>
      </w:r>
      <w:r>
        <w:rPr>
          <w:rStyle w:val="FootnoteReference"/>
        </w:rPr>
        <w:footnoteReference w:id="41"/>
      </w:r>
      <w:r w:rsidR="00ED2A94">
        <w:t xml:space="preserve">  We agree.  </w:t>
      </w:r>
      <w:bookmarkStart w:id="1" w:name="_Hlk495388759"/>
      <w:r w:rsidR="00ED2A94">
        <w:t>At current support levels,</w:t>
      </w:r>
      <w:r w:rsidR="009034E0">
        <w:t xml:space="preserve"> </w:t>
      </w:r>
      <w:r w:rsidR="00426946">
        <w:t>factoring in</w:t>
      </w:r>
      <w:r w:rsidR="009034E0">
        <w:t xml:space="preserve"> expenses, </w:t>
      </w:r>
      <w:r w:rsidR="00426946">
        <w:t>non-USF</w:t>
      </w:r>
      <w:r w:rsidR="009034E0">
        <w:t xml:space="preserve"> revenues, </w:t>
      </w:r>
      <w:r w:rsidR="00A907D3">
        <w:t xml:space="preserve">cash reserves, </w:t>
      </w:r>
      <w:r w:rsidR="009034E0">
        <w:t xml:space="preserve">and </w:t>
      </w:r>
      <w:r w:rsidR="00AE1346">
        <w:t xml:space="preserve">no relief from debts/accounts payable, </w:t>
      </w:r>
      <w:r w:rsidR="00ED2A94">
        <w:t>A</w:t>
      </w:r>
      <w:r w:rsidR="00ED5667">
        <w:t>llband</w:t>
      </w:r>
      <w:r w:rsidR="00ED2A94">
        <w:t xml:space="preserve">’s customers are at </w:t>
      </w:r>
      <w:r w:rsidR="001C3782">
        <w:t xml:space="preserve">significant </w:t>
      </w:r>
      <w:r w:rsidR="00ED2A94">
        <w:t>risk of losing access to voice and broadband services.</w:t>
      </w:r>
      <w:r>
        <w:rPr>
          <w:rStyle w:val="FootnoteReference"/>
        </w:rPr>
        <w:footnoteReference w:id="42"/>
      </w:r>
      <w:r w:rsidR="00ED2A94">
        <w:t xml:space="preserve">  </w:t>
      </w:r>
    </w:p>
    <w:p w:rsidR="00216ABD" w:rsidRPr="00216ABD" w:rsidP="00F918B3" w14:paraId="2E638752" w14:textId="1D95B442">
      <w:pPr>
        <w:pStyle w:val="ParaNum"/>
      </w:pPr>
      <w:bookmarkEnd w:id="1"/>
      <w:r>
        <w:t>Furthermore, s</w:t>
      </w:r>
      <w:r w:rsidR="008923CB">
        <w:t xml:space="preserve">ince the Commission denied Allband’s waiver request, the company </w:t>
      </w:r>
      <w:r w:rsidRPr="0085461C" w:rsidR="000309F9">
        <w:t xml:space="preserve">has </w:t>
      </w:r>
      <w:r w:rsidR="002F130C">
        <w:t xml:space="preserve">taken further </w:t>
      </w:r>
      <w:r w:rsidR="005A3A0A">
        <w:t>actions to reduce its expenses.</w:t>
      </w:r>
      <w:r w:rsidR="000309F9">
        <w:t xml:space="preserve">  </w:t>
      </w:r>
      <w:r w:rsidR="007202D5">
        <w:t xml:space="preserve">It </w:t>
      </w:r>
      <w:r w:rsidRPr="0085461C" w:rsidR="000309F9">
        <w:t xml:space="preserve">eliminated paid holidays, </w:t>
      </w:r>
      <w:r w:rsidR="00414575">
        <w:t>reduced the number of employees</w:t>
      </w:r>
      <w:r w:rsidRPr="0085461C" w:rsidR="000309F9">
        <w:t xml:space="preserve">, implemented a new commission-only bonus structure, </w:t>
      </w:r>
      <w:r w:rsidR="000309F9">
        <w:t xml:space="preserve">and </w:t>
      </w:r>
      <w:r w:rsidR="00414575">
        <w:t xml:space="preserve">negotiated </w:t>
      </w:r>
      <w:r w:rsidR="00870D64">
        <w:t xml:space="preserve">with the State of Michigan </w:t>
      </w:r>
      <w:r w:rsidRPr="0085461C" w:rsidR="000309F9">
        <w:t>to reduce property taxes.</w:t>
      </w:r>
      <w:r>
        <w:rPr>
          <w:rStyle w:val="FootnoteReference"/>
        </w:rPr>
        <w:footnoteReference w:id="43"/>
      </w:r>
      <w:r w:rsidR="001347BF">
        <w:t xml:space="preserve">  </w:t>
      </w:r>
      <w:bookmarkStart w:id="2" w:name="_Hlk495065875"/>
      <w:r w:rsidR="001347BF">
        <w:t>Even with the</w:t>
      </w:r>
      <w:r w:rsidR="009F40C2">
        <w:t xml:space="preserve"> cost cutting measures, </w:t>
      </w:r>
      <w:r w:rsidR="00A37660">
        <w:t xml:space="preserve">based on our total company </w:t>
      </w:r>
      <w:r w:rsidR="007E2797">
        <w:t xml:space="preserve">earnings </w:t>
      </w:r>
      <w:r w:rsidR="00070448">
        <w:t>review</w:t>
      </w:r>
      <w:r w:rsidR="00426946">
        <w:t>,</w:t>
      </w:r>
      <w:r w:rsidR="00070448">
        <w:t xml:space="preserve"> </w:t>
      </w:r>
      <w:r w:rsidR="005D176B">
        <w:t>with</w:t>
      </w:r>
      <w:r w:rsidR="00D40B40">
        <w:t xml:space="preserve"> no relief from debts/accounts </w:t>
      </w:r>
      <w:r w:rsidR="00D66731">
        <w:t>payable, Allband</w:t>
      </w:r>
      <w:r w:rsidR="00426946">
        <w:t xml:space="preserve"> </w:t>
      </w:r>
      <w:r w:rsidR="009F40C2">
        <w:t>still needs support above $250 per loop per month to be cash flow positive and keep its account balances above zero</w:t>
      </w:r>
      <w:r w:rsidR="0099677A">
        <w:t xml:space="preserve"> both</w:t>
      </w:r>
      <w:r w:rsidR="009F40C2">
        <w:t xml:space="preserve"> in the near </w:t>
      </w:r>
      <w:r w:rsidR="0099677A">
        <w:t>and</w:t>
      </w:r>
      <w:r w:rsidR="009F40C2">
        <w:t xml:space="preserve"> long term.</w:t>
      </w:r>
      <w:bookmarkEnd w:id="2"/>
      <w:r w:rsidR="009F40C2">
        <w:t xml:space="preserve">  </w:t>
      </w:r>
      <w:r>
        <w:t>Moreover,</w:t>
      </w:r>
      <w:r w:rsidR="008923CB">
        <w:t xml:space="preserve"> </w:t>
      </w:r>
      <w:r w:rsidR="00B73457">
        <w:t xml:space="preserve">because </w:t>
      </w:r>
      <w:r w:rsidR="009F40C2">
        <w:t xml:space="preserve">Allband </w:t>
      </w:r>
      <w:r w:rsidR="00B73457">
        <w:t>serves a spar</w:t>
      </w:r>
      <w:r w:rsidR="00C165CF">
        <w:t>sely populated area</w:t>
      </w:r>
      <w:r w:rsidR="00B73457">
        <w:t xml:space="preserve">, it </w:t>
      </w:r>
      <w:r w:rsidR="009F40C2">
        <w:t xml:space="preserve">cannot </w:t>
      </w:r>
      <w:r w:rsidR="000E6142">
        <w:t xml:space="preserve">increase the number of customers </w:t>
      </w:r>
      <w:r w:rsidR="00BF69D0">
        <w:t>to</w:t>
      </w:r>
      <w:r w:rsidR="007D6B9A">
        <w:t xml:space="preserve"> </w:t>
      </w:r>
      <w:r w:rsidR="003607DC">
        <w:t>raise</w:t>
      </w:r>
      <w:r w:rsidR="00F918B3">
        <w:t xml:space="preserve"> </w:t>
      </w:r>
      <w:r w:rsidR="009B5A70">
        <w:t>revenues</w:t>
      </w:r>
      <w:r w:rsidR="00F918B3">
        <w:t xml:space="preserve"> </w:t>
      </w:r>
      <w:r w:rsidR="003607DC">
        <w:t>enough to</w:t>
      </w:r>
      <w:r w:rsidR="009B5A70">
        <w:t xml:space="preserve"> </w:t>
      </w:r>
      <w:r w:rsidR="00A54229">
        <w:t xml:space="preserve">materially </w:t>
      </w:r>
      <w:r w:rsidR="009B5A70">
        <w:t>change its situation</w:t>
      </w:r>
      <w:r w:rsidR="00F918B3">
        <w:t>.</w:t>
      </w:r>
      <w:r w:rsidR="005C2704">
        <w:t xml:space="preserve">  </w:t>
      </w:r>
      <w:r w:rsidR="00C165CF">
        <w:t>E</w:t>
      </w:r>
      <w:r w:rsidR="000E6142">
        <w:t xml:space="preserve">ven significant rate increases for its existing customers would </w:t>
      </w:r>
      <w:r w:rsidR="005C2704">
        <w:t>be insufficient to bring the amount of support below $250 per loop per month.</w:t>
      </w:r>
      <w:r w:rsidR="00C165CF">
        <w:t xml:space="preserve">  </w:t>
      </w:r>
      <w:r w:rsidR="005A3A0A">
        <w:t>Combined</w:t>
      </w:r>
      <w:r>
        <w:t>,</w:t>
      </w:r>
      <w:r w:rsidR="005A3A0A">
        <w:t xml:space="preserve"> these </w:t>
      </w:r>
      <w:r w:rsidR="00126633">
        <w:t xml:space="preserve">facts </w:t>
      </w:r>
      <w:r w:rsidR="005A3A0A">
        <w:t>amount to special circumstance</w:t>
      </w:r>
      <w:r w:rsidR="00126633">
        <w:t>s</w:t>
      </w:r>
      <w:r w:rsidR="005A3A0A">
        <w:t>, and</w:t>
      </w:r>
      <w:r>
        <w:t xml:space="preserve"> without the requested waiver</w:t>
      </w:r>
      <w:r w:rsidR="002075CD">
        <w:t xml:space="preserve">, Allband is at risk of no longer being </w:t>
      </w:r>
      <w:r w:rsidR="008B32DD">
        <w:t>financially viable</w:t>
      </w:r>
      <w:r w:rsidR="00766BC5">
        <w:t xml:space="preserve">.  </w:t>
      </w:r>
      <w:r w:rsidR="007E2797">
        <w:t xml:space="preserve">Because there </w:t>
      </w:r>
      <w:r w:rsidR="00FE04CB">
        <w:t>are no</w:t>
      </w:r>
      <w:r w:rsidR="002075CD">
        <w:t xml:space="preserve"> </w:t>
      </w:r>
      <w:r w:rsidR="007E2797">
        <w:t>alternative</w:t>
      </w:r>
      <w:r w:rsidR="00CC3586">
        <w:t xml:space="preserve"> service provider</w:t>
      </w:r>
      <w:r w:rsidR="007E2797">
        <w:t xml:space="preserve">s, </w:t>
      </w:r>
      <w:r w:rsidR="00F918B3">
        <w:t>A</w:t>
      </w:r>
      <w:r w:rsidR="00ED5667">
        <w:t>llband</w:t>
      </w:r>
      <w:r w:rsidR="00F918B3">
        <w:t>’s customers are at risk of lo</w:t>
      </w:r>
      <w:r w:rsidR="0099677A">
        <w:t xml:space="preserve">sing </w:t>
      </w:r>
      <w:r w:rsidR="002075CD">
        <w:t xml:space="preserve">access to </w:t>
      </w:r>
      <w:r w:rsidR="0099677A">
        <w:t>voice and broadband</w:t>
      </w:r>
      <w:r w:rsidR="002075CD">
        <w:t xml:space="preserve"> services</w:t>
      </w:r>
      <w:r w:rsidR="007E2797">
        <w:t>.</w:t>
      </w:r>
      <w:r>
        <w:rPr>
          <w:rStyle w:val="FootnoteReference"/>
        </w:rPr>
        <w:footnoteReference w:id="44"/>
      </w:r>
      <w:r w:rsidR="00F918B3">
        <w:t xml:space="preserve">  </w:t>
      </w:r>
      <w:r w:rsidR="0049047F">
        <w:t xml:space="preserve">  </w:t>
      </w:r>
    </w:p>
    <w:p w:rsidR="00216ABD" w:rsidP="007D4466" w14:paraId="5C39D699" w14:textId="55D677D1">
      <w:pPr>
        <w:pStyle w:val="ParaNum"/>
      </w:pPr>
      <w:r>
        <w:t>We find that o</w:t>
      </w:r>
      <w:r>
        <w:t>ther special circumstances support Allband’s waiver request</w:t>
      </w:r>
      <w:r w:rsidR="002E1F30">
        <w:t xml:space="preserve"> as well</w:t>
      </w:r>
      <w:r w:rsidR="00554002">
        <w:t xml:space="preserve"> — </w:t>
      </w:r>
      <w:r>
        <w:t>the same circumstance</w:t>
      </w:r>
      <w:r w:rsidR="00D83EBB">
        <w:t>s</w:t>
      </w:r>
      <w:r>
        <w:t xml:space="preserve"> that existed in 2012</w:t>
      </w:r>
      <w:r w:rsidR="0038490E">
        <w:t xml:space="preserve"> when the Commission first granted relief</w:t>
      </w:r>
      <w:r>
        <w:t>.</w:t>
      </w:r>
      <w:r w:rsidR="002E1F30">
        <w:t xml:space="preserve">  </w:t>
      </w:r>
      <w:r>
        <w:t>Allband is still</w:t>
      </w:r>
      <w:r w:rsidR="0014441D">
        <w:t xml:space="preserve"> a</w:t>
      </w:r>
      <w:r>
        <w:t xml:space="preserve"> relatively new company (compared to other rural </w:t>
      </w:r>
      <w:r w:rsidR="00ED5667">
        <w:t xml:space="preserve">incumbent </w:t>
      </w:r>
      <w:r>
        <w:t>LECs)</w:t>
      </w:r>
      <w:r w:rsidR="002E1F30">
        <w:t>;</w:t>
      </w:r>
      <w:r>
        <w:rPr>
          <w:rStyle w:val="FootnoteReference"/>
        </w:rPr>
        <w:footnoteReference w:id="45"/>
      </w:r>
      <w:r w:rsidR="002E1F30">
        <w:t xml:space="preserve"> </w:t>
      </w:r>
      <w:r w:rsidR="00554002">
        <w:t xml:space="preserve">it </w:t>
      </w:r>
      <w:r>
        <w:t>had significant start-up costs and still has undepreciated plant.  Allband serves a remote, heavily forested and unserved area in the lower peninsula of Michigan, including portions of four counties that previously had no service.</w:t>
      </w:r>
      <w:r>
        <w:rPr>
          <w:rStyle w:val="FootnoteReference"/>
        </w:rPr>
        <w:footnoteReference w:id="46"/>
      </w:r>
      <w:r>
        <w:t xml:space="preserve">  Allband’s service territory is difficult to serve and has very few </w:t>
      </w:r>
      <w:r w:rsidR="001A4A01">
        <w:t xml:space="preserve">potential </w:t>
      </w:r>
      <w:r>
        <w:t>customers.</w:t>
      </w:r>
      <w:r>
        <w:rPr>
          <w:rStyle w:val="FootnoteReference"/>
        </w:rPr>
        <w:footnoteReference w:id="47"/>
      </w:r>
      <w:r w:rsidR="002E1F30">
        <w:t xml:space="preserve">  For these reasons, </w:t>
      </w:r>
      <w:r w:rsidR="00A37660">
        <w:t xml:space="preserve">it is reasonable </w:t>
      </w:r>
      <w:r w:rsidR="007F64DF">
        <w:t>that</w:t>
      </w:r>
      <w:r w:rsidR="00A37660">
        <w:t xml:space="preserve"> </w:t>
      </w:r>
      <w:r w:rsidR="00FE04CB">
        <w:t>Allband</w:t>
      </w:r>
      <w:r w:rsidR="007F64DF">
        <w:t xml:space="preserve"> still experiences</w:t>
      </w:r>
      <w:r w:rsidR="002E1F30">
        <w:t xml:space="preserve"> higher costs </w:t>
      </w:r>
      <w:r w:rsidR="000D6784">
        <w:t xml:space="preserve">than carriers </w:t>
      </w:r>
      <w:r w:rsidR="00165C37">
        <w:t>serving other more densely populated areas</w:t>
      </w:r>
      <w:r w:rsidR="002E1F30">
        <w:t xml:space="preserve">.   </w:t>
      </w:r>
      <w:r>
        <w:t xml:space="preserve">  </w:t>
      </w:r>
    </w:p>
    <w:p w:rsidR="00F52E2C" w:rsidP="0086174B" w14:paraId="19519FF4" w14:textId="6DD8929E">
      <w:pPr>
        <w:pStyle w:val="ParaNum"/>
      </w:pPr>
      <w:r>
        <w:t xml:space="preserve">Allband has demonstrated </w:t>
      </w:r>
      <w:r w:rsidR="00CC3586">
        <w:t xml:space="preserve">that </w:t>
      </w:r>
      <w:r>
        <w:t>s</w:t>
      </w:r>
      <w:r w:rsidR="00FE04CB">
        <w:t>pecial circumstances exist</w:t>
      </w:r>
      <w:r w:rsidR="00522C14">
        <w:t xml:space="preserve">, and </w:t>
      </w:r>
      <w:r w:rsidR="00286612">
        <w:t xml:space="preserve">we grant the </w:t>
      </w:r>
      <w:r w:rsidR="002075CD">
        <w:t>$457</w:t>
      </w:r>
      <w:r w:rsidR="00522C14">
        <w:t xml:space="preserve"> </w:t>
      </w:r>
      <w:r>
        <w:t>per loop per month</w:t>
      </w:r>
      <w:r w:rsidR="00286612">
        <w:t xml:space="preserve"> as requested</w:t>
      </w:r>
      <w:r w:rsidR="003268A8">
        <w:t>,</w:t>
      </w:r>
      <w:r w:rsidR="009931A5">
        <w:t xml:space="preserve"> based on Allband’s cost study using corrected cost allocation procedures.</w:t>
      </w:r>
      <w:r>
        <w:rPr>
          <w:rStyle w:val="FootnoteReference"/>
        </w:rPr>
        <w:footnoteReference w:id="48"/>
      </w:r>
      <w:r>
        <w:t xml:space="preserve">  However, to the extent </w:t>
      </w:r>
      <w:r w:rsidR="00165C37">
        <w:t xml:space="preserve">that Allband’s annual cost studies show that its </w:t>
      </w:r>
      <w:r>
        <w:t>costs</w:t>
      </w:r>
      <w:r w:rsidR="001E7C1F">
        <w:t xml:space="preserve"> per loop decrease, </w:t>
      </w:r>
      <w:r w:rsidR="00CC3586">
        <w:t xml:space="preserve">we find that </w:t>
      </w:r>
      <w:r>
        <w:t xml:space="preserve">it should </w:t>
      </w:r>
      <w:r w:rsidR="00902C6C">
        <w:t xml:space="preserve">receive </w:t>
      </w:r>
      <w:r w:rsidR="001E7C1F">
        <w:t>support based on those lower costs per loop</w:t>
      </w:r>
      <w:r w:rsidR="00344E7F">
        <w:t xml:space="preserve">.  </w:t>
      </w:r>
      <w:r w:rsidR="00522C14">
        <w:t>Accordingly, we</w:t>
      </w:r>
      <w:r w:rsidR="00A65AC8">
        <w:t xml:space="preserve"> grant Allband the l</w:t>
      </w:r>
      <w:r w:rsidR="002075CD">
        <w:t>esser of $457</w:t>
      </w:r>
      <w:r w:rsidR="00A65AC8">
        <w:t xml:space="preserve"> per l</w:t>
      </w:r>
      <w:r w:rsidRPr="00A65AC8" w:rsidR="00A65AC8">
        <w:t xml:space="preserve">oop </w:t>
      </w:r>
      <w:r w:rsidR="00A65AC8">
        <w:t>per m</w:t>
      </w:r>
      <w:r w:rsidRPr="00A65AC8" w:rsidR="00A65AC8">
        <w:t xml:space="preserve">onth or </w:t>
      </w:r>
      <w:r w:rsidR="00A65AC8">
        <w:t>support b</w:t>
      </w:r>
      <w:r w:rsidRPr="00A65AC8" w:rsidR="00A65AC8">
        <w:t xml:space="preserve">ased on </w:t>
      </w:r>
      <w:r w:rsidR="001E7C1F">
        <w:t xml:space="preserve">actual </w:t>
      </w:r>
      <w:r w:rsidR="00A65AC8">
        <w:t>c</w:t>
      </w:r>
      <w:r w:rsidRPr="00A65AC8" w:rsidR="00A65AC8">
        <w:t>ost</w:t>
      </w:r>
      <w:r w:rsidR="007B1223">
        <w:t>s</w:t>
      </w:r>
      <w:r w:rsidR="001E7C1F">
        <w:t xml:space="preserve"> per loop</w:t>
      </w:r>
      <w:r w:rsidR="00A65AC8">
        <w:t>.</w:t>
      </w:r>
      <w:r>
        <w:rPr>
          <w:rStyle w:val="FootnoteReference"/>
        </w:rPr>
        <w:footnoteReference w:id="49"/>
      </w:r>
      <w:r w:rsidR="00F77EC6">
        <w:t xml:space="preserve">  </w:t>
      </w:r>
      <w:r w:rsidR="00F20F25">
        <w:t xml:space="preserve">Support during </w:t>
      </w:r>
      <w:r w:rsidR="003712B8">
        <w:t>the</w:t>
      </w:r>
      <w:r w:rsidR="00F20F25">
        <w:t xml:space="preserve"> waiver period shall not increase above $457 per l</w:t>
      </w:r>
      <w:r w:rsidRPr="00A65AC8" w:rsidR="00F20F25">
        <w:t xml:space="preserve">oop </w:t>
      </w:r>
      <w:r w:rsidR="00F20F25">
        <w:t>per m</w:t>
      </w:r>
      <w:r w:rsidRPr="00A65AC8" w:rsidR="00F20F25">
        <w:t>onth</w:t>
      </w:r>
      <w:r w:rsidR="00F20F25">
        <w:t>.</w:t>
      </w:r>
      <w:r>
        <w:rPr>
          <w:rStyle w:val="FootnoteReference"/>
        </w:rPr>
        <w:footnoteReference w:id="50"/>
      </w:r>
      <w:r w:rsidR="00F20F25">
        <w:t xml:space="preserve">  </w:t>
      </w:r>
      <w:r w:rsidRPr="0086174B" w:rsidR="0086174B">
        <w:t>We cap it at that amount because we expect Allband to continue making an effor</w:t>
      </w:r>
      <w:r w:rsidR="003607DC">
        <w:t xml:space="preserve">t to increase non-USF revenues and </w:t>
      </w:r>
      <w:r w:rsidRPr="0086174B" w:rsidR="0086174B">
        <w:t>incre</w:t>
      </w:r>
      <w:r w:rsidR="003607DC">
        <w:t xml:space="preserve">ase the number of its customers </w:t>
      </w:r>
      <w:r w:rsidRPr="0086174B" w:rsidR="0086174B">
        <w:t>in a cost-efficient manner.</w:t>
      </w:r>
      <w:r w:rsidR="0086174B">
        <w:t xml:space="preserve">  </w:t>
      </w:r>
      <w:r w:rsidR="003712B8">
        <w:t xml:space="preserve">Therefore, we deny </w:t>
      </w:r>
      <w:r w:rsidR="00F77EC6">
        <w:t xml:space="preserve">Allband’s request </w:t>
      </w:r>
      <w:r w:rsidR="00B64B7C">
        <w:t xml:space="preserve">for support to be </w:t>
      </w:r>
      <w:r w:rsidR="00F20F25">
        <w:t>“</w:t>
      </w:r>
      <w:r w:rsidR="00B64B7C">
        <w:t xml:space="preserve">adjusted in the future based upon </w:t>
      </w:r>
      <w:r w:rsidR="00722819">
        <w:t>continuing</w:t>
      </w:r>
      <w:r w:rsidR="00B64B7C">
        <w:t xml:space="preserve"> </w:t>
      </w:r>
      <w:r w:rsidR="00722819">
        <w:t>annual</w:t>
      </w:r>
      <w:r w:rsidR="00B64B7C">
        <w:t xml:space="preserve"> cost studies</w:t>
      </w:r>
      <w:r w:rsidR="00722819">
        <w:t xml:space="preserve"> and reports”</w:t>
      </w:r>
      <w:r w:rsidR="00F20F25">
        <w:t xml:space="preserve"> </w:t>
      </w:r>
      <w:r w:rsidR="003712B8">
        <w:t>to the extent those cost studies would increase support</w:t>
      </w:r>
      <w:r w:rsidR="00F20F25">
        <w:t xml:space="preserve"> above $457 per loop per month</w:t>
      </w:r>
      <w:r w:rsidR="003712B8">
        <w:t>.</w:t>
      </w:r>
      <w:r>
        <w:rPr>
          <w:rStyle w:val="FootnoteReference"/>
        </w:rPr>
        <w:footnoteReference w:id="51"/>
      </w:r>
    </w:p>
    <w:p w:rsidR="00DA5994" w:rsidP="00F52E2C" w14:paraId="0D5A4008" w14:textId="39C17299">
      <w:pPr>
        <w:pStyle w:val="ParaNum"/>
      </w:pPr>
      <w:r>
        <w:t>We do not grant a waiver until completion of all RUS loan payments as requested.</w:t>
      </w:r>
      <w:r>
        <w:rPr>
          <w:rStyle w:val="FootnoteReference"/>
        </w:rPr>
        <w:footnoteReference w:id="52"/>
      </w:r>
      <w:r>
        <w:t xml:space="preserve">  Instead, we grant Allband a waiver until March 1, 2021, which Allband may seek to renew thereafter.  We continue to believe that three years is an appropriate length of time to account for changes in circumstances.</w:t>
      </w:r>
      <w:r>
        <w:rPr>
          <w:rStyle w:val="FootnoteReference"/>
        </w:rPr>
        <w:footnoteReference w:id="53"/>
      </w:r>
      <w:r>
        <w:t xml:space="preserve">  If a waiver is still necessary in 2021, Allband shall file with the Bureau its most recent annual cost study and most recent audited financial reports with notes.  To the extent Allband has taken additional measures to increase revenues and/or reduce expenses, we ask Allband to provide that information.  </w:t>
      </w:r>
    </w:p>
    <w:p w:rsidR="00E2283A" w:rsidP="00F96309" w14:paraId="732779EE" w14:textId="155140B3">
      <w:pPr>
        <w:pStyle w:val="ParaNum"/>
      </w:pPr>
      <w:r>
        <w:t xml:space="preserve">Furthermore, this grant is subject to the condition that Allband </w:t>
      </w:r>
      <w:r w:rsidR="00833A35">
        <w:t xml:space="preserve">submit to the Bureau when available </w:t>
      </w:r>
      <w:r w:rsidR="0037376F">
        <w:t xml:space="preserve">complete </w:t>
      </w:r>
      <w:r>
        <w:t xml:space="preserve">audited financial statements </w:t>
      </w:r>
      <w:r w:rsidR="00F84381">
        <w:t xml:space="preserve">for Allband and AMM </w:t>
      </w:r>
      <w:r w:rsidR="0037376F">
        <w:t xml:space="preserve">with notes </w:t>
      </w:r>
      <w:r>
        <w:t>for 2016 and on a consolidated basis</w:t>
      </w:r>
      <w:r w:rsidR="00063342">
        <w:t xml:space="preserve"> to ensure that there are no financial irregularities</w:t>
      </w:r>
      <w:r>
        <w:t xml:space="preserve">.  </w:t>
      </w:r>
      <w:r w:rsidR="00155281">
        <w:t xml:space="preserve">In addition, Allband will submit to the Bureau audited financial statements for each year of the waiver when those statements are available.  These financial statements should </w:t>
      </w:r>
      <w:r w:rsidRPr="0002273F" w:rsidR="00834352">
        <w:t xml:space="preserve">show the amount of </w:t>
      </w:r>
      <w:r w:rsidRPr="0002273F" w:rsidR="00155281">
        <w:t>interest payments and remaining principal on all outstanding loans</w:t>
      </w:r>
      <w:r w:rsidRPr="0002273F" w:rsidR="00834352">
        <w:t xml:space="preserve"> separately</w:t>
      </w:r>
      <w:r w:rsidRPr="0002273F" w:rsidR="00155281">
        <w:t xml:space="preserve">, as well as an explanation in the notes if any loans have been restructured.  </w:t>
      </w:r>
      <w:r w:rsidRPr="0002273F">
        <w:t>If Allband fails to meet th</w:t>
      </w:r>
      <w:r w:rsidRPr="0002273F" w:rsidR="00155281">
        <w:t>ese</w:t>
      </w:r>
      <w:r w:rsidRPr="0002273F">
        <w:t xml:space="preserve"> condition</w:t>
      </w:r>
      <w:r w:rsidRPr="0002273F" w:rsidR="00155281">
        <w:t>s</w:t>
      </w:r>
      <w:r w:rsidRPr="0002273F" w:rsidR="006B13E7">
        <w:t xml:space="preserve">, the Bureau will direct USAC </w:t>
      </w:r>
      <w:r w:rsidRPr="0002273F" w:rsidR="005924A4">
        <w:t xml:space="preserve">to </w:t>
      </w:r>
      <w:r w:rsidRPr="0002273F" w:rsidR="006B13E7">
        <w:t xml:space="preserve">stop disbursing to Allband all support above </w:t>
      </w:r>
      <w:r w:rsidRPr="0002273F" w:rsidR="00834352">
        <w:t xml:space="preserve">the limit allowed in </w:t>
      </w:r>
      <w:r w:rsidRPr="0002273F" w:rsidR="00B4684B">
        <w:rPr>
          <w:snapToGrid/>
          <w:color w:val="000000"/>
          <w:kern w:val="0"/>
          <w:szCs w:val="22"/>
        </w:rPr>
        <w:t>§54.302.</w:t>
      </w:r>
      <w:r w:rsidR="006B13E7">
        <w:t xml:space="preserve">     </w:t>
      </w:r>
      <w:r>
        <w:t xml:space="preserve">    </w:t>
      </w:r>
    </w:p>
    <w:p w:rsidR="00F96309" w:rsidP="007D2A67" w14:paraId="13AD40F1" w14:textId="4B02F792">
      <w:pPr>
        <w:pStyle w:val="ParaNum"/>
      </w:pPr>
      <w:r w:rsidRPr="00737B58">
        <w:t xml:space="preserve">As </w:t>
      </w:r>
      <w:r w:rsidR="00A74CA6">
        <w:t xml:space="preserve">the Commission did </w:t>
      </w:r>
      <w:r w:rsidRPr="00737B58">
        <w:t xml:space="preserve">in the </w:t>
      </w:r>
      <w:r w:rsidRPr="00737B58">
        <w:rPr>
          <w:i/>
        </w:rPr>
        <w:t>July 2016 Waiver Order</w:t>
      </w:r>
      <w:r w:rsidRPr="00737B58">
        <w:t xml:space="preserve">, we seek “to balance the various objectives of section 254(b) of the </w:t>
      </w:r>
      <w:r w:rsidR="00A74CA6">
        <w:t xml:space="preserve">Communications </w:t>
      </w:r>
      <w:r w:rsidRPr="00737B58">
        <w:t>Act, including the objective of providing support that is sufficient but not excessive so as to not impose an excessive burden on consumers and businesses who ultimately pay to support the Fund.”</w:t>
      </w:r>
      <w:r>
        <w:rPr>
          <w:vertAlign w:val="superscript"/>
        </w:rPr>
        <w:footnoteReference w:id="54"/>
      </w:r>
      <w:r w:rsidR="002D352F">
        <w:t xml:space="preserve">  </w:t>
      </w:r>
      <w:r w:rsidRPr="00737B58">
        <w:t xml:space="preserve">By </w:t>
      </w:r>
      <w:r w:rsidR="00246537">
        <w:t>permitting</w:t>
      </w:r>
      <w:r w:rsidRPr="00737B58">
        <w:t xml:space="preserve"> support of </w:t>
      </w:r>
      <w:r w:rsidR="00246537">
        <w:t xml:space="preserve">up to </w:t>
      </w:r>
      <w:r w:rsidRPr="00737B58">
        <w:t>an additional $</w:t>
      </w:r>
      <w:r w:rsidR="006B1097">
        <w:t>207</w:t>
      </w:r>
      <w:r>
        <w:t xml:space="preserve"> </w:t>
      </w:r>
      <w:r w:rsidRPr="00737B58">
        <w:t xml:space="preserve">per loop per month more than Allband currently receives, </w:t>
      </w:r>
      <w:r w:rsidR="007D2A67">
        <w:t xml:space="preserve">we are not </w:t>
      </w:r>
      <w:r w:rsidRPr="00737B58">
        <w:t>imposing an excessive burden on consumers and busi</w:t>
      </w:r>
      <w:r w:rsidR="00902C6C">
        <w:t>nesses.</w:t>
      </w:r>
      <w:r w:rsidR="005B2880">
        <w:t xml:space="preserve">  </w:t>
      </w:r>
      <w:bookmarkStart w:id="4" w:name="_Hlk495388984"/>
      <w:r w:rsidR="00601A22">
        <w:t>We note that this amount is less per loop than Allband</w:t>
      </w:r>
      <w:r w:rsidR="00D66731">
        <w:t>’s disbursements</w:t>
      </w:r>
      <w:r w:rsidR="00601A22">
        <w:t xml:space="preserve"> at the end of its interim waiver </w:t>
      </w:r>
      <w:bookmarkEnd w:id="4"/>
      <w:r w:rsidR="00601A22">
        <w:t>and</w:t>
      </w:r>
      <w:r w:rsidR="0026765F">
        <w:t xml:space="preserve"> </w:t>
      </w:r>
      <w:r w:rsidR="00C2543E">
        <w:t xml:space="preserve">will therefore have a </w:t>
      </w:r>
      <w:r w:rsidRPr="0026765F" w:rsidR="00C2543E">
        <w:rPr>
          <w:i/>
        </w:rPr>
        <w:t>de minimis</w:t>
      </w:r>
      <w:r w:rsidR="00C2543E">
        <w:t xml:space="preserve"> impact on overall high-cost support funds</w:t>
      </w:r>
      <w:r w:rsidR="00601A22">
        <w:t>.  Moreover</w:t>
      </w:r>
      <w:r w:rsidR="007D2A67">
        <w:t xml:space="preserve">, </w:t>
      </w:r>
      <w:r w:rsidR="006B1097">
        <w:t>$457</w:t>
      </w:r>
      <w:r>
        <w:t xml:space="preserve"> per loop per month provides </w:t>
      </w:r>
      <w:r w:rsidR="00B4321E">
        <w:t xml:space="preserve">Allband </w:t>
      </w:r>
      <w:r>
        <w:t xml:space="preserve">a path </w:t>
      </w:r>
      <w:r w:rsidR="00B4321E">
        <w:t>to financial viability and continued v</w:t>
      </w:r>
      <w:r w:rsidR="00AE6ABB">
        <w:t xml:space="preserve">oice and broadband services </w:t>
      </w:r>
      <w:r w:rsidR="00B4321E">
        <w:t xml:space="preserve">for </w:t>
      </w:r>
      <w:r w:rsidR="002E457E">
        <w:t>Allband</w:t>
      </w:r>
      <w:r w:rsidR="005B2880">
        <w:t xml:space="preserve">’s </w:t>
      </w:r>
      <w:r w:rsidR="00AE6ABB">
        <w:t>customers</w:t>
      </w:r>
      <w:r w:rsidR="002854F2">
        <w:t xml:space="preserve"> who otherwise </w:t>
      </w:r>
      <w:r w:rsidR="005B2880">
        <w:t>would</w:t>
      </w:r>
      <w:r w:rsidR="0014441D">
        <w:t xml:space="preserve"> </w:t>
      </w:r>
      <w:r w:rsidR="00344E7F">
        <w:t xml:space="preserve">face </w:t>
      </w:r>
      <w:r w:rsidR="0014441D">
        <w:t xml:space="preserve">risk of losing service.  </w:t>
      </w:r>
      <w:r w:rsidR="00E2283A">
        <w:t xml:space="preserve">  </w:t>
      </w:r>
      <w:r>
        <w:t xml:space="preserve">       </w:t>
      </w:r>
      <w:r w:rsidRPr="00737B58">
        <w:t xml:space="preserve">  </w:t>
      </w:r>
    </w:p>
    <w:p w:rsidR="00A1002E" w:rsidP="00745E41" w14:paraId="1EAE2A67" w14:textId="1E3EFCDA">
      <w:pPr>
        <w:pStyle w:val="ParaNum"/>
      </w:pPr>
      <w:r>
        <w:t>Even though we grant Allband a maximum of $457 per loop per month</w:t>
      </w:r>
      <w:r w:rsidR="00F96309">
        <w:t xml:space="preserve"> in support, w</w:t>
      </w:r>
      <w:r w:rsidR="00D877F7">
        <w:t xml:space="preserve">e note </w:t>
      </w:r>
      <w:r w:rsidR="00F96309">
        <w:t xml:space="preserve">that the financial information we reviewed </w:t>
      </w:r>
      <w:r w:rsidR="00D877F7">
        <w:t>show</w:t>
      </w:r>
      <w:r w:rsidR="00285C1C">
        <w:t>s considerable</w:t>
      </w:r>
      <w:r w:rsidR="00D877F7">
        <w:t xml:space="preserve"> expense</w:t>
      </w:r>
      <w:r w:rsidR="005B2880">
        <w:t xml:space="preserve">s for </w:t>
      </w:r>
      <w:r>
        <w:t xml:space="preserve">legal, </w:t>
      </w:r>
      <w:r w:rsidR="00D877F7">
        <w:t>accounting</w:t>
      </w:r>
      <w:r>
        <w:t>, and cost studies</w:t>
      </w:r>
      <w:bookmarkStart w:id="5" w:name="_Hlk497463314"/>
      <w:r w:rsidR="00D877F7">
        <w:t>.</w:t>
      </w:r>
      <w:r>
        <w:rPr>
          <w:rStyle w:val="FootnoteReference"/>
        </w:rPr>
        <w:footnoteReference w:id="55"/>
      </w:r>
      <w:r w:rsidR="00D877F7">
        <w:t xml:space="preserve">  </w:t>
      </w:r>
      <w:r w:rsidR="00167BA2">
        <w:t>Because these expenses were associated with now-completed litigation and a revision of Allband’s cost accounting to comply with our rules</w:t>
      </w:r>
      <w:r w:rsidR="00344E7F">
        <w:t xml:space="preserve">, </w:t>
      </w:r>
      <w:r w:rsidR="00AE6ABB">
        <w:t>this relatively high-level</w:t>
      </w:r>
      <w:r w:rsidR="00447F30">
        <w:t xml:space="preserve"> of expenses was anticipated</w:t>
      </w:r>
      <w:r w:rsidR="00344E7F">
        <w:t xml:space="preserve">.  </w:t>
      </w:r>
      <w:bookmarkEnd w:id="5"/>
      <w:r w:rsidR="00344E7F">
        <w:t xml:space="preserve">However, </w:t>
      </w:r>
      <w:r w:rsidR="00F96309">
        <w:t>we a</w:t>
      </w:r>
      <w:r w:rsidR="00D877F7">
        <w:t xml:space="preserve">nticipate </w:t>
      </w:r>
      <w:r w:rsidR="005B2880">
        <w:t xml:space="preserve">that </w:t>
      </w:r>
      <w:r w:rsidR="00D877F7">
        <w:t>Al</w:t>
      </w:r>
      <w:r w:rsidR="00F918B3">
        <w:t>lband will reduce those expenses</w:t>
      </w:r>
      <w:r w:rsidR="00344E7F">
        <w:t xml:space="preserve"> going forward</w:t>
      </w:r>
      <w:r w:rsidR="00F918B3">
        <w:t xml:space="preserve">, which will </w:t>
      </w:r>
      <w:r w:rsidR="00F96309">
        <w:t xml:space="preserve">in turn </w:t>
      </w:r>
      <w:r w:rsidR="00F918B3">
        <w:t>decrease the amount of support per loop per month.</w:t>
      </w:r>
      <w:r w:rsidR="00B4321E">
        <w:t xml:space="preserve">  </w:t>
      </w:r>
    </w:p>
    <w:p w:rsidR="00D772F5" w:rsidRPr="006D1C27" w:rsidP="00395E76" w14:paraId="07B7CC69" w14:textId="5F4B8080">
      <w:pPr>
        <w:pStyle w:val="ParaNum"/>
        <w:widowControl/>
      </w:pPr>
      <w:r>
        <w:t xml:space="preserve">Because we </w:t>
      </w:r>
      <w:r w:rsidR="00522C14">
        <w:t xml:space="preserve">grant </w:t>
      </w:r>
      <w:r w:rsidR="00F76FA4">
        <w:t>Allband a longer-</w:t>
      </w:r>
      <w:r w:rsidR="005924A4">
        <w:t xml:space="preserve">term waiver, we dismiss the January 2017 </w:t>
      </w:r>
      <w:r>
        <w:t>Emergency Petition</w:t>
      </w:r>
      <w:r w:rsidR="00F76FA4">
        <w:t xml:space="preserve"> as moot.  </w:t>
      </w:r>
      <w:r w:rsidR="004753C1">
        <w:t xml:space="preserve">We note that </w:t>
      </w:r>
      <w:r w:rsidR="005806C7">
        <w:t xml:space="preserve">Allband’s </w:t>
      </w:r>
      <w:r w:rsidR="00B158A7">
        <w:t xml:space="preserve">actions to come </w:t>
      </w:r>
      <w:r w:rsidR="003853EF">
        <w:t xml:space="preserve">into </w:t>
      </w:r>
      <w:r w:rsidR="005D7163">
        <w:t>compliance</w:t>
      </w:r>
      <w:r w:rsidR="00B158A7">
        <w:t>,</w:t>
      </w:r>
      <w:r w:rsidR="005D7163">
        <w:t xml:space="preserve"> </w:t>
      </w:r>
      <w:r w:rsidR="005806C7">
        <w:t xml:space="preserve">and </w:t>
      </w:r>
      <w:r w:rsidR="005D7163">
        <w:t xml:space="preserve">its </w:t>
      </w:r>
      <w:r w:rsidR="005806C7">
        <w:t>commitment</w:t>
      </w:r>
      <w:r w:rsidR="003853EF">
        <w:t xml:space="preserve"> to continued compliance with our</w:t>
      </w:r>
      <w:r w:rsidR="007109B8">
        <w:t xml:space="preserve"> cost accounting rules</w:t>
      </w:r>
      <w:r w:rsidR="00B158A7">
        <w:t>,</w:t>
      </w:r>
      <w:r w:rsidR="007109B8">
        <w:t xml:space="preserve"> does not factor into whether good cause exists to</w:t>
      </w:r>
      <w:r w:rsidR="005B2880">
        <w:t xml:space="preserve"> grant a waiver.  </w:t>
      </w:r>
      <w:r w:rsidR="00601A22">
        <w:t>We caution</w:t>
      </w:r>
      <w:r w:rsidR="005B2880">
        <w:t xml:space="preserve"> Allband </w:t>
      </w:r>
      <w:r w:rsidR="00601A22">
        <w:t>and any other</w:t>
      </w:r>
      <w:r w:rsidR="005B2880">
        <w:t xml:space="preserve"> regulated company </w:t>
      </w:r>
      <w:r w:rsidR="00601A22">
        <w:t xml:space="preserve">that they should not </w:t>
      </w:r>
      <w:r w:rsidR="005B2880">
        <w:t>conclude</w:t>
      </w:r>
      <w:r w:rsidR="0023390E">
        <w:t xml:space="preserve"> </w:t>
      </w:r>
      <w:r w:rsidR="007109B8">
        <w:t xml:space="preserve">that coming into </w:t>
      </w:r>
      <w:r w:rsidR="003853EF">
        <w:t xml:space="preserve">or committing to continued </w:t>
      </w:r>
      <w:r w:rsidR="007109B8">
        <w:t>compliance</w:t>
      </w:r>
      <w:r w:rsidR="003853EF">
        <w:t xml:space="preserve"> with our rules</w:t>
      </w:r>
      <w:r w:rsidR="007109B8">
        <w:t xml:space="preserve"> </w:t>
      </w:r>
      <w:r w:rsidR="003853EF">
        <w:t>supports</w:t>
      </w:r>
      <w:r w:rsidR="007109B8">
        <w:t xml:space="preserve"> a waiver</w:t>
      </w:r>
      <w:r w:rsidR="003853EF">
        <w:t xml:space="preserve"> grant</w:t>
      </w:r>
      <w:r w:rsidR="00951F11">
        <w:t xml:space="preserve"> in similar circumstances</w:t>
      </w:r>
      <w:r w:rsidR="007109B8">
        <w:t>.</w:t>
      </w:r>
      <w:r>
        <w:rPr>
          <w:rStyle w:val="FootnoteReference"/>
        </w:rPr>
        <w:footnoteReference w:id="56"/>
      </w:r>
      <w:r w:rsidR="007109B8">
        <w:t xml:space="preserve">  </w:t>
      </w:r>
      <w:r w:rsidR="00A97E5E">
        <w:t>Here, c</w:t>
      </w:r>
      <w:r w:rsidR="005B2880">
        <w:t xml:space="preserve">oming into compliance was </w:t>
      </w:r>
      <w:r w:rsidR="00206975">
        <w:t xml:space="preserve">necessary before </w:t>
      </w:r>
      <w:r w:rsidRPr="00CF142E" w:rsidR="00A97E5E">
        <w:t>the Bureau</w:t>
      </w:r>
      <w:r w:rsidR="007109B8">
        <w:t xml:space="preserve"> </w:t>
      </w:r>
      <w:r w:rsidR="00206975">
        <w:t xml:space="preserve">could </w:t>
      </w:r>
      <w:r w:rsidR="00F20F25">
        <w:t xml:space="preserve">even </w:t>
      </w:r>
      <w:r w:rsidR="007109B8">
        <w:t>consider the merits of Allband’s petition.</w:t>
      </w:r>
      <w:r w:rsidR="00615146">
        <w:t xml:space="preserve"> </w:t>
      </w:r>
      <w:r w:rsidR="00A86E3A">
        <w:t xml:space="preserve"> We also remind Allband that neither its size no</w:t>
      </w:r>
      <w:r w:rsidR="00B158A7">
        <w:t>r</w:t>
      </w:r>
      <w:r w:rsidR="00A86E3A">
        <w:t xml:space="preserve"> its</w:t>
      </w:r>
      <w:r w:rsidR="00615146">
        <w:t xml:space="preserve"> corporate structure </w:t>
      </w:r>
      <w:r w:rsidR="005924A4">
        <w:t>justifies</w:t>
      </w:r>
      <w:r w:rsidR="00615146">
        <w:t xml:space="preserve"> </w:t>
      </w:r>
      <w:r w:rsidR="00A86E3A">
        <w:t xml:space="preserve">any </w:t>
      </w:r>
      <w:r w:rsidR="00615146">
        <w:t xml:space="preserve">deviation from the Commission’s affiliate transaction and cost </w:t>
      </w:r>
      <w:r w:rsidR="005924A4">
        <w:t>accounting</w:t>
      </w:r>
      <w:r w:rsidR="00615146">
        <w:t xml:space="preserve"> rules</w:t>
      </w:r>
      <w:r w:rsidRPr="0002273F" w:rsidR="00615146">
        <w:t>.</w:t>
      </w:r>
      <w:r>
        <w:rPr>
          <w:rStyle w:val="FootnoteReference"/>
        </w:rPr>
        <w:footnoteReference w:id="57"/>
      </w:r>
    </w:p>
    <w:p w:rsidR="00D16419" w:rsidRPr="00FE3DE5" w:rsidP="00FE3DE5" w14:paraId="0DF62B42" w14:textId="714BE5B2">
      <w:pPr>
        <w:pStyle w:val="ParaNum"/>
        <w:numPr>
          <w:ilvl w:val="1"/>
          <w:numId w:val="11"/>
        </w:numPr>
        <w:ind w:hanging="540"/>
        <w:rPr>
          <w:b/>
        </w:rPr>
      </w:pPr>
      <w:r w:rsidRPr="00FE3DE5">
        <w:rPr>
          <w:b/>
        </w:rPr>
        <w:t xml:space="preserve">We </w:t>
      </w:r>
      <w:r w:rsidR="003814F9">
        <w:rPr>
          <w:b/>
        </w:rPr>
        <w:t>Grant in Part and Deny in Part</w:t>
      </w:r>
      <w:r w:rsidRPr="00FE3DE5">
        <w:rPr>
          <w:b/>
        </w:rPr>
        <w:t xml:space="preserve"> Allband’s Request to Offset Any Claw-back of Support </w:t>
      </w:r>
    </w:p>
    <w:p w:rsidR="003B29AB" w:rsidP="004E6CA5" w14:paraId="2A518C77" w14:textId="55B8C6A6">
      <w:pPr>
        <w:pStyle w:val="ParaNum"/>
      </w:pPr>
      <w:r>
        <w:t xml:space="preserve">In the </w:t>
      </w:r>
      <w:r w:rsidRPr="00FE3DE5">
        <w:rPr>
          <w:i/>
        </w:rPr>
        <w:t>July 2016 Waiver Order</w:t>
      </w:r>
      <w:r>
        <w:t xml:space="preserve">, the Commission </w:t>
      </w:r>
      <w:r w:rsidR="00FE3DE5">
        <w:t xml:space="preserve">concluded that once USAC </w:t>
      </w:r>
      <w:r w:rsidRPr="00FE3DE5" w:rsidR="00FE3DE5">
        <w:t xml:space="preserve">determined the appropriate allocation of costs between regulated and nonregulated activities, </w:t>
      </w:r>
      <w:r w:rsidR="00FE3DE5">
        <w:t xml:space="preserve">it </w:t>
      </w:r>
      <w:r w:rsidRPr="00FE3DE5" w:rsidR="00FE3DE5">
        <w:t>shall apply the same methodology to Allband’s costs during the interim waiver period from June 30, 2015 until</w:t>
      </w:r>
      <w:r w:rsidR="00FE3DE5">
        <w:t xml:space="preserve"> </w:t>
      </w:r>
      <w:r w:rsidRPr="00FE3DE5" w:rsidR="00FE3DE5">
        <w:t xml:space="preserve">the date of </w:t>
      </w:r>
      <w:r w:rsidR="00FE3DE5">
        <w:t xml:space="preserve">the </w:t>
      </w:r>
      <w:r w:rsidRPr="00FE3DE5" w:rsidR="00FE3DE5">
        <w:rPr>
          <w:i/>
        </w:rPr>
        <w:t>July 2016 Waiver Order</w:t>
      </w:r>
      <w:r w:rsidR="00A86E3A">
        <w:t xml:space="preserve"> – July 20</w:t>
      </w:r>
      <w:r w:rsidR="00D8313B">
        <w:t xml:space="preserve">, 2016 – </w:t>
      </w:r>
      <w:r w:rsidRPr="00FE3DE5" w:rsidR="00FE3DE5">
        <w:t>to determine what Allband’s support would have been if Allband had correctly allocated its costs.</w:t>
      </w:r>
      <w:r w:rsidR="00FE3DE5">
        <w:t xml:space="preserve">  The Commission further di</w:t>
      </w:r>
      <w:r w:rsidRPr="00FE3DE5" w:rsidR="00FE3DE5">
        <w:t>rect</w:t>
      </w:r>
      <w:r w:rsidR="00FE3DE5">
        <w:t>ed</w:t>
      </w:r>
      <w:r w:rsidRPr="00FE3DE5" w:rsidR="00FE3DE5">
        <w:t xml:space="preserve"> USAC to initiate through its regular procedures recovery actions for all </w:t>
      </w:r>
      <w:r w:rsidR="00B158A7">
        <w:t>high cost loop support (</w:t>
      </w:r>
      <w:r w:rsidRPr="00FE3DE5" w:rsidR="00FE3DE5">
        <w:t>HCLS</w:t>
      </w:r>
      <w:r w:rsidR="00B158A7">
        <w:t>)</w:t>
      </w:r>
      <w:r w:rsidRPr="00FE3DE5" w:rsidR="00FE3DE5">
        <w:t xml:space="preserve"> and interstate common</w:t>
      </w:r>
      <w:r w:rsidR="002D76DC">
        <w:t xml:space="preserve"> line support (ICLS) support above</w:t>
      </w:r>
      <w:r w:rsidRPr="00FE3DE5" w:rsidR="00FE3DE5">
        <w:t xml:space="preserve"> the amount Allband should hav</w:t>
      </w:r>
      <w:r w:rsidR="00FE3DE5">
        <w:t xml:space="preserve">e received </w:t>
      </w:r>
      <w:r w:rsidR="00830D18">
        <w:t>during the interim waiver.</w:t>
      </w:r>
      <w:r>
        <w:rPr>
          <w:rStyle w:val="FootnoteReference"/>
        </w:rPr>
        <w:footnoteReference w:id="58"/>
      </w:r>
      <w:r w:rsidR="00830D18">
        <w:t xml:space="preserve">  </w:t>
      </w:r>
    </w:p>
    <w:p w:rsidR="00FE3DE5" w:rsidRPr="00FE3DE5" w:rsidP="00152B98" w14:paraId="6E3C2F45" w14:textId="7252BDE3">
      <w:pPr>
        <w:pStyle w:val="ParaNum"/>
        <w:widowControl/>
      </w:pPr>
      <w:r>
        <w:t xml:space="preserve">In addition, the Commission directed </w:t>
      </w:r>
      <w:r w:rsidRPr="0094431F" w:rsidR="0094431F">
        <w:t>USAC</w:t>
      </w:r>
      <w:r w:rsidR="0094431F">
        <w:t xml:space="preserve"> </w:t>
      </w:r>
      <w:r w:rsidRPr="00A1002E" w:rsidR="0094431F">
        <w:t>to examine Allband’s cost allocations during the initial waiver period (2012-2015) to determine whether Allband was overcompensated by the U</w:t>
      </w:r>
      <w:r w:rsidR="00947BED">
        <w:t>SF d</w:t>
      </w:r>
      <w:r w:rsidRPr="00A1002E" w:rsidR="0094431F">
        <w:t>uring this time</w:t>
      </w:r>
      <w:r w:rsidR="0094431F">
        <w:t>.</w:t>
      </w:r>
      <w:r>
        <w:rPr>
          <w:rStyle w:val="FootnoteReference"/>
        </w:rPr>
        <w:footnoteReference w:id="59"/>
      </w:r>
      <w:r>
        <w:t xml:space="preserve">  The Commission stated that USAC’s</w:t>
      </w:r>
      <w:r w:rsidRPr="00FE3DE5">
        <w:t xml:space="preserve"> findings </w:t>
      </w:r>
      <w:r>
        <w:t>would</w:t>
      </w:r>
      <w:r w:rsidRPr="00FE3DE5">
        <w:t xml:space="preserve"> be used </w:t>
      </w:r>
      <w:r w:rsidR="00947BED">
        <w:t>“</w:t>
      </w:r>
      <w:r w:rsidRPr="00FE3DE5">
        <w:t xml:space="preserve">to determine what Allband’s support would have been if Allband had correctly allocated its costs during the initial waiver period and to determine whether to take any further appropriate actions, such as the recovery of HCLS and ICLS support </w:t>
      </w:r>
      <w:r w:rsidR="002D76DC">
        <w:t xml:space="preserve">above the </w:t>
      </w:r>
      <w:r w:rsidRPr="00FE3DE5">
        <w:t>amount</w:t>
      </w:r>
      <w:r w:rsidR="002D76DC">
        <w:t xml:space="preserve"> </w:t>
      </w:r>
      <w:r w:rsidRPr="00FE3DE5">
        <w:t>Allband should h</w:t>
      </w:r>
      <w:r>
        <w:t>ave received</w:t>
      </w:r>
      <w:r w:rsidR="00947BED">
        <w:t xml:space="preserve"> during this period</w:t>
      </w:r>
      <w:r>
        <w:t>.</w:t>
      </w:r>
      <w:r w:rsidR="00947BED">
        <w:t>”</w:t>
      </w:r>
      <w:r>
        <w:rPr>
          <w:rStyle w:val="FootnoteReference"/>
        </w:rPr>
        <w:footnoteReference w:id="60"/>
      </w:r>
      <w:r>
        <w:t xml:space="preserve">  </w:t>
      </w:r>
      <w:r w:rsidRPr="00FE3DE5">
        <w:t xml:space="preserve"> </w:t>
      </w:r>
    </w:p>
    <w:p w:rsidR="00441136" w:rsidP="00E2377B" w14:paraId="52677BBD" w14:textId="1C93E864">
      <w:pPr>
        <w:pStyle w:val="ParaNum"/>
      </w:pPr>
      <w:r>
        <w:t xml:space="preserve">Allband </w:t>
      </w:r>
      <w:r w:rsidR="00002E37">
        <w:t xml:space="preserve">requests </w:t>
      </w:r>
      <w:r>
        <w:t>that the Commission consider two offse</w:t>
      </w:r>
      <w:r>
        <w:t xml:space="preserve">ts to any claw-back.  </w:t>
      </w:r>
      <w:r w:rsidR="00C57B3F">
        <w:t>First</w:t>
      </w:r>
      <w:r>
        <w:t xml:space="preserve">, </w:t>
      </w:r>
      <w:r>
        <w:t xml:space="preserve">Allband </w:t>
      </w:r>
      <w:r>
        <w:t>claims it was “shorted” by t</w:t>
      </w:r>
      <w:r>
        <w:t xml:space="preserve">he </w:t>
      </w:r>
      <w:r>
        <w:rPr>
          <w:i/>
        </w:rPr>
        <w:t>July 2012 Waiver Order</w:t>
      </w:r>
      <w:r>
        <w:rPr>
          <w:i/>
        </w:rPr>
        <w:t xml:space="preserve"> </w:t>
      </w:r>
      <w:r>
        <w:t>because it could not collect support for 2011 and 2012 cost studies</w:t>
      </w:r>
      <w:r>
        <w:t xml:space="preserve">; </w:t>
      </w:r>
      <w:r w:rsidR="00921DE0">
        <w:t>and</w:t>
      </w:r>
      <w:r w:rsidR="00C57B3F">
        <w:t>,</w:t>
      </w:r>
      <w:r w:rsidR="00921DE0">
        <w:t xml:space="preserve"> </w:t>
      </w:r>
      <w:r w:rsidR="00C57B3F">
        <w:t>second</w:t>
      </w:r>
      <w:r w:rsidR="00002E37">
        <w:t>,</w:t>
      </w:r>
      <w:r>
        <w:t xml:space="preserve"> </w:t>
      </w:r>
      <w:r w:rsidR="00E73B01">
        <w:t xml:space="preserve">it </w:t>
      </w:r>
      <w:r w:rsidR="00C57B3F">
        <w:t xml:space="preserve">claims it was “shorted” by </w:t>
      </w:r>
      <w:r>
        <w:t xml:space="preserve">the shortage of reimbursements that occurred after the </w:t>
      </w:r>
      <w:r>
        <w:rPr>
          <w:i/>
        </w:rPr>
        <w:t>July 2016 Waiver Order</w:t>
      </w:r>
      <w:r>
        <w:t>.</w:t>
      </w:r>
      <w:r>
        <w:rPr>
          <w:rStyle w:val="FootnoteReference"/>
        </w:rPr>
        <w:footnoteReference w:id="61"/>
      </w:r>
      <w:r>
        <w:t xml:space="preserve">  </w:t>
      </w:r>
    </w:p>
    <w:p w:rsidR="00441136" w:rsidP="00E2377B" w14:paraId="68BD8A25" w14:textId="403593A5">
      <w:pPr>
        <w:pStyle w:val="ParaNum"/>
      </w:pPr>
      <w:r>
        <w:t xml:space="preserve">With respect to </w:t>
      </w:r>
      <w:r w:rsidR="005D7163">
        <w:t>Allband’s first claim</w:t>
      </w:r>
      <w:r>
        <w:t xml:space="preserve">, </w:t>
      </w:r>
      <w:r w:rsidR="005A6706">
        <w:t xml:space="preserve">we deny </w:t>
      </w:r>
      <w:r w:rsidR="005D7163">
        <w:t>its</w:t>
      </w:r>
      <w:r w:rsidR="005A6706">
        <w:t xml:space="preserve"> request</w:t>
      </w:r>
      <w:r w:rsidR="00421DA3">
        <w:t xml:space="preserve">.  The </w:t>
      </w:r>
      <w:r w:rsidRPr="00421DA3" w:rsidR="00421DA3">
        <w:rPr>
          <w:i/>
        </w:rPr>
        <w:t>July 2012 Waiver Order</w:t>
      </w:r>
      <w:r w:rsidR="00421DA3">
        <w:t xml:space="preserve"> </w:t>
      </w:r>
      <w:r w:rsidR="00921DE0">
        <w:t>granted</w:t>
      </w:r>
      <w:r w:rsidR="004E6963">
        <w:t xml:space="preserve"> Allband “the lesser of high-cost universal service support based on its actual costs or the annualized total high-cost support that it received for the period January 1, 2012 through June 30, 2012</w:t>
      </w:r>
      <w:r w:rsidR="00921DE0">
        <w:t>.</w:t>
      </w:r>
      <w:r w:rsidR="004E6963">
        <w:t>”</w:t>
      </w:r>
      <w:r>
        <w:rPr>
          <w:rStyle w:val="FootnoteReference"/>
        </w:rPr>
        <w:footnoteReference w:id="62"/>
      </w:r>
      <w:r w:rsidR="004E6963">
        <w:t xml:space="preserve"> </w:t>
      </w:r>
      <w:r w:rsidR="00921DE0">
        <w:t xml:space="preserve">  While true that</w:t>
      </w:r>
      <w:r>
        <w:t xml:space="preserve"> Allband was precluded from recovering </w:t>
      </w:r>
      <w:r w:rsidR="00921DE0">
        <w:t xml:space="preserve">additional fixed or sunk costs for 2011 </w:t>
      </w:r>
      <w:r>
        <w:t xml:space="preserve">or 2012 </w:t>
      </w:r>
      <w:r w:rsidR="00921DE0">
        <w:t xml:space="preserve">incurred prior to </w:t>
      </w:r>
      <w:r w:rsidR="00D320EB">
        <w:t xml:space="preserve">the </w:t>
      </w:r>
      <w:r>
        <w:rPr>
          <w:i/>
        </w:rPr>
        <w:t xml:space="preserve">USF/ICC Transformation </w:t>
      </w:r>
      <w:r w:rsidRPr="00E2377B">
        <w:rPr>
          <w:i/>
        </w:rPr>
        <w:t>Order</w:t>
      </w:r>
      <w:r>
        <w:t>, the same was true for all carriers</w:t>
      </w:r>
      <w:r w:rsidR="00CF09E3">
        <w:t xml:space="preserve">.  </w:t>
      </w:r>
      <w:r>
        <w:t xml:space="preserve">The </w:t>
      </w:r>
      <w:r w:rsidRPr="00421DA3">
        <w:rPr>
          <w:i/>
        </w:rPr>
        <w:t>July 2012 Waiver Order</w:t>
      </w:r>
      <w:r>
        <w:t xml:space="preserve"> </w:t>
      </w:r>
      <w:r w:rsidR="00002E37">
        <w:t xml:space="preserve">did </w:t>
      </w:r>
      <w:r>
        <w:t xml:space="preserve">provide Allband support above the amount it would have received absent a waiver.  </w:t>
      </w:r>
      <w:r w:rsidR="00002E37">
        <w:t>W</w:t>
      </w:r>
      <w:r w:rsidR="004A2501">
        <w:t>e will not offset any claw-back</w:t>
      </w:r>
      <w:r>
        <w:t xml:space="preserve"> </w:t>
      </w:r>
      <w:r w:rsidR="004A2501">
        <w:t xml:space="preserve">with </w:t>
      </w:r>
      <w:r w:rsidR="009B654B">
        <w:t>support</w:t>
      </w:r>
      <w:r w:rsidRPr="00E2377B">
        <w:t xml:space="preserve"> </w:t>
      </w:r>
      <w:r w:rsidR="004A2501">
        <w:t>Allband</w:t>
      </w:r>
      <w:r w:rsidR="009B654B">
        <w:t xml:space="preserve"> believes</w:t>
      </w:r>
      <w:r w:rsidRPr="00E2377B">
        <w:t xml:space="preserve"> it should have </w:t>
      </w:r>
      <w:r w:rsidR="009B654B">
        <w:t>received</w:t>
      </w:r>
      <w:r w:rsidR="00671BCF">
        <w:t xml:space="preserve"> but </w:t>
      </w:r>
      <w:r w:rsidR="00824E66">
        <w:t>was not awarded.  Th</w:t>
      </w:r>
      <w:r w:rsidR="00C57B3F">
        <w:t xml:space="preserve">is decision </w:t>
      </w:r>
      <w:r w:rsidR="00824E66">
        <w:t>is</w:t>
      </w:r>
      <w:r w:rsidR="000D4F7D">
        <w:t xml:space="preserve"> </w:t>
      </w:r>
      <w:r w:rsidR="004A2501">
        <w:t xml:space="preserve">especially </w:t>
      </w:r>
      <w:r w:rsidR="00C57B3F">
        <w:t xml:space="preserve">appropriate </w:t>
      </w:r>
      <w:r w:rsidR="00824E66">
        <w:t>here because</w:t>
      </w:r>
      <w:r w:rsidR="004A2501">
        <w:t xml:space="preserve"> </w:t>
      </w:r>
      <w:r w:rsidR="00824E66">
        <w:t xml:space="preserve">the Commission did not authorize any </w:t>
      </w:r>
      <w:r w:rsidR="004A2501">
        <w:t>carriers</w:t>
      </w:r>
      <w:r w:rsidR="00824E66">
        <w:t xml:space="preserve"> to</w:t>
      </w:r>
      <w:r w:rsidR="004A2501">
        <w:t xml:space="preserve"> receive the support </w:t>
      </w:r>
      <w:r w:rsidR="009A61EB">
        <w:t xml:space="preserve">that </w:t>
      </w:r>
      <w:r w:rsidR="004A2501">
        <w:t xml:space="preserve">Allband requests </w:t>
      </w:r>
      <w:r w:rsidR="00C57B3F">
        <w:t xml:space="preserve">we </w:t>
      </w:r>
      <w:r w:rsidR="004A2501">
        <w:t xml:space="preserve">factor into </w:t>
      </w:r>
      <w:r w:rsidR="00D13242">
        <w:t>a</w:t>
      </w:r>
      <w:r w:rsidR="004A2501">
        <w:t xml:space="preserve"> claw-back.</w:t>
      </w:r>
    </w:p>
    <w:p w:rsidR="00D16419" w:rsidP="00E2377B" w14:paraId="1BCB62B7" w14:textId="0FF2ECF6">
      <w:pPr>
        <w:pStyle w:val="ParaNum"/>
      </w:pPr>
      <w:r>
        <w:t xml:space="preserve">With respect to </w:t>
      </w:r>
      <w:r w:rsidR="005D7163">
        <w:t>its second claim</w:t>
      </w:r>
      <w:r>
        <w:t>, we grant Allband’s request.  F</w:t>
      </w:r>
      <w:r w:rsidRPr="00E2377B">
        <w:t>or purposes of the offset only</w:t>
      </w:r>
      <w:r>
        <w:t xml:space="preserve">, </w:t>
      </w:r>
      <w:r w:rsidR="00671BCF">
        <w:t xml:space="preserve">to </w:t>
      </w:r>
      <w:r w:rsidR="001969B2">
        <w:t xml:space="preserve">avoid financial harm </w:t>
      </w:r>
      <w:r w:rsidR="00671BCF">
        <w:t xml:space="preserve">in possible detriment to consumers, </w:t>
      </w:r>
      <w:r w:rsidR="005D7163">
        <w:t xml:space="preserve">we determine that </w:t>
      </w:r>
      <w:r w:rsidR="00671BCF">
        <w:t xml:space="preserve">it is in the public interest to </w:t>
      </w:r>
      <w:r w:rsidR="00FB6AB5">
        <w:t xml:space="preserve">reduce any claw-back </w:t>
      </w:r>
      <w:r w:rsidR="007D7FEC">
        <w:t>by</w:t>
      </w:r>
      <w:r w:rsidR="00FB6AB5">
        <w:t xml:space="preserve"> </w:t>
      </w:r>
      <w:r>
        <w:t>$</w:t>
      </w:r>
      <w:r w:rsidR="00C64A0B">
        <w:t>207</w:t>
      </w:r>
      <w:r>
        <w:t xml:space="preserve"> per </w:t>
      </w:r>
      <w:r w:rsidR="00671BCF">
        <w:t xml:space="preserve">loop per month </w:t>
      </w:r>
      <w:r>
        <w:t xml:space="preserve">since the adoption of the </w:t>
      </w:r>
      <w:r w:rsidR="00002E37">
        <w:rPr>
          <w:i/>
        </w:rPr>
        <w:t>July 2016 Waiver Order</w:t>
      </w:r>
      <w:r>
        <w:t>.</w:t>
      </w:r>
      <w:r>
        <w:rPr>
          <w:rStyle w:val="FootnoteReference"/>
        </w:rPr>
        <w:footnoteReference w:id="63"/>
      </w:r>
      <w:r w:rsidR="002A3943">
        <w:t xml:space="preserve">  </w:t>
      </w:r>
      <w:r w:rsidR="00671BCF">
        <w:t>Any</w:t>
      </w:r>
      <w:r>
        <w:t xml:space="preserve"> </w:t>
      </w:r>
      <w:r w:rsidR="00A86E3A">
        <w:t>partial month</w:t>
      </w:r>
      <w:r w:rsidR="00FB6AB5">
        <w:t>s</w:t>
      </w:r>
      <w:r w:rsidR="00A86E3A">
        <w:t xml:space="preserve"> w</w:t>
      </w:r>
      <w:r>
        <w:t xml:space="preserve">ill be </w:t>
      </w:r>
      <w:r w:rsidR="00FB6AB5">
        <w:t>calculated on a</w:t>
      </w:r>
      <w:r>
        <w:t xml:space="preserve"> </w:t>
      </w:r>
      <w:r w:rsidR="007C08F2">
        <w:t>prorated per day</w:t>
      </w:r>
      <w:r w:rsidR="002D3970">
        <w:t xml:space="preserve"> basis</w:t>
      </w:r>
      <w:r w:rsidR="007C08F2">
        <w:t>.</w:t>
      </w:r>
      <w:r w:rsidR="002D3970">
        <w:t xml:space="preserve">  Accordingly, we direct USAC to adjust the claw-back </w:t>
      </w:r>
      <w:r w:rsidR="00002E37">
        <w:t xml:space="preserve">described </w:t>
      </w:r>
      <w:r w:rsidR="002D3970">
        <w:t xml:space="preserve">in the </w:t>
      </w:r>
      <w:r w:rsidR="002D3970">
        <w:rPr>
          <w:i/>
        </w:rPr>
        <w:t xml:space="preserve">July 2016 Waiver Order </w:t>
      </w:r>
      <w:r w:rsidR="002D3970">
        <w:t xml:space="preserve">pursuant to our direction in this paragraph.   </w:t>
      </w:r>
      <w:r>
        <w:t xml:space="preserve">   </w:t>
      </w:r>
    </w:p>
    <w:p w:rsidR="00737B58" w:rsidRPr="00737B58" w:rsidP="00737B58" w14:paraId="3B5EC4F3" w14:textId="1E096DAA">
      <w:pPr>
        <w:pStyle w:val="ParaNum"/>
        <w:numPr>
          <w:ilvl w:val="0"/>
          <w:numId w:val="11"/>
        </w:numPr>
        <w:rPr>
          <w:b/>
        </w:rPr>
      </w:pPr>
      <w:r w:rsidRPr="00737B58">
        <w:rPr>
          <w:b/>
        </w:rPr>
        <w:t xml:space="preserve">CONCLUSION </w:t>
      </w:r>
    </w:p>
    <w:p w:rsidR="00B431FB" w:rsidP="001B1EAD" w14:paraId="7C2C2ACD" w14:textId="2C457C35">
      <w:pPr>
        <w:pStyle w:val="ParaNum"/>
      </w:pPr>
      <w:r>
        <w:t>Allband has come into compliance with the Commission’s cost accounting rules.  After review of the company’s financial information</w:t>
      </w:r>
      <w:r w:rsidR="00F76FA4">
        <w:t xml:space="preserve"> and</w:t>
      </w:r>
      <w:r w:rsidR="00E73B01">
        <w:t>,</w:t>
      </w:r>
      <w:r w:rsidR="00F76FA4">
        <w:t xml:space="preserve"> other special circumstances</w:t>
      </w:r>
      <w:r w:rsidR="00E73B01">
        <w:t xml:space="preserve"> as discussed above</w:t>
      </w:r>
      <w:r>
        <w:t>, w</w:t>
      </w:r>
      <w:r w:rsidR="00AF4842">
        <w:t xml:space="preserve">e find that there is good cause to grant Allband a waiver of the </w:t>
      </w:r>
      <w:r w:rsidR="005806C7">
        <w:t xml:space="preserve">section 54.302(a) so that it can receive </w:t>
      </w:r>
      <w:r w:rsidR="00420950">
        <w:t>the l</w:t>
      </w:r>
      <w:r w:rsidR="00F76FA4">
        <w:t>esser of $457</w:t>
      </w:r>
      <w:r w:rsidR="00420950">
        <w:t xml:space="preserve"> per l</w:t>
      </w:r>
      <w:r w:rsidRPr="00A65AC8" w:rsidR="00420950">
        <w:t xml:space="preserve">oop </w:t>
      </w:r>
      <w:r w:rsidR="00420950">
        <w:t>per m</w:t>
      </w:r>
      <w:r w:rsidRPr="00A65AC8" w:rsidR="00420950">
        <w:t xml:space="preserve">onth or </w:t>
      </w:r>
      <w:r w:rsidR="00420950">
        <w:t>support b</w:t>
      </w:r>
      <w:r w:rsidRPr="00A65AC8" w:rsidR="00420950">
        <w:t xml:space="preserve">ased on </w:t>
      </w:r>
      <w:r w:rsidR="00420950">
        <w:t>c</w:t>
      </w:r>
      <w:r w:rsidRPr="00A65AC8" w:rsidR="00420950">
        <w:t>osts</w:t>
      </w:r>
      <w:r>
        <w:t>.  Providing Allband high-cost s</w:t>
      </w:r>
      <w:r w:rsidR="00FC19CA">
        <w:t xml:space="preserve">upport above the $250 per loop per month </w:t>
      </w:r>
      <w:r>
        <w:t>cap ensures that</w:t>
      </w:r>
      <w:r w:rsidR="001B1EAD">
        <w:t xml:space="preserve"> </w:t>
      </w:r>
      <w:r w:rsidR="00E73B01">
        <w:t xml:space="preserve">Allband’s </w:t>
      </w:r>
      <w:r w:rsidR="001B1EAD">
        <w:t>customers will no</w:t>
      </w:r>
      <w:r w:rsidR="00FC19CA">
        <w:t>t</w:t>
      </w:r>
      <w:r w:rsidR="001B1EAD">
        <w:t xml:space="preserve"> be at </w:t>
      </w:r>
      <w:r w:rsidR="00896EE8">
        <w:t xml:space="preserve">significant </w:t>
      </w:r>
      <w:r w:rsidR="001B1EAD">
        <w:t>risk of losing access to voice and broadband</w:t>
      </w:r>
      <w:r w:rsidR="00B14ABA">
        <w:t xml:space="preserve"> services.</w:t>
      </w:r>
      <w:r w:rsidR="00E85699">
        <w:t xml:space="preserve">  </w:t>
      </w:r>
      <w:r w:rsidR="00DC0718">
        <w:t>Furthermore</w:t>
      </w:r>
      <w:r w:rsidR="00E85699">
        <w:t xml:space="preserve">, the amount of support we grant Allband will </w:t>
      </w:r>
      <w:r w:rsidRPr="00737B58" w:rsidR="00E85699">
        <w:t>not impose an excessive burden on</w:t>
      </w:r>
      <w:r w:rsidR="00E85699">
        <w:t xml:space="preserve"> consumers and businesses.  Accordingly, we grant Allband’s r</w:t>
      </w:r>
      <w:r w:rsidR="00F76FA4">
        <w:t>e</w:t>
      </w:r>
      <w:r w:rsidR="00671BCF">
        <w:t xml:space="preserve">quest until </w:t>
      </w:r>
      <w:r w:rsidR="005F74FF">
        <w:t>March 1, 2021</w:t>
      </w:r>
      <w:r w:rsidR="002D3970">
        <w:t xml:space="preserve">.  </w:t>
      </w:r>
      <w:r w:rsidR="00671BCF">
        <w:t xml:space="preserve">USAC </w:t>
      </w:r>
      <w:r w:rsidR="00FE7E30">
        <w:t>shall</w:t>
      </w:r>
      <w:r w:rsidR="00671BCF">
        <w:t xml:space="preserve"> continue to implement the </w:t>
      </w:r>
      <w:r w:rsidR="00671BCF">
        <w:rPr>
          <w:i/>
        </w:rPr>
        <w:t>July 2016 Waiver Order</w:t>
      </w:r>
      <w:r w:rsidR="00671BCF">
        <w:t xml:space="preserve"> and any claw-back of support</w:t>
      </w:r>
      <w:r w:rsidR="00E25E9E">
        <w:t xml:space="preserve"> </w:t>
      </w:r>
      <w:r w:rsidR="00FA106B">
        <w:t xml:space="preserve">will be offset </w:t>
      </w:r>
      <w:r w:rsidR="00E25E9E">
        <w:t xml:space="preserve">as if </w:t>
      </w:r>
      <w:r w:rsidR="00B265CD">
        <w:t xml:space="preserve">Allband </w:t>
      </w:r>
      <w:r w:rsidR="00E25E9E">
        <w:t xml:space="preserve">received $457 per loop per month since the </w:t>
      </w:r>
      <w:r w:rsidR="00FE7E30">
        <w:t>release</w:t>
      </w:r>
      <w:r w:rsidR="00E25E9E">
        <w:t xml:space="preserve"> of the </w:t>
      </w:r>
      <w:r w:rsidR="00B265CD">
        <w:rPr>
          <w:i/>
        </w:rPr>
        <w:t>July 2016 Waiver Order</w:t>
      </w:r>
      <w:r w:rsidR="00B265CD">
        <w:t xml:space="preserve">.  </w:t>
      </w:r>
    </w:p>
    <w:p w:rsidR="00737B58" w:rsidRPr="00737B58" w:rsidP="00737B58" w14:paraId="6AC0E58D" w14:textId="6EB1A03F">
      <w:pPr>
        <w:pStyle w:val="ParaNum"/>
        <w:numPr>
          <w:ilvl w:val="0"/>
          <w:numId w:val="11"/>
        </w:numPr>
        <w:tabs>
          <w:tab w:val="left" w:pos="1440"/>
        </w:tabs>
        <w:rPr>
          <w:b/>
        </w:rPr>
      </w:pPr>
      <w:r w:rsidRPr="00737B58">
        <w:rPr>
          <w:b/>
        </w:rPr>
        <w:t>ORDERING CLAUSES</w:t>
      </w:r>
    </w:p>
    <w:p w:rsidR="008D503D" w:rsidP="00D75390" w14:paraId="5B1B7235" w14:textId="2F5D8D7E">
      <w:pPr>
        <w:pStyle w:val="ParaNum"/>
        <w:tabs>
          <w:tab w:val="num" w:pos="1170"/>
          <w:tab w:val="left" w:pos="1440"/>
        </w:tabs>
      </w:pPr>
      <w:r>
        <w:t xml:space="preserve">    </w:t>
      </w:r>
      <w:r w:rsidRPr="002F7BFD" w:rsidR="002F7BFD">
        <w:t>Accordingly, IT IS ORDERED, pursuant to sections 1, 4(i), 5(c), 201, and 254 of the Communications Act of 1934, as amended, 47 U.S.C. §§ 151, 154(i), 155(c), 201, 254, and sections 0.91, 0</w:t>
      </w:r>
      <w:r w:rsidR="002F7BFD">
        <w:t>.291, and 1.3 of the Commission’</w:t>
      </w:r>
      <w:r w:rsidRPr="002F7BFD" w:rsidR="002F7BFD">
        <w:t>s rules, </w:t>
      </w:r>
      <w:r w:rsidR="002F7BFD">
        <w:t>47 C</w:t>
      </w:r>
      <w:r w:rsidR="00110684">
        <w:t>.</w:t>
      </w:r>
      <w:r w:rsidR="002F7BFD">
        <w:t>F</w:t>
      </w:r>
      <w:r w:rsidR="00110684">
        <w:t>.R.</w:t>
      </w:r>
      <w:r w:rsidRPr="002F7BFD" w:rsidR="002F7BFD">
        <w:t xml:space="preserve"> §§ 0.91, 0.291, 1.3, that this order IS ADOPTED.</w:t>
      </w:r>
      <w:r w:rsidRPr="008C48B5" w:rsidR="008C48B5">
        <w:t xml:space="preserve"> </w:t>
      </w:r>
    </w:p>
    <w:p w:rsidR="00ED1A5A" w:rsidP="00A83DCA" w14:paraId="177328B2" w14:textId="17F7C6A1">
      <w:pPr>
        <w:pStyle w:val="ParaNum"/>
        <w:tabs>
          <w:tab w:val="num" w:pos="1170"/>
          <w:tab w:val="clear" w:pos="1440"/>
        </w:tabs>
      </w:pPr>
      <w:r w:rsidRPr="008C48B5">
        <w:t xml:space="preserve">    </w:t>
      </w:r>
      <w:r w:rsidRPr="002F7BFD" w:rsidR="008D503D">
        <w:t xml:space="preserve">IT IS FURTHER ORDERED that the </w:t>
      </w:r>
      <w:r w:rsidR="008D503D">
        <w:t>P</w:t>
      </w:r>
      <w:r w:rsidRPr="002F7BFD" w:rsidR="008D503D">
        <w:t xml:space="preserve">etition for </w:t>
      </w:r>
      <w:r w:rsidR="008D503D">
        <w:t>W</w:t>
      </w:r>
      <w:r w:rsidRPr="002F7BFD" w:rsidR="008D503D">
        <w:t xml:space="preserve">aiver of </w:t>
      </w:r>
      <w:r w:rsidR="008D503D">
        <w:t>Section 54.302 of the Commission’</w:t>
      </w:r>
      <w:r w:rsidRPr="002F7BFD" w:rsidR="008D503D">
        <w:t>s rules, </w:t>
      </w:r>
      <w:r w:rsidR="008D503D">
        <w:t xml:space="preserve">47 C.F.R. </w:t>
      </w:r>
      <w:r w:rsidRPr="002F7BFD" w:rsidR="008D503D">
        <w:t>§ 54.302</w:t>
      </w:r>
      <w:r w:rsidR="008D503D">
        <w:t xml:space="preserve"> </w:t>
      </w:r>
      <w:r w:rsidRPr="002F7BFD" w:rsidR="008D503D">
        <w:t>filed by Allband Communications Cooperative</w:t>
      </w:r>
      <w:r w:rsidR="00B265CD">
        <w:t xml:space="preserve"> on July 27, 2017</w:t>
      </w:r>
      <w:r w:rsidRPr="002F7BFD" w:rsidR="008D503D">
        <w:t>,</w:t>
      </w:r>
      <w:r w:rsidR="00B265CD">
        <w:t xml:space="preserve"> as discussed herein,</w:t>
      </w:r>
      <w:r w:rsidRPr="002F7BFD" w:rsidR="008D503D">
        <w:t xml:space="preserve"> IS</w:t>
      </w:r>
      <w:r w:rsidR="00B265CD">
        <w:t xml:space="preserve"> DENIED IN PART and GRANTED IN PART until </w:t>
      </w:r>
      <w:r w:rsidR="006B01C0">
        <w:t>March 1, 2021</w:t>
      </w:r>
      <w:r w:rsidR="003428C6">
        <w:t>,</w:t>
      </w:r>
      <w:r w:rsidR="00B265CD">
        <w:t xml:space="preserve"> conditioned upon Allband submitting </w:t>
      </w:r>
      <w:r w:rsidR="00E555AD">
        <w:t xml:space="preserve">complete audited financial statements with notes for 2016 for </w:t>
      </w:r>
      <w:r w:rsidR="00C75707">
        <w:t>Allband</w:t>
      </w:r>
      <w:r w:rsidR="00E555AD">
        <w:t xml:space="preserve">, AMM, and on a consolidated basis </w:t>
      </w:r>
      <w:r w:rsidR="00DE7DBE">
        <w:t>to the Bureau.</w:t>
      </w:r>
    </w:p>
    <w:p w:rsidR="006B01C0" w:rsidRPr="008C48B5" w:rsidP="00A83DCA" w14:paraId="7CDA74A4" w14:textId="178BD8D2">
      <w:pPr>
        <w:pStyle w:val="ParaNum"/>
        <w:tabs>
          <w:tab w:val="num" w:pos="1170"/>
          <w:tab w:val="clear" w:pos="1440"/>
        </w:tabs>
      </w:pPr>
      <w:r>
        <w:t>IT IS</w:t>
      </w:r>
      <w:r w:rsidR="00AF4574">
        <w:t xml:space="preserve"> FURTHER ORDERED, pursuant to section 1.3</w:t>
      </w:r>
      <w:r w:rsidR="00AD009D">
        <w:t xml:space="preserve"> of the Commission’s rules</w:t>
      </w:r>
      <w:r w:rsidR="00AF4574">
        <w:t xml:space="preserve">, </w:t>
      </w:r>
      <w:r w:rsidR="00AD009D">
        <w:t xml:space="preserve">47 C.F.R. § 1.3, </w:t>
      </w:r>
      <w:r w:rsidR="00AF4574">
        <w:t>that sections 54.901(f) and 54.1310(d) of the Commission’s rules</w:t>
      </w:r>
      <w:r w:rsidR="00366C06">
        <w:t>, 47 C.F.R. §§</w:t>
      </w:r>
      <w:r w:rsidR="00AF4574">
        <w:t xml:space="preserve"> </w:t>
      </w:r>
      <w:r w:rsidR="00366C06">
        <w:t xml:space="preserve">54.901(f) and 54.1310(d), </w:t>
      </w:r>
      <w:r w:rsidR="00AF4574">
        <w:t>are waived to the limited extent provided herein.</w:t>
      </w:r>
    </w:p>
    <w:p w:rsidR="002F7BFD" w:rsidP="00C679D6" w14:paraId="37ECF075" w14:textId="13593666">
      <w:pPr>
        <w:pStyle w:val="ParaNum"/>
        <w:widowControl/>
        <w:tabs>
          <w:tab w:val="left" w:pos="1440"/>
        </w:tabs>
      </w:pPr>
      <w:r w:rsidRPr="002F7BFD">
        <w:t xml:space="preserve">IT IS FURTHER ORDERED that </w:t>
      </w:r>
      <w:r w:rsidR="00B265CD">
        <w:t xml:space="preserve">the </w:t>
      </w:r>
      <w:r>
        <w:t>Emergency P</w:t>
      </w:r>
      <w:r w:rsidRPr="002F7BFD">
        <w:t xml:space="preserve">etition for </w:t>
      </w:r>
      <w:r>
        <w:t>W</w:t>
      </w:r>
      <w:r w:rsidRPr="002F7BFD">
        <w:t xml:space="preserve">aiver of </w:t>
      </w:r>
      <w:r>
        <w:t>Section 54.302 of the Commission’</w:t>
      </w:r>
      <w:r w:rsidRPr="002F7BFD">
        <w:t>s rules, </w:t>
      </w:r>
      <w:r>
        <w:t>47 C</w:t>
      </w:r>
      <w:r w:rsidR="00110684">
        <w:t>.</w:t>
      </w:r>
      <w:r>
        <w:t>F</w:t>
      </w:r>
      <w:r w:rsidR="00110684">
        <w:t>.</w:t>
      </w:r>
      <w:r>
        <w:t>R</w:t>
      </w:r>
      <w:r w:rsidR="00110684">
        <w:t xml:space="preserve">. </w:t>
      </w:r>
      <w:r w:rsidRPr="002F7BFD">
        <w:t>§ 54.302</w:t>
      </w:r>
      <w:r>
        <w:t xml:space="preserve"> </w:t>
      </w:r>
      <w:r w:rsidRPr="002F7BFD">
        <w:t>filed by Allband Communications Cooperative</w:t>
      </w:r>
      <w:r w:rsidR="00B265CD">
        <w:t xml:space="preserve"> on January 12, 2017</w:t>
      </w:r>
      <w:r w:rsidRPr="002F7BFD">
        <w:t>, IS</w:t>
      </w:r>
      <w:r>
        <w:t xml:space="preserve"> </w:t>
      </w:r>
      <w:r w:rsidR="008D503D">
        <w:t>DISMISSED</w:t>
      </w:r>
      <w:r>
        <w:t xml:space="preserve"> </w:t>
      </w:r>
      <w:r w:rsidRPr="002F7BFD">
        <w:t xml:space="preserve">as </w:t>
      </w:r>
      <w:r w:rsidR="008D503D">
        <w:t>moot</w:t>
      </w:r>
      <w:r w:rsidRPr="002F7BFD">
        <w:t>.</w:t>
      </w:r>
      <w:r w:rsidR="00A83DCA">
        <w:t xml:space="preserve"> </w:t>
      </w:r>
    </w:p>
    <w:p w:rsidR="0085132A" w:rsidP="00270508" w14:paraId="17D19066" w14:textId="0B1EE395">
      <w:pPr>
        <w:pStyle w:val="ParaNum"/>
        <w:widowControl/>
      </w:pPr>
      <w:r>
        <w:t>IT IS</w:t>
      </w:r>
      <w:r w:rsidRPr="00C23D02">
        <w:t xml:space="preserve"> FURTHER ORDERED that, pursuant to section 1.10</w:t>
      </w:r>
      <w:r>
        <w:t>2</w:t>
      </w:r>
      <w:r w:rsidRPr="00C23D02">
        <w:t>(</w:t>
      </w:r>
      <w:r>
        <w:t>b</w:t>
      </w:r>
      <w:r w:rsidRPr="00C23D02">
        <w:t>)</w:t>
      </w:r>
      <w:r>
        <w:t>(1)</w:t>
      </w:r>
      <w:r w:rsidRPr="00C23D02">
        <w:t xml:space="preserve"> of the Commission</w:t>
      </w:r>
      <w:r>
        <w:t>’</w:t>
      </w:r>
      <w:r w:rsidRPr="00C23D02">
        <w:t>s rules, 47 C</w:t>
      </w:r>
      <w:r w:rsidR="00110684">
        <w:t>.</w:t>
      </w:r>
      <w:r>
        <w:t>F</w:t>
      </w:r>
      <w:r w:rsidR="00110684">
        <w:t>.</w:t>
      </w:r>
      <w:r w:rsidRPr="00C23D02">
        <w:t>R</w:t>
      </w:r>
      <w:r w:rsidR="00110684">
        <w:t>.</w:t>
      </w:r>
      <w:r w:rsidRPr="00C23D02">
        <w:t xml:space="preserve"> § 1.10</w:t>
      </w:r>
      <w:r>
        <w:t>2</w:t>
      </w:r>
      <w:r w:rsidRPr="00C23D02">
        <w:t>(</w:t>
      </w:r>
      <w:r>
        <w:t>b</w:t>
      </w:r>
      <w:r w:rsidRPr="00C23D02">
        <w:t>)</w:t>
      </w:r>
      <w:r>
        <w:t>(1)</w:t>
      </w:r>
      <w:r w:rsidRPr="00C23D02">
        <w:t xml:space="preserve">, this </w:t>
      </w:r>
      <w:r>
        <w:t>O</w:t>
      </w:r>
      <w:r w:rsidRPr="00C23D02">
        <w:t xml:space="preserve">rder SHALL BE </w:t>
      </w:r>
      <w:r>
        <w:t>EFFECTIVE</w:t>
      </w:r>
      <w:r w:rsidRPr="00C23D02">
        <w:t xml:space="preserve"> upon release.</w:t>
      </w:r>
    </w:p>
    <w:p w:rsidR="0085132A" w:rsidP="0085132A" w14:paraId="5D9D4F00" w14:textId="77777777"/>
    <w:p w:rsidR="0085132A" w:rsidP="0085132A" w14:paraId="76ECAACF" w14:textId="77777777">
      <w:r>
        <w:tab/>
      </w:r>
      <w:r>
        <w:tab/>
      </w:r>
      <w:r>
        <w:tab/>
      </w:r>
      <w:r>
        <w:tab/>
      </w:r>
      <w:r>
        <w:tab/>
      </w:r>
      <w:r>
        <w:tab/>
        <w:t>FEDERAL COMMUNICATIONS COMMISSION</w:t>
      </w:r>
    </w:p>
    <w:p w:rsidR="0085132A" w:rsidP="0085132A" w14:paraId="7061B20B" w14:textId="77777777"/>
    <w:p w:rsidR="0085132A" w:rsidP="0085132A" w14:paraId="6EF85118" w14:textId="77777777"/>
    <w:p w:rsidR="0085132A" w:rsidP="0085132A" w14:paraId="474C04B9" w14:textId="77777777"/>
    <w:p w:rsidR="0085132A" w:rsidP="0085132A" w14:paraId="4A5E028D" w14:textId="77777777"/>
    <w:p w:rsidR="00014525" w:rsidP="001D013E" w14:paraId="1394B0CB" w14:textId="2EE99FFA">
      <w:r>
        <w:tab/>
      </w:r>
      <w:r>
        <w:tab/>
      </w:r>
      <w:r>
        <w:tab/>
      </w:r>
      <w:r>
        <w:tab/>
      </w:r>
      <w:r>
        <w:tab/>
      </w:r>
      <w:r>
        <w:tab/>
      </w:r>
      <w:r w:rsidR="001D013E">
        <w:t xml:space="preserve">Kris </w:t>
      </w:r>
      <w:r w:rsidR="004F2D5F">
        <w:t>A</w:t>
      </w:r>
      <w:r w:rsidR="00E73B01">
        <w:t>nne</w:t>
      </w:r>
      <w:r w:rsidR="004F2D5F">
        <w:t xml:space="preserve"> Monteith</w:t>
      </w:r>
      <w:r w:rsidR="001D013E">
        <w:t xml:space="preserve"> </w:t>
      </w:r>
    </w:p>
    <w:p w:rsidR="001D013E" w:rsidRPr="00014525" w:rsidP="001D013E" w14:paraId="4A4F1FDB" w14:textId="2551FA61">
      <w:r>
        <w:tab/>
      </w:r>
      <w:r>
        <w:tab/>
      </w:r>
      <w:r>
        <w:tab/>
      </w:r>
      <w:r>
        <w:tab/>
      </w:r>
      <w:r>
        <w:tab/>
      </w:r>
      <w:r>
        <w:tab/>
        <w:t>Chief, Wireline Competition Bureau</w:t>
      </w:r>
    </w:p>
    <w:sectPr w:rsidSect="00014525">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CA5" w:rsidP="0055614C" w14:paraId="78EE9D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4E6CA5" w14:paraId="7523AA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CA5" w:rsidP="0055614C" w14:paraId="42139CAD" w14:textId="65996499">
    <w:pPr>
      <w:pStyle w:val="Footer"/>
      <w:framePr w:wrap="around" w:vAnchor="text" w:hAnchor="margin" w:xAlign="center" w:y="1"/>
    </w:pPr>
    <w:r>
      <w:fldChar w:fldCharType="begin"/>
    </w:r>
    <w:r>
      <w:instrText xml:space="preserve">PAGE  </w:instrText>
    </w:r>
    <w:r>
      <w:fldChar w:fldCharType="separate"/>
    </w:r>
    <w:r w:rsidR="00011572">
      <w:rPr>
        <w:noProof/>
      </w:rPr>
      <w:t>2</w:t>
    </w:r>
    <w:r>
      <w:fldChar w:fldCharType="end"/>
    </w:r>
  </w:p>
  <w:p w:rsidR="004E6CA5" w14:paraId="056E6E7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CA5" w14:paraId="3A78839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65ED" w14:paraId="6FD43351" w14:textId="77777777">
      <w:r>
        <w:separator/>
      </w:r>
    </w:p>
  </w:footnote>
  <w:footnote w:type="continuationSeparator" w:id="1">
    <w:p w:rsidR="00CC65ED" w:rsidP="00C721AC" w14:paraId="2F071EEA" w14:textId="77777777">
      <w:pPr>
        <w:spacing w:before="120"/>
        <w:rPr>
          <w:sz w:val="20"/>
        </w:rPr>
      </w:pPr>
      <w:r>
        <w:rPr>
          <w:sz w:val="20"/>
        </w:rPr>
        <w:t xml:space="preserve">(Continued from previous page)  </w:t>
      </w:r>
      <w:r>
        <w:rPr>
          <w:sz w:val="20"/>
        </w:rPr>
        <w:separator/>
      </w:r>
    </w:p>
  </w:footnote>
  <w:footnote w:type="continuationNotice" w:id="2">
    <w:p w:rsidR="00CC65ED" w:rsidP="00C721AC" w14:paraId="25DD5FB9" w14:textId="77777777">
      <w:pPr>
        <w:jc w:val="right"/>
        <w:rPr>
          <w:sz w:val="20"/>
        </w:rPr>
      </w:pPr>
      <w:r>
        <w:rPr>
          <w:sz w:val="20"/>
        </w:rPr>
        <w:t>(continued….)</w:t>
      </w:r>
    </w:p>
  </w:footnote>
  <w:footnote w:id="3">
    <w:p w:rsidR="004E6CA5" w:rsidP="00C4455A" w14:paraId="49FB394E" w14:textId="77777777">
      <w:pPr>
        <w:pStyle w:val="FootnoteText"/>
      </w:pPr>
      <w:r>
        <w:rPr>
          <w:rStyle w:val="FootnoteReference"/>
        </w:rPr>
        <w:footnoteRef/>
      </w:r>
      <w:r>
        <w:t xml:space="preserve"> Petition of Allband Communications Cooperative for Waiver of the Part 54.302 Rule and for Increased Per-Line Support, WC Docket 10-90 et al. (filed July 27, 2017) (July 2017 Petition).  </w:t>
      </w:r>
    </w:p>
  </w:footnote>
  <w:footnote w:id="4">
    <w:p w:rsidR="004E6CA5" w14:paraId="25ABD187" w14:textId="67AD58BE">
      <w:pPr>
        <w:pStyle w:val="FootnoteText"/>
      </w:pPr>
      <w:r>
        <w:rPr>
          <w:rStyle w:val="FootnoteReference"/>
        </w:rPr>
        <w:footnoteRef/>
      </w:r>
      <w:r>
        <w:t xml:space="preserve"> July 2017 Petition, at Appx. B, </w:t>
      </w:r>
      <w:r w:rsidR="00D774E2">
        <w:t xml:space="preserve">Affidavit of Tim Morissey, </w:t>
      </w:r>
      <w:r>
        <w:t xml:space="preserve">Attach. 7.  </w:t>
      </w:r>
    </w:p>
  </w:footnote>
  <w:footnote w:id="5">
    <w:p w:rsidR="004E6CA5" w:rsidRPr="008177C9" w14:paraId="423AD95C" w14:textId="3F47BFB9">
      <w:pPr>
        <w:pStyle w:val="FootnoteText"/>
      </w:pPr>
      <w:r>
        <w:rPr>
          <w:rStyle w:val="FootnoteReference"/>
        </w:rPr>
        <w:footnoteRef/>
      </w:r>
      <w:r>
        <w:t xml:space="preserve"> </w:t>
      </w:r>
      <w:r w:rsidRPr="007E05D4">
        <w:t>The Robbs Creek Exchange is an irregularly shaped 177-square-mile heavily forested</w:t>
      </w:r>
      <w:r>
        <w:t>, sparsely populated</w:t>
      </w:r>
      <w:r w:rsidRPr="007E05D4">
        <w:t xml:space="preserve"> area that includes portions of four counties – Alcona, Alpena, Oscoda and Montmorency – that, prior to Allband, were unserved.</w:t>
      </w:r>
    </w:p>
  </w:footnote>
  <w:footnote w:id="6">
    <w:p w:rsidR="004E6CA5" w14:paraId="4A408C94" w14:textId="5081798F">
      <w:pPr>
        <w:pStyle w:val="FootnoteText"/>
      </w:pPr>
      <w:r>
        <w:rPr>
          <w:rStyle w:val="FootnoteReference"/>
        </w:rPr>
        <w:footnoteRef/>
      </w:r>
      <w:r>
        <w:t xml:space="preserve"> </w:t>
      </w:r>
      <w:r w:rsidRPr="0026765F">
        <w:rPr>
          <w:i/>
        </w:rPr>
        <w:t>See</w:t>
      </w:r>
      <w:r>
        <w:t xml:space="preserve"> Allband, Allband Communications Cooperative Rate</w:t>
      </w:r>
      <w:r w:rsidR="00DD6828">
        <w:t>s</w:t>
      </w:r>
      <w:r>
        <w:t xml:space="preserve">, </w:t>
      </w:r>
      <w:r>
        <w:fldChar w:fldCharType="begin"/>
      </w:r>
      <w:r>
        <w:instrText xml:space="preserve"> HYPERLINK "https://allband.org/allband-communications-cooperative-rates/" \l "top" </w:instrText>
      </w:r>
      <w:r>
        <w:fldChar w:fldCharType="separate"/>
      </w:r>
      <w:r w:rsidRPr="00FE12E1">
        <w:rPr>
          <w:rStyle w:val="Hyperlink"/>
        </w:rPr>
        <w:t>https://allband.org/allband-communications-cooperative-rates/#top</w:t>
      </w:r>
      <w:r>
        <w:fldChar w:fldCharType="end"/>
      </w:r>
      <w:r>
        <w:t xml:space="preserve"> (last visited </w:t>
      </w:r>
      <w:r w:rsidR="00395E76">
        <w:t>Feb. 20, 2018</w:t>
      </w:r>
      <w:r>
        <w:t>).</w:t>
      </w:r>
    </w:p>
  </w:footnote>
  <w:footnote w:id="7">
    <w:p w:rsidR="004E6CA5" w14:paraId="381D840F" w14:textId="0191D36B">
      <w:pPr>
        <w:pStyle w:val="FootnoteText"/>
      </w:pPr>
      <w:r>
        <w:rPr>
          <w:rStyle w:val="FootnoteReference"/>
        </w:rPr>
        <w:footnoteRef/>
      </w:r>
      <w:r>
        <w:t xml:space="preserve"> </w:t>
      </w:r>
      <w:r>
        <w:rPr>
          <w:i/>
          <w:iCs/>
        </w:rPr>
        <w:t xml:space="preserve">See </w:t>
      </w:r>
      <w:r>
        <w:t xml:space="preserve">Allband Celebrates 10 Years (Aug. 6, 2015), http://allband.org/blog/allband-celebrates-10-years/.  </w:t>
      </w:r>
    </w:p>
  </w:footnote>
  <w:footnote w:id="8">
    <w:p w:rsidR="004E6CA5" w:rsidP="00CF127C" w14:paraId="76BEA5F7" w14:textId="5C7CE531">
      <w:pPr>
        <w:pStyle w:val="FootnoteText"/>
      </w:pPr>
      <w:r>
        <w:rPr>
          <w:rStyle w:val="FootnoteReference"/>
        </w:rPr>
        <w:footnoteRef/>
      </w:r>
      <w:r>
        <w:t xml:space="preserve"> </w:t>
      </w:r>
      <w:r w:rsidRPr="00B31A96">
        <w:rPr>
          <w:i/>
        </w:rPr>
        <w:t>See</w:t>
      </w:r>
      <w:r>
        <w:t xml:space="preserve"> Allband, Allband Multimedia Rates, </w:t>
      </w:r>
      <w:r>
        <w:fldChar w:fldCharType="begin"/>
      </w:r>
      <w:r>
        <w:instrText xml:space="preserve"> HYPERLINK "http://allband.org/allband-multimedia-rates/" </w:instrText>
      </w:r>
      <w:r>
        <w:fldChar w:fldCharType="separate"/>
      </w:r>
      <w:r w:rsidRPr="00FE12E1">
        <w:rPr>
          <w:rStyle w:val="Hyperlink"/>
        </w:rPr>
        <w:t>http://allband.org/allband-multimedia-rates/</w:t>
      </w:r>
      <w:r>
        <w:fldChar w:fldCharType="end"/>
      </w:r>
      <w:r>
        <w:t xml:space="preserve"> (last visited </w:t>
      </w:r>
      <w:r w:rsidR="00395E76">
        <w:t>Feb. 20, 2018)</w:t>
      </w:r>
      <w:r>
        <w:t xml:space="preserve">.  Advertised commercial rates are $79.99 per </w:t>
      </w:r>
      <w:r w:rsidR="006E0357">
        <w:t>month for unlimited 100/100 Mbps</w:t>
      </w:r>
      <w:r>
        <w:t xml:space="preserve"> Internet.  </w:t>
      </w:r>
      <w:r w:rsidRPr="00FC1EB9">
        <w:rPr>
          <w:i/>
        </w:rPr>
        <w:t>Id.</w:t>
      </w:r>
      <w:r>
        <w:t xml:space="preserve">   </w:t>
      </w:r>
    </w:p>
  </w:footnote>
  <w:footnote w:id="9">
    <w:p w:rsidR="004E6CA5" w:rsidRPr="00C46F00" w14:paraId="5C234F04" w14:textId="64A1416B">
      <w:pPr>
        <w:pStyle w:val="FootnoteText"/>
      </w:pPr>
      <w:r>
        <w:rPr>
          <w:rStyle w:val="FootnoteReference"/>
        </w:rPr>
        <w:footnoteRef/>
      </w:r>
      <w:r>
        <w:t xml:space="preserve"> </w:t>
      </w:r>
      <w:r>
        <w:rPr>
          <w:i/>
        </w:rPr>
        <w:t xml:space="preserve">See </w:t>
      </w:r>
      <w:r>
        <w:t xml:space="preserve">Allband, History and Mission, </w:t>
      </w:r>
      <w:r w:rsidRPr="00A050CD">
        <w:t>http://allband.org/history-and-mission/</w:t>
      </w:r>
      <w:r>
        <w:t xml:space="preserve"> (last visited </w:t>
      </w:r>
      <w:r w:rsidR="00395E76">
        <w:t>Feb. 20, 2018</w:t>
      </w:r>
      <w:r>
        <w:t>)</w:t>
      </w:r>
      <w:r w:rsidR="00395E76">
        <w:t>.</w:t>
      </w:r>
    </w:p>
  </w:footnote>
  <w:footnote w:id="10">
    <w:p w:rsidR="004E6CA5" w:rsidRPr="00594CEA" w:rsidP="00EB2357" w14:paraId="519B264B" w14:textId="7D9BC644">
      <w:pPr>
        <w:pStyle w:val="FootnoteText"/>
      </w:pPr>
      <w:r w:rsidRPr="00594CEA">
        <w:rPr>
          <w:rStyle w:val="FootnoteReference"/>
        </w:rPr>
        <w:footnoteRef/>
      </w:r>
      <w:r w:rsidRPr="00594CEA">
        <w:t xml:space="preserve"> </w:t>
      </w:r>
      <w:r w:rsidRPr="00BE3F36">
        <w:rPr>
          <w:i/>
          <w:iCs/>
        </w:rPr>
        <w:t>Connect America Fund</w:t>
      </w:r>
      <w:r>
        <w:rPr>
          <w:i/>
          <w:iCs/>
        </w:rPr>
        <w:t xml:space="preserve"> et al.</w:t>
      </w:r>
      <w:r>
        <w:t>,</w:t>
      </w:r>
      <w:r w:rsidRPr="00BE3F36">
        <w:t xml:space="preserve"> WC Docket No. 10-90</w:t>
      </w:r>
      <w:r>
        <w:t xml:space="preserve"> et al.</w:t>
      </w:r>
      <w:r w:rsidRPr="00BE3F36">
        <w:t>, Report and Order and Further Notice of Proposed Rulemaking, 26 FCC 17663</w:t>
      </w:r>
      <w:r>
        <w:t xml:space="preserve">, </w:t>
      </w:r>
      <w:r w:rsidRPr="00594CEA">
        <w:t>17765, para. 274</w:t>
      </w:r>
      <w:r>
        <w:t xml:space="preserve"> </w:t>
      </w:r>
      <w:r w:rsidRPr="00BE3F36">
        <w:t>(2011)</w:t>
      </w:r>
      <w:r>
        <w:t xml:space="preserve"> (</w:t>
      </w:r>
      <w:r w:rsidRPr="00594CEA">
        <w:rPr>
          <w:i/>
        </w:rPr>
        <w:t>USF/ICC Transformation Order</w:t>
      </w:r>
      <w:r>
        <w:t>)</w:t>
      </w:r>
      <w:r w:rsidR="00EB2357">
        <w:t xml:space="preserve">; </w:t>
      </w:r>
      <w:r w:rsidRPr="00EB2357" w:rsidR="00EB2357">
        <w:rPr>
          <w:i/>
        </w:rPr>
        <w:t>aff’d sub nom., In re: FCC 11-161</w:t>
      </w:r>
      <w:r w:rsidR="00EB2357">
        <w:t xml:space="preserve">, 753 F.3d 1015 (10th Cir. 2014). </w:t>
      </w:r>
      <w:r w:rsidRPr="00594CEA">
        <w:t xml:space="preserve"> 47 CFR § 54.302</w:t>
      </w:r>
      <w:r>
        <w:t xml:space="preserve">. </w:t>
      </w:r>
    </w:p>
  </w:footnote>
  <w:footnote w:id="11">
    <w:p w:rsidR="004E6CA5" w:rsidRPr="00594CEA" w:rsidP="0085132A" w14:paraId="4818DCEB" w14:textId="40BD93ED">
      <w:pPr>
        <w:pStyle w:val="FootnoteText"/>
      </w:pPr>
      <w:r w:rsidRPr="00594CEA">
        <w:rPr>
          <w:rStyle w:val="FootnoteReference"/>
        </w:rPr>
        <w:footnoteRef/>
      </w:r>
      <w:r w:rsidRPr="00594CEA">
        <w:t xml:space="preserve"> </w:t>
      </w:r>
      <w:r w:rsidRPr="00594CEA" w:rsidR="00043353">
        <w:rPr>
          <w:i/>
        </w:rPr>
        <w:t>Id</w:t>
      </w:r>
      <w:r w:rsidR="00043353">
        <w:t xml:space="preserve">. </w:t>
      </w:r>
      <w:r w:rsidRPr="00594CEA">
        <w:t>at 17765, para. 274</w:t>
      </w:r>
      <w:r w:rsidRPr="00594CEA">
        <w:rPr>
          <w:i/>
          <w:iCs/>
        </w:rPr>
        <w:t>.</w:t>
      </w:r>
    </w:p>
  </w:footnote>
  <w:footnote w:id="12">
    <w:p w:rsidR="004E6CA5" w:rsidP="0085132A" w14:paraId="7CDFFCC2" w14:textId="0B65C91E">
      <w:pPr>
        <w:pStyle w:val="FootnoteText"/>
      </w:pPr>
      <w:r>
        <w:rPr>
          <w:rStyle w:val="FootnoteReference"/>
        </w:rPr>
        <w:footnoteRef/>
      </w:r>
      <w:r>
        <w:t xml:space="preserve"> </w:t>
      </w:r>
      <w:r w:rsidRPr="00594CEA">
        <w:rPr>
          <w:i/>
        </w:rPr>
        <w:t>Id</w:t>
      </w:r>
      <w:r>
        <w:t xml:space="preserve">. at 17839-40, paras. 539-40.  </w:t>
      </w:r>
    </w:p>
  </w:footnote>
  <w:footnote w:id="13">
    <w:p w:rsidR="004E6CA5" w14:paraId="31508474" w14:textId="7D037E5F">
      <w:pPr>
        <w:pStyle w:val="FootnoteText"/>
      </w:pPr>
      <w:r>
        <w:rPr>
          <w:rStyle w:val="FootnoteReference"/>
        </w:rPr>
        <w:footnoteRef/>
      </w:r>
      <w:r>
        <w:t xml:space="preserve"> </w:t>
      </w:r>
      <w:r>
        <w:rPr>
          <w:i/>
        </w:rPr>
        <w:t>Connect American Fund, et. al</w:t>
      </w:r>
      <w:r>
        <w:t xml:space="preserve">, </w:t>
      </w:r>
      <w:r w:rsidR="00043353">
        <w:t xml:space="preserve">WC Docket No. et al., </w:t>
      </w:r>
      <w:r>
        <w:t>Fifth Order on Reconsideration, 27 FCC Rcd 14549, 14547, para. 20 (2012) (</w:t>
      </w:r>
      <w:r>
        <w:rPr>
          <w:i/>
        </w:rPr>
        <w:t>Fifth Order on Reconsideration</w:t>
      </w:r>
      <w:r>
        <w:t xml:space="preserve">).  </w:t>
      </w:r>
    </w:p>
  </w:footnote>
  <w:footnote w:id="14">
    <w:p w:rsidR="004E6CA5" w:rsidP="00FA3EED" w14:paraId="37F09311" w14:textId="77777777">
      <w:pPr>
        <w:pStyle w:val="FootnoteText"/>
      </w:pPr>
      <w:r>
        <w:rPr>
          <w:rStyle w:val="FootnoteReference"/>
        </w:rPr>
        <w:footnoteRef/>
      </w:r>
      <w:r>
        <w:t xml:space="preserve"> Allband Communications Cooperative Petition for Waiver of Part 54.302 and the Framework to Limit Reimbursable Capital and Operating Costs, WC Docket No. 10-90, </w:t>
      </w:r>
      <w:r w:rsidRPr="00043353">
        <w:t>et al.</w:t>
      </w:r>
      <w:r>
        <w:t xml:space="preserve"> (filed Feb. 3, 2012).</w:t>
      </w:r>
    </w:p>
  </w:footnote>
  <w:footnote w:id="15">
    <w:p w:rsidR="004E6CA5" w14:paraId="2346BEEE" w14:textId="5ACBD152">
      <w:pPr>
        <w:pStyle w:val="FootnoteText"/>
      </w:pPr>
      <w:r>
        <w:rPr>
          <w:rStyle w:val="FootnoteReference"/>
        </w:rPr>
        <w:footnoteRef/>
      </w:r>
      <w:r>
        <w:t xml:space="preserve"> </w:t>
      </w:r>
      <w:r w:rsidRPr="00D24DC2">
        <w:rPr>
          <w:i/>
        </w:rPr>
        <w:t>See</w:t>
      </w:r>
      <w:r w:rsidRPr="00D24DC2">
        <w:t xml:space="preserve"> </w:t>
      </w:r>
      <w:r w:rsidRPr="00D24DC2">
        <w:rPr>
          <w:i/>
        </w:rPr>
        <w:t>Allband Communications Cooperative Petition for Waiver of Certain High-Cost Universal Service Rules</w:t>
      </w:r>
      <w:r w:rsidRPr="00D24DC2">
        <w:t>, WC Docket No. 10-90, Order, 27 FCC Rcd 8</w:t>
      </w:r>
      <w:r>
        <w:t>310, 8315, para. 15 (WCB 2012) (</w:t>
      </w:r>
      <w:r>
        <w:rPr>
          <w:i/>
        </w:rPr>
        <w:t>July 2012 Waiver Order</w:t>
      </w:r>
      <w:r>
        <w:t xml:space="preserve">).  </w:t>
      </w:r>
      <w:r w:rsidRPr="00EE5A43">
        <w:t>On August 24, 2012, Allband filed an Application for Review</w:t>
      </w:r>
      <w:r>
        <w:t xml:space="preserve"> that, among other things, sought review of a three-year waiver, again asking for waiver that would extend to the end of the RUS loan period.  </w:t>
      </w:r>
      <w:r>
        <w:rPr>
          <w:i/>
        </w:rPr>
        <w:t xml:space="preserve">See </w:t>
      </w:r>
      <w:r>
        <w:t xml:space="preserve">Application for Review of Allband Communications Cooperative, WC Docket No. 10-90, </w:t>
      </w:r>
      <w:r w:rsidRPr="00966968">
        <w:t>et al.</w:t>
      </w:r>
      <w:r>
        <w:t xml:space="preserve"> (filed Aug. 24, 2012).  Allband also made several legal challenges to the $250 cap and requested a waiver of the benchmarking rule, which the Commission subsequently eliminated.  </w:t>
      </w:r>
      <w:r>
        <w:rPr>
          <w:i/>
        </w:rPr>
        <w:t xml:space="preserve">See </w:t>
      </w:r>
      <w:r w:rsidRPr="00966968">
        <w:rPr>
          <w:i/>
        </w:rPr>
        <w:t>id.</w:t>
      </w:r>
      <w:r>
        <w:rPr>
          <w:i/>
        </w:rPr>
        <w:t xml:space="preserve"> </w:t>
      </w:r>
      <w:r>
        <w:t xml:space="preserve">at 1, 10-24.  </w:t>
      </w:r>
      <w:r w:rsidRPr="00867D53">
        <w:t xml:space="preserve">On July 11, 2013, Allband challenged certain aspects of the </w:t>
      </w:r>
      <w:r w:rsidRPr="004810B2">
        <w:rPr>
          <w:i/>
        </w:rPr>
        <w:t>USF/ICC Transformation Order</w:t>
      </w:r>
      <w:r w:rsidRPr="00867D53">
        <w:t xml:space="preserve"> in the Tenth Circuit Court of Appeals</w:t>
      </w:r>
      <w:r>
        <w:t>, raising the same legal issues presented in the Application for Review of the Bureau’s action on the waiver request</w:t>
      </w:r>
      <w:r w:rsidRPr="00867D53">
        <w:t>.</w:t>
      </w:r>
      <w:r>
        <w:t xml:space="preserve">  </w:t>
      </w:r>
      <w:r>
        <w:rPr>
          <w:i/>
        </w:rPr>
        <w:t xml:space="preserve">See </w:t>
      </w:r>
      <w:r>
        <w:t xml:space="preserve">Appellate Brief, </w:t>
      </w:r>
      <w:r>
        <w:rPr>
          <w:i/>
        </w:rPr>
        <w:t>In re FCC 11-161</w:t>
      </w:r>
      <w:r>
        <w:t xml:space="preserve">, </w:t>
      </w:r>
      <w:r w:rsidRPr="00DD2B70">
        <w:t>753 F.3d 1015</w:t>
      </w:r>
      <w:r>
        <w:t xml:space="preserve"> (2014), </w:t>
      </w:r>
      <w:r w:rsidRPr="00DD2B70">
        <w:t>2013 WL 3795849</w:t>
      </w:r>
      <w:r>
        <w:t xml:space="preserve"> *31-38 (Allband 10</w:t>
      </w:r>
      <w:r w:rsidRPr="000C2B55">
        <w:rPr>
          <w:vertAlign w:val="superscript"/>
        </w:rPr>
        <w:t>th</w:t>
      </w:r>
      <w:r>
        <w:t xml:space="preserve"> Cir. Brief).  </w:t>
      </w:r>
      <w:r w:rsidRPr="00867D53">
        <w:t>On May 23, 2014, the Court denied all of Allband’s claims.</w:t>
      </w:r>
      <w:r>
        <w:t xml:space="preserve">  </w:t>
      </w:r>
      <w:r>
        <w:rPr>
          <w:i/>
        </w:rPr>
        <w:t>In re FCC 11-161</w:t>
      </w:r>
      <w:r>
        <w:t xml:space="preserve">, 753 F.3d at 1089-93.  On August 27, 2014, the Court denied Allband’s </w:t>
      </w:r>
      <w:r w:rsidRPr="004810B2">
        <w:t>petition for rehearing en banc</w:t>
      </w:r>
      <w:r>
        <w:t xml:space="preserve">, </w:t>
      </w:r>
      <w:r>
        <w:rPr>
          <w:i/>
        </w:rPr>
        <w:t>see In re FCC 11-</w:t>
      </w:r>
      <w:r w:rsidRPr="00235766">
        <w:t>161</w:t>
      </w:r>
      <w:r>
        <w:t xml:space="preserve">, No. 11-9900, Order (10th Cir. Aug. 27, 2014) (en banc denial), </w:t>
      </w:r>
      <w:r w:rsidRPr="00235766">
        <w:t>and</w:t>
      </w:r>
      <w:r>
        <w:t xml:space="preserve"> o</w:t>
      </w:r>
      <w:r w:rsidRPr="00867D53">
        <w:t>n May 4, 2015, the Supreme Court of the United States denied Allband’s petition for writ of certiorari.</w:t>
      </w:r>
      <w:r>
        <w:t xml:space="preserve">  </w:t>
      </w:r>
      <w:r>
        <w:rPr>
          <w:i/>
        </w:rPr>
        <w:t>Allband Communications Cooperative v. Federal Communications Commission</w:t>
      </w:r>
      <w:r>
        <w:t xml:space="preserve">, </w:t>
      </w:r>
      <w:r w:rsidRPr="00862E74">
        <w:t>135 S.Ct. 2072</w:t>
      </w:r>
      <w:r>
        <w:t xml:space="preserve"> (2015).      </w:t>
      </w:r>
    </w:p>
  </w:footnote>
  <w:footnote w:id="16">
    <w:p w:rsidR="004E6CA5" w:rsidRPr="004B5C88" w:rsidP="0085132A" w14:paraId="6C177C70" w14:textId="1F049852">
      <w:pPr>
        <w:pStyle w:val="FootnoteText"/>
        <w:spacing w:before="120"/>
      </w:pPr>
      <w:r w:rsidRPr="004B5C88">
        <w:rPr>
          <w:rStyle w:val="FootnoteReference"/>
        </w:rPr>
        <w:footnoteRef/>
      </w:r>
      <w:r w:rsidRPr="004B5C88">
        <w:t xml:space="preserve"> </w:t>
      </w:r>
      <w:r>
        <w:rPr>
          <w:i/>
        </w:rPr>
        <w:t xml:space="preserve">See </w:t>
      </w:r>
      <w:r>
        <w:t xml:space="preserve">Petition of Allband Communications Cooperative for Further Waiver of Part 54.302, WC Docket No. 10-90, </w:t>
      </w:r>
      <w:r w:rsidRPr="002F7BFD">
        <w:t>et al.</w:t>
      </w:r>
      <w:r>
        <w:t>, (filed Dec. 31, 2014) (Further Waiver Request)</w:t>
      </w:r>
      <w:r w:rsidRPr="004B5C88">
        <w:t>.</w:t>
      </w:r>
    </w:p>
  </w:footnote>
  <w:footnote w:id="17">
    <w:p w:rsidR="004E6CA5" w:rsidRPr="00B149B4" w:rsidP="0085132A" w14:paraId="5C0DB592" w14:textId="5D6A4626">
      <w:pPr>
        <w:pStyle w:val="FootnoteText"/>
        <w:spacing w:before="120"/>
      </w:pPr>
      <w:r w:rsidRPr="004B5C88">
        <w:rPr>
          <w:rStyle w:val="FootnoteReference"/>
        </w:rPr>
        <w:footnoteRef/>
      </w:r>
      <w:r w:rsidRPr="004B5C88">
        <w:t xml:space="preserve"> </w:t>
      </w:r>
      <w:r w:rsidRPr="000C798A">
        <w:rPr>
          <w:i/>
        </w:rPr>
        <w:t>See</w:t>
      </w:r>
      <w:r>
        <w:t xml:space="preserve"> </w:t>
      </w:r>
      <w:r w:rsidRPr="007872C1">
        <w:rPr>
          <w:i/>
        </w:rPr>
        <w:t xml:space="preserve">Allband Communications Cooperative Petition for Waiver of Certain </w:t>
      </w:r>
      <w:r>
        <w:rPr>
          <w:i/>
        </w:rPr>
        <w:t>H</w:t>
      </w:r>
      <w:r w:rsidRPr="007872C1">
        <w:rPr>
          <w:i/>
        </w:rPr>
        <w:t xml:space="preserve">igh-Cost Universal Service Rules, </w:t>
      </w:r>
      <w:r>
        <w:t xml:space="preserve">WC Docket No. 10-90, </w:t>
      </w:r>
      <w:r w:rsidRPr="00930F55">
        <w:t>Order</w:t>
      </w:r>
      <w:r>
        <w:t xml:space="preserve">, </w:t>
      </w:r>
      <w:r>
        <w:rPr>
          <w:iCs/>
          <w:shd w:val="clear" w:color="auto" w:fill="FFFFFF"/>
        </w:rPr>
        <w:t xml:space="preserve">30 FCC Rcd </w:t>
      </w:r>
      <w:r w:rsidRPr="00833A35">
        <w:rPr>
          <w:iCs/>
          <w:shd w:val="clear" w:color="auto" w:fill="FFFFFF"/>
        </w:rPr>
        <w:t xml:space="preserve">6955, 6955, </w:t>
      </w:r>
      <w:r w:rsidRPr="00833A35">
        <w:t>6957-59</w:t>
      </w:r>
      <w:r>
        <w:t>, para. 1, 6-13.</w:t>
      </w:r>
      <w:r>
        <w:rPr>
          <w:iCs/>
          <w:shd w:val="clear" w:color="auto" w:fill="FFFFFF"/>
        </w:rPr>
        <w:t xml:space="preserve"> </w:t>
      </w:r>
      <w:r>
        <w:t xml:space="preserve">(WCB 2015).  </w:t>
      </w:r>
      <w:r w:rsidRPr="000B7590">
        <w:t>On Octo</w:t>
      </w:r>
      <w:r>
        <w:t>ber 23, 2015, USAC submitted a m</w:t>
      </w:r>
      <w:r w:rsidRPr="000B7590">
        <w:t xml:space="preserve">emorandum </w:t>
      </w:r>
      <w:r>
        <w:t xml:space="preserve">on the results of its inquiry.  </w:t>
      </w:r>
      <w:r w:rsidRPr="004B5C88">
        <w:rPr>
          <w:i/>
        </w:rPr>
        <w:t xml:space="preserve">See </w:t>
      </w:r>
      <w:r w:rsidRPr="004B5C88">
        <w:t>Sept. 23, 2015 Memorandum from Universal Service Administrative Company Internal Audit Division to Federal Communications Commission Wireline Competition Bureau, WC Docket No. 10-90 (filed Oct. 23, 2015).</w:t>
      </w:r>
      <w:r>
        <w:t xml:space="preserve"> </w:t>
      </w:r>
    </w:p>
  </w:footnote>
  <w:footnote w:id="18">
    <w:p w:rsidR="004E6CA5" w:rsidRPr="001E0668" w:rsidP="0085132A" w14:paraId="14FB76A3" w14:textId="77777777">
      <w:pPr>
        <w:pStyle w:val="FootnoteText"/>
      </w:pPr>
      <w:r>
        <w:rPr>
          <w:rStyle w:val="FootnoteReference"/>
        </w:rPr>
        <w:footnoteRef/>
      </w:r>
      <w:r>
        <w:t xml:space="preserve"> </w:t>
      </w:r>
      <w:r>
        <w:rPr>
          <w:i/>
        </w:rPr>
        <w:t>Connect America Fund Allband Communications Cooperative Petition for Waiver of Certain High-Cost Universal Service Rules</w:t>
      </w:r>
      <w:r>
        <w:t xml:space="preserve">, WC Docket No. 10-90, Order, 30 FCC Rcd 14021 (WCB 2015).  </w:t>
      </w:r>
    </w:p>
  </w:footnote>
  <w:footnote w:id="19">
    <w:p w:rsidR="004E6CA5" w14:paraId="0E030177" w14:textId="77777777">
      <w:pPr>
        <w:pStyle w:val="FootnoteText"/>
      </w:pPr>
      <w:r>
        <w:rPr>
          <w:rStyle w:val="FootnoteReference"/>
        </w:rPr>
        <w:footnoteRef/>
      </w:r>
      <w:r>
        <w:t xml:space="preserve"> </w:t>
      </w:r>
      <w:r>
        <w:rPr>
          <w:i/>
        </w:rPr>
        <w:t>Connect America Fund Allband Communications Cooperative Petition for Waiver of Certain High-Cost Universal Service Rules</w:t>
      </w:r>
      <w:r>
        <w:t xml:space="preserve">, WC Docket 10-90, </w:t>
      </w:r>
      <w:r w:rsidRPr="001E0668">
        <w:t>Order and Order on Review</w:t>
      </w:r>
      <w:r>
        <w:t>, 31 FCC Rcd 8454 (2016) (</w:t>
      </w:r>
      <w:r>
        <w:rPr>
          <w:i/>
        </w:rPr>
        <w:t>July 2016 Waiver Order</w:t>
      </w:r>
      <w:r>
        <w:t xml:space="preserve">).  In the order, the Commission also denied Allband’s August 24, 2012 Application for Review.  </w:t>
      </w:r>
      <w:r>
        <w:rPr>
          <w:i/>
        </w:rPr>
        <w:t xml:space="preserve">See id. </w:t>
      </w:r>
      <w:r>
        <w:t xml:space="preserve">at 8465-66, paras. 29-32.    </w:t>
      </w:r>
    </w:p>
  </w:footnote>
  <w:footnote w:id="20">
    <w:p w:rsidR="004E6CA5" w:rsidP="00991880" w14:paraId="245BF931" w14:textId="77777777">
      <w:pPr>
        <w:pStyle w:val="FootnoteText"/>
      </w:pPr>
      <w:r>
        <w:rPr>
          <w:rStyle w:val="FootnoteReference"/>
        </w:rPr>
        <w:footnoteRef/>
      </w:r>
      <w:r>
        <w:t xml:space="preserve"> </w:t>
      </w:r>
      <w:r>
        <w:rPr>
          <w:i/>
        </w:rPr>
        <w:t xml:space="preserve">See id. </w:t>
      </w:r>
      <w:r>
        <w:t xml:space="preserve">at 8462-63, paras. 21-22.  </w:t>
      </w:r>
    </w:p>
  </w:footnote>
  <w:footnote w:id="21">
    <w:p w:rsidR="004E6CA5" w:rsidRPr="00991880" w14:paraId="777380CC" w14:textId="77777777">
      <w:pPr>
        <w:pStyle w:val="FootnoteText"/>
      </w:pPr>
      <w:r>
        <w:rPr>
          <w:rStyle w:val="FootnoteReference"/>
        </w:rPr>
        <w:footnoteRef/>
      </w:r>
      <w:r>
        <w:t xml:space="preserve"> </w:t>
      </w:r>
      <w:r>
        <w:rPr>
          <w:i/>
        </w:rPr>
        <w:t>Id</w:t>
      </w:r>
      <w:r>
        <w:t xml:space="preserve">. at 8463, para. 23.   </w:t>
      </w:r>
    </w:p>
  </w:footnote>
  <w:footnote w:id="22">
    <w:p w:rsidR="004E6CA5" w:rsidRPr="00991880" w14:paraId="25211490" w14:textId="77777777">
      <w:pPr>
        <w:pStyle w:val="FootnoteText"/>
      </w:pPr>
      <w:r>
        <w:rPr>
          <w:rStyle w:val="FootnoteReference"/>
        </w:rPr>
        <w:footnoteRef/>
      </w:r>
      <w:r>
        <w:t xml:space="preserve"> </w:t>
      </w:r>
      <w:r>
        <w:rPr>
          <w:i/>
        </w:rPr>
        <w:t>Id.</w:t>
      </w:r>
    </w:p>
  </w:footnote>
  <w:footnote w:id="23">
    <w:p w:rsidR="004E6CA5" w:rsidRPr="00991880" w14:paraId="011E94EF" w14:textId="0129230F">
      <w:pPr>
        <w:pStyle w:val="FootnoteText"/>
      </w:pPr>
      <w:r>
        <w:rPr>
          <w:rStyle w:val="FootnoteReference"/>
        </w:rPr>
        <w:footnoteRef/>
      </w:r>
      <w:r>
        <w:t xml:space="preserve"> </w:t>
      </w:r>
      <w:r>
        <w:rPr>
          <w:i/>
        </w:rPr>
        <w:t xml:space="preserve">See </w:t>
      </w:r>
      <w:r>
        <w:t xml:space="preserve">Emergency Petition of Allband Communications Cooperative for Interim Partial Waiver of 54.302 Rule and for Increased Per-Line Support, WC Docket 10-90 et al., at 2-3 (filed Jan. 12, 2017) (Jan. 2017 Emergency Petition).    </w:t>
      </w:r>
    </w:p>
  </w:footnote>
  <w:footnote w:id="24">
    <w:p w:rsidR="004E6CA5" w:rsidRPr="00541BBC" w14:paraId="4D1BC451" w14:textId="11C6E8BE">
      <w:pPr>
        <w:pStyle w:val="FootnoteText"/>
      </w:pPr>
      <w:r>
        <w:rPr>
          <w:rStyle w:val="FootnoteReference"/>
        </w:rPr>
        <w:footnoteRef/>
      </w:r>
      <w:r>
        <w:t xml:space="preserve"> </w:t>
      </w:r>
      <w:r>
        <w:rPr>
          <w:i/>
        </w:rPr>
        <w:t xml:space="preserve">See </w:t>
      </w:r>
      <w:r>
        <w:t>Memorandum, USAC Review of Allband Communications Cooperative, WC Docket No. 10-90 (filed Apr. 13, 2017) (incorporating Allband’s comments into the memorandum) (USAC Report).</w:t>
      </w:r>
    </w:p>
  </w:footnote>
  <w:footnote w:id="25">
    <w:p w:rsidR="004E6CA5" w14:paraId="516E3905" w14:textId="520794B8">
      <w:pPr>
        <w:pStyle w:val="FootnoteText"/>
      </w:pPr>
      <w:r>
        <w:rPr>
          <w:rStyle w:val="FootnoteReference"/>
        </w:rPr>
        <w:footnoteRef/>
      </w:r>
      <w:r>
        <w:t xml:space="preserve"> July 2017 Petition at 18.  </w:t>
      </w:r>
    </w:p>
  </w:footnote>
  <w:footnote w:id="26">
    <w:p w:rsidR="004E6CA5" w:rsidRPr="00EE0752" w:rsidP="00CD732E" w14:paraId="1673C121" w14:textId="77777777">
      <w:pPr>
        <w:pStyle w:val="FootnoteText"/>
      </w:pPr>
      <w:r>
        <w:rPr>
          <w:rStyle w:val="FootnoteReference"/>
        </w:rPr>
        <w:footnoteRef/>
      </w:r>
      <w:r>
        <w:t xml:space="preserve"> </w:t>
      </w:r>
      <w:r>
        <w:rPr>
          <w:i/>
        </w:rPr>
        <w:t>Allband Communications Coop v. FCC, et al</w:t>
      </w:r>
      <w:r>
        <w:t xml:space="preserve">, Case No. 16-4059, (6th Cir. Jan. 17, 2017).  </w:t>
      </w:r>
    </w:p>
  </w:footnote>
  <w:footnote w:id="27">
    <w:p w:rsidR="004E6CA5" w14:paraId="186DEBFA" w14:textId="5EC21714">
      <w:pPr>
        <w:pStyle w:val="FootnoteText"/>
      </w:pPr>
      <w:r>
        <w:rPr>
          <w:rStyle w:val="FootnoteReference"/>
        </w:rPr>
        <w:footnoteRef/>
      </w:r>
      <w:r>
        <w:t xml:space="preserve"> USAC Report at 6.</w:t>
      </w:r>
    </w:p>
  </w:footnote>
  <w:footnote w:id="28">
    <w:p w:rsidR="004E6CA5" w14:paraId="2887528F" w14:textId="4AB3737C">
      <w:pPr>
        <w:pStyle w:val="FootnoteText"/>
      </w:pPr>
      <w:r>
        <w:rPr>
          <w:rStyle w:val="FootnoteReference"/>
        </w:rPr>
        <w:footnoteRef/>
      </w:r>
      <w:r>
        <w:t xml:space="preserve"> </w:t>
      </w:r>
      <w:r w:rsidRPr="00953FDE" w:rsidR="00953FDE">
        <w:rPr>
          <w:i/>
        </w:rPr>
        <w:t>Id</w:t>
      </w:r>
      <w:r w:rsidR="00953FDE">
        <w:t>.</w:t>
      </w:r>
      <w:r>
        <w:t xml:space="preserve"> at 2-3, 7.</w:t>
      </w:r>
    </w:p>
  </w:footnote>
  <w:footnote w:id="29">
    <w:p w:rsidR="004E6CA5" w:rsidRPr="00AE133A" w14:paraId="048C1238" w14:textId="323A4CDF">
      <w:pPr>
        <w:pStyle w:val="FootnoteText"/>
      </w:pPr>
      <w:r>
        <w:rPr>
          <w:rStyle w:val="FootnoteReference"/>
        </w:rPr>
        <w:footnoteRef/>
      </w:r>
      <w:r>
        <w:t xml:space="preserve"> </w:t>
      </w:r>
      <w:r>
        <w:rPr>
          <w:i/>
        </w:rPr>
        <w:t>See July 2016 Waiver Order</w:t>
      </w:r>
      <w:r>
        <w:t xml:space="preserve">, 31 FCC Rcd at 8458-59, 8461, paras. 12, 19; USAC Report at 5.   </w:t>
      </w:r>
    </w:p>
  </w:footnote>
  <w:footnote w:id="30">
    <w:p w:rsidR="004E6CA5" w14:paraId="740F1D19" w14:textId="07B9EE6F">
      <w:pPr>
        <w:pStyle w:val="FootnoteText"/>
      </w:pPr>
      <w:r>
        <w:rPr>
          <w:rStyle w:val="FootnoteReference"/>
        </w:rPr>
        <w:footnoteRef/>
      </w:r>
      <w:r>
        <w:t xml:space="preserve"> USAC Report at 5, Exhibit II.  </w:t>
      </w:r>
    </w:p>
  </w:footnote>
  <w:footnote w:id="31">
    <w:p w:rsidR="004E6CA5" w14:paraId="7B0A3A26" w14:textId="33BF4F53">
      <w:pPr>
        <w:pStyle w:val="FootnoteText"/>
      </w:pPr>
      <w:r>
        <w:rPr>
          <w:rStyle w:val="FootnoteReference"/>
        </w:rPr>
        <w:footnoteRef/>
      </w:r>
      <w:r>
        <w:t xml:space="preserve"> </w:t>
      </w:r>
      <w:r w:rsidRPr="00953FDE" w:rsidR="00953FDE">
        <w:rPr>
          <w:i/>
        </w:rPr>
        <w:t>Id</w:t>
      </w:r>
      <w:r w:rsidR="00953FDE">
        <w:t xml:space="preserve">. </w:t>
      </w:r>
      <w:r>
        <w:t>at 6.</w:t>
      </w:r>
    </w:p>
  </w:footnote>
  <w:footnote w:id="32">
    <w:p w:rsidR="004E6CA5" w14:paraId="54E80F94" w14:textId="08012531">
      <w:pPr>
        <w:pStyle w:val="FootnoteText"/>
      </w:pPr>
      <w:r>
        <w:rPr>
          <w:rStyle w:val="FootnoteReference"/>
        </w:rPr>
        <w:footnoteRef/>
      </w:r>
      <w:r>
        <w:t xml:space="preserve"> </w:t>
      </w:r>
      <w:r w:rsidRPr="00953FDE" w:rsidR="00953FDE">
        <w:rPr>
          <w:i/>
        </w:rPr>
        <w:t>Id</w:t>
      </w:r>
      <w:r w:rsidR="00953FDE">
        <w:t xml:space="preserve">. </w:t>
      </w:r>
      <w:r>
        <w:t>at 5-6.</w:t>
      </w:r>
    </w:p>
  </w:footnote>
  <w:footnote w:id="33">
    <w:p w:rsidR="004E6CA5" w14:paraId="68121139" w14:textId="572F4EFE">
      <w:pPr>
        <w:pStyle w:val="FootnoteText"/>
      </w:pPr>
      <w:r>
        <w:rPr>
          <w:rStyle w:val="FootnoteReference"/>
        </w:rPr>
        <w:footnoteRef/>
      </w:r>
      <w:r>
        <w:t xml:space="preserve"> </w:t>
      </w:r>
      <w:r w:rsidRPr="00953FDE" w:rsidR="00953FDE">
        <w:rPr>
          <w:i/>
        </w:rPr>
        <w:t>Id</w:t>
      </w:r>
      <w:r w:rsidR="00953FDE">
        <w:t xml:space="preserve">. </w:t>
      </w:r>
      <w:r>
        <w:t>at 5.</w:t>
      </w:r>
    </w:p>
  </w:footnote>
  <w:footnote w:id="34">
    <w:p w:rsidR="004E6CA5" w:rsidRPr="00466595" w:rsidP="00613A32" w14:paraId="5AC9CCED" w14:textId="5A3FA9F6">
      <w:pPr>
        <w:pStyle w:val="FootnoteText"/>
      </w:pPr>
      <w:r>
        <w:rPr>
          <w:rStyle w:val="FootnoteReference"/>
        </w:rPr>
        <w:footnoteRef/>
      </w:r>
      <w:r>
        <w:t xml:space="preserve"> </w:t>
      </w:r>
      <w:r w:rsidRPr="00594CEA">
        <w:rPr>
          <w:i/>
        </w:rPr>
        <w:t>USF/ICC Transformation Order</w:t>
      </w:r>
      <w:r w:rsidRPr="00594CEA">
        <w:t>, 26 FCC Rcd a</w:t>
      </w:r>
      <w:r>
        <w:t xml:space="preserve">t 17839-42, paras. 539-44; </w:t>
      </w:r>
      <w:r w:rsidRPr="00683E87">
        <w:rPr>
          <w:i/>
        </w:rPr>
        <w:t>Fifth Order on Reconsideration</w:t>
      </w:r>
      <w:r>
        <w:t xml:space="preserve">, 27 FCC Rcd at 14556-60, paras. 18-32.  </w:t>
      </w:r>
    </w:p>
  </w:footnote>
  <w:footnote w:id="35">
    <w:p w:rsidR="004E6CA5" w:rsidP="00613A32" w14:paraId="0AC790B8" w14:textId="77777777">
      <w:pPr>
        <w:pStyle w:val="FootnoteText"/>
      </w:pPr>
      <w:r>
        <w:rPr>
          <w:rStyle w:val="FootnoteReference"/>
        </w:rPr>
        <w:footnoteRef/>
      </w:r>
      <w:r>
        <w:t xml:space="preserve"> </w:t>
      </w:r>
      <w:r w:rsidRPr="00594CEA">
        <w:t xml:space="preserve">47 CFR § 1.3. </w:t>
      </w:r>
      <w:r>
        <w:t xml:space="preserve"> </w:t>
      </w:r>
    </w:p>
  </w:footnote>
  <w:footnote w:id="36">
    <w:p w:rsidR="004E6CA5" w:rsidP="00613A32" w14:paraId="2507968C" w14:textId="77777777">
      <w:pPr>
        <w:pStyle w:val="FootnoteText"/>
      </w:pPr>
      <w:r>
        <w:rPr>
          <w:rStyle w:val="FootnoteReference"/>
        </w:rPr>
        <w:footnoteRef/>
      </w:r>
      <w:r>
        <w:t xml:space="preserve"> </w:t>
      </w:r>
      <w:r>
        <w:rPr>
          <w:i/>
        </w:rPr>
        <w:t xml:space="preserve">Northeast </w:t>
      </w:r>
      <w:r w:rsidRPr="00594CEA">
        <w:rPr>
          <w:i/>
        </w:rPr>
        <w:t>Cellular Telephone Co. v. FCC</w:t>
      </w:r>
      <w:r w:rsidRPr="00594CEA">
        <w:t>, 897 F.2d 1164, 1166 (D.C. Cir. 1990) (</w:t>
      </w:r>
      <w:r w:rsidRPr="00594CEA">
        <w:rPr>
          <w:i/>
        </w:rPr>
        <w:t>Northeast Cellular</w:t>
      </w:r>
      <w:r w:rsidRPr="00594CEA">
        <w:t>).</w:t>
      </w:r>
    </w:p>
  </w:footnote>
  <w:footnote w:id="37">
    <w:p w:rsidR="004E6CA5" w:rsidP="00613A32" w14:paraId="2F273913" w14:textId="77777777">
      <w:pPr>
        <w:pStyle w:val="FootnoteText"/>
      </w:pPr>
      <w:r>
        <w:rPr>
          <w:rStyle w:val="FootnoteReference"/>
        </w:rPr>
        <w:footnoteRef/>
      </w:r>
      <w:r>
        <w:t xml:space="preserve"> </w:t>
      </w:r>
      <w:r w:rsidRPr="00594CEA">
        <w:rPr>
          <w:i/>
        </w:rPr>
        <w:t>WAIT Radio v. FCC</w:t>
      </w:r>
      <w:r w:rsidRPr="00594CEA">
        <w:t xml:space="preserve">, 418 F.2d 1153, 1159 (D.C. Cir. 1969); </w:t>
      </w:r>
      <w:r w:rsidRPr="00594CEA">
        <w:rPr>
          <w:i/>
        </w:rPr>
        <w:t>Northeast Cellular</w:t>
      </w:r>
      <w:r w:rsidRPr="00594CEA">
        <w:t>, 897 F.2d at 1166.</w:t>
      </w:r>
    </w:p>
  </w:footnote>
  <w:footnote w:id="38">
    <w:p w:rsidR="004E6CA5" w:rsidP="00613A32" w14:paraId="0EC55AEF" w14:textId="77777777">
      <w:pPr>
        <w:pStyle w:val="FootnoteText"/>
      </w:pPr>
      <w:r>
        <w:rPr>
          <w:rStyle w:val="FootnoteReference"/>
        </w:rPr>
        <w:footnoteRef/>
      </w:r>
      <w:r>
        <w:t xml:space="preserve"> </w:t>
      </w:r>
      <w:r w:rsidRPr="00594CEA">
        <w:rPr>
          <w:i/>
        </w:rPr>
        <w:t>Northeast Cellular</w:t>
      </w:r>
      <w:r w:rsidRPr="00594CEA">
        <w:t>, 897 F.2d at 1166.</w:t>
      </w:r>
    </w:p>
  </w:footnote>
  <w:footnote w:id="39">
    <w:p w:rsidR="004E6CA5" w:rsidRPr="006A70A9" w:rsidP="00613A32" w14:paraId="443E2BCF" w14:textId="04189102">
      <w:pPr>
        <w:pStyle w:val="FootnoteText"/>
      </w:pPr>
      <w:r>
        <w:rPr>
          <w:rStyle w:val="FootnoteReference"/>
        </w:rPr>
        <w:footnoteRef/>
      </w:r>
      <w:r>
        <w:t xml:space="preserve"> </w:t>
      </w:r>
      <w:r>
        <w:rPr>
          <w:i/>
        </w:rPr>
        <w:t>Fifth Order on Reconsideration</w:t>
      </w:r>
      <w:r>
        <w:t xml:space="preserve">, 27 FCC Rcd at 14557, para. 21.  </w:t>
      </w:r>
    </w:p>
  </w:footnote>
  <w:footnote w:id="40">
    <w:p w:rsidR="004E6CA5" w:rsidRPr="006A70A9" w:rsidP="00613A32" w14:paraId="20238BC1" w14:textId="77777777">
      <w:pPr>
        <w:pStyle w:val="FootnoteText"/>
      </w:pPr>
      <w:r>
        <w:rPr>
          <w:rStyle w:val="FootnoteReference"/>
        </w:rPr>
        <w:footnoteRef/>
      </w:r>
      <w:r>
        <w:t xml:space="preserve"> </w:t>
      </w:r>
      <w:r>
        <w:rPr>
          <w:i/>
        </w:rPr>
        <w:t>USF/ICC Transformation Order</w:t>
      </w:r>
      <w:r>
        <w:t xml:space="preserve">, 26 FCC Rcd at 17739, para. 202.  </w:t>
      </w:r>
    </w:p>
  </w:footnote>
  <w:footnote w:id="41">
    <w:p w:rsidR="004E6CA5" w:rsidP="00611352" w14:paraId="480E8EB6" w14:textId="77777777">
      <w:pPr>
        <w:pStyle w:val="FootnoteText"/>
      </w:pPr>
      <w:r>
        <w:rPr>
          <w:rStyle w:val="FootnoteReference"/>
        </w:rPr>
        <w:footnoteRef/>
      </w:r>
      <w:r>
        <w:t xml:space="preserve"> July 2017 Petition at 5.   </w:t>
      </w:r>
    </w:p>
  </w:footnote>
  <w:footnote w:id="42">
    <w:p w:rsidR="004E6CA5" w:rsidRPr="00AE15D6" w:rsidP="004E6CA5" w14:paraId="278B09B6" w14:textId="6B30542B">
      <w:pPr>
        <w:pStyle w:val="FootnoteText"/>
      </w:pPr>
      <w:r>
        <w:rPr>
          <w:rStyle w:val="FootnoteReference"/>
        </w:rPr>
        <w:footnoteRef/>
      </w:r>
      <w:r>
        <w:t xml:space="preserve"> </w:t>
      </w:r>
      <w:r>
        <w:rPr>
          <w:i/>
        </w:rPr>
        <w:t xml:space="preserve">See </w:t>
      </w:r>
      <w:r w:rsidRPr="008D5210" w:rsidR="008D5210">
        <w:rPr>
          <w:i/>
        </w:rPr>
        <w:t>id.</w:t>
      </w:r>
      <w:r>
        <w:t xml:space="preserve"> at 4 (</w:t>
      </w:r>
      <w:r w:rsidR="00A80FAD">
        <w:t xml:space="preserve">noting that </w:t>
      </w:r>
      <w:r>
        <w:t xml:space="preserve">the RUS loan payment obligation </w:t>
      </w:r>
      <w:r w:rsidR="00A80FAD">
        <w:t xml:space="preserve">alone </w:t>
      </w:r>
      <w:r>
        <w:t>equals $54,147.17 per month, or $334 per-line);</w:t>
      </w:r>
      <w:r w:rsidR="00C165CF">
        <w:t xml:space="preserve"> </w:t>
      </w:r>
      <w:r w:rsidRPr="00C165CF" w:rsidR="00C165CF">
        <w:rPr>
          <w:i/>
        </w:rPr>
        <w:t>see</w:t>
      </w:r>
      <w:r>
        <w:t xml:space="preserve"> </w:t>
      </w:r>
      <w:r w:rsidRPr="004E6CA5">
        <w:rPr>
          <w:i/>
        </w:rPr>
        <w:t>id</w:t>
      </w:r>
      <w:r>
        <w:t>. at 5 (“The continuing revenue reductions caused by the implementation of the part 54.302 rule and the Commission’s July 20, 2016 Order will irreparably harm Allband and its customers by providing insufficient revenues to: (a) continue to provide voice and 911 ILEC services to any of its customers, (b) pay the principal and interest on its existing RUS loan based upon the financial security provided by the previously authorized and contemplated USF funding, and (c) continue operations as an ILEC telecommunications carrier in its otherwise unserved territory</w:t>
      </w:r>
      <w:r w:rsidR="00E74F53">
        <w:t xml:space="preserve">”); </w:t>
      </w:r>
      <w:r w:rsidRPr="00C165CF" w:rsidR="00C165CF">
        <w:rPr>
          <w:i/>
        </w:rPr>
        <w:t>see</w:t>
      </w:r>
      <w:r w:rsidR="00C165CF">
        <w:t xml:space="preserve"> </w:t>
      </w:r>
      <w:r w:rsidRPr="00E74F53" w:rsidR="00E74F53">
        <w:rPr>
          <w:i/>
        </w:rPr>
        <w:t>id.</w:t>
      </w:r>
      <w:r w:rsidR="00E74F53">
        <w:t xml:space="preserve"> at Appx</w:t>
      </w:r>
      <w:r w:rsidR="00765F1C">
        <w:t>.</w:t>
      </w:r>
      <w:r w:rsidR="00E74F53">
        <w:t xml:space="preserve"> A, </w:t>
      </w:r>
      <w:r w:rsidR="00D774E2">
        <w:t xml:space="preserve">Affidavit of Ron Siegel, </w:t>
      </w:r>
      <w:r w:rsidR="00E74F53">
        <w:t xml:space="preserve">Attach. 1, 2; </w:t>
      </w:r>
      <w:r>
        <w:t xml:space="preserve">Jan. 2017 Emergency Petition at Appx. B, </w:t>
      </w:r>
      <w:r w:rsidR="00D774E2">
        <w:t xml:space="preserve">Affidavit of Ron Siegel, </w:t>
      </w:r>
      <w:r>
        <w:t xml:space="preserve">11-12. </w:t>
      </w:r>
    </w:p>
  </w:footnote>
  <w:footnote w:id="43">
    <w:p w:rsidR="004E6CA5" w:rsidP="000309F9" w14:paraId="4F8E0FD3" w14:textId="1A79C4B5">
      <w:pPr>
        <w:pStyle w:val="FootnoteText"/>
      </w:pPr>
      <w:r>
        <w:rPr>
          <w:rStyle w:val="FootnoteReference"/>
        </w:rPr>
        <w:footnoteRef/>
      </w:r>
      <w:r>
        <w:t xml:space="preserve"> </w:t>
      </w:r>
      <w:r>
        <w:rPr>
          <w:i/>
        </w:rPr>
        <w:t xml:space="preserve">See </w:t>
      </w:r>
      <w:r w:rsidR="00765F1C">
        <w:t>July 2017 Petition at 8, App</w:t>
      </w:r>
      <w:r>
        <w:t>x</w:t>
      </w:r>
      <w:r w:rsidR="00765F1C">
        <w:t>.</w:t>
      </w:r>
      <w:r w:rsidR="008D5210">
        <w:t xml:space="preserve"> A, Affidavit of Ron </w:t>
      </w:r>
      <w:r>
        <w:t>Siegel, at 8-9.</w:t>
      </w:r>
    </w:p>
  </w:footnote>
  <w:footnote w:id="44">
    <w:p w:rsidR="00C165CF" w14:paraId="7B0DC1E0" w14:textId="7B0B326D">
      <w:pPr>
        <w:pStyle w:val="FootnoteText"/>
      </w:pPr>
      <w:r>
        <w:rPr>
          <w:rStyle w:val="FootnoteReference"/>
        </w:rPr>
        <w:footnoteRef/>
      </w:r>
      <w:r>
        <w:t xml:space="preserve"> </w:t>
      </w:r>
      <w:r w:rsidR="00AB4F81">
        <w:rPr>
          <w:i/>
        </w:rPr>
        <w:t xml:space="preserve">See </w:t>
      </w:r>
      <w:bookmarkStart w:id="3" w:name="_Hlk497464349"/>
      <w:r w:rsidR="00953FDE">
        <w:rPr>
          <w:i/>
        </w:rPr>
        <w:t>i</w:t>
      </w:r>
      <w:r w:rsidRPr="00953FDE" w:rsidR="00953FDE">
        <w:rPr>
          <w:i/>
        </w:rPr>
        <w:t>d</w:t>
      </w:r>
      <w:r w:rsidR="00953FDE">
        <w:t xml:space="preserve">. </w:t>
      </w:r>
      <w:bookmarkEnd w:id="3"/>
      <w:r w:rsidR="00AB4F81">
        <w:t>at 5 (</w:t>
      </w:r>
      <w:r w:rsidR="008D5210">
        <w:t>noting that Allband</w:t>
      </w:r>
      <w:r w:rsidR="003268A8">
        <w:t xml:space="preserve"> offers service to </w:t>
      </w:r>
      <w:r w:rsidR="00AB4F81">
        <w:t xml:space="preserve">“otherwise unserved territory”).  </w:t>
      </w:r>
      <w:r w:rsidR="00272797">
        <w:t xml:space="preserve">  </w:t>
      </w:r>
      <w:r>
        <w:t xml:space="preserve">    </w:t>
      </w:r>
    </w:p>
  </w:footnote>
  <w:footnote w:id="45">
    <w:p w:rsidR="004E6CA5" w:rsidP="002075CD" w14:paraId="23E1DA99" w14:textId="52F15181">
      <w:pPr>
        <w:pStyle w:val="FootnoteText"/>
      </w:pPr>
      <w:r>
        <w:rPr>
          <w:rStyle w:val="FootnoteReference"/>
        </w:rPr>
        <w:footnoteRef/>
      </w:r>
      <w:r>
        <w:t xml:space="preserve"> </w:t>
      </w:r>
      <w:r w:rsidRPr="00953FDE" w:rsidR="00953FDE">
        <w:rPr>
          <w:i/>
        </w:rPr>
        <w:t>Id</w:t>
      </w:r>
      <w:r w:rsidR="00953FDE">
        <w:t xml:space="preserve">. </w:t>
      </w:r>
      <w:r>
        <w:t>at 4.</w:t>
      </w:r>
    </w:p>
  </w:footnote>
  <w:footnote w:id="46">
    <w:p w:rsidR="004E6CA5" w:rsidRPr="00FD0F53" w14:paraId="181D08BD" w14:textId="36D3A95E">
      <w:pPr>
        <w:pStyle w:val="FootnoteText"/>
      </w:pPr>
      <w:r>
        <w:rPr>
          <w:rStyle w:val="FootnoteReference"/>
        </w:rPr>
        <w:footnoteRef/>
      </w:r>
      <w:r>
        <w:t xml:space="preserve"> </w:t>
      </w:r>
      <w:r>
        <w:rPr>
          <w:i/>
        </w:rPr>
        <w:t xml:space="preserve">See </w:t>
      </w:r>
      <w:r w:rsidR="00953FDE">
        <w:rPr>
          <w:i/>
        </w:rPr>
        <w:t>i</w:t>
      </w:r>
      <w:r w:rsidRPr="00953FDE" w:rsidR="00953FDE">
        <w:rPr>
          <w:i/>
        </w:rPr>
        <w:t>d</w:t>
      </w:r>
      <w:r w:rsidR="00953FDE">
        <w:t>.</w:t>
      </w:r>
      <w:r>
        <w:t xml:space="preserve">, </w:t>
      </w:r>
      <w:r>
        <w:rPr>
          <w:i/>
        </w:rPr>
        <w:t xml:space="preserve">and </w:t>
      </w:r>
      <w:r>
        <w:t xml:space="preserve">Allband Communications, </w:t>
      </w:r>
      <w:r>
        <w:fldChar w:fldCharType="begin"/>
      </w:r>
      <w:r>
        <w:instrText xml:space="preserve"> HYPERLINK "http://allband.org/history-and-mission/" </w:instrText>
      </w:r>
      <w:r>
        <w:fldChar w:fldCharType="separate"/>
      </w:r>
      <w:r w:rsidRPr="00A207F5">
        <w:rPr>
          <w:rStyle w:val="Hyperlink"/>
        </w:rPr>
        <w:t>http://allband.org/history-and-mission/</w:t>
      </w:r>
      <w:r>
        <w:fldChar w:fldCharType="end"/>
      </w:r>
      <w:r>
        <w:t xml:space="preserve"> (last visited </w:t>
      </w:r>
      <w:r w:rsidR="00395E76">
        <w:t>Feb. 20, 2018)</w:t>
      </w:r>
      <w:r>
        <w:t>.</w:t>
      </w:r>
    </w:p>
  </w:footnote>
  <w:footnote w:id="47">
    <w:p w:rsidR="004E6CA5" w:rsidRPr="00426946" w14:paraId="4C1486C8" w14:textId="421A57CC">
      <w:pPr>
        <w:pStyle w:val="FootnoteText"/>
      </w:pPr>
      <w:r>
        <w:rPr>
          <w:rStyle w:val="FootnoteReference"/>
        </w:rPr>
        <w:footnoteRef/>
      </w:r>
      <w:r>
        <w:t xml:space="preserve"> </w:t>
      </w:r>
      <w:r>
        <w:rPr>
          <w:i/>
        </w:rPr>
        <w:t>See July 2012 Waiver Order</w:t>
      </w:r>
      <w:r>
        <w:t xml:space="preserve">, 27 FCC Rcd at 8313-14, para. 11.  </w:t>
      </w:r>
    </w:p>
  </w:footnote>
  <w:footnote w:id="48">
    <w:p w:rsidR="004E6CA5" w:rsidRPr="00FD036D" w:rsidP="009931A5" w14:paraId="0F2F94AB" w14:textId="3EF8315E">
      <w:pPr>
        <w:pStyle w:val="FootnoteText"/>
      </w:pPr>
      <w:r>
        <w:rPr>
          <w:rStyle w:val="FootnoteReference"/>
        </w:rPr>
        <w:footnoteRef/>
      </w:r>
      <w:r>
        <w:t xml:space="preserve"> </w:t>
      </w:r>
      <w:r>
        <w:rPr>
          <w:i/>
        </w:rPr>
        <w:t>See</w:t>
      </w:r>
      <w:r>
        <w:t xml:space="preserve"> July 2017 Petition at 1, </w:t>
      </w:r>
      <w:r w:rsidR="00AB4F81">
        <w:t xml:space="preserve">Appx. B, Affidavit of Tim Morissey, para. 14, </w:t>
      </w:r>
      <w:r w:rsidR="00AB4F81">
        <w:rPr>
          <w:i/>
        </w:rPr>
        <w:t xml:space="preserve">and </w:t>
      </w:r>
      <w:r>
        <w:t>App</w:t>
      </w:r>
      <w:r w:rsidR="00AB4F81">
        <w:t>x.</w:t>
      </w:r>
      <w:r>
        <w:t xml:space="preserve"> C, Affidavit of Christine A. Duncan, CPA, paras. 13-15. </w:t>
      </w:r>
    </w:p>
  </w:footnote>
  <w:footnote w:id="49">
    <w:p w:rsidR="00B53A7C" w14:paraId="7C98582B" w14:textId="692BDD0E">
      <w:pPr>
        <w:pStyle w:val="FootnoteText"/>
      </w:pPr>
      <w:r>
        <w:rPr>
          <w:rStyle w:val="FootnoteReference"/>
        </w:rPr>
        <w:footnoteRef/>
      </w:r>
      <w:r>
        <w:t xml:space="preserve"> We grant this increase in support retroactively to August 1, 2017.</w:t>
      </w:r>
      <w:r w:rsidR="00E33D0F">
        <w:t xml:space="preserve">  If Allband seeks protection under U.S. bankruptcy laws</w:t>
      </w:r>
      <w:r w:rsidR="00CF142E">
        <w:t xml:space="preserve"> or is found to be in default on its loan </w:t>
      </w:r>
      <w:r w:rsidR="00834352">
        <w:t xml:space="preserve">payments to </w:t>
      </w:r>
      <w:r w:rsidR="00CF142E">
        <w:t>the Rural Utilities Service (RUS)</w:t>
      </w:r>
      <w:r w:rsidR="00E33D0F">
        <w:t xml:space="preserve">, this waiver will terminate, and Allband’s support will revert to </w:t>
      </w:r>
      <w:r w:rsidR="00E33D0F">
        <w:rPr>
          <w:snapToGrid w:val="0"/>
        </w:rPr>
        <w:t>the lesser of $250 per loop</w:t>
      </w:r>
      <w:r w:rsidR="00AD009D">
        <w:rPr>
          <w:snapToGrid w:val="0"/>
        </w:rPr>
        <w:t xml:space="preserve"> per month </w:t>
      </w:r>
      <w:r w:rsidR="00E33D0F">
        <w:rPr>
          <w:snapToGrid w:val="0"/>
        </w:rPr>
        <w:t xml:space="preserve">(or the maximum support available per line, per month without a waiver) or actual costs.  </w:t>
      </w:r>
      <w:r w:rsidR="00E33D0F">
        <w:t>This waiver is based on the cost studies provided to USAC.  If Allband seeks bankruptcy protection</w:t>
      </w:r>
      <w:r w:rsidR="00CF142E">
        <w:t xml:space="preserve"> or defaults on </w:t>
      </w:r>
      <w:r w:rsidR="009017DA">
        <w:t xml:space="preserve">its </w:t>
      </w:r>
      <w:r w:rsidR="00CF142E">
        <w:t>RUS loan</w:t>
      </w:r>
      <w:r w:rsidR="00E33D0F">
        <w:t xml:space="preserve">, it will have significantly different accounting and expense requirements than </w:t>
      </w:r>
      <w:r w:rsidR="00B94181">
        <w:t xml:space="preserve">it currently </w:t>
      </w:r>
      <w:r w:rsidR="00E33D0F">
        <w:t xml:space="preserve">does.  If subsequent to bankruptcy proceedings </w:t>
      </w:r>
      <w:r w:rsidR="00CF142E">
        <w:t xml:space="preserve">(or other proceedings initiated by RUS as a result of Allband defaulting on its loan) </w:t>
      </w:r>
      <w:r w:rsidR="00E33D0F">
        <w:t>Allband were still to require support in excess of $250</w:t>
      </w:r>
      <w:r w:rsidR="00AD009D">
        <w:t xml:space="preserve"> per loop per month</w:t>
      </w:r>
      <w:r w:rsidR="00E33D0F">
        <w:t>, Allband could file a renewed petition for waiver of §54.302 supported by revised cost studies demonstrating that such a waiver is financially necessary</w:t>
      </w:r>
      <w:r w:rsidR="00B94181">
        <w:t>.</w:t>
      </w:r>
    </w:p>
  </w:footnote>
  <w:footnote w:id="50">
    <w:p w:rsidR="00BD6084" w14:paraId="0B469C8A" w14:textId="7B93DF6D">
      <w:pPr>
        <w:pStyle w:val="FootnoteText"/>
      </w:pPr>
      <w:r>
        <w:rPr>
          <w:rStyle w:val="FootnoteReference"/>
        </w:rPr>
        <w:footnoteRef/>
      </w:r>
      <w:r>
        <w:t xml:space="preserve"> </w:t>
      </w:r>
      <w:r w:rsidR="00FB2547">
        <w:t>We also</w:t>
      </w:r>
      <w:r w:rsidR="00CB6AA5">
        <w:t>, on our own motion,</w:t>
      </w:r>
      <w:r w:rsidR="00FB2547">
        <w:t xml:space="preserve"> waive application of the </w:t>
      </w:r>
      <w:r w:rsidR="004E79B1">
        <w:t>b</w:t>
      </w:r>
      <w:r w:rsidR="00FB2547">
        <w:t xml:space="preserve">udget </w:t>
      </w:r>
      <w:r w:rsidR="00F41A51">
        <w:t>c</w:t>
      </w:r>
      <w:r w:rsidR="00FB2547">
        <w:t xml:space="preserve">ontrol </w:t>
      </w:r>
      <w:r w:rsidR="004E79B1">
        <w:t>m</w:t>
      </w:r>
      <w:r w:rsidR="00FB2547">
        <w:t xml:space="preserve">echanism </w:t>
      </w:r>
      <w:r w:rsidR="00F15D55">
        <w:t xml:space="preserve">(47 CFR </w:t>
      </w:r>
      <w:r w:rsidR="00904CAE">
        <w:t xml:space="preserve">§§ 54.901(f), 54.1310(d)) </w:t>
      </w:r>
      <w:r w:rsidR="00FB2547">
        <w:t xml:space="preserve">to Allband’s support for the duration of this waiver.  </w:t>
      </w:r>
      <w:r w:rsidR="00CB6AA5">
        <w:t xml:space="preserve">47 CFR </w:t>
      </w:r>
      <w:r w:rsidR="00AD009D">
        <w:t xml:space="preserve">§ </w:t>
      </w:r>
      <w:r w:rsidR="00CB6AA5">
        <w:t xml:space="preserve">1.3.  </w:t>
      </w:r>
      <w:r w:rsidR="00FB2547">
        <w:t xml:space="preserve">Given the totality of the circumstances, </w:t>
      </w:r>
      <w:r w:rsidR="004E79B1">
        <w:t>particularly</w:t>
      </w:r>
      <w:r w:rsidR="00FB2547">
        <w:t xml:space="preserve"> Allband’s financial condition, we believe that further reductions in Allband’s support may jeopardize the provision of service and would not be in the public interest.</w:t>
      </w:r>
    </w:p>
  </w:footnote>
  <w:footnote w:id="51">
    <w:p w:rsidR="004E6CA5" w14:paraId="392888C0" w14:textId="3DE59607">
      <w:pPr>
        <w:pStyle w:val="FootnoteText"/>
      </w:pPr>
      <w:r>
        <w:rPr>
          <w:rStyle w:val="FootnoteReference"/>
        </w:rPr>
        <w:footnoteRef/>
      </w:r>
      <w:r>
        <w:t xml:space="preserve"> </w:t>
      </w:r>
      <w:r w:rsidRPr="008D5210" w:rsidR="008D5210">
        <w:rPr>
          <w:i/>
        </w:rPr>
        <w:t>See</w:t>
      </w:r>
      <w:r w:rsidR="008D5210">
        <w:t xml:space="preserve"> July 2017 Petition</w:t>
      </w:r>
      <w:r w:rsidR="00953FDE">
        <w:t xml:space="preserve"> </w:t>
      </w:r>
      <w:r>
        <w:t xml:space="preserve">at 18.   </w:t>
      </w:r>
    </w:p>
  </w:footnote>
  <w:footnote w:id="52">
    <w:p w:rsidR="00F52E2C" w:rsidRPr="003712B8" w:rsidP="00F52E2C" w14:paraId="0290AFBC" w14:textId="77777777">
      <w:pPr>
        <w:pStyle w:val="FootnoteText"/>
      </w:pPr>
      <w:r>
        <w:rPr>
          <w:rStyle w:val="FootnoteReference"/>
        </w:rPr>
        <w:footnoteRef/>
      </w:r>
      <w:r>
        <w:t xml:space="preserve"> </w:t>
      </w:r>
      <w:r>
        <w:rPr>
          <w:i/>
        </w:rPr>
        <w:t>See id.</w:t>
      </w:r>
    </w:p>
  </w:footnote>
  <w:footnote w:id="53">
    <w:p w:rsidR="00F52E2C" w:rsidP="00F52E2C" w14:paraId="03B27C38" w14:textId="77777777">
      <w:pPr>
        <w:pStyle w:val="FootnoteText"/>
      </w:pPr>
      <w:r>
        <w:rPr>
          <w:rStyle w:val="FootnoteReference"/>
        </w:rPr>
        <w:footnoteRef/>
      </w:r>
      <w:r>
        <w:t xml:space="preserve"> </w:t>
      </w:r>
      <w:r>
        <w:rPr>
          <w:i/>
        </w:rPr>
        <w:t>See July 2012 Waiver Order</w:t>
      </w:r>
      <w:r>
        <w:t>, 27 FCC Rcd at 8314, para. 14.</w:t>
      </w:r>
    </w:p>
  </w:footnote>
  <w:footnote w:id="54">
    <w:p w:rsidR="004E6CA5" w:rsidRPr="00FF798F" w:rsidP="00F96309" w14:paraId="4F962D7D" w14:textId="19E32B82">
      <w:pPr>
        <w:pStyle w:val="FootnoteText"/>
      </w:pPr>
      <w:r>
        <w:rPr>
          <w:rStyle w:val="FootnoteReference"/>
        </w:rPr>
        <w:footnoteRef/>
      </w:r>
      <w:r>
        <w:t xml:space="preserve"> </w:t>
      </w:r>
      <w:r>
        <w:rPr>
          <w:i/>
        </w:rPr>
        <w:t>July 2016 Waiver Order</w:t>
      </w:r>
      <w:r>
        <w:t xml:space="preserve">, 31 FCC Rcd at 8462, para 22, </w:t>
      </w:r>
      <w:r>
        <w:rPr>
          <w:i/>
        </w:rPr>
        <w:t xml:space="preserve">and </w:t>
      </w:r>
      <w:r w:rsidRPr="00FF798F">
        <w:rPr>
          <w:i/>
        </w:rPr>
        <w:t>USF/ICC Transformation Order</w:t>
      </w:r>
      <w:r>
        <w:t xml:space="preserve">, 26 FCC Rcd at 17682, para. 57.  </w:t>
      </w:r>
      <w:r>
        <w:rPr>
          <w:i/>
        </w:rPr>
        <w:t xml:space="preserve">See </w:t>
      </w:r>
      <w:r>
        <w:t xml:space="preserve">47 U.S.C. § 254(b).  </w:t>
      </w:r>
    </w:p>
  </w:footnote>
  <w:footnote w:id="55">
    <w:p w:rsidR="004E6CA5" w14:paraId="69553003" w14:textId="58EEF8BD">
      <w:pPr>
        <w:pStyle w:val="FootnoteText"/>
      </w:pPr>
      <w:r>
        <w:rPr>
          <w:rStyle w:val="FootnoteReference"/>
        </w:rPr>
        <w:footnoteRef/>
      </w:r>
      <w:r>
        <w:t xml:space="preserve"> July 2017 Petition, </w:t>
      </w:r>
      <w:r w:rsidR="008D5210">
        <w:t xml:space="preserve">Appx. B, </w:t>
      </w:r>
      <w:r>
        <w:t>Affida</w:t>
      </w:r>
      <w:r w:rsidR="008D5210">
        <w:t>vit of Tim Morissey, Attach. 4,</w:t>
      </w:r>
      <w:r>
        <w:t xml:space="preserve"> at 3.</w:t>
      </w:r>
    </w:p>
  </w:footnote>
  <w:footnote w:id="56">
    <w:p w:rsidR="004E6CA5" w:rsidRPr="003853EF" w14:paraId="661792B8" w14:textId="54B8A6FE">
      <w:pPr>
        <w:pStyle w:val="FootnoteText"/>
      </w:pPr>
      <w:r>
        <w:rPr>
          <w:rStyle w:val="FootnoteReference"/>
        </w:rPr>
        <w:footnoteRef/>
      </w:r>
      <w:r>
        <w:t xml:space="preserve"> </w:t>
      </w:r>
      <w:r>
        <w:rPr>
          <w:i/>
        </w:rPr>
        <w:t xml:space="preserve">See </w:t>
      </w:r>
      <w:r w:rsidR="008D5210">
        <w:t>July 2017 Petition</w:t>
      </w:r>
      <w:r w:rsidR="00953FDE">
        <w:t xml:space="preserve"> </w:t>
      </w:r>
      <w:r>
        <w:t xml:space="preserve">at 13-16.  </w:t>
      </w:r>
    </w:p>
  </w:footnote>
  <w:footnote w:id="57">
    <w:p w:rsidR="004E6CA5" w:rsidRPr="001969B2" w14:paraId="163BD084" w14:textId="3C964C9B">
      <w:pPr>
        <w:pStyle w:val="FootnoteText"/>
        <w:rPr>
          <w:i/>
        </w:rPr>
      </w:pPr>
      <w:r>
        <w:rPr>
          <w:rStyle w:val="FootnoteReference"/>
        </w:rPr>
        <w:footnoteRef/>
      </w:r>
      <w:r>
        <w:t xml:space="preserve"> </w:t>
      </w:r>
      <w:r>
        <w:rPr>
          <w:i/>
        </w:rPr>
        <w:t xml:space="preserve">See </w:t>
      </w:r>
      <w:r w:rsidR="00953FDE">
        <w:rPr>
          <w:i/>
        </w:rPr>
        <w:t>i</w:t>
      </w:r>
      <w:r w:rsidRPr="00953FDE" w:rsidR="00953FDE">
        <w:rPr>
          <w:i/>
        </w:rPr>
        <w:t>d</w:t>
      </w:r>
      <w:r w:rsidR="00953FDE">
        <w:t xml:space="preserve">. </w:t>
      </w:r>
      <w:r>
        <w:t>at 14-15.</w:t>
      </w:r>
    </w:p>
  </w:footnote>
  <w:footnote w:id="58">
    <w:p w:rsidR="004E6CA5" w14:paraId="29C94D0C" w14:textId="7D54243E">
      <w:pPr>
        <w:pStyle w:val="FootnoteText"/>
      </w:pPr>
      <w:r>
        <w:rPr>
          <w:rStyle w:val="FootnoteReference"/>
        </w:rPr>
        <w:footnoteRef/>
      </w:r>
      <w:r>
        <w:t xml:space="preserve"> </w:t>
      </w:r>
      <w:r>
        <w:rPr>
          <w:i/>
        </w:rPr>
        <w:t>July 2016 Waiver Order</w:t>
      </w:r>
      <w:r>
        <w:t>, 31 FCC Rcd at 8463, para 24.</w:t>
      </w:r>
    </w:p>
  </w:footnote>
  <w:footnote w:id="59">
    <w:p w:rsidR="004E6CA5" w:rsidRPr="00A1002E" w:rsidP="0094431F" w14:paraId="472A571C" w14:textId="465FFDD4">
      <w:pPr>
        <w:pStyle w:val="FootnoteText"/>
      </w:pPr>
      <w:r>
        <w:rPr>
          <w:rStyle w:val="FootnoteReference"/>
        </w:rPr>
        <w:footnoteRef/>
      </w:r>
      <w:r>
        <w:t xml:space="preserve"> </w:t>
      </w:r>
      <w:r w:rsidR="00953FDE">
        <w:rPr>
          <w:i/>
        </w:rPr>
        <w:t xml:space="preserve">Id. </w:t>
      </w:r>
      <w:r w:rsidR="00953FDE">
        <w:t>at</w:t>
      </w:r>
      <w:r>
        <w:t xml:space="preserve"> 31 FCC Rcd at 8463-64, para. 25.  </w:t>
      </w:r>
    </w:p>
  </w:footnote>
  <w:footnote w:id="60">
    <w:p w:rsidR="004E6CA5" w:rsidRPr="002D76DC" w14:paraId="2A56D4DF" w14:textId="686D6933">
      <w:pPr>
        <w:pStyle w:val="FootnoteText"/>
        <w:rPr>
          <w:i/>
        </w:rPr>
      </w:pPr>
      <w:r>
        <w:rPr>
          <w:rStyle w:val="FootnoteReference"/>
        </w:rPr>
        <w:footnoteRef/>
      </w:r>
      <w:r>
        <w:t xml:space="preserve"> </w:t>
      </w:r>
      <w:r>
        <w:rPr>
          <w:i/>
        </w:rPr>
        <w:t>See id.</w:t>
      </w:r>
    </w:p>
  </w:footnote>
  <w:footnote w:id="61">
    <w:p w:rsidR="004E6CA5" w:rsidRPr="003B29AB" w14:paraId="03B18600" w14:textId="0C192233">
      <w:pPr>
        <w:pStyle w:val="FootnoteText"/>
      </w:pPr>
      <w:r>
        <w:rPr>
          <w:rStyle w:val="FootnoteReference"/>
        </w:rPr>
        <w:footnoteRef/>
      </w:r>
      <w:r>
        <w:t xml:space="preserve"> July 2017 Petition at 16, Appx. A, Affidavit of Ron Siegel at 10.   </w:t>
      </w:r>
    </w:p>
  </w:footnote>
  <w:footnote w:id="62">
    <w:p w:rsidR="004E6CA5" w:rsidRPr="00921DE0" w14:paraId="50951125" w14:textId="1C776C34">
      <w:pPr>
        <w:pStyle w:val="FootnoteText"/>
      </w:pPr>
      <w:r>
        <w:rPr>
          <w:rStyle w:val="FootnoteReference"/>
        </w:rPr>
        <w:footnoteRef/>
      </w:r>
      <w:r>
        <w:t xml:space="preserve"> </w:t>
      </w:r>
      <w:r>
        <w:rPr>
          <w:i/>
        </w:rPr>
        <w:t>July 2012 Waiver Order</w:t>
      </w:r>
      <w:r>
        <w:t>, 27 FCC Rcd at 8315, para. 15.</w:t>
      </w:r>
    </w:p>
  </w:footnote>
  <w:footnote w:id="63">
    <w:p w:rsidR="004E6CA5" w14:paraId="3CC6D39E" w14:textId="0B95D990">
      <w:pPr>
        <w:pStyle w:val="FootnoteText"/>
      </w:pPr>
      <w:r>
        <w:rPr>
          <w:rStyle w:val="FootnoteReference"/>
        </w:rPr>
        <w:footnoteRef/>
      </w:r>
      <w:r>
        <w:t xml:space="preserve"> </w:t>
      </w:r>
      <w:r w:rsidR="00C64A0B">
        <w:t>The $207 per loop per month is the d</w:t>
      </w:r>
      <w:r>
        <w:t>ifference between $457</w:t>
      </w:r>
      <w:r w:rsidR="007D7FEC">
        <w:t xml:space="preserve"> (what we grant in the Order)</w:t>
      </w:r>
      <w:r>
        <w:t xml:space="preserve"> and $250</w:t>
      </w:r>
      <w:r w:rsidR="007D7FEC">
        <w:t xml:space="preserve"> (what Allband has been receiving)</w:t>
      </w:r>
      <w:r>
        <w:t xml:space="preserve"> per loop per month for the period</w:t>
      </w:r>
      <w:r w:rsidR="007D7FEC">
        <w:t xml:space="preserve"> since the </w:t>
      </w:r>
      <w:r w:rsidR="007D7FEC">
        <w:rPr>
          <w:i/>
        </w:rPr>
        <w:t xml:space="preserve">July 2016 Waiver Order </w:t>
      </w:r>
      <w:r>
        <w:t xml:space="preserve">to </w:t>
      </w:r>
      <w:r w:rsidR="002063C4">
        <w:t xml:space="preserve">the </w:t>
      </w:r>
      <w:r>
        <w:t>present.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1572" w14:paraId="12E562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CA5" w:rsidP="00810B6F" w14:paraId="2D54AD67" w14:textId="0840F61E">
    <w:pPr>
      <w:pStyle w:val="Header"/>
      <w:rPr>
        <w:b w:val="0"/>
      </w:rPr>
    </w:pPr>
    <w:r>
      <w:tab/>
      <w:t>Federal Communications Commission</w:t>
    </w:r>
    <w:r>
      <w:tab/>
      <w:t xml:space="preserve">DA </w:t>
    </w:r>
    <w:r w:rsidR="008362ED">
      <w:t>18-177</w:t>
    </w:r>
  </w:p>
  <w:p w:rsidR="004E6CA5" w14:paraId="248D014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4E6CA5" w14:paraId="5077488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CA5" w:rsidP="00810B6F" w14:paraId="06215F30" w14:textId="77777777">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FCC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937132"/>
    <w:multiLevelType w:val="hybridMultilevel"/>
    <w:tmpl w:val="134A53D6"/>
    <w:lvl w:ilvl="0">
      <w:start w:val="1"/>
      <w:numFmt w:val="decimal"/>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32B1F5B"/>
    <w:multiLevelType w:val="hybridMultilevel"/>
    <w:tmpl w:val="06FC2E1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3EB60DB"/>
    <w:multiLevelType w:val="hybridMultilevel"/>
    <w:tmpl w:val="103888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47231F"/>
    <w:multiLevelType w:val="hybridMultilevel"/>
    <w:tmpl w:val="2920140C"/>
    <w:lvl w:ilvl="0">
      <w:start w:val="1"/>
      <w:numFmt w:val="upperRoman"/>
      <w:lvlText w:val="%1."/>
      <w:lvlJc w:val="righ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tentative="1">
      <w:start w:val="1"/>
      <w:numFmt w:val="lowerRoman"/>
      <w:lvlText w:val="%6."/>
      <w:lvlJc w:val="right"/>
      <w:pPr>
        <w:ind w:left="4387" w:hanging="180"/>
      </w:pPr>
    </w:lvl>
    <w:lvl w:ilvl="6" w:tentative="1">
      <w:start w:val="1"/>
      <w:numFmt w:val="decimal"/>
      <w:lvlText w:val="%7."/>
      <w:lvlJc w:val="left"/>
      <w:pPr>
        <w:ind w:left="5107" w:hanging="360"/>
      </w:pPr>
    </w:lvl>
    <w:lvl w:ilvl="7" w:tentative="1">
      <w:start w:val="1"/>
      <w:numFmt w:val="lowerLetter"/>
      <w:lvlText w:val="%8."/>
      <w:lvlJc w:val="left"/>
      <w:pPr>
        <w:ind w:left="5827" w:hanging="360"/>
      </w:pPr>
    </w:lvl>
    <w:lvl w:ilvl="8" w:tentative="1">
      <w:start w:val="1"/>
      <w:numFmt w:val="lowerRoman"/>
      <w:lvlText w:val="%9."/>
      <w:lvlJc w:val="right"/>
      <w:pPr>
        <w:ind w:left="6547" w:hanging="180"/>
      </w:pPr>
    </w:lvl>
  </w:abstractNum>
  <w:abstractNum w:abstractNumId="8">
    <w:nsid w:val="40B11922"/>
    <w:multiLevelType w:val="hybridMultilevel"/>
    <w:tmpl w:val="4B0A305A"/>
    <w:lvl w:ilvl="0">
      <w:start w:val="1"/>
      <w:numFmt w:val="upperRoman"/>
      <w:lvlText w:val="%1."/>
      <w:lvlJc w:val="right"/>
      <w:pPr>
        <w:ind w:left="720" w:hanging="360"/>
      </w:pPr>
    </w:lvl>
    <w:lvl w:ilvl="1">
      <w:start w:val="1"/>
      <w:numFmt w:val="upperLetter"/>
      <w:lvlText w:val="%2."/>
      <w:lvlJc w:val="left"/>
      <w:pPr>
        <w:ind w:left="1440" w:hanging="360"/>
      </w:pPr>
      <w:rPr>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422160"/>
    <w:multiLevelType w:val="hybridMultilevel"/>
    <w:tmpl w:val="F0CEBD2E"/>
    <w:lvl w:ilvl="0">
      <w:start w:val="1"/>
      <w:numFmt w:val="decimal"/>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E7233D2"/>
    <w:multiLevelType w:val="hybridMultilevel"/>
    <w:tmpl w:val="8DE4091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1FC07D3"/>
    <w:multiLevelType w:val="hybridMultilevel"/>
    <w:tmpl w:val="EA4AC55A"/>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6CF6E46"/>
    <w:multiLevelType w:val="hybridMultilevel"/>
    <w:tmpl w:val="8C6ED46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8B66204"/>
    <w:multiLevelType w:val="hybridMultilevel"/>
    <w:tmpl w:val="154C7534"/>
    <w:lvl w:ilvl="0">
      <w:start w:val="1"/>
      <w:numFmt w:val="upperLetter"/>
      <w:lvlText w:val="%1."/>
      <w:lvlJc w:val="left"/>
      <w:pPr>
        <w:ind w:left="829" w:hanging="360"/>
      </w:pPr>
    </w:lvl>
    <w:lvl w:ilvl="1" w:tentative="1">
      <w:start w:val="1"/>
      <w:numFmt w:val="lowerLetter"/>
      <w:lvlText w:val="%2."/>
      <w:lvlJc w:val="left"/>
      <w:pPr>
        <w:ind w:left="1549" w:hanging="360"/>
      </w:pPr>
    </w:lvl>
    <w:lvl w:ilvl="2" w:tentative="1">
      <w:start w:val="1"/>
      <w:numFmt w:val="lowerRoman"/>
      <w:lvlText w:val="%3."/>
      <w:lvlJc w:val="right"/>
      <w:pPr>
        <w:ind w:left="2269" w:hanging="180"/>
      </w:pPr>
    </w:lvl>
    <w:lvl w:ilvl="3" w:tentative="1">
      <w:start w:val="1"/>
      <w:numFmt w:val="decimal"/>
      <w:lvlText w:val="%4."/>
      <w:lvlJc w:val="left"/>
      <w:pPr>
        <w:ind w:left="2989" w:hanging="360"/>
      </w:pPr>
    </w:lvl>
    <w:lvl w:ilvl="4" w:tentative="1">
      <w:start w:val="1"/>
      <w:numFmt w:val="lowerLetter"/>
      <w:lvlText w:val="%5."/>
      <w:lvlJc w:val="left"/>
      <w:pPr>
        <w:ind w:left="3709" w:hanging="360"/>
      </w:pPr>
    </w:lvl>
    <w:lvl w:ilvl="5" w:tentative="1">
      <w:start w:val="1"/>
      <w:numFmt w:val="lowerRoman"/>
      <w:lvlText w:val="%6."/>
      <w:lvlJc w:val="right"/>
      <w:pPr>
        <w:ind w:left="4429" w:hanging="180"/>
      </w:pPr>
    </w:lvl>
    <w:lvl w:ilvl="6" w:tentative="1">
      <w:start w:val="1"/>
      <w:numFmt w:val="decimal"/>
      <w:lvlText w:val="%7."/>
      <w:lvlJc w:val="left"/>
      <w:pPr>
        <w:ind w:left="5149" w:hanging="360"/>
      </w:pPr>
    </w:lvl>
    <w:lvl w:ilvl="7" w:tentative="1">
      <w:start w:val="1"/>
      <w:numFmt w:val="lowerLetter"/>
      <w:lvlText w:val="%8."/>
      <w:lvlJc w:val="left"/>
      <w:pPr>
        <w:ind w:left="5869" w:hanging="360"/>
      </w:pPr>
    </w:lvl>
    <w:lvl w:ilvl="8" w:tentative="1">
      <w:start w:val="1"/>
      <w:numFmt w:val="lowerRoman"/>
      <w:lvlText w:val="%9."/>
      <w:lvlJc w:val="right"/>
      <w:pPr>
        <w:ind w:left="6589" w:hanging="180"/>
      </w:pPr>
    </w:lvl>
  </w:abstractNum>
  <w:abstractNum w:abstractNumId="16">
    <w:nsid w:val="748A34D0"/>
    <w:multiLevelType w:val="hybridMultilevel"/>
    <w:tmpl w:val="9CA283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5504F30"/>
    <w:multiLevelType w:val="hybridMultilevel"/>
    <w:tmpl w:val="3FBCA1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0"/>
  </w:num>
  <w:num w:numId="5">
    <w:abstractNumId w:val="5"/>
  </w:num>
  <w:num w:numId="6">
    <w:abstractNumId w:val="0"/>
  </w:num>
  <w:num w:numId="7">
    <w:abstractNumId w:val="3"/>
  </w:num>
  <w:num w:numId="8">
    <w:abstractNumId w:val="13"/>
    <w:lvlOverride w:ilvl="0">
      <w:startOverride w:val="1"/>
    </w:lvlOverride>
  </w:num>
  <w:num w:numId="9">
    <w:abstractNumId w:val="2"/>
  </w:num>
  <w:num w:numId="10">
    <w:abstractNumId w:val="7"/>
  </w:num>
  <w:num w:numId="11">
    <w:abstractNumId w:val="8"/>
  </w:num>
  <w:num w:numId="12">
    <w:abstractNumId w:val="12"/>
  </w:num>
  <w:num w:numId="13">
    <w:abstractNumId w:val="13"/>
    <w:lvlOverride w:ilvl="0">
      <w:startOverride w:val="1"/>
    </w:lvlOverride>
  </w:num>
  <w:num w:numId="14">
    <w:abstractNumId w:val="15"/>
  </w:num>
  <w:num w:numId="15">
    <w:abstractNumId w:val="1"/>
  </w:num>
  <w:num w:numId="16">
    <w:abstractNumId w:val="13"/>
    <w:lvlOverride w:ilvl="0">
      <w:startOverride w:val="1"/>
    </w:lvlOverride>
  </w:num>
  <w:num w:numId="17">
    <w:abstractNumId w:val="16"/>
  </w:num>
  <w:num w:numId="18">
    <w:abstractNumId w:val="9"/>
  </w:num>
  <w:num w:numId="19">
    <w:abstractNumId w:val="11"/>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2A"/>
    <w:rsid w:val="00002E37"/>
    <w:rsid w:val="00011572"/>
    <w:rsid w:val="00013707"/>
    <w:rsid w:val="00014525"/>
    <w:rsid w:val="0002273F"/>
    <w:rsid w:val="00023A68"/>
    <w:rsid w:val="000309F9"/>
    <w:rsid w:val="00033878"/>
    <w:rsid w:val="000356C6"/>
    <w:rsid w:val="00036039"/>
    <w:rsid w:val="00037D9E"/>
    <w:rsid w:val="00037F90"/>
    <w:rsid w:val="0004141E"/>
    <w:rsid w:val="0004239F"/>
    <w:rsid w:val="00043353"/>
    <w:rsid w:val="000478D0"/>
    <w:rsid w:val="00053E3A"/>
    <w:rsid w:val="00054218"/>
    <w:rsid w:val="00057F8E"/>
    <w:rsid w:val="00063342"/>
    <w:rsid w:val="00066735"/>
    <w:rsid w:val="00066830"/>
    <w:rsid w:val="00070448"/>
    <w:rsid w:val="00074D56"/>
    <w:rsid w:val="00076CC9"/>
    <w:rsid w:val="00081147"/>
    <w:rsid w:val="000834AB"/>
    <w:rsid w:val="000875BF"/>
    <w:rsid w:val="00090774"/>
    <w:rsid w:val="0009253F"/>
    <w:rsid w:val="00096CCF"/>
    <w:rsid w:val="00096D8C"/>
    <w:rsid w:val="0009756E"/>
    <w:rsid w:val="000A0445"/>
    <w:rsid w:val="000A2252"/>
    <w:rsid w:val="000B7590"/>
    <w:rsid w:val="000C043C"/>
    <w:rsid w:val="000C0B65"/>
    <w:rsid w:val="000C2B55"/>
    <w:rsid w:val="000C4A1B"/>
    <w:rsid w:val="000C798A"/>
    <w:rsid w:val="000D2840"/>
    <w:rsid w:val="000D4F7D"/>
    <w:rsid w:val="000D6784"/>
    <w:rsid w:val="000E05FE"/>
    <w:rsid w:val="000E31CE"/>
    <w:rsid w:val="000E3D42"/>
    <w:rsid w:val="000E582D"/>
    <w:rsid w:val="000E6142"/>
    <w:rsid w:val="000F4298"/>
    <w:rsid w:val="00110684"/>
    <w:rsid w:val="00112876"/>
    <w:rsid w:val="00122BD5"/>
    <w:rsid w:val="00124FCA"/>
    <w:rsid w:val="00126633"/>
    <w:rsid w:val="00133F79"/>
    <w:rsid w:val="001347BF"/>
    <w:rsid w:val="00134B38"/>
    <w:rsid w:val="00140348"/>
    <w:rsid w:val="001421AE"/>
    <w:rsid w:val="00143CED"/>
    <w:rsid w:val="0014441D"/>
    <w:rsid w:val="001509A7"/>
    <w:rsid w:val="00152B98"/>
    <w:rsid w:val="00152E33"/>
    <w:rsid w:val="00155281"/>
    <w:rsid w:val="00155B7C"/>
    <w:rsid w:val="00162912"/>
    <w:rsid w:val="001634E4"/>
    <w:rsid w:val="00165C37"/>
    <w:rsid w:val="00167BA2"/>
    <w:rsid w:val="00185B5A"/>
    <w:rsid w:val="001924CE"/>
    <w:rsid w:val="00194A66"/>
    <w:rsid w:val="001969B2"/>
    <w:rsid w:val="001A4A01"/>
    <w:rsid w:val="001B03A3"/>
    <w:rsid w:val="001B0DC1"/>
    <w:rsid w:val="001B1EAD"/>
    <w:rsid w:val="001B7569"/>
    <w:rsid w:val="001C35C6"/>
    <w:rsid w:val="001C3782"/>
    <w:rsid w:val="001D013E"/>
    <w:rsid w:val="001D6BCF"/>
    <w:rsid w:val="001E01CA"/>
    <w:rsid w:val="001E0668"/>
    <w:rsid w:val="001E5C90"/>
    <w:rsid w:val="001E7C1F"/>
    <w:rsid w:val="0020192C"/>
    <w:rsid w:val="002063C4"/>
    <w:rsid w:val="00206975"/>
    <w:rsid w:val="00206D29"/>
    <w:rsid w:val="002075CD"/>
    <w:rsid w:val="002078DB"/>
    <w:rsid w:val="002079AA"/>
    <w:rsid w:val="00216ABD"/>
    <w:rsid w:val="0023390E"/>
    <w:rsid w:val="00235766"/>
    <w:rsid w:val="00235D2F"/>
    <w:rsid w:val="0023689D"/>
    <w:rsid w:val="00240C10"/>
    <w:rsid w:val="00246537"/>
    <w:rsid w:val="00246E0F"/>
    <w:rsid w:val="00251DDB"/>
    <w:rsid w:val="00265234"/>
    <w:rsid w:val="0026765F"/>
    <w:rsid w:val="00267ED8"/>
    <w:rsid w:val="00270508"/>
    <w:rsid w:val="00272797"/>
    <w:rsid w:val="00275CF5"/>
    <w:rsid w:val="002767AF"/>
    <w:rsid w:val="00280EBE"/>
    <w:rsid w:val="00282436"/>
    <w:rsid w:val="0028301F"/>
    <w:rsid w:val="00285017"/>
    <w:rsid w:val="002854F2"/>
    <w:rsid w:val="00285C1C"/>
    <w:rsid w:val="00286612"/>
    <w:rsid w:val="002929E8"/>
    <w:rsid w:val="002A2D2E"/>
    <w:rsid w:val="002A3943"/>
    <w:rsid w:val="002A4F75"/>
    <w:rsid w:val="002A5909"/>
    <w:rsid w:val="002C00E8"/>
    <w:rsid w:val="002C33BE"/>
    <w:rsid w:val="002C715A"/>
    <w:rsid w:val="002D0224"/>
    <w:rsid w:val="002D0D34"/>
    <w:rsid w:val="002D352F"/>
    <w:rsid w:val="002D3970"/>
    <w:rsid w:val="002D4BE4"/>
    <w:rsid w:val="002D76DC"/>
    <w:rsid w:val="002E0D1F"/>
    <w:rsid w:val="002E1325"/>
    <w:rsid w:val="002E18B5"/>
    <w:rsid w:val="002E1F30"/>
    <w:rsid w:val="002E457E"/>
    <w:rsid w:val="002F130C"/>
    <w:rsid w:val="002F393C"/>
    <w:rsid w:val="002F7BFD"/>
    <w:rsid w:val="00301A0C"/>
    <w:rsid w:val="00311E0B"/>
    <w:rsid w:val="00311FAE"/>
    <w:rsid w:val="00312E7B"/>
    <w:rsid w:val="00314B75"/>
    <w:rsid w:val="003178B4"/>
    <w:rsid w:val="003268A8"/>
    <w:rsid w:val="003428C6"/>
    <w:rsid w:val="00343749"/>
    <w:rsid w:val="00344E7F"/>
    <w:rsid w:val="003453DD"/>
    <w:rsid w:val="00357C06"/>
    <w:rsid w:val="003607DC"/>
    <w:rsid w:val="003614E1"/>
    <w:rsid w:val="003660ED"/>
    <w:rsid w:val="00366C06"/>
    <w:rsid w:val="00367ACB"/>
    <w:rsid w:val="003712B8"/>
    <w:rsid w:val="0037376F"/>
    <w:rsid w:val="00373FE9"/>
    <w:rsid w:val="0037581D"/>
    <w:rsid w:val="003814F9"/>
    <w:rsid w:val="0038490E"/>
    <w:rsid w:val="003853EF"/>
    <w:rsid w:val="00395E76"/>
    <w:rsid w:val="003A4520"/>
    <w:rsid w:val="003B0550"/>
    <w:rsid w:val="003B29AB"/>
    <w:rsid w:val="003B694F"/>
    <w:rsid w:val="003D637B"/>
    <w:rsid w:val="003E2B81"/>
    <w:rsid w:val="003F171C"/>
    <w:rsid w:val="004005A8"/>
    <w:rsid w:val="004046DC"/>
    <w:rsid w:val="00405477"/>
    <w:rsid w:val="00412614"/>
    <w:rsid w:val="004128F5"/>
    <w:rsid w:val="00412FC5"/>
    <w:rsid w:val="00414575"/>
    <w:rsid w:val="00416118"/>
    <w:rsid w:val="00420950"/>
    <w:rsid w:val="00421DA3"/>
    <w:rsid w:val="00422276"/>
    <w:rsid w:val="004225BB"/>
    <w:rsid w:val="0042320E"/>
    <w:rsid w:val="004242F1"/>
    <w:rsid w:val="00426946"/>
    <w:rsid w:val="00440AF6"/>
    <w:rsid w:val="00441136"/>
    <w:rsid w:val="004416D0"/>
    <w:rsid w:val="00441D46"/>
    <w:rsid w:val="00445A00"/>
    <w:rsid w:val="00447F30"/>
    <w:rsid w:val="00451B0F"/>
    <w:rsid w:val="00453E21"/>
    <w:rsid w:val="0046087D"/>
    <w:rsid w:val="004640CC"/>
    <w:rsid w:val="0046599C"/>
    <w:rsid w:val="00466595"/>
    <w:rsid w:val="00471206"/>
    <w:rsid w:val="004753C1"/>
    <w:rsid w:val="004810B2"/>
    <w:rsid w:val="0048660A"/>
    <w:rsid w:val="0049047F"/>
    <w:rsid w:val="00493252"/>
    <w:rsid w:val="004958E8"/>
    <w:rsid w:val="00496DE9"/>
    <w:rsid w:val="004A2501"/>
    <w:rsid w:val="004A58E3"/>
    <w:rsid w:val="004A6F90"/>
    <w:rsid w:val="004B5C88"/>
    <w:rsid w:val="004C2901"/>
    <w:rsid w:val="004C2EE3"/>
    <w:rsid w:val="004C30EF"/>
    <w:rsid w:val="004C4B56"/>
    <w:rsid w:val="004D5696"/>
    <w:rsid w:val="004D68F1"/>
    <w:rsid w:val="004E0ABC"/>
    <w:rsid w:val="004E323A"/>
    <w:rsid w:val="004E4A22"/>
    <w:rsid w:val="004E6963"/>
    <w:rsid w:val="004E6CA5"/>
    <w:rsid w:val="004E6E29"/>
    <w:rsid w:val="004E79B1"/>
    <w:rsid w:val="004F029D"/>
    <w:rsid w:val="004F2084"/>
    <w:rsid w:val="004F2D5F"/>
    <w:rsid w:val="0050199E"/>
    <w:rsid w:val="00511968"/>
    <w:rsid w:val="00520992"/>
    <w:rsid w:val="00522C14"/>
    <w:rsid w:val="00523593"/>
    <w:rsid w:val="005257A9"/>
    <w:rsid w:val="00525E0F"/>
    <w:rsid w:val="00530E74"/>
    <w:rsid w:val="00535876"/>
    <w:rsid w:val="00540842"/>
    <w:rsid w:val="00541BBC"/>
    <w:rsid w:val="00554002"/>
    <w:rsid w:val="0055614C"/>
    <w:rsid w:val="00571487"/>
    <w:rsid w:val="005806C7"/>
    <w:rsid w:val="00582BAC"/>
    <w:rsid w:val="00583B0A"/>
    <w:rsid w:val="00590D00"/>
    <w:rsid w:val="005924A4"/>
    <w:rsid w:val="00594CEA"/>
    <w:rsid w:val="005A3A0A"/>
    <w:rsid w:val="005A4799"/>
    <w:rsid w:val="005A54D4"/>
    <w:rsid w:val="005A6706"/>
    <w:rsid w:val="005B11C7"/>
    <w:rsid w:val="005B2880"/>
    <w:rsid w:val="005C2704"/>
    <w:rsid w:val="005D176B"/>
    <w:rsid w:val="005D5834"/>
    <w:rsid w:val="005D7163"/>
    <w:rsid w:val="005E14C2"/>
    <w:rsid w:val="005F5BAD"/>
    <w:rsid w:val="005F74FF"/>
    <w:rsid w:val="00601A22"/>
    <w:rsid w:val="00601B61"/>
    <w:rsid w:val="00607BA5"/>
    <w:rsid w:val="00611352"/>
    <w:rsid w:val="0061180A"/>
    <w:rsid w:val="00613A32"/>
    <w:rsid w:val="00615146"/>
    <w:rsid w:val="00617F2E"/>
    <w:rsid w:val="00617FF6"/>
    <w:rsid w:val="00620C08"/>
    <w:rsid w:val="00624C90"/>
    <w:rsid w:val="00626EB6"/>
    <w:rsid w:val="0063292C"/>
    <w:rsid w:val="0063441F"/>
    <w:rsid w:val="006357C6"/>
    <w:rsid w:val="00643648"/>
    <w:rsid w:val="00643AAE"/>
    <w:rsid w:val="00643B0A"/>
    <w:rsid w:val="00655D03"/>
    <w:rsid w:val="006650E1"/>
    <w:rsid w:val="00671BCF"/>
    <w:rsid w:val="00677185"/>
    <w:rsid w:val="00683388"/>
    <w:rsid w:val="00683AA0"/>
    <w:rsid w:val="00683E87"/>
    <w:rsid w:val="00683F84"/>
    <w:rsid w:val="00684FCD"/>
    <w:rsid w:val="00686106"/>
    <w:rsid w:val="00690DFA"/>
    <w:rsid w:val="0069105C"/>
    <w:rsid w:val="006A4B85"/>
    <w:rsid w:val="006A6A81"/>
    <w:rsid w:val="006A70A9"/>
    <w:rsid w:val="006B01C0"/>
    <w:rsid w:val="006B1097"/>
    <w:rsid w:val="006B13E7"/>
    <w:rsid w:val="006D1C27"/>
    <w:rsid w:val="006E0357"/>
    <w:rsid w:val="006E4A80"/>
    <w:rsid w:val="006F7393"/>
    <w:rsid w:val="0070224F"/>
    <w:rsid w:val="007109B8"/>
    <w:rsid w:val="007115F7"/>
    <w:rsid w:val="0072005B"/>
    <w:rsid w:val="007202D5"/>
    <w:rsid w:val="00722819"/>
    <w:rsid w:val="00733876"/>
    <w:rsid w:val="00737789"/>
    <w:rsid w:val="00737A4F"/>
    <w:rsid w:val="00737B58"/>
    <w:rsid w:val="00741B81"/>
    <w:rsid w:val="00745BA2"/>
    <w:rsid w:val="00745E41"/>
    <w:rsid w:val="00750ED1"/>
    <w:rsid w:val="00752DD6"/>
    <w:rsid w:val="00765F1C"/>
    <w:rsid w:val="00766BC5"/>
    <w:rsid w:val="007709F2"/>
    <w:rsid w:val="0078387F"/>
    <w:rsid w:val="00784566"/>
    <w:rsid w:val="00785689"/>
    <w:rsid w:val="007872C1"/>
    <w:rsid w:val="00792B0A"/>
    <w:rsid w:val="0079311D"/>
    <w:rsid w:val="0079754B"/>
    <w:rsid w:val="007A1E6D"/>
    <w:rsid w:val="007B0EB2"/>
    <w:rsid w:val="007B1223"/>
    <w:rsid w:val="007C08F2"/>
    <w:rsid w:val="007C10C5"/>
    <w:rsid w:val="007C21FF"/>
    <w:rsid w:val="007C3049"/>
    <w:rsid w:val="007C3D25"/>
    <w:rsid w:val="007C7416"/>
    <w:rsid w:val="007D2A67"/>
    <w:rsid w:val="007D4466"/>
    <w:rsid w:val="007D54C8"/>
    <w:rsid w:val="007D64A4"/>
    <w:rsid w:val="007D6B9A"/>
    <w:rsid w:val="007D6F55"/>
    <w:rsid w:val="007D7FEC"/>
    <w:rsid w:val="007E05D4"/>
    <w:rsid w:val="007E2797"/>
    <w:rsid w:val="007F64DF"/>
    <w:rsid w:val="00803749"/>
    <w:rsid w:val="00804910"/>
    <w:rsid w:val="00810B6F"/>
    <w:rsid w:val="00810BE7"/>
    <w:rsid w:val="00810CAF"/>
    <w:rsid w:val="00812D69"/>
    <w:rsid w:val="0081427B"/>
    <w:rsid w:val="00817456"/>
    <w:rsid w:val="008177C9"/>
    <w:rsid w:val="00820D25"/>
    <w:rsid w:val="00822CE0"/>
    <w:rsid w:val="00824E66"/>
    <w:rsid w:val="00825560"/>
    <w:rsid w:val="00830D18"/>
    <w:rsid w:val="00831F43"/>
    <w:rsid w:val="008328FC"/>
    <w:rsid w:val="00833A35"/>
    <w:rsid w:val="00834352"/>
    <w:rsid w:val="008362ED"/>
    <w:rsid w:val="00840DB3"/>
    <w:rsid w:val="00841AB1"/>
    <w:rsid w:val="00843A33"/>
    <w:rsid w:val="0085132A"/>
    <w:rsid w:val="008531C2"/>
    <w:rsid w:val="0085461C"/>
    <w:rsid w:val="00855B4A"/>
    <w:rsid w:val="00857C4C"/>
    <w:rsid w:val="00857E37"/>
    <w:rsid w:val="0086174B"/>
    <w:rsid w:val="00862E74"/>
    <w:rsid w:val="00867D53"/>
    <w:rsid w:val="00870D64"/>
    <w:rsid w:val="00872B64"/>
    <w:rsid w:val="00876DAE"/>
    <w:rsid w:val="0088153B"/>
    <w:rsid w:val="00884BF0"/>
    <w:rsid w:val="00885430"/>
    <w:rsid w:val="008923CB"/>
    <w:rsid w:val="00896EE8"/>
    <w:rsid w:val="008A608D"/>
    <w:rsid w:val="008B163E"/>
    <w:rsid w:val="008B1871"/>
    <w:rsid w:val="008B32DD"/>
    <w:rsid w:val="008B6F59"/>
    <w:rsid w:val="008C2A46"/>
    <w:rsid w:val="008C48B5"/>
    <w:rsid w:val="008C68F1"/>
    <w:rsid w:val="008C7BE6"/>
    <w:rsid w:val="008D1FFF"/>
    <w:rsid w:val="008D2E29"/>
    <w:rsid w:val="008D503D"/>
    <w:rsid w:val="008D5210"/>
    <w:rsid w:val="008E33E5"/>
    <w:rsid w:val="008F79E1"/>
    <w:rsid w:val="009017DA"/>
    <w:rsid w:val="00902C6C"/>
    <w:rsid w:val="009034E0"/>
    <w:rsid w:val="00904CAE"/>
    <w:rsid w:val="00905F1F"/>
    <w:rsid w:val="00906FEB"/>
    <w:rsid w:val="00917F4B"/>
    <w:rsid w:val="00921803"/>
    <w:rsid w:val="00921DE0"/>
    <w:rsid w:val="009260B5"/>
    <w:rsid w:val="00926503"/>
    <w:rsid w:val="00927EBA"/>
    <w:rsid w:val="00930F55"/>
    <w:rsid w:val="00933731"/>
    <w:rsid w:val="00935212"/>
    <w:rsid w:val="009415CC"/>
    <w:rsid w:val="0094431F"/>
    <w:rsid w:val="00946B4A"/>
    <w:rsid w:val="00947BED"/>
    <w:rsid w:val="00951F11"/>
    <w:rsid w:val="00951F5D"/>
    <w:rsid w:val="00953FDE"/>
    <w:rsid w:val="00957F70"/>
    <w:rsid w:val="00966968"/>
    <w:rsid w:val="00970532"/>
    <w:rsid w:val="009726D8"/>
    <w:rsid w:val="0097285F"/>
    <w:rsid w:val="00987490"/>
    <w:rsid w:val="00990CBC"/>
    <w:rsid w:val="00991880"/>
    <w:rsid w:val="009931A5"/>
    <w:rsid w:val="0099677A"/>
    <w:rsid w:val="00997D54"/>
    <w:rsid w:val="009A61EB"/>
    <w:rsid w:val="009A6243"/>
    <w:rsid w:val="009A7DA6"/>
    <w:rsid w:val="009B5A70"/>
    <w:rsid w:val="009B61C0"/>
    <w:rsid w:val="009B654B"/>
    <w:rsid w:val="009E1CB2"/>
    <w:rsid w:val="009F40C2"/>
    <w:rsid w:val="009F42B2"/>
    <w:rsid w:val="009F49E8"/>
    <w:rsid w:val="009F76DB"/>
    <w:rsid w:val="00A00447"/>
    <w:rsid w:val="00A04B42"/>
    <w:rsid w:val="00A050CD"/>
    <w:rsid w:val="00A1002E"/>
    <w:rsid w:val="00A10C63"/>
    <w:rsid w:val="00A1366D"/>
    <w:rsid w:val="00A170C2"/>
    <w:rsid w:val="00A207F5"/>
    <w:rsid w:val="00A223B5"/>
    <w:rsid w:val="00A2362A"/>
    <w:rsid w:val="00A32C3B"/>
    <w:rsid w:val="00A333C8"/>
    <w:rsid w:val="00A360C6"/>
    <w:rsid w:val="00A37660"/>
    <w:rsid w:val="00A45F4F"/>
    <w:rsid w:val="00A54229"/>
    <w:rsid w:val="00A57C4A"/>
    <w:rsid w:val="00A600A9"/>
    <w:rsid w:val="00A65AC8"/>
    <w:rsid w:val="00A74CA6"/>
    <w:rsid w:val="00A77DB6"/>
    <w:rsid w:val="00A80FAD"/>
    <w:rsid w:val="00A827CD"/>
    <w:rsid w:val="00A83630"/>
    <w:rsid w:val="00A83DCA"/>
    <w:rsid w:val="00A856D7"/>
    <w:rsid w:val="00A86E3A"/>
    <w:rsid w:val="00A8727A"/>
    <w:rsid w:val="00A907D3"/>
    <w:rsid w:val="00A91513"/>
    <w:rsid w:val="00A915EC"/>
    <w:rsid w:val="00A92304"/>
    <w:rsid w:val="00A94459"/>
    <w:rsid w:val="00A97E5E"/>
    <w:rsid w:val="00AA55B7"/>
    <w:rsid w:val="00AA5B9E"/>
    <w:rsid w:val="00AB2407"/>
    <w:rsid w:val="00AB4F81"/>
    <w:rsid w:val="00AB53DF"/>
    <w:rsid w:val="00AD009D"/>
    <w:rsid w:val="00AD3E84"/>
    <w:rsid w:val="00AD615F"/>
    <w:rsid w:val="00AD63A8"/>
    <w:rsid w:val="00AD66A9"/>
    <w:rsid w:val="00AD7B8F"/>
    <w:rsid w:val="00AE133A"/>
    <w:rsid w:val="00AE1346"/>
    <w:rsid w:val="00AE15D6"/>
    <w:rsid w:val="00AE4A4C"/>
    <w:rsid w:val="00AE6ABB"/>
    <w:rsid w:val="00AF4574"/>
    <w:rsid w:val="00AF4842"/>
    <w:rsid w:val="00AF531C"/>
    <w:rsid w:val="00B0016A"/>
    <w:rsid w:val="00B063DE"/>
    <w:rsid w:val="00B067C0"/>
    <w:rsid w:val="00B07E5C"/>
    <w:rsid w:val="00B125DE"/>
    <w:rsid w:val="00B13107"/>
    <w:rsid w:val="00B1425C"/>
    <w:rsid w:val="00B149B4"/>
    <w:rsid w:val="00B14ABA"/>
    <w:rsid w:val="00B158A7"/>
    <w:rsid w:val="00B2064A"/>
    <w:rsid w:val="00B210A1"/>
    <w:rsid w:val="00B24361"/>
    <w:rsid w:val="00B265CD"/>
    <w:rsid w:val="00B31A96"/>
    <w:rsid w:val="00B372A5"/>
    <w:rsid w:val="00B400C4"/>
    <w:rsid w:val="00B43089"/>
    <w:rsid w:val="00B431FB"/>
    <w:rsid w:val="00B4321E"/>
    <w:rsid w:val="00B4684B"/>
    <w:rsid w:val="00B53A7C"/>
    <w:rsid w:val="00B54092"/>
    <w:rsid w:val="00B54678"/>
    <w:rsid w:val="00B61597"/>
    <w:rsid w:val="00B62CE4"/>
    <w:rsid w:val="00B64144"/>
    <w:rsid w:val="00B64B7C"/>
    <w:rsid w:val="00B73457"/>
    <w:rsid w:val="00B743D6"/>
    <w:rsid w:val="00B811F7"/>
    <w:rsid w:val="00B814D6"/>
    <w:rsid w:val="00B81850"/>
    <w:rsid w:val="00B912D1"/>
    <w:rsid w:val="00B94181"/>
    <w:rsid w:val="00B965CF"/>
    <w:rsid w:val="00BA1203"/>
    <w:rsid w:val="00BA5DC6"/>
    <w:rsid w:val="00BA6196"/>
    <w:rsid w:val="00BB772B"/>
    <w:rsid w:val="00BC2533"/>
    <w:rsid w:val="00BC6D8C"/>
    <w:rsid w:val="00BD026E"/>
    <w:rsid w:val="00BD0CC8"/>
    <w:rsid w:val="00BD1880"/>
    <w:rsid w:val="00BD6084"/>
    <w:rsid w:val="00BE0029"/>
    <w:rsid w:val="00BE3F36"/>
    <w:rsid w:val="00BE73BF"/>
    <w:rsid w:val="00BF69D0"/>
    <w:rsid w:val="00BF7493"/>
    <w:rsid w:val="00C0094B"/>
    <w:rsid w:val="00C1646B"/>
    <w:rsid w:val="00C165CF"/>
    <w:rsid w:val="00C2027A"/>
    <w:rsid w:val="00C22593"/>
    <w:rsid w:val="00C23D02"/>
    <w:rsid w:val="00C23E90"/>
    <w:rsid w:val="00C24A2A"/>
    <w:rsid w:val="00C2543E"/>
    <w:rsid w:val="00C2733B"/>
    <w:rsid w:val="00C300AA"/>
    <w:rsid w:val="00C34006"/>
    <w:rsid w:val="00C426B1"/>
    <w:rsid w:val="00C4455A"/>
    <w:rsid w:val="00C44649"/>
    <w:rsid w:val="00C46F00"/>
    <w:rsid w:val="00C47815"/>
    <w:rsid w:val="00C52798"/>
    <w:rsid w:val="00C5346D"/>
    <w:rsid w:val="00C56C1C"/>
    <w:rsid w:val="00C57B3F"/>
    <w:rsid w:val="00C64A0B"/>
    <w:rsid w:val="00C66160"/>
    <w:rsid w:val="00C679D6"/>
    <w:rsid w:val="00C67A10"/>
    <w:rsid w:val="00C721AC"/>
    <w:rsid w:val="00C7526B"/>
    <w:rsid w:val="00C75707"/>
    <w:rsid w:val="00C83A90"/>
    <w:rsid w:val="00C90D6A"/>
    <w:rsid w:val="00C92A6C"/>
    <w:rsid w:val="00C92B47"/>
    <w:rsid w:val="00C92E45"/>
    <w:rsid w:val="00CA247E"/>
    <w:rsid w:val="00CA4ACC"/>
    <w:rsid w:val="00CB6AA5"/>
    <w:rsid w:val="00CC3586"/>
    <w:rsid w:val="00CC5D35"/>
    <w:rsid w:val="00CC65ED"/>
    <w:rsid w:val="00CC72B6"/>
    <w:rsid w:val="00CD6C8F"/>
    <w:rsid w:val="00CD732E"/>
    <w:rsid w:val="00CE5D26"/>
    <w:rsid w:val="00CF09E3"/>
    <w:rsid w:val="00CF0A66"/>
    <w:rsid w:val="00CF127C"/>
    <w:rsid w:val="00CF142E"/>
    <w:rsid w:val="00D0218D"/>
    <w:rsid w:val="00D07767"/>
    <w:rsid w:val="00D0786F"/>
    <w:rsid w:val="00D13242"/>
    <w:rsid w:val="00D14215"/>
    <w:rsid w:val="00D15A98"/>
    <w:rsid w:val="00D16419"/>
    <w:rsid w:val="00D16A42"/>
    <w:rsid w:val="00D24DC2"/>
    <w:rsid w:val="00D25FB5"/>
    <w:rsid w:val="00D31AB4"/>
    <w:rsid w:val="00D320EB"/>
    <w:rsid w:val="00D40B40"/>
    <w:rsid w:val="00D427B9"/>
    <w:rsid w:val="00D44223"/>
    <w:rsid w:val="00D6311B"/>
    <w:rsid w:val="00D65082"/>
    <w:rsid w:val="00D66731"/>
    <w:rsid w:val="00D716E8"/>
    <w:rsid w:val="00D73F7A"/>
    <w:rsid w:val="00D75390"/>
    <w:rsid w:val="00D772F5"/>
    <w:rsid w:val="00D774E2"/>
    <w:rsid w:val="00D8313B"/>
    <w:rsid w:val="00D838D4"/>
    <w:rsid w:val="00D83EBB"/>
    <w:rsid w:val="00D877F7"/>
    <w:rsid w:val="00D91578"/>
    <w:rsid w:val="00DA2529"/>
    <w:rsid w:val="00DA3A7F"/>
    <w:rsid w:val="00DA4A88"/>
    <w:rsid w:val="00DA5994"/>
    <w:rsid w:val="00DB130A"/>
    <w:rsid w:val="00DB2EBB"/>
    <w:rsid w:val="00DC0718"/>
    <w:rsid w:val="00DC10A1"/>
    <w:rsid w:val="00DC46A0"/>
    <w:rsid w:val="00DC655F"/>
    <w:rsid w:val="00DD0B59"/>
    <w:rsid w:val="00DD2B70"/>
    <w:rsid w:val="00DD3E70"/>
    <w:rsid w:val="00DD6828"/>
    <w:rsid w:val="00DD7EBD"/>
    <w:rsid w:val="00DE208A"/>
    <w:rsid w:val="00DE26A0"/>
    <w:rsid w:val="00DE33AE"/>
    <w:rsid w:val="00DE3A27"/>
    <w:rsid w:val="00DE7DBE"/>
    <w:rsid w:val="00DF62B6"/>
    <w:rsid w:val="00E05A9A"/>
    <w:rsid w:val="00E07225"/>
    <w:rsid w:val="00E1485B"/>
    <w:rsid w:val="00E2283A"/>
    <w:rsid w:val="00E2377B"/>
    <w:rsid w:val="00E25E9E"/>
    <w:rsid w:val="00E2677B"/>
    <w:rsid w:val="00E2681F"/>
    <w:rsid w:val="00E3106C"/>
    <w:rsid w:val="00E33D0F"/>
    <w:rsid w:val="00E35AD2"/>
    <w:rsid w:val="00E5409F"/>
    <w:rsid w:val="00E54F84"/>
    <w:rsid w:val="00E555AD"/>
    <w:rsid w:val="00E63363"/>
    <w:rsid w:val="00E63D0A"/>
    <w:rsid w:val="00E73B01"/>
    <w:rsid w:val="00E74F53"/>
    <w:rsid w:val="00E82672"/>
    <w:rsid w:val="00E83EC4"/>
    <w:rsid w:val="00E85699"/>
    <w:rsid w:val="00E96AE7"/>
    <w:rsid w:val="00EA1756"/>
    <w:rsid w:val="00EA36EC"/>
    <w:rsid w:val="00EA398E"/>
    <w:rsid w:val="00EA3ABF"/>
    <w:rsid w:val="00EA7AFF"/>
    <w:rsid w:val="00EB0F4E"/>
    <w:rsid w:val="00EB2357"/>
    <w:rsid w:val="00EB3EBC"/>
    <w:rsid w:val="00ED1A5A"/>
    <w:rsid w:val="00ED2A94"/>
    <w:rsid w:val="00ED5667"/>
    <w:rsid w:val="00ED6FF9"/>
    <w:rsid w:val="00EE0752"/>
    <w:rsid w:val="00EE5A43"/>
    <w:rsid w:val="00EE6488"/>
    <w:rsid w:val="00EF34A8"/>
    <w:rsid w:val="00F01FDC"/>
    <w:rsid w:val="00F021FA"/>
    <w:rsid w:val="00F0329C"/>
    <w:rsid w:val="00F03638"/>
    <w:rsid w:val="00F045AF"/>
    <w:rsid w:val="00F06C82"/>
    <w:rsid w:val="00F15D55"/>
    <w:rsid w:val="00F20F25"/>
    <w:rsid w:val="00F22993"/>
    <w:rsid w:val="00F249DC"/>
    <w:rsid w:val="00F25068"/>
    <w:rsid w:val="00F41A51"/>
    <w:rsid w:val="00F444DB"/>
    <w:rsid w:val="00F4589E"/>
    <w:rsid w:val="00F463FB"/>
    <w:rsid w:val="00F46BF6"/>
    <w:rsid w:val="00F46D3A"/>
    <w:rsid w:val="00F52E2C"/>
    <w:rsid w:val="00F543DF"/>
    <w:rsid w:val="00F55667"/>
    <w:rsid w:val="00F619DD"/>
    <w:rsid w:val="00F62D73"/>
    <w:rsid w:val="00F62E97"/>
    <w:rsid w:val="00F64209"/>
    <w:rsid w:val="00F650C5"/>
    <w:rsid w:val="00F76FA4"/>
    <w:rsid w:val="00F77EC6"/>
    <w:rsid w:val="00F80AEC"/>
    <w:rsid w:val="00F81A13"/>
    <w:rsid w:val="00F830E9"/>
    <w:rsid w:val="00F8354B"/>
    <w:rsid w:val="00F84381"/>
    <w:rsid w:val="00F918B3"/>
    <w:rsid w:val="00F93BF5"/>
    <w:rsid w:val="00F96309"/>
    <w:rsid w:val="00FA106B"/>
    <w:rsid w:val="00FA1AAD"/>
    <w:rsid w:val="00FA3EED"/>
    <w:rsid w:val="00FB2547"/>
    <w:rsid w:val="00FB314A"/>
    <w:rsid w:val="00FB6AB5"/>
    <w:rsid w:val="00FB6F00"/>
    <w:rsid w:val="00FC19CA"/>
    <w:rsid w:val="00FC1EB9"/>
    <w:rsid w:val="00FC2304"/>
    <w:rsid w:val="00FC245F"/>
    <w:rsid w:val="00FC35A2"/>
    <w:rsid w:val="00FD036D"/>
    <w:rsid w:val="00FD0F53"/>
    <w:rsid w:val="00FD2486"/>
    <w:rsid w:val="00FD3EB0"/>
    <w:rsid w:val="00FD560F"/>
    <w:rsid w:val="00FE04CB"/>
    <w:rsid w:val="00FE12E1"/>
    <w:rsid w:val="00FE3DE5"/>
    <w:rsid w:val="00FE7E30"/>
    <w:rsid w:val="00FF79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iPriority="99"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98"/>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152B9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152B98"/>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152B98"/>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152B98"/>
    <w:pPr>
      <w:keepNext/>
      <w:numPr>
        <w:ilvl w:val="3"/>
        <w:numId w:val="3"/>
      </w:numPr>
      <w:tabs>
        <w:tab w:val="left" w:pos="2880"/>
      </w:tabs>
      <w:spacing w:after="120"/>
      <w:outlineLvl w:val="3"/>
    </w:pPr>
    <w:rPr>
      <w:b/>
    </w:rPr>
  </w:style>
  <w:style w:type="paragraph" w:styleId="Heading5">
    <w:name w:val="heading 5"/>
    <w:basedOn w:val="Normal"/>
    <w:next w:val="ParaNum"/>
    <w:qFormat/>
    <w:rsid w:val="00152B9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52B98"/>
    <w:pPr>
      <w:numPr>
        <w:ilvl w:val="5"/>
        <w:numId w:val="3"/>
      </w:numPr>
      <w:tabs>
        <w:tab w:val="left" w:pos="4320"/>
      </w:tabs>
      <w:spacing w:after="120"/>
      <w:outlineLvl w:val="5"/>
    </w:pPr>
    <w:rPr>
      <w:b/>
    </w:rPr>
  </w:style>
  <w:style w:type="paragraph" w:styleId="Heading7">
    <w:name w:val="heading 7"/>
    <w:basedOn w:val="Normal"/>
    <w:next w:val="ParaNum"/>
    <w:qFormat/>
    <w:rsid w:val="00152B9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52B9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52B9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152B98"/>
    <w:pPr>
      <w:numPr>
        <w:numId w:val="2"/>
      </w:numPr>
      <w:tabs>
        <w:tab w:val="clear" w:pos="1080"/>
        <w:tab w:val="num" w:pos="1440"/>
      </w:tabs>
      <w:spacing w:after="120"/>
    </w:pPr>
  </w:style>
  <w:style w:type="paragraph" w:styleId="EndnoteText">
    <w:name w:val="endnote text"/>
    <w:basedOn w:val="Normal"/>
    <w:semiHidden/>
    <w:rsid w:val="00152B98"/>
    <w:rPr>
      <w:sz w:val="20"/>
    </w:rPr>
  </w:style>
  <w:style w:type="character" w:styleId="EndnoteReference">
    <w:name w:val="endnote reference"/>
    <w:semiHidden/>
    <w:rsid w:val="00152B98"/>
    <w:rPr>
      <w:vertAlign w:val="superscript"/>
    </w:rPr>
  </w:style>
  <w:style w:type="paragraph" w:styleId="FootnoteText">
    <w:name w:val="footnote text"/>
    <w:aliases w:val="ALTS FOOTNOTE,ALTS FOOTNOTE Char,ALTS FOOTNOTE Char Char Char,ALTS FOOTNOTE Char Char1,Footnote Text Char,Footnote Text Char Char Char,Footnote Text Char Char1,Footnote Text Char1 Char,fn,fn Char,fn Char Char Char,fn Char Char1,fn Char1 Ch"/>
    <w:link w:val="FootnoteTextChar1"/>
    <w:rsid w:val="00152B98"/>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152B98"/>
    <w:rPr>
      <w:rFonts w:ascii="Times New Roman" w:hAnsi="Times New Roman"/>
      <w:dstrike w:val="0"/>
      <w:color w:val="auto"/>
      <w:sz w:val="20"/>
      <w:vertAlign w:val="superscript"/>
    </w:rPr>
  </w:style>
  <w:style w:type="paragraph" w:styleId="TOC1">
    <w:name w:val="toc 1"/>
    <w:basedOn w:val="Normal"/>
    <w:next w:val="Normal"/>
    <w:semiHidden/>
    <w:rsid w:val="00152B9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2B98"/>
    <w:pPr>
      <w:tabs>
        <w:tab w:val="left" w:pos="720"/>
        <w:tab w:val="right" w:leader="dot" w:pos="9360"/>
      </w:tabs>
      <w:suppressAutoHyphens/>
      <w:ind w:left="720" w:right="720" w:hanging="360"/>
    </w:pPr>
    <w:rPr>
      <w:noProof/>
    </w:rPr>
  </w:style>
  <w:style w:type="paragraph" w:styleId="TOC3">
    <w:name w:val="toc 3"/>
    <w:basedOn w:val="Normal"/>
    <w:next w:val="Normal"/>
    <w:semiHidden/>
    <w:rsid w:val="00152B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2B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2B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2B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2B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2B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2B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2B98"/>
    <w:pPr>
      <w:tabs>
        <w:tab w:val="right" w:pos="9360"/>
      </w:tabs>
      <w:suppressAutoHyphens/>
    </w:pPr>
  </w:style>
  <w:style w:type="character" w:customStyle="1" w:styleId="EquationCaption">
    <w:name w:val="_Equation Caption"/>
    <w:rsid w:val="00152B98"/>
  </w:style>
  <w:style w:type="paragraph" w:styleId="Header">
    <w:name w:val="header"/>
    <w:basedOn w:val="Normal"/>
    <w:autoRedefine/>
    <w:rsid w:val="00152B98"/>
    <w:pPr>
      <w:tabs>
        <w:tab w:val="center" w:pos="4680"/>
        <w:tab w:val="right" w:pos="9360"/>
      </w:tabs>
    </w:pPr>
    <w:rPr>
      <w:b/>
    </w:rPr>
  </w:style>
  <w:style w:type="paragraph" w:styleId="Footer">
    <w:name w:val="footer"/>
    <w:basedOn w:val="Normal"/>
    <w:rsid w:val="00152B98"/>
    <w:pPr>
      <w:tabs>
        <w:tab w:val="center" w:pos="4320"/>
        <w:tab w:val="right" w:pos="8640"/>
      </w:tabs>
    </w:pPr>
  </w:style>
  <w:style w:type="character" w:styleId="PageNumber">
    <w:name w:val="page number"/>
    <w:basedOn w:val="DefaultParagraphFont"/>
    <w:rsid w:val="00152B98"/>
  </w:style>
  <w:style w:type="paragraph" w:styleId="BlockText">
    <w:name w:val="Block Text"/>
    <w:basedOn w:val="Normal"/>
    <w:rsid w:val="00152B98"/>
    <w:pPr>
      <w:spacing w:after="240"/>
      <w:ind w:left="1440" w:right="1440"/>
    </w:pPr>
  </w:style>
  <w:style w:type="paragraph" w:customStyle="1" w:styleId="Paratitle">
    <w:name w:val="Para title"/>
    <w:basedOn w:val="Normal"/>
    <w:rsid w:val="00152B98"/>
    <w:pPr>
      <w:tabs>
        <w:tab w:val="center" w:pos="9270"/>
      </w:tabs>
      <w:spacing w:after="240"/>
    </w:pPr>
    <w:rPr>
      <w:spacing w:val="-2"/>
    </w:rPr>
  </w:style>
  <w:style w:type="paragraph" w:customStyle="1" w:styleId="Bullet">
    <w:name w:val="Bullet"/>
    <w:basedOn w:val="Normal"/>
    <w:rsid w:val="00152B98"/>
    <w:pPr>
      <w:tabs>
        <w:tab w:val="left" w:pos="2160"/>
      </w:tabs>
      <w:spacing w:after="220"/>
      <w:ind w:left="2160" w:hanging="720"/>
    </w:pPr>
  </w:style>
  <w:style w:type="paragraph" w:customStyle="1" w:styleId="TableFormat">
    <w:name w:val="TableFormat"/>
    <w:basedOn w:val="Bullet"/>
    <w:rsid w:val="00152B98"/>
    <w:pPr>
      <w:tabs>
        <w:tab w:val="clear" w:pos="2160"/>
        <w:tab w:val="left" w:pos="5040"/>
      </w:tabs>
      <w:ind w:left="5040" w:hanging="3600"/>
    </w:pPr>
  </w:style>
  <w:style w:type="paragraph" w:customStyle="1" w:styleId="TOCTitle">
    <w:name w:val="TOC Title"/>
    <w:basedOn w:val="Normal"/>
    <w:rsid w:val="00152B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2B98"/>
    <w:pPr>
      <w:jc w:val="center"/>
    </w:pPr>
    <w:rPr>
      <w:rFonts w:ascii="Times New Roman Bold" w:hAnsi="Times New Roman Bold"/>
      <w:b/>
      <w:bCs/>
      <w:caps/>
      <w:szCs w:val="22"/>
    </w:rPr>
  </w:style>
  <w:style w:type="character" w:styleId="Hyperlink">
    <w:name w:val="Hyperlink"/>
    <w:rsid w:val="00152B98"/>
    <w:rPr>
      <w:color w:val="0000FF"/>
      <w:u w:val="single"/>
    </w:rPr>
  </w:style>
  <w:style w:type="character" w:customStyle="1" w:styleId="FootnoteTextChar1">
    <w:name w:val="Footnote Text Char1"/>
    <w:aliases w:val="ALTS FOOTNOTE Char Char Char Char,ALTS FOOTNOTE Char Char1 Char,ALTS FOOTNOTE Char1,Footnote Text Char Char,Footnote Text Char Char Char Char,Footnote Text Char Char1 Char,Footnote Text Char1 Char Char,fn Char Char Char Char,fn Char1"/>
    <w:link w:val="FootnoteText"/>
    <w:rsid w:val="0085132A"/>
  </w:style>
  <w:style w:type="character" w:customStyle="1" w:styleId="ParaNumCharChar1">
    <w:name w:val="ParaNum Char Char1"/>
    <w:link w:val="ParaNum"/>
    <w:locked/>
    <w:rsid w:val="0085132A"/>
    <w:rPr>
      <w:snapToGrid w:val="0"/>
      <w:kern w:val="28"/>
      <w:sz w:val="22"/>
    </w:rPr>
  </w:style>
  <w:style w:type="paragraph" w:styleId="HTMLPreformatted">
    <w:name w:val="HTML Preformatted"/>
    <w:basedOn w:val="Normal"/>
    <w:link w:val="HTMLPreformattedChar"/>
    <w:uiPriority w:val="99"/>
    <w:unhideWhenUsed/>
    <w:rsid w:val="00851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uiPriority w:val="99"/>
    <w:rsid w:val="0085132A"/>
    <w:rPr>
      <w:rFonts w:ascii="Courier New" w:hAnsi="Courier New" w:cs="Courier New"/>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85132A"/>
    <w:rPr>
      <w:rFonts w:ascii="Times New Roman Bold" w:hAnsi="Times New Roman Bold"/>
      <w:b/>
      <w:caps/>
      <w:snapToGrid w:val="0"/>
      <w:kern w:val="28"/>
      <w:sz w:val="22"/>
    </w:rPr>
  </w:style>
  <w:style w:type="paragraph" w:styleId="ListParagraph">
    <w:name w:val="List Paragraph"/>
    <w:basedOn w:val="Normal"/>
    <w:uiPriority w:val="34"/>
    <w:qFormat/>
    <w:rsid w:val="00ED1A5A"/>
    <w:pPr>
      <w:widowControl/>
      <w:ind w:left="720"/>
      <w:contextualSpacing/>
    </w:pPr>
    <w:rPr>
      <w:rFonts w:eastAsiaTheme="minorHAnsi" w:cstheme="minorBidi"/>
      <w:snapToGrid/>
      <w:kern w:val="0"/>
      <w:sz w:val="24"/>
      <w:szCs w:val="22"/>
    </w:rPr>
  </w:style>
  <w:style w:type="character" w:styleId="CommentReference">
    <w:name w:val="annotation reference"/>
    <w:basedOn w:val="DefaultParagraphFont"/>
    <w:rsid w:val="00FA3EED"/>
    <w:rPr>
      <w:sz w:val="16"/>
      <w:szCs w:val="16"/>
    </w:rPr>
  </w:style>
  <w:style w:type="paragraph" w:styleId="CommentText">
    <w:name w:val="annotation text"/>
    <w:basedOn w:val="Normal"/>
    <w:link w:val="CommentTextChar"/>
    <w:rsid w:val="00FA3EED"/>
    <w:rPr>
      <w:sz w:val="20"/>
    </w:rPr>
  </w:style>
  <w:style w:type="character" w:customStyle="1" w:styleId="CommentTextChar">
    <w:name w:val="Comment Text Char"/>
    <w:basedOn w:val="DefaultParagraphFont"/>
    <w:link w:val="CommentText"/>
    <w:rsid w:val="00FA3EED"/>
    <w:rPr>
      <w:snapToGrid w:val="0"/>
      <w:kern w:val="28"/>
    </w:rPr>
  </w:style>
  <w:style w:type="paragraph" w:styleId="CommentSubject">
    <w:name w:val="annotation subject"/>
    <w:basedOn w:val="CommentText"/>
    <w:next w:val="CommentText"/>
    <w:link w:val="CommentSubjectChar"/>
    <w:rsid w:val="00FA3EED"/>
    <w:rPr>
      <w:b/>
      <w:bCs/>
    </w:rPr>
  </w:style>
  <w:style w:type="character" w:customStyle="1" w:styleId="CommentSubjectChar">
    <w:name w:val="Comment Subject Char"/>
    <w:basedOn w:val="CommentTextChar"/>
    <w:link w:val="CommentSubject"/>
    <w:rsid w:val="00FA3EED"/>
    <w:rPr>
      <w:b/>
      <w:bCs/>
      <w:snapToGrid w:val="0"/>
      <w:kern w:val="28"/>
    </w:rPr>
  </w:style>
  <w:style w:type="paragraph" w:styleId="BalloonText">
    <w:name w:val="Balloon Text"/>
    <w:basedOn w:val="Normal"/>
    <w:link w:val="BalloonTextChar"/>
    <w:rsid w:val="00FA3EED"/>
    <w:rPr>
      <w:rFonts w:ascii="Segoe UI" w:hAnsi="Segoe UI" w:cs="Segoe UI"/>
      <w:sz w:val="18"/>
      <w:szCs w:val="18"/>
    </w:rPr>
  </w:style>
  <w:style w:type="character" w:customStyle="1" w:styleId="BalloonTextChar">
    <w:name w:val="Balloon Text Char"/>
    <w:basedOn w:val="DefaultParagraphFont"/>
    <w:link w:val="BalloonText"/>
    <w:rsid w:val="00FA3EED"/>
    <w:rPr>
      <w:rFonts w:ascii="Segoe UI" w:hAnsi="Segoe UI" w:cs="Segoe UI"/>
      <w:snapToGrid w:val="0"/>
      <w:kern w:val="28"/>
      <w:sz w:val="18"/>
      <w:szCs w:val="18"/>
    </w:rPr>
  </w:style>
  <w:style w:type="character" w:customStyle="1" w:styleId="ALTSFOOTNOTECharChar">
    <w:name w:val="ALTS FOOTNOTE Char Char"/>
    <w:aliases w:val="Footnote Text Char2 Char Char,Footnote Text Char2 Char1 Char1 Char Char,Footnote Text Char3 Char1 Char Char,Footnote Text Char3 Char1 Char Char Char Char,f Char,fn Char Char,fn Char1 Char,fn Char2"/>
    <w:uiPriority w:val="99"/>
    <w:semiHidden/>
    <w:locked/>
    <w:rsid w:val="006A70A9"/>
    <w:rPr>
      <w:lang w:val="en-US" w:eastAsia="en-US"/>
    </w:rPr>
  </w:style>
  <w:style w:type="character" w:customStyle="1" w:styleId="Mention1">
    <w:name w:val="Mention1"/>
    <w:basedOn w:val="DefaultParagraphFont"/>
    <w:uiPriority w:val="99"/>
    <w:semiHidden/>
    <w:unhideWhenUsed/>
    <w:rsid w:val="00FD0F53"/>
    <w:rPr>
      <w:color w:val="2B579A"/>
      <w:shd w:val="clear" w:color="auto" w:fill="E6E6E6"/>
    </w:rPr>
  </w:style>
  <w:style w:type="paragraph" w:styleId="Revision">
    <w:name w:val="Revision"/>
    <w:hidden/>
    <w:uiPriority w:val="99"/>
    <w:semiHidden/>
    <w:rsid w:val="00C2543E"/>
    <w:rPr>
      <w:snapToGrid w:val="0"/>
      <w:kern w:val="28"/>
      <w:sz w:val="22"/>
    </w:rPr>
  </w:style>
  <w:style w:type="character" w:customStyle="1" w:styleId="UnresolvedMention1">
    <w:name w:val="Unresolved Mention1"/>
    <w:basedOn w:val="DefaultParagraphFont"/>
    <w:uiPriority w:val="99"/>
    <w:semiHidden/>
    <w:unhideWhenUsed/>
    <w:rsid w:val="009415CC"/>
    <w:rPr>
      <w:color w:val="808080"/>
      <w:shd w:val="clear" w:color="auto" w:fill="E6E6E6"/>
    </w:rPr>
  </w:style>
  <w:style w:type="character" w:styleId="FollowedHyperlink">
    <w:name w:val="FollowedHyperlink"/>
    <w:basedOn w:val="DefaultParagraphFont"/>
    <w:rsid w:val="00817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74DB-2EEE-401B-9E60-1DC45BC9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2018-02-22T18:27:35Z</dcterms:created>
  <dcterms:modified xsi:type="dcterms:W3CDTF">2018-02-22T18:27:35Z</dcterms:modified>
</cp:coreProperties>
</file>