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83458" w:rsidRPr="00DF7F38" w:rsidP="00E34125" w14:paraId="1B38ED72" w14:textId="77777777">
      <w:pPr>
        <w:rPr>
          <w:sz w:val="22"/>
        </w:rPr>
      </w:pPr>
      <w:bookmarkStart w:id="0" w:name="_GoBack"/>
      <w:bookmarkEnd w:id="0"/>
    </w:p>
    <w:p w:rsidR="00583458" w:rsidP="00E34125" w14:paraId="71FA0122" w14:textId="696DA381">
      <w:pPr>
        <w:jc w:val="right"/>
      </w:pPr>
      <w:r w:rsidRPr="00DF7F38">
        <w:rPr>
          <w:b/>
          <w:sz w:val="24"/>
        </w:rPr>
        <w:t>DA</w:t>
      </w:r>
      <w:r w:rsidR="004D7CC1">
        <w:rPr>
          <w:sz w:val="24"/>
        </w:rPr>
        <w:t xml:space="preserve"> </w:t>
      </w:r>
      <w:r w:rsidRPr="0059603D" w:rsidR="0059603D">
        <w:rPr>
          <w:b/>
          <w:sz w:val="24"/>
        </w:rPr>
        <w:t>18-157</w:t>
      </w:r>
    </w:p>
    <w:p w:rsidR="00FF48A1" w:rsidP="00E34125" w14:paraId="79CD4003" w14:textId="77777777">
      <w:pPr>
        <w:jc w:val="center"/>
        <w:rPr>
          <w:b/>
          <w:sz w:val="36"/>
          <w:szCs w:val="36"/>
        </w:rPr>
      </w:pPr>
    </w:p>
    <w:p w:rsidR="00583458" w:rsidRPr="00DF7F38" w:rsidP="00E34125" w14:paraId="6C9AB95E" w14:textId="77777777">
      <w:pPr>
        <w:jc w:val="center"/>
        <w:rPr>
          <w:b/>
          <w:sz w:val="36"/>
          <w:szCs w:val="36"/>
        </w:rPr>
      </w:pPr>
      <w:r w:rsidRPr="00DF7F38">
        <w:rPr>
          <w:b/>
          <w:sz w:val="36"/>
          <w:szCs w:val="36"/>
        </w:rPr>
        <w:t>Small Entity Compliance Guide</w:t>
      </w:r>
    </w:p>
    <w:p w:rsidR="00583458" w:rsidRPr="00DF7F38" w:rsidP="00E34125" w14:paraId="06C6497B" w14:textId="77777777">
      <w:pPr>
        <w:rPr>
          <w:sz w:val="22"/>
          <w:szCs w:val="24"/>
        </w:rPr>
      </w:pPr>
    </w:p>
    <w:p w:rsidR="00583458" w:rsidRPr="00DF7F38" w:rsidP="00E34125" w14:paraId="7FFDB0BF" w14:textId="77777777">
      <w:pPr>
        <w:jc w:val="center"/>
        <w:rPr>
          <w:b/>
          <w:sz w:val="28"/>
          <w:szCs w:val="28"/>
        </w:rPr>
      </w:pPr>
      <w:bookmarkStart w:id="1" w:name="_Hlk506531057"/>
      <w:r>
        <w:rPr>
          <w:b/>
          <w:sz w:val="28"/>
          <w:szCs w:val="28"/>
        </w:rPr>
        <w:t>Noncommercial Educational Station Fundraising</w:t>
      </w:r>
      <w:r>
        <w:rPr>
          <w:b/>
          <w:sz w:val="28"/>
          <w:szCs w:val="28"/>
        </w:rPr>
        <w:br/>
        <w:t>for Third-Party Non-Profit Organizations</w:t>
      </w:r>
    </w:p>
    <w:p w:rsidR="00583458" w:rsidRPr="00DF7F38" w:rsidP="00E34125" w14:paraId="42729103" w14:textId="77777777">
      <w:pPr>
        <w:rPr>
          <w:sz w:val="22"/>
          <w:szCs w:val="24"/>
        </w:rPr>
      </w:pPr>
      <w:bookmarkEnd w:id="1"/>
    </w:p>
    <w:p w:rsidR="00583458" w:rsidRPr="00DF7F38" w:rsidP="00E34125" w14:paraId="59B26118" w14:textId="77777777">
      <w:pPr>
        <w:jc w:val="center"/>
        <w:rPr>
          <w:bCs/>
          <w:sz w:val="24"/>
          <w:szCs w:val="24"/>
        </w:rPr>
      </w:pPr>
      <w:r w:rsidRPr="00DF7F38">
        <w:rPr>
          <w:bCs/>
          <w:sz w:val="24"/>
          <w:szCs w:val="24"/>
        </w:rPr>
        <w:t>FCC 1</w:t>
      </w:r>
      <w:r w:rsidR="00F730AB">
        <w:rPr>
          <w:bCs/>
          <w:sz w:val="24"/>
          <w:szCs w:val="24"/>
        </w:rPr>
        <w:t>7</w:t>
      </w:r>
      <w:r w:rsidRPr="00DF7F38">
        <w:rPr>
          <w:bCs/>
          <w:sz w:val="24"/>
          <w:szCs w:val="24"/>
        </w:rPr>
        <w:t>-</w:t>
      </w:r>
      <w:r w:rsidR="005E4620">
        <w:rPr>
          <w:bCs/>
          <w:sz w:val="24"/>
          <w:szCs w:val="24"/>
        </w:rPr>
        <w:t>41</w:t>
      </w:r>
    </w:p>
    <w:p w:rsidR="00583458" w:rsidP="00E34125" w14:paraId="2B43C92F" w14:textId="77777777">
      <w:pPr>
        <w:jc w:val="center"/>
        <w:rPr>
          <w:spacing w:val="-2"/>
          <w:sz w:val="24"/>
          <w:szCs w:val="24"/>
        </w:rPr>
      </w:pPr>
      <w:r w:rsidRPr="00DF7F38">
        <w:rPr>
          <w:spacing w:val="-2"/>
          <w:sz w:val="24"/>
          <w:szCs w:val="24"/>
        </w:rPr>
        <w:t>MB Docket No. 12-</w:t>
      </w:r>
      <w:r w:rsidR="00F730AB">
        <w:rPr>
          <w:spacing w:val="-2"/>
          <w:sz w:val="24"/>
          <w:szCs w:val="24"/>
        </w:rPr>
        <w:t>106</w:t>
      </w:r>
    </w:p>
    <w:p w:rsidR="007B6800" w:rsidRPr="00DF7F38" w:rsidP="00E34125" w14:paraId="1921EFF9" w14:textId="45FFD0CA">
      <w:pPr>
        <w:jc w:val="center"/>
        <w:rPr>
          <w:sz w:val="24"/>
          <w:szCs w:val="24"/>
        </w:rPr>
      </w:pPr>
      <w:r>
        <w:rPr>
          <w:spacing w:val="-2"/>
          <w:sz w:val="24"/>
          <w:szCs w:val="24"/>
        </w:rPr>
        <w:t>Released April 20, 2017</w:t>
      </w:r>
    </w:p>
    <w:p w:rsidR="00583458" w:rsidRPr="00DF7F38" w:rsidP="00E34125" w14:paraId="6289E664" w14:textId="77777777">
      <w:pPr>
        <w:rPr>
          <w:sz w:val="22"/>
          <w:szCs w:val="22"/>
        </w:rPr>
      </w:pPr>
    </w:p>
    <w:p w:rsidR="00583458" w:rsidRPr="004D7CC1" w:rsidP="004D7CC1" w14:paraId="5F586DC2" w14:textId="62435D56">
      <w:pPr>
        <w:ind w:left="720"/>
        <w:jc w:val="both"/>
        <w:rPr>
          <w:b/>
          <w:sz w:val="22"/>
          <w:szCs w:val="22"/>
        </w:rPr>
      </w:pPr>
      <w:r w:rsidRPr="009B4591">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jurisdictions—to comply with the </w:t>
      </w:r>
      <w:r w:rsidR="00F01236">
        <w:rPr>
          <w:b/>
          <w:sz w:val="22"/>
          <w:szCs w:val="22"/>
        </w:rPr>
        <w:t xml:space="preserve">revised </w:t>
      </w:r>
      <w:r w:rsidRPr="009B4591">
        <w:rPr>
          <w:b/>
          <w:sz w:val="22"/>
          <w:szCs w:val="22"/>
        </w:rPr>
        <w:t xml:space="preserve">rules adopted in the above-referenced </w:t>
      </w:r>
      <w:r w:rsidRPr="006D255C" w:rsidR="00F01236">
        <w:rPr>
          <w:b/>
          <w:sz w:val="22"/>
          <w:szCs w:val="22"/>
        </w:rPr>
        <w:t>Federal Communications Commission (</w:t>
      </w:r>
      <w:r w:rsidRPr="004D7CC1">
        <w:rPr>
          <w:b/>
          <w:sz w:val="22"/>
          <w:szCs w:val="22"/>
        </w:rPr>
        <w:t>FCC</w:t>
      </w:r>
      <w:r w:rsidRPr="004D7CC1" w:rsidR="00F01236">
        <w:rPr>
          <w:b/>
          <w:sz w:val="22"/>
          <w:szCs w:val="22"/>
        </w:rPr>
        <w:t xml:space="preserve"> or Commission)</w:t>
      </w:r>
      <w:r w:rsidRPr="004D7CC1">
        <w:rPr>
          <w:b/>
          <w:sz w:val="22"/>
          <w:szCs w:val="22"/>
        </w:rPr>
        <w:t xml:space="preserve"> rulemaking dockets.  This Guide is not intended to replace </w:t>
      </w:r>
      <w:r w:rsidRPr="006D255C" w:rsidR="00F01236">
        <w:rPr>
          <w:b/>
          <w:sz w:val="22"/>
          <w:szCs w:val="22"/>
        </w:rPr>
        <w:t>or supersede</w:t>
      </w:r>
      <w:r w:rsidRPr="004D7CC1" w:rsidR="00F01236">
        <w:rPr>
          <w:b/>
          <w:sz w:val="22"/>
          <w:szCs w:val="22"/>
        </w:rPr>
        <w:t xml:space="preserve"> </w:t>
      </w:r>
      <w:r w:rsidRPr="004D7CC1">
        <w:rPr>
          <w:b/>
          <w:sz w:val="22"/>
          <w:szCs w:val="22"/>
        </w:rPr>
        <w:t>the</w:t>
      </w:r>
      <w:r w:rsidRPr="004D7CC1" w:rsidR="00F01236">
        <w:rPr>
          <w:b/>
          <w:sz w:val="22"/>
          <w:szCs w:val="22"/>
        </w:rPr>
        <w:t>se</w:t>
      </w:r>
      <w:r w:rsidRPr="004D7CC1">
        <w:rPr>
          <w:b/>
          <w:sz w:val="22"/>
          <w:szCs w:val="22"/>
        </w:rPr>
        <w:t xml:space="preserve"> rules </w:t>
      </w:r>
      <w:r w:rsidRPr="006D255C" w:rsidR="00F01236">
        <w:rPr>
          <w:b/>
          <w:sz w:val="22"/>
          <w:szCs w:val="22"/>
        </w:rPr>
        <w:t>but to facilitate compliance</w:t>
      </w:r>
      <w:r w:rsidRPr="006D255C" w:rsidR="00F01236">
        <w:rPr>
          <w:b/>
        </w:rPr>
        <w:t xml:space="preserve"> </w:t>
      </w:r>
      <w:r w:rsidRPr="004D7CC1">
        <w:rPr>
          <w:b/>
          <w:sz w:val="22"/>
          <w:szCs w:val="22"/>
        </w:rPr>
        <w:t xml:space="preserve">with the rules.  Although we have attempted to cover all parts of the rules that might be especially important to small entities, the coverage may not be exhaustive.    This Guide </w:t>
      </w:r>
      <w:r w:rsidRPr="006D255C" w:rsidR="00F01236">
        <w:rPr>
          <w:b/>
          <w:sz w:val="22"/>
          <w:szCs w:val="22"/>
        </w:rPr>
        <w:t>cannot anticipate all situations in which the rules apply</w:t>
      </w:r>
      <w:r w:rsidRPr="004D7CC1" w:rsidR="00F01236">
        <w:rPr>
          <w:b/>
          <w:sz w:val="22"/>
          <w:szCs w:val="22"/>
        </w:rPr>
        <w:t xml:space="preserve">.  </w:t>
      </w:r>
      <w:r w:rsidRPr="006D255C" w:rsidR="00F01236">
        <w:rPr>
          <w:b/>
          <w:sz w:val="22"/>
          <w:szCs w:val="22"/>
        </w:rPr>
        <w:t>Furthermore,</w:t>
      </w:r>
      <w:r w:rsidRPr="004D7CC1" w:rsidR="00F01236">
        <w:rPr>
          <w:b/>
        </w:rPr>
        <w:t xml:space="preserve"> </w:t>
      </w:r>
      <w:r w:rsidRPr="004D7CC1">
        <w:rPr>
          <w:b/>
          <w:sz w:val="22"/>
          <w:szCs w:val="22"/>
        </w:rPr>
        <w:t xml:space="preserve">the </w:t>
      </w:r>
      <w:r w:rsidRPr="004D7CC1" w:rsidR="00F01236">
        <w:rPr>
          <w:b/>
          <w:sz w:val="22"/>
          <w:szCs w:val="22"/>
        </w:rPr>
        <w:t xml:space="preserve">Commission </w:t>
      </w:r>
      <w:r w:rsidRPr="004D7CC1">
        <w:rPr>
          <w:b/>
          <w:sz w:val="22"/>
          <w:szCs w:val="22"/>
        </w:rPr>
        <w:t xml:space="preserve">retains the discretion to adopt case-by-case </w:t>
      </w:r>
      <w:r w:rsidRPr="004D7CC1" w:rsidR="00F01236">
        <w:rPr>
          <w:b/>
          <w:sz w:val="22"/>
          <w:szCs w:val="22"/>
        </w:rPr>
        <w:t xml:space="preserve">approaches, where appropriate, </w:t>
      </w:r>
      <w:r w:rsidRPr="004D7CC1">
        <w:rPr>
          <w:b/>
          <w:sz w:val="22"/>
          <w:szCs w:val="22"/>
        </w:rPr>
        <w:t xml:space="preserve">that may differ from this Guide.  Any decisions regarding a particular small entity will be based on the statute and </w:t>
      </w:r>
      <w:r w:rsidRPr="006D255C" w:rsidR="00F01236">
        <w:rPr>
          <w:b/>
          <w:sz w:val="22"/>
          <w:szCs w:val="22"/>
        </w:rPr>
        <w:t>any relevant rule</w:t>
      </w:r>
      <w:r w:rsidRPr="006D255C" w:rsidR="00F01236">
        <w:rPr>
          <w:b/>
        </w:rPr>
        <w:t>s</w:t>
      </w:r>
      <w:r w:rsidRPr="004D7CC1">
        <w:rPr>
          <w:b/>
          <w:sz w:val="22"/>
          <w:szCs w:val="22"/>
        </w:rPr>
        <w:t>.</w:t>
      </w:r>
    </w:p>
    <w:p w:rsidR="00583458" w:rsidRPr="004D7CC1" w:rsidP="004D7CC1" w14:paraId="5E7786BD" w14:textId="77777777">
      <w:pPr>
        <w:ind w:left="720"/>
        <w:jc w:val="both"/>
        <w:rPr>
          <w:b/>
          <w:sz w:val="22"/>
          <w:szCs w:val="22"/>
        </w:rPr>
      </w:pPr>
    </w:p>
    <w:p w:rsidR="00583458" w:rsidRPr="00367A43" w:rsidP="004D7CC1" w14:paraId="2A78E3A4" w14:textId="797A2F1C">
      <w:pPr>
        <w:ind w:left="720"/>
        <w:jc w:val="both"/>
        <w:rPr>
          <w:b/>
          <w:sz w:val="22"/>
          <w:szCs w:val="22"/>
        </w:rPr>
      </w:pPr>
      <w:r w:rsidRPr="009B4591">
        <w:rPr>
          <w:b/>
          <w:sz w:val="22"/>
          <w:szCs w:val="22"/>
        </w:rPr>
        <w:t>In any civil or administrative action against a small entity for a violation of rules, the content of the Small Entity Compliance Guide maybe considered as evidence of the reasonableness or appropriateness of proposed fines, penalties and damages.  Interested parties are free to file comments regarding this Guide and the appropriateness of its application to a particular situation</w:t>
      </w:r>
      <w:r w:rsidR="004D7CC1">
        <w:rPr>
          <w:b/>
          <w:sz w:val="22"/>
          <w:szCs w:val="22"/>
        </w:rPr>
        <w:t>.</w:t>
      </w:r>
      <w:r w:rsidRPr="009B4591">
        <w:rPr>
          <w:b/>
          <w:sz w:val="22"/>
          <w:szCs w:val="22"/>
        </w:rPr>
        <w:t xml:space="preserve"> </w:t>
      </w:r>
      <w:r w:rsidR="004D7CC1">
        <w:rPr>
          <w:b/>
          <w:sz w:val="22"/>
          <w:szCs w:val="22"/>
        </w:rPr>
        <w:t>T</w:t>
      </w:r>
      <w:r w:rsidRPr="009B4591">
        <w:rPr>
          <w:b/>
          <w:sz w:val="22"/>
          <w:szCs w:val="22"/>
        </w:rPr>
        <w:t>he FCC will</w:t>
      </w:r>
      <w:r w:rsidR="004D7CC1">
        <w:rPr>
          <w:b/>
          <w:sz w:val="22"/>
          <w:szCs w:val="22"/>
        </w:rPr>
        <w:t xml:space="preserve"> then</w:t>
      </w:r>
      <w:r w:rsidRPr="009B4591">
        <w:rPr>
          <w:b/>
          <w:sz w:val="22"/>
          <w:szCs w:val="22"/>
        </w:rPr>
        <w:t xml:space="preserve"> consider whether the recommendations or interpretations in the Guide are appropriate in that situation. The FCC may decide to revise this Guide without public notice to reflect changes in the FCC’s approach to implementing a rule, or </w:t>
      </w:r>
      <w:r w:rsidR="004D7CC1">
        <w:rPr>
          <w:b/>
          <w:sz w:val="22"/>
          <w:szCs w:val="22"/>
        </w:rPr>
        <w:t xml:space="preserve">it may </w:t>
      </w:r>
      <w:r w:rsidRPr="009B4591">
        <w:rPr>
          <w:b/>
          <w:sz w:val="22"/>
          <w:szCs w:val="22"/>
        </w:rPr>
        <w:t>clarify or update the text of the Guide.  Direct your comments and recommendations, or calls for further assistance, to the FCC’s Consumer Center:</w:t>
      </w:r>
    </w:p>
    <w:p w:rsidR="00583458" w:rsidP="004D7CC1" w14:paraId="7AC1E264" w14:textId="77777777">
      <w:pPr>
        <w:rPr>
          <w:sz w:val="22"/>
          <w:szCs w:val="22"/>
        </w:rPr>
      </w:pPr>
    </w:p>
    <w:p w:rsidR="00583458" w:rsidP="004D7CC1" w14:paraId="7B171208" w14:textId="2DB30702">
      <w:pPr>
        <w:spacing w:after="60"/>
        <w:jc w:val="center"/>
        <w:rPr>
          <w:color w:val="000000"/>
          <w:sz w:val="22"/>
          <w:szCs w:val="22"/>
        </w:rPr>
      </w:pPr>
      <w:r w:rsidRPr="00367A43">
        <w:rPr>
          <w:b/>
          <w:color w:val="000000"/>
          <w:sz w:val="22"/>
          <w:szCs w:val="22"/>
        </w:rPr>
        <w:t>1</w:t>
      </w:r>
      <w:r>
        <w:rPr>
          <w:b/>
          <w:color w:val="000000"/>
          <w:sz w:val="22"/>
          <w:szCs w:val="22"/>
        </w:rPr>
        <w:t>-888-CALL-FCC (1-888-225-5322)</w:t>
      </w:r>
    </w:p>
    <w:p w:rsidR="00F81419" w:rsidP="006D255C" w14:paraId="2DD52BF2" w14:textId="77777777">
      <w:pPr>
        <w:tabs>
          <w:tab w:val="left" w:pos="5925"/>
        </w:tabs>
        <w:spacing w:after="60"/>
        <w:jc w:val="center"/>
        <w:rPr>
          <w:b/>
          <w:color w:val="000000"/>
          <w:sz w:val="22"/>
          <w:szCs w:val="22"/>
        </w:rPr>
      </w:pPr>
      <w:r w:rsidRPr="00367A43">
        <w:rPr>
          <w:b/>
          <w:color w:val="000000"/>
          <w:sz w:val="22"/>
          <w:szCs w:val="22"/>
        </w:rPr>
        <w:t>TTY: 1-</w:t>
      </w:r>
      <w:r>
        <w:rPr>
          <w:b/>
          <w:color w:val="000000"/>
          <w:sz w:val="22"/>
          <w:szCs w:val="22"/>
        </w:rPr>
        <w:t>888-TELL-FCC (1-888-835-5322)</w:t>
      </w:r>
    </w:p>
    <w:p w:rsidR="00F81419" w:rsidRPr="006D255C" w:rsidP="004D7CC1" w14:paraId="5C4597CF" w14:textId="427A020C">
      <w:pPr>
        <w:tabs>
          <w:tab w:val="left" w:pos="5925"/>
        </w:tabs>
        <w:spacing w:after="60"/>
        <w:jc w:val="center"/>
        <w:rPr>
          <w:b/>
          <w:sz w:val="22"/>
          <w:szCs w:val="22"/>
        </w:rPr>
      </w:pPr>
      <w:r w:rsidRPr="006D255C">
        <w:rPr>
          <w:b/>
          <w:sz w:val="22"/>
          <w:szCs w:val="22"/>
        </w:rPr>
        <w:t>Videophone: 1-844-4-FCC-ASL (1-844-432-2275)</w:t>
      </w:r>
    </w:p>
    <w:p w:rsidR="004D7CC1" w:rsidP="00E34125" w14:paraId="2591B42A" w14:textId="0E15C3E2">
      <w:pPr>
        <w:spacing w:after="60"/>
        <w:jc w:val="center"/>
        <w:rPr>
          <w:b/>
          <w:color w:val="000000"/>
          <w:sz w:val="22"/>
          <w:szCs w:val="22"/>
        </w:rPr>
      </w:pPr>
      <w:r w:rsidRPr="00367A43">
        <w:rPr>
          <w:b/>
          <w:color w:val="000000"/>
          <w:sz w:val="22"/>
          <w:szCs w:val="22"/>
        </w:rPr>
        <w:t xml:space="preserve">Fax: </w:t>
      </w:r>
      <w:r w:rsidR="00E059A0">
        <w:rPr>
          <w:b/>
          <w:color w:val="000000"/>
          <w:sz w:val="22"/>
          <w:szCs w:val="22"/>
        </w:rPr>
        <w:t>1-866</w:t>
      </w:r>
      <w:r w:rsidRPr="00367A43">
        <w:rPr>
          <w:b/>
          <w:color w:val="000000"/>
          <w:sz w:val="22"/>
          <w:szCs w:val="22"/>
        </w:rPr>
        <w:t>-418-0232</w:t>
      </w:r>
    </w:p>
    <w:p w:rsidR="004D7CC1" w14:paraId="74086953" w14:textId="77777777">
      <w:pPr>
        <w:rPr>
          <w:b/>
          <w:color w:val="000000"/>
          <w:sz w:val="22"/>
          <w:szCs w:val="22"/>
        </w:rPr>
      </w:pPr>
      <w:r>
        <w:rPr>
          <w:b/>
          <w:color w:val="000000"/>
          <w:sz w:val="22"/>
          <w:szCs w:val="22"/>
        </w:rPr>
        <w:br w:type="page"/>
      </w:r>
    </w:p>
    <w:p w:rsidR="00583458" w:rsidP="00E34125" w14:paraId="3366E96D" w14:textId="77777777">
      <w:pPr>
        <w:spacing w:after="60"/>
        <w:jc w:val="center"/>
        <w:rPr>
          <w:b/>
          <w:color w:val="000000"/>
          <w:sz w:val="22"/>
          <w:szCs w:val="22"/>
        </w:rPr>
      </w:pPr>
    </w:p>
    <w:p w:rsidR="006D255C" w:rsidP="004D7CC1" w14:paraId="69A0DE15" w14:textId="77777777">
      <w:pPr>
        <w:tabs>
          <w:tab w:val="center" w:pos="4680"/>
          <w:tab w:val="left" w:pos="6540"/>
        </w:tabs>
      </w:pPr>
      <w:r>
        <w:tab/>
      </w:r>
    </w:p>
    <w:sdt>
      <w:sdtPr>
        <w:rPr>
          <w:rFonts w:asciiTheme="minorHAnsi" w:eastAsiaTheme="minorEastAsia" w:hAnsiTheme="minorHAnsi"/>
          <w:sz w:val="22"/>
          <w:szCs w:val="22"/>
        </w:rPr>
        <w:id w:val="1661814058"/>
        <w:docPartObj>
          <w:docPartGallery w:val="Table of Contents"/>
          <w:docPartUnique/>
        </w:docPartObj>
      </w:sdtPr>
      <w:sdtContent>
        <w:p w:rsidR="004D7CC1" w:rsidRPr="00074CA4" w:rsidP="004D7CC1" w14:paraId="595FDD5B" w14:textId="552438B8">
          <w:pPr>
            <w:tabs>
              <w:tab w:val="center" w:pos="4680"/>
              <w:tab w:val="left" w:pos="6540"/>
            </w:tabs>
            <w:rPr>
              <w:b/>
              <w:caps/>
              <w:sz w:val="22"/>
              <w:szCs w:val="22"/>
              <w:u w:val="single"/>
            </w:rPr>
          </w:pPr>
          <w:r w:rsidRPr="00074CA4">
            <w:rPr>
              <w:b/>
              <w:caps/>
              <w:sz w:val="22"/>
              <w:szCs w:val="22"/>
              <w:u w:val="single"/>
            </w:rPr>
            <w:t>Table of Contents</w:t>
          </w:r>
        </w:p>
        <w:p w:rsidR="004D7CC1" w:rsidRPr="00074CA4" w:rsidP="004D7CC1" w14:paraId="4DBBDEB3" w14:textId="77777777"/>
        <w:p w:rsidR="004D7CC1" w:rsidRPr="00074CA4" w:rsidP="004D7CC1" w14:paraId="3B5B4F6C" w14:textId="77777777"/>
        <w:p w:rsidR="004D7CC1" w:rsidRPr="00074CA4" w:rsidP="004D7CC1" w14:paraId="3902A645" w14:textId="77777777">
          <w:pPr>
            <w:pStyle w:val="TOC1"/>
            <w:rPr>
              <w:rFonts w:ascii="Times New Roman" w:hAnsi="Times New Roman"/>
            </w:rPr>
          </w:pPr>
          <w:r w:rsidRPr="00074CA4">
            <w:rPr>
              <w:rFonts w:ascii="Times New Roman" w:hAnsi="Times New Roman"/>
              <w:b/>
            </w:rPr>
            <w:t>I.</w:t>
          </w:r>
          <w:r w:rsidRPr="00074CA4">
            <w:rPr>
              <w:rFonts w:ascii="Times New Roman" w:hAnsi="Times New Roman"/>
              <w:b/>
            </w:rPr>
            <w:tab/>
            <w:t>OBJECTIVES OF THE PROCEEDING</w:t>
          </w:r>
          <w:r w:rsidRPr="00074CA4">
            <w:rPr>
              <w:rFonts w:ascii="Times New Roman" w:hAnsi="Times New Roman"/>
            </w:rPr>
            <w:t xml:space="preserve"> </w:t>
          </w:r>
          <w:r>
            <w:ptab w:relativeTo="margin" w:alignment="right" w:leader="dot"/>
          </w:r>
          <w:r w:rsidRPr="00074CA4">
            <w:rPr>
              <w:rFonts w:ascii="Times New Roman" w:hAnsi="Times New Roman"/>
              <w:b/>
              <w:bCs/>
            </w:rPr>
            <w:t>1</w:t>
          </w:r>
        </w:p>
        <w:p w:rsidR="004D7CC1" w:rsidRPr="00074CA4" w:rsidP="004D7CC1" w14:paraId="35B17C35" w14:textId="77777777">
          <w:pPr>
            <w:pStyle w:val="TOC1"/>
            <w:rPr>
              <w:rFonts w:ascii="Times New Roman" w:hAnsi="Times New Roman"/>
              <w:b/>
              <w:bCs/>
            </w:rPr>
          </w:pPr>
          <w:r w:rsidRPr="00074CA4">
            <w:rPr>
              <w:rFonts w:ascii="Times New Roman" w:hAnsi="Times New Roman"/>
              <w:b/>
            </w:rPr>
            <w:t>II.</w:t>
          </w:r>
          <w:r w:rsidRPr="00074CA4">
            <w:rPr>
              <w:rFonts w:ascii="Times New Roman" w:hAnsi="Times New Roman"/>
              <w:b/>
            </w:rPr>
            <w:tab/>
            <w:t>COMPLIANCE REQUIREMENTS</w:t>
          </w:r>
          <w:r w:rsidRPr="00074CA4">
            <w:rPr>
              <w:rFonts w:ascii="Times New Roman" w:hAnsi="Times New Roman"/>
            </w:rPr>
            <w:t xml:space="preserve"> </w:t>
          </w:r>
          <w:r>
            <w:ptab w:relativeTo="margin" w:alignment="right" w:leader="dot"/>
          </w:r>
          <w:r>
            <w:rPr>
              <w:rFonts w:ascii="Times New Roman" w:hAnsi="Times New Roman"/>
              <w:b/>
              <w:bCs/>
            </w:rPr>
            <w:t>1</w:t>
          </w:r>
        </w:p>
        <w:p w:rsidR="004D7CC1" w:rsidRPr="00074CA4" w:rsidP="004D7CC1" w14:paraId="74F6E09B" w14:textId="77777777">
          <w:pPr>
            <w:pStyle w:val="TOC1"/>
            <w:rPr>
              <w:rFonts w:ascii="Times New Roman" w:hAnsi="Times New Roman"/>
              <w:b/>
              <w:bCs/>
            </w:rPr>
          </w:pPr>
          <w:r w:rsidRPr="00074CA4">
            <w:rPr>
              <w:rFonts w:ascii="Times New Roman" w:hAnsi="Times New Roman"/>
              <w:b/>
            </w:rPr>
            <w:t>III.</w:t>
          </w:r>
          <w:r w:rsidRPr="00074CA4">
            <w:rPr>
              <w:rFonts w:ascii="Times New Roman" w:hAnsi="Times New Roman"/>
              <w:b/>
            </w:rPr>
            <w:tab/>
            <w:t>RECORDKEEPING AND REPORTING REQUIREMENTS</w:t>
          </w:r>
          <w:r w:rsidRPr="00074CA4">
            <w:rPr>
              <w:rFonts w:ascii="Times New Roman" w:hAnsi="Times New Roman"/>
            </w:rPr>
            <w:t xml:space="preserve"> </w:t>
          </w:r>
          <w:r>
            <w:ptab w:relativeTo="margin" w:alignment="right" w:leader="dot"/>
          </w:r>
          <w:r w:rsidRPr="00074CA4">
            <w:rPr>
              <w:rFonts w:ascii="Times New Roman" w:hAnsi="Times New Roman"/>
              <w:b/>
            </w:rPr>
            <w:t>3</w:t>
          </w:r>
        </w:p>
        <w:p w:rsidR="004D7CC1" w:rsidRPr="00074CA4" w:rsidP="004D7CC1" w14:paraId="3E1394F7" w14:textId="77777777">
          <w:pPr>
            <w:pStyle w:val="TOC1"/>
            <w:rPr>
              <w:rFonts w:ascii="Times New Roman" w:hAnsi="Times New Roman"/>
              <w:b/>
              <w:bCs/>
            </w:rPr>
          </w:pPr>
          <w:r w:rsidRPr="00074CA4">
            <w:rPr>
              <w:rFonts w:ascii="Times New Roman" w:hAnsi="Times New Roman"/>
              <w:b/>
            </w:rPr>
            <w:t>IV.       IMPLEMENTATION DATE</w:t>
          </w:r>
          <w:r w:rsidRPr="00074CA4">
            <w:rPr>
              <w:rFonts w:ascii="Times New Roman" w:hAnsi="Times New Roman"/>
            </w:rPr>
            <w:t xml:space="preserve"> </w:t>
          </w:r>
          <w:r>
            <w:ptab w:relativeTo="margin" w:alignment="right" w:leader="dot"/>
          </w:r>
          <w:r w:rsidRPr="006E23BB">
            <w:rPr>
              <w:rFonts w:ascii="Times New Roman" w:hAnsi="Times New Roman"/>
              <w:b/>
            </w:rPr>
            <w:t>3</w:t>
          </w:r>
        </w:p>
        <w:p w:rsidR="004D7CC1" w:rsidP="004D7CC1" w14:paraId="1046AEE9" w14:textId="77777777">
          <w:pPr>
            <w:pStyle w:val="TOC1"/>
            <w:rPr>
              <w:rFonts w:eastAsiaTheme="minorHAnsi" w:cstheme="minorBidi"/>
            </w:rPr>
          </w:pPr>
          <w:r w:rsidRPr="00074CA4">
            <w:rPr>
              <w:rFonts w:ascii="Times New Roman" w:hAnsi="Times New Roman"/>
              <w:b/>
            </w:rPr>
            <w:t>V.         INTERNET LINKS</w:t>
          </w:r>
          <w:r w:rsidRPr="00074CA4">
            <w:rPr>
              <w:rFonts w:ascii="Times New Roman" w:hAnsi="Times New Roman"/>
            </w:rPr>
            <w:t xml:space="preserve"> </w:t>
          </w:r>
          <w:r>
            <w:ptab w:relativeTo="margin" w:alignment="right" w:leader="dot"/>
          </w:r>
          <w:r>
            <w:rPr>
              <w:rFonts w:ascii="Times New Roman" w:hAnsi="Times New Roman"/>
              <w:b/>
            </w:rPr>
            <w:t>4</w:t>
          </w:r>
        </w:p>
      </w:sdtContent>
    </w:sdt>
    <w:p w:rsidR="00964F8D" w:rsidRPr="00074CA4" w:rsidP="00964F8D" w14:paraId="04BF82FF" w14:textId="58C68A22">
      <w:pPr>
        <w:pStyle w:val="TOC1"/>
        <w:rPr>
          <w:rFonts w:ascii="Times New Roman" w:hAnsi="Times New Roman"/>
        </w:rPr>
      </w:pPr>
      <w:r>
        <w:rPr>
          <w:rStyle w:val="Hyperlink"/>
          <w:b/>
        </w:rPr>
        <w:t xml:space="preserve"> </w:t>
      </w:r>
    </w:p>
    <w:p w:rsidR="00964F8D" w14:paraId="5067A55A" w14:textId="6FD4E085">
      <w:pPr>
        <w:rPr>
          <w:rStyle w:val="Hyperlink"/>
          <w:b/>
          <w:sz w:val="22"/>
          <w:szCs w:val="22"/>
        </w:rPr>
      </w:pPr>
    </w:p>
    <w:p w:rsidR="00C84D7C" w14:paraId="519B58AB" w14:textId="77777777">
      <w:pPr>
        <w:rPr>
          <w:rStyle w:val="Hyperlink"/>
          <w:b/>
          <w:sz w:val="22"/>
          <w:szCs w:val="22"/>
        </w:rPr>
        <w:sectPr w:rsidSect="00C84D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pgNumType w:start="0"/>
          <w:cols w:space="720"/>
          <w:titlePg/>
          <w:docGrid w:linePitch="272"/>
        </w:sectPr>
      </w:pPr>
    </w:p>
    <w:p w:rsidR="00964F8D" w14:paraId="42113486" w14:textId="1D8D524F">
      <w:pPr>
        <w:rPr>
          <w:rStyle w:val="Hyperlink"/>
          <w:b/>
          <w:sz w:val="22"/>
          <w:szCs w:val="22"/>
        </w:rPr>
      </w:pPr>
      <w:r>
        <w:rPr>
          <w:rStyle w:val="Hyperlink"/>
          <w:b/>
          <w:sz w:val="22"/>
          <w:szCs w:val="22"/>
        </w:rPr>
        <w:br w:type="page"/>
      </w:r>
    </w:p>
    <w:p w:rsidR="00964F8D" w14:paraId="35D2E6B3" w14:textId="77777777">
      <w:pPr>
        <w:rPr>
          <w:rStyle w:val="Hyperlink"/>
          <w:b/>
          <w:sz w:val="22"/>
          <w:szCs w:val="22"/>
        </w:rPr>
      </w:pPr>
    </w:p>
    <w:p w:rsidR="00583458" w:rsidRPr="00F417D9" w:rsidP="00E34125" w14:paraId="4A977A3D" w14:textId="405680A8">
      <w:pPr>
        <w:rPr>
          <w:color w:val="000000"/>
          <w:sz w:val="22"/>
          <w:szCs w:val="22"/>
        </w:rPr>
      </w:pPr>
      <w:r w:rsidRPr="006E23BB">
        <w:rPr>
          <w:b/>
          <w:sz w:val="22"/>
          <w:szCs w:val="22"/>
        </w:rPr>
        <w:t>I.</w:t>
      </w:r>
      <w:r w:rsidRPr="006E23BB">
        <w:rPr>
          <w:b/>
          <w:sz w:val="22"/>
          <w:szCs w:val="22"/>
        </w:rPr>
        <w:tab/>
      </w:r>
      <w:r w:rsidRPr="00F417D9">
        <w:rPr>
          <w:b/>
          <w:color w:val="000000"/>
          <w:sz w:val="22"/>
          <w:szCs w:val="22"/>
        </w:rPr>
        <w:t>OBJECTIVES OF THE PROCEEDING</w:t>
      </w:r>
    </w:p>
    <w:p w:rsidR="00583458" w:rsidRPr="00CA4446" w:rsidP="00E34125" w14:paraId="30394151" w14:textId="77777777">
      <w:pPr>
        <w:rPr>
          <w:sz w:val="22"/>
          <w:szCs w:val="22"/>
        </w:rPr>
      </w:pPr>
    </w:p>
    <w:p w:rsidR="00997D13" w:rsidP="006E23BB" w14:paraId="1F8B7B06" w14:textId="08BB1882">
      <w:pPr>
        <w:ind w:firstLine="720"/>
        <w:rPr>
          <w:color w:val="000000"/>
          <w:sz w:val="22"/>
          <w:szCs w:val="22"/>
        </w:rPr>
      </w:pPr>
      <w:r w:rsidRPr="00CA4446">
        <w:rPr>
          <w:sz w:val="22"/>
          <w:szCs w:val="22"/>
        </w:rPr>
        <w:t>Under t</w:t>
      </w:r>
      <w:r w:rsidRPr="00CA4446" w:rsidR="00AD0702">
        <w:rPr>
          <w:sz w:val="22"/>
          <w:szCs w:val="22"/>
        </w:rPr>
        <w:t xml:space="preserve">he Commission’s </w:t>
      </w:r>
      <w:r w:rsidRPr="00CA4446">
        <w:rPr>
          <w:sz w:val="22"/>
          <w:szCs w:val="22"/>
        </w:rPr>
        <w:t>longstanding</w:t>
      </w:r>
      <w:r w:rsidRPr="00CA4446" w:rsidR="00AD0702">
        <w:rPr>
          <w:sz w:val="22"/>
          <w:szCs w:val="22"/>
        </w:rPr>
        <w:t xml:space="preserve"> rules</w:t>
      </w:r>
      <w:r w:rsidRPr="00CA4446">
        <w:rPr>
          <w:sz w:val="22"/>
          <w:szCs w:val="22"/>
        </w:rPr>
        <w:t>,</w:t>
      </w:r>
      <w:r w:rsidRPr="00CA4446" w:rsidR="00AD0702">
        <w:rPr>
          <w:sz w:val="22"/>
          <w:szCs w:val="22"/>
        </w:rPr>
        <w:t xml:space="preserve"> </w:t>
      </w:r>
      <w:r w:rsidRPr="00CA4446">
        <w:rPr>
          <w:sz w:val="22"/>
          <w:szCs w:val="22"/>
        </w:rPr>
        <w:t xml:space="preserve">noncommercial </w:t>
      </w:r>
      <w:r w:rsidRPr="007F64C6">
        <w:rPr>
          <w:sz w:val="22"/>
          <w:szCs w:val="22"/>
        </w:rPr>
        <w:t xml:space="preserve">educational </w:t>
      </w:r>
      <w:r w:rsidRPr="007F64C6" w:rsidR="00E75371">
        <w:rPr>
          <w:sz w:val="22"/>
          <w:szCs w:val="22"/>
        </w:rPr>
        <w:t xml:space="preserve">(NCE) </w:t>
      </w:r>
      <w:r w:rsidRPr="007F64C6" w:rsidR="00CA4446">
        <w:rPr>
          <w:sz w:val="22"/>
          <w:szCs w:val="22"/>
        </w:rPr>
        <w:t xml:space="preserve">broadcast </w:t>
      </w:r>
      <w:r w:rsidRPr="007F64C6">
        <w:rPr>
          <w:sz w:val="22"/>
          <w:szCs w:val="22"/>
        </w:rPr>
        <w:t>stations were prohibited, absent a waiver</w:t>
      </w:r>
      <w:r w:rsidRPr="007F64C6" w:rsidR="00935410">
        <w:rPr>
          <w:sz w:val="22"/>
          <w:szCs w:val="22"/>
        </w:rPr>
        <w:t xml:space="preserve"> granted by the Commission</w:t>
      </w:r>
      <w:r w:rsidRPr="007F64C6">
        <w:rPr>
          <w:sz w:val="22"/>
          <w:szCs w:val="22"/>
        </w:rPr>
        <w:t>, from conducting on-air fundraising that interrupts regular program</w:t>
      </w:r>
      <w:r w:rsidRPr="007F64C6" w:rsidR="00E75371">
        <w:rPr>
          <w:sz w:val="22"/>
          <w:szCs w:val="22"/>
        </w:rPr>
        <w:t>ming</w:t>
      </w:r>
      <w:r w:rsidRPr="007F64C6">
        <w:rPr>
          <w:sz w:val="22"/>
          <w:szCs w:val="22"/>
        </w:rPr>
        <w:t xml:space="preserve"> for third-party non-profit organizations</w:t>
      </w:r>
      <w:r w:rsidR="00AB65E2">
        <w:rPr>
          <w:sz w:val="22"/>
          <w:szCs w:val="22"/>
        </w:rPr>
        <w:t xml:space="preserve"> (hereafter, “third-party fundraising”)</w:t>
      </w:r>
      <w:r w:rsidRPr="007F64C6" w:rsidR="00AD0702">
        <w:rPr>
          <w:sz w:val="22"/>
          <w:szCs w:val="22"/>
        </w:rPr>
        <w:t xml:space="preserve">.  These rules </w:t>
      </w:r>
      <w:r w:rsidRPr="007F64C6" w:rsidR="00E75371">
        <w:rPr>
          <w:sz w:val="22"/>
          <w:szCs w:val="22"/>
        </w:rPr>
        <w:t>reflected the concern that any promotional or fundraising activities by NCE stations must not adversely affect the educational programming mission or noncommercial character of these stations</w:t>
      </w:r>
      <w:r w:rsidRPr="007F64C6" w:rsidR="00E75371">
        <w:rPr>
          <w:color w:val="000000"/>
          <w:sz w:val="22"/>
          <w:szCs w:val="22"/>
        </w:rPr>
        <w:t>.</w:t>
      </w:r>
      <w:r w:rsidRPr="007F64C6" w:rsidR="00AC53BE">
        <w:rPr>
          <w:sz w:val="22"/>
          <w:szCs w:val="22"/>
        </w:rPr>
        <w:t xml:space="preserve">  </w:t>
      </w:r>
      <w:r w:rsidRPr="007F64C6" w:rsidR="007F64C6">
        <w:rPr>
          <w:sz w:val="22"/>
          <w:szCs w:val="22"/>
        </w:rPr>
        <w:t xml:space="preserve">The Commission previously has granted waivers of these rules only </w:t>
      </w:r>
      <w:r w:rsidR="00A26B12">
        <w:rPr>
          <w:sz w:val="22"/>
          <w:szCs w:val="22"/>
        </w:rPr>
        <w:t xml:space="preserve">in </w:t>
      </w:r>
      <w:r w:rsidRPr="007F64C6" w:rsidR="007F64C6">
        <w:rPr>
          <w:sz w:val="22"/>
          <w:szCs w:val="22"/>
        </w:rPr>
        <w:t xml:space="preserve">extraordinary circumstances to permit fundraising for disasters and other singular catastrophic events, such as hurricanes and tornadoes.  </w:t>
      </w:r>
      <w:r w:rsidRPr="007F64C6" w:rsidR="00583458">
        <w:rPr>
          <w:sz w:val="22"/>
          <w:szCs w:val="22"/>
        </w:rPr>
        <w:t xml:space="preserve">In the </w:t>
      </w:r>
      <w:r w:rsidRPr="006E23BB" w:rsidR="000371D0">
        <w:rPr>
          <w:i/>
          <w:sz w:val="22"/>
          <w:szCs w:val="22"/>
        </w:rPr>
        <w:t>Noncommercial Educational Station Fundraising for Third-Party Non-Profit Organizations</w:t>
      </w:r>
      <w:r w:rsidR="000371D0">
        <w:rPr>
          <w:sz w:val="22"/>
          <w:szCs w:val="22"/>
        </w:rPr>
        <w:t xml:space="preserve"> </w:t>
      </w:r>
      <w:r w:rsidRPr="000371D0" w:rsidR="00583458">
        <w:rPr>
          <w:sz w:val="22"/>
          <w:szCs w:val="22"/>
        </w:rPr>
        <w:t>Report and Order</w:t>
      </w:r>
      <w:r w:rsidRPr="007F64C6" w:rsidR="00583458">
        <w:rPr>
          <w:sz w:val="22"/>
          <w:szCs w:val="22"/>
        </w:rPr>
        <w:t xml:space="preserve"> in MB Docket No. 12-</w:t>
      </w:r>
      <w:r w:rsidR="000371D0">
        <w:rPr>
          <w:sz w:val="22"/>
          <w:szCs w:val="22"/>
        </w:rPr>
        <w:t>106</w:t>
      </w:r>
      <w:r w:rsidRPr="007F64C6" w:rsidR="00583458">
        <w:rPr>
          <w:sz w:val="22"/>
          <w:szCs w:val="22"/>
        </w:rPr>
        <w:t>,</w:t>
      </w:r>
      <w:r>
        <w:rPr>
          <w:rStyle w:val="FootnoteReference"/>
          <w:sz w:val="22"/>
          <w:szCs w:val="22"/>
        </w:rPr>
        <w:footnoteReference w:id="2"/>
      </w:r>
      <w:r w:rsidRPr="007F64C6" w:rsidR="00583458">
        <w:rPr>
          <w:sz w:val="22"/>
          <w:szCs w:val="22"/>
        </w:rPr>
        <w:t xml:space="preserve"> the Commission </w:t>
      </w:r>
      <w:r w:rsidRPr="007F64C6" w:rsidR="00CA4446">
        <w:rPr>
          <w:sz w:val="22"/>
          <w:szCs w:val="22"/>
        </w:rPr>
        <w:t>relaxe</w:t>
      </w:r>
      <w:r w:rsidRPr="007F64C6" w:rsidR="00876974">
        <w:rPr>
          <w:sz w:val="22"/>
          <w:szCs w:val="22"/>
        </w:rPr>
        <w:t>d</w:t>
      </w:r>
      <w:r w:rsidRPr="007F64C6" w:rsidR="00CA4446">
        <w:rPr>
          <w:sz w:val="22"/>
          <w:szCs w:val="22"/>
        </w:rPr>
        <w:t xml:space="preserve"> the longstanding third-party fundraising restrictions to allow NCE stations</w:t>
      </w:r>
      <w:r w:rsidR="00A46D8B">
        <w:rPr>
          <w:sz w:val="22"/>
          <w:szCs w:val="22"/>
        </w:rPr>
        <w:t>, on a voluntary basis,</w:t>
      </w:r>
      <w:r w:rsidRPr="007F64C6" w:rsidR="00CA4446">
        <w:rPr>
          <w:sz w:val="22"/>
          <w:szCs w:val="22"/>
        </w:rPr>
        <w:t xml:space="preserve"> to conduct limited on-air fundraising activities that interrupt regular programming for the benefit of third-party non-profit organizations</w:t>
      </w:r>
      <w:r w:rsidRPr="007F64C6" w:rsidR="00AC53BE">
        <w:rPr>
          <w:sz w:val="22"/>
          <w:szCs w:val="22"/>
        </w:rPr>
        <w:t xml:space="preserve">.  </w:t>
      </w:r>
      <w:r w:rsidRPr="007F64C6">
        <w:rPr>
          <w:sz w:val="22"/>
          <w:szCs w:val="22"/>
        </w:rPr>
        <w:t>The Commission</w:t>
      </w:r>
      <w:r w:rsidRPr="007F64C6" w:rsidR="00876974">
        <w:rPr>
          <w:sz w:val="22"/>
          <w:szCs w:val="22"/>
        </w:rPr>
        <w:t xml:space="preserve"> found that</w:t>
      </w:r>
      <w:r w:rsidRPr="00876974" w:rsidR="00876974">
        <w:rPr>
          <w:sz w:val="22"/>
          <w:szCs w:val="22"/>
        </w:rPr>
        <w:t xml:space="preserve"> relaxing the third-party fundraising </w:t>
      </w:r>
      <w:r w:rsidR="00083668">
        <w:rPr>
          <w:sz w:val="22"/>
          <w:szCs w:val="22"/>
        </w:rPr>
        <w:t xml:space="preserve">restrictions </w:t>
      </w:r>
      <w:r w:rsidRPr="00876974" w:rsidR="00876974">
        <w:rPr>
          <w:sz w:val="22"/>
          <w:szCs w:val="22"/>
        </w:rPr>
        <w:t>w</w:t>
      </w:r>
      <w:r w:rsidR="00300462">
        <w:rPr>
          <w:sz w:val="22"/>
          <w:szCs w:val="22"/>
        </w:rPr>
        <w:t>ill</w:t>
      </w:r>
      <w:r w:rsidRPr="00876974" w:rsidR="00876974">
        <w:rPr>
          <w:sz w:val="22"/>
          <w:szCs w:val="22"/>
        </w:rPr>
        <w:t xml:space="preserve"> benefit the public interest by enabling NCE stations to support charities and other non-profit organizations in their fundraising efforts for worthy causes.  Third-party fundraising programs may also enhance the educational nature of NCE stations by raising public awareness about the social needs and charitable causes supported by non-profit organizations</w:t>
      </w:r>
      <w:r w:rsidRPr="00876974" w:rsidR="00876974">
        <w:rPr>
          <w:color w:val="000000"/>
          <w:sz w:val="22"/>
          <w:szCs w:val="22"/>
        </w:rPr>
        <w:t xml:space="preserve">. </w:t>
      </w:r>
    </w:p>
    <w:p w:rsidR="006E7116" w:rsidP="00E34125" w14:paraId="6698158D" w14:textId="77777777">
      <w:pPr>
        <w:rPr>
          <w:color w:val="000000"/>
          <w:sz w:val="22"/>
          <w:szCs w:val="22"/>
        </w:rPr>
      </w:pPr>
    </w:p>
    <w:p w:rsidR="006E7116" w:rsidRPr="00C42C71" w:rsidP="006E7116" w14:paraId="737FB95B" w14:textId="77777777">
      <w:pPr>
        <w:rPr>
          <w:b/>
          <w:sz w:val="22"/>
          <w:szCs w:val="22"/>
        </w:rPr>
      </w:pPr>
      <w:r w:rsidRPr="00A95F33">
        <w:rPr>
          <w:b/>
          <w:sz w:val="22"/>
          <w:szCs w:val="22"/>
        </w:rPr>
        <w:t>II.</w:t>
      </w:r>
      <w:r w:rsidRPr="00074CA4">
        <w:rPr>
          <w:b/>
        </w:rPr>
        <w:tab/>
      </w:r>
      <w:r>
        <w:rPr>
          <w:b/>
          <w:sz w:val="22"/>
          <w:szCs w:val="22"/>
        </w:rPr>
        <w:t>COMPLIANCE REQUIREMENTS</w:t>
      </w:r>
    </w:p>
    <w:p w:rsidR="00C44144" w:rsidP="00E34125" w14:paraId="44FB4A4E" w14:textId="54903791">
      <w:pPr>
        <w:rPr>
          <w:color w:val="000000"/>
          <w:sz w:val="22"/>
          <w:szCs w:val="22"/>
        </w:rPr>
      </w:pPr>
      <w:r>
        <w:rPr>
          <w:color w:val="000000"/>
          <w:sz w:val="22"/>
          <w:szCs w:val="22"/>
        </w:rPr>
        <w:tab/>
      </w:r>
    </w:p>
    <w:p w:rsidR="00A8094E" w:rsidRPr="006E23BB" w:rsidP="006E23BB" w14:paraId="3BB0A518" w14:textId="757E7097">
      <w:pPr>
        <w:pStyle w:val="ListParagraph"/>
        <w:numPr>
          <w:ilvl w:val="0"/>
          <w:numId w:val="17"/>
        </w:numPr>
        <w:ind w:left="1080"/>
        <w:rPr>
          <w:b/>
          <w:color w:val="000000"/>
          <w:sz w:val="22"/>
          <w:szCs w:val="22"/>
        </w:rPr>
      </w:pPr>
      <w:r w:rsidRPr="006E23BB">
        <w:rPr>
          <w:b/>
          <w:color w:val="000000"/>
          <w:sz w:val="22"/>
          <w:szCs w:val="22"/>
        </w:rPr>
        <w:t>Relaxation of Third-Party Fundraising Restrictions</w:t>
      </w:r>
      <w:r w:rsidR="00550C4E">
        <w:rPr>
          <w:b/>
          <w:color w:val="000000"/>
          <w:sz w:val="22"/>
          <w:szCs w:val="22"/>
        </w:rPr>
        <w:t xml:space="preserve"> </w:t>
      </w:r>
      <w:r w:rsidR="00550C4E">
        <w:rPr>
          <w:rFonts w:eastAsia="Calibri"/>
          <w:b/>
          <w:sz w:val="22"/>
          <w:szCs w:val="22"/>
        </w:rPr>
        <w:t>(</w:t>
      </w:r>
      <w:r w:rsidRPr="000C7056" w:rsidR="00550C4E">
        <w:rPr>
          <w:b/>
          <w:sz w:val="22"/>
          <w:szCs w:val="22"/>
        </w:rPr>
        <w:t>47 CFR §</w:t>
      </w:r>
      <w:r w:rsidRPr="000C7056" w:rsidR="00562787">
        <w:rPr>
          <w:b/>
          <w:sz w:val="22"/>
          <w:szCs w:val="22"/>
        </w:rPr>
        <w:t>§</w:t>
      </w:r>
      <w:r w:rsidRPr="000C7056" w:rsidR="00550C4E">
        <w:rPr>
          <w:b/>
          <w:sz w:val="22"/>
          <w:szCs w:val="22"/>
        </w:rPr>
        <w:t xml:space="preserve"> 73.503</w:t>
      </w:r>
      <w:r w:rsidR="00550C4E">
        <w:rPr>
          <w:b/>
          <w:sz w:val="22"/>
          <w:szCs w:val="22"/>
        </w:rPr>
        <w:t>(e</w:t>
      </w:r>
      <w:r w:rsidRPr="000C7056" w:rsidR="00550C4E">
        <w:rPr>
          <w:b/>
          <w:sz w:val="22"/>
          <w:szCs w:val="22"/>
        </w:rPr>
        <w:t>)</w:t>
      </w:r>
      <w:r w:rsidR="00562787">
        <w:rPr>
          <w:b/>
          <w:sz w:val="22"/>
          <w:szCs w:val="22"/>
        </w:rPr>
        <w:t xml:space="preserve"> &amp; </w:t>
      </w:r>
      <w:r w:rsidRPr="006E23BB" w:rsidR="00562787">
        <w:rPr>
          <w:b/>
          <w:sz w:val="22"/>
          <w:szCs w:val="22"/>
        </w:rPr>
        <w:t>73.621(f)</w:t>
      </w:r>
      <w:r w:rsidRPr="000C7056" w:rsidR="00550C4E">
        <w:rPr>
          <w:b/>
          <w:sz w:val="22"/>
          <w:szCs w:val="22"/>
        </w:rPr>
        <w:t>)</w:t>
      </w:r>
    </w:p>
    <w:p w:rsidR="00A8094E" w:rsidP="00E34125" w14:paraId="2926E79D" w14:textId="77777777">
      <w:pPr>
        <w:rPr>
          <w:color w:val="000000"/>
          <w:sz w:val="22"/>
          <w:szCs w:val="22"/>
        </w:rPr>
      </w:pPr>
    </w:p>
    <w:p w:rsidR="00BB379C" w:rsidP="006E23BB" w14:paraId="15563B41" w14:textId="00C95091">
      <w:pPr>
        <w:pStyle w:val="ListParagraph"/>
        <w:numPr>
          <w:ilvl w:val="0"/>
          <w:numId w:val="15"/>
        </w:numPr>
        <w:ind w:left="1440"/>
        <w:rPr>
          <w:color w:val="000000"/>
          <w:sz w:val="22"/>
          <w:szCs w:val="22"/>
        </w:rPr>
      </w:pPr>
      <w:r w:rsidRPr="006E23BB">
        <w:rPr>
          <w:color w:val="000000"/>
          <w:sz w:val="22"/>
          <w:szCs w:val="22"/>
        </w:rPr>
        <w:t xml:space="preserve">NCE stations </w:t>
      </w:r>
      <w:r w:rsidRPr="006E23BB" w:rsidR="00A924BE">
        <w:rPr>
          <w:color w:val="000000"/>
          <w:sz w:val="22"/>
          <w:szCs w:val="22"/>
        </w:rPr>
        <w:t xml:space="preserve">are allowed to conduct limited on-air </w:t>
      </w:r>
      <w:r w:rsidR="004D6541">
        <w:rPr>
          <w:color w:val="000000"/>
          <w:sz w:val="22"/>
          <w:szCs w:val="22"/>
        </w:rPr>
        <w:t xml:space="preserve">fundraising </w:t>
      </w:r>
      <w:r w:rsidRPr="006E23BB" w:rsidR="00A924BE">
        <w:rPr>
          <w:color w:val="000000"/>
          <w:sz w:val="22"/>
          <w:szCs w:val="22"/>
        </w:rPr>
        <w:t>activities that interrupt regular programming for the benefit of third-party non-profit organizations.</w:t>
      </w:r>
    </w:p>
    <w:p w:rsidR="00A924BE" w:rsidP="006E23BB" w14:paraId="41E0BF56" w14:textId="1DBDFEBC">
      <w:pPr>
        <w:pStyle w:val="ListParagraph"/>
        <w:ind w:left="1440"/>
        <w:rPr>
          <w:color w:val="000000"/>
          <w:sz w:val="22"/>
          <w:szCs w:val="22"/>
        </w:rPr>
      </w:pPr>
    </w:p>
    <w:p w:rsidR="004D6541" w:rsidRPr="006E23BB" w:rsidP="006E23BB" w14:paraId="098FC2B9" w14:textId="4326EA1A">
      <w:pPr>
        <w:pStyle w:val="ListParagraph"/>
        <w:numPr>
          <w:ilvl w:val="0"/>
          <w:numId w:val="15"/>
        </w:numPr>
        <w:ind w:left="1440"/>
        <w:rPr>
          <w:color w:val="000000"/>
          <w:sz w:val="22"/>
          <w:szCs w:val="22"/>
        </w:rPr>
      </w:pPr>
      <w:r w:rsidRPr="004D6541">
        <w:rPr>
          <w:color w:val="000000"/>
          <w:sz w:val="22"/>
          <w:szCs w:val="22"/>
        </w:rPr>
        <w:t xml:space="preserve">NCE stations </w:t>
      </w:r>
      <w:r w:rsidR="005D7B16">
        <w:rPr>
          <w:color w:val="000000"/>
          <w:sz w:val="22"/>
          <w:szCs w:val="22"/>
        </w:rPr>
        <w:t xml:space="preserve">conducting </w:t>
      </w:r>
      <w:r w:rsidRPr="004D6541" w:rsidR="005D7B16">
        <w:rPr>
          <w:color w:val="000000"/>
          <w:sz w:val="22"/>
          <w:szCs w:val="22"/>
        </w:rPr>
        <w:t>fundraising activities</w:t>
      </w:r>
      <w:r w:rsidRPr="005D7B16" w:rsidR="005D7B16">
        <w:rPr>
          <w:color w:val="000000"/>
          <w:sz w:val="22"/>
          <w:szCs w:val="22"/>
        </w:rPr>
        <w:t xml:space="preserve"> </w:t>
      </w:r>
      <w:r w:rsidRPr="000C7056" w:rsidR="005D7B16">
        <w:rPr>
          <w:color w:val="000000"/>
          <w:sz w:val="22"/>
          <w:szCs w:val="22"/>
        </w:rPr>
        <w:t>for the benefit of third-party non-profit organizations</w:t>
      </w:r>
      <w:r w:rsidRPr="004D6541" w:rsidR="005D7B16">
        <w:rPr>
          <w:color w:val="000000"/>
          <w:sz w:val="22"/>
          <w:szCs w:val="22"/>
        </w:rPr>
        <w:t xml:space="preserve"> </w:t>
      </w:r>
      <w:r w:rsidRPr="004D6541">
        <w:rPr>
          <w:color w:val="000000"/>
          <w:sz w:val="22"/>
          <w:szCs w:val="22"/>
        </w:rPr>
        <w:t xml:space="preserve">can alter or suspend regular programming – including program-length fundraising activities – at their discretion, as long as the fundraising programs do not exceed the </w:t>
      </w:r>
      <w:r w:rsidR="002679DA">
        <w:rPr>
          <w:color w:val="000000"/>
          <w:sz w:val="22"/>
          <w:szCs w:val="22"/>
        </w:rPr>
        <w:t xml:space="preserve">annual </w:t>
      </w:r>
      <w:r w:rsidRPr="004D6541">
        <w:rPr>
          <w:color w:val="000000"/>
          <w:sz w:val="22"/>
          <w:szCs w:val="22"/>
        </w:rPr>
        <w:t xml:space="preserve">one-percent cap discussed below in </w:t>
      </w:r>
      <w:r w:rsidRPr="00860602">
        <w:rPr>
          <w:color w:val="000000"/>
          <w:sz w:val="22"/>
          <w:szCs w:val="22"/>
        </w:rPr>
        <w:t>Sec</w:t>
      </w:r>
      <w:r w:rsidRPr="006E23BB" w:rsidR="00860602">
        <w:rPr>
          <w:color w:val="000000"/>
          <w:sz w:val="22"/>
          <w:szCs w:val="22"/>
        </w:rPr>
        <w:t xml:space="preserve">tion </w:t>
      </w:r>
      <w:r w:rsidR="00BD4298">
        <w:rPr>
          <w:color w:val="000000"/>
          <w:sz w:val="22"/>
          <w:szCs w:val="22"/>
        </w:rPr>
        <w:t xml:space="preserve">II. </w:t>
      </w:r>
      <w:r w:rsidRPr="006E23BB" w:rsidR="00860602">
        <w:rPr>
          <w:color w:val="000000"/>
          <w:sz w:val="22"/>
          <w:szCs w:val="22"/>
        </w:rPr>
        <w:t>C</w:t>
      </w:r>
      <w:r w:rsidRPr="00860602">
        <w:rPr>
          <w:color w:val="000000"/>
          <w:sz w:val="22"/>
          <w:szCs w:val="22"/>
        </w:rPr>
        <w:t>.</w:t>
      </w:r>
    </w:p>
    <w:p w:rsidR="00A924BE" w:rsidRPr="00471112" w:rsidP="00E34125" w14:paraId="4E28A392" w14:textId="77777777">
      <w:pPr>
        <w:rPr>
          <w:color w:val="000000"/>
          <w:sz w:val="22"/>
          <w:szCs w:val="22"/>
        </w:rPr>
      </w:pPr>
    </w:p>
    <w:p w:rsidR="00CB62F2" w:rsidRPr="006E23BB" w:rsidP="006E23BB" w14:paraId="3226B02D" w14:textId="0CA7E80E">
      <w:pPr>
        <w:ind w:left="1080"/>
        <w:rPr>
          <w:i/>
        </w:rPr>
      </w:pPr>
      <w:r w:rsidRPr="006E23BB">
        <w:rPr>
          <w:i/>
          <w:sz w:val="22"/>
          <w:szCs w:val="22"/>
        </w:rPr>
        <w:t>Exemption from Third-Party Fundraising Rule for CPB-Funded NCE Stations</w:t>
      </w:r>
      <w:r w:rsidRPr="006E23BB">
        <w:rPr>
          <w:i/>
        </w:rPr>
        <w:t xml:space="preserve">  </w:t>
      </w:r>
      <w:r w:rsidRPr="006E23BB" w:rsidR="00550C4E">
        <w:rPr>
          <w:rFonts w:eastAsia="Calibri"/>
          <w:sz w:val="22"/>
          <w:szCs w:val="22"/>
        </w:rPr>
        <w:t>(</w:t>
      </w:r>
      <w:r w:rsidRPr="006E23BB" w:rsidR="00550C4E">
        <w:rPr>
          <w:sz w:val="22"/>
          <w:szCs w:val="22"/>
        </w:rPr>
        <w:t>47 CFR §</w:t>
      </w:r>
      <w:r w:rsidRPr="006E23BB" w:rsidR="00562787">
        <w:rPr>
          <w:sz w:val="22"/>
          <w:szCs w:val="22"/>
        </w:rPr>
        <w:t>§</w:t>
      </w:r>
      <w:r w:rsidRPr="006E23BB" w:rsidR="00550C4E">
        <w:rPr>
          <w:sz w:val="22"/>
          <w:szCs w:val="22"/>
        </w:rPr>
        <w:t xml:space="preserve"> 73.503(e)(3) &amp; 73.621(f)(3))</w:t>
      </w:r>
    </w:p>
    <w:p w:rsidR="00CB62F2" w:rsidP="006E23BB" w14:paraId="171B8D41" w14:textId="77777777">
      <w:pPr>
        <w:ind w:left="720"/>
        <w:rPr>
          <w:b/>
        </w:rPr>
      </w:pPr>
    </w:p>
    <w:p w:rsidR="00C44144" w:rsidRPr="006E23BB" w:rsidP="006E23BB" w14:paraId="775E63DB" w14:textId="7BC16DF5">
      <w:pPr>
        <w:pStyle w:val="ListParagraph"/>
        <w:numPr>
          <w:ilvl w:val="0"/>
          <w:numId w:val="15"/>
        </w:numPr>
        <w:ind w:left="1440"/>
        <w:rPr>
          <w:sz w:val="22"/>
          <w:szCs w:val="22"/>
        </w:rPr>
      </w:pPr>
      <w:r w:rsidRPr="006E23BB">
        <w:rPr>
          <w:sz w:val="22"/>
          <w:szCs w:val="22"/>
        </w:rPr>
        <w:t xml:space="preserve">The revised rules exempt all NCE stations that </w:t>
      </w:r>
      <w:r w:rsidRPr="006E23BB" w:rsidR="004E0F6D">
        <w:rPr>
          <w:sz w:val="22"/>
          <w:szCs w:val="22"/>
        </w:rPr>
        <w:t>receive funding from</w:t>
      </w:r>
      <w:r w:rsidRPr="006E23BB">
        <w:rPr>
          <w:sz w:val="22"/>
          <w:szCs w:val="22"/>
        </w:rPr>
        <w:t xml:space="preserve"> the Corporation for Public Broadcasting (CPB) from the new rule authorizing NCE stations to conduct third-party fundraising.  This exemption </w:t>
      </w:r>
      <w:r w:rsidRPr="006E23BB" w:rsidR="00C961ED">
        <w:rPr>
          <w:sz w:val="22"/>
          <w:szCs w:val="22"/>
        </w:rPr>
        <w:t xml:space="preserve">addresses </w:t>
      </w:r>
      <w:r w:rsidRPr="006E23BB" w:rsidR="00935410">
        <w:rPr>
          <w:sz w:val="22"/>
          <w:szCs w:val="22"/>
        </w:rPr>
        <w:t>concerns raised by some NCE stations that th</w:t>
      </w:r>
      <w:r w:rsidRPr="006E23BB" w:rsidR="00257F33">
        <w:rPr>
          <w:sz w:val="22"/>
          <w:szCs w:val="22"/>
        </w:rPr>
        <w:t>e</w:t>
      </w:r>
      <w:r w:rsidRPr="006E23BB" w:rsidR="00935410">
        <w:rPr>
          <w:sz w:val="22"/>
          <w:szCs w:val="22"/>
        </w:rPr>
        <w:t xml:space="preserve"> new </w:t>
      </w:r>
      <w:r w:rsidRPr="006E23BB" w:rsidR="006955FF">
        <w:rPr>
          <w:sz w:val="22"/>
          <w:szCs w:val="22"/>
        </w:rPr>
        <w:t xml:space="preserve">rule </w:t>
      </w:r>
      <w:r w:rsidRPr="006E23BB" w:rsidR="00935410">
        <w:rPr>
          <w:sz w:val="22"/>
          <w:szCs w:val="22"/>
        </w:rPr>
        <w:t xml:space="preserve">may pose challenges for those stations that have no interest in participating in third-party fundraising.  </w:t>
      </w:r>
    </w:p>
    <w:p w:rsidR="004672D0" w:rsidP="00E34125" w14:paraId="7B29BA5F" w14:textId="77777777">
      <w:pPr>
        <w:rPr>
          <w:sz w:val="22"/>
          <w:szCs w:val="22"/>
        </w:rPr>
      </w:pPr>
    </w:p>
    <w:p w:rsidR="005D7B16" w:rsidRPr="006E23BB" w:rsidP="006E23BB" w14:paraId="49FC7135" w14:textId="46A4529B">
      <w:pPr>
        <w:ind w:left="1080"/>
        <w:rPr>
          <w:i/>
          <w:sz w:val="22"/>
          <w:szCs w:val="22"/>
        </w:rPr>
      </w:pPr>
      <w:r w:rsidRPr="006E23BB">
        <w:rPr>
          <w:i/>
          <w:sz w:val="22"/>
          <w:szCs w:val="22"/>
        </w:rPr>
        <w:t xml:space="preserve">Waivers  </w:t>
      </w:r>
    </w:p>
    <w:p w:rsidR="005D7B16" w:rsidP="004672D0" w14:paraId="501F42D6" w14:textId="77777777">
      <w:pPr>
        <w:rPr>
          <w:b/>
          <w:sz w:val="22"/>
          <w:szCs w:val="22"/>
        </w:rPr>
      </w:pPr>
    </w:p>
    <w:p w:rsidR="002679DA" w:rsidP="006E23BB" w14:paraId="59474B44" w14:textId="2901CEDD">
      <w:pPr>
        <w:pStyle w:val="ListParagraph"/>
        <w:numPr>
          <w:ilvl w:val="0"/>
          <w:numId w:val="15"/>
        </w:numPr>
        <w:ind w:left="1440"/>
        <w:rPr>
          <w:sz w:val="22"/>
          <w:szCs w:val="22"/>
        </w:rPr>
      </w:pPr>
      <w:r w:rsidRPr="006E23BB">
        <w:rPr>
          <w:sz w:val="22"/>
          <w:szCs w:val="22"/>
        </w:rPr>
        <w:t xml:space="preserve">The Commission has retained its existing waiver process </w:t>
      </w:r>
      <w:r w:rsidRPr="006E23BB">
        <w:rPr>
          <w:color w:val="000000"/>
          <w:sz w:val="22"/>
          <w:szCs w:val="22"/>
        </w:rPr>
        <w:t>to allow NCE stations to seek waivers to conduct time-limited</w:t>
      </w:r>
      <w:r w:rsidRPr="006E23BB">
        <w:rPr>
          <w:sz w:val="22"/>
          <w:szCs w:val="22"/>
        </w:rPr>
        <w:t xml:space="preserve"> on-air fundraising for specific disasters and other singular catastrophic events, such as hurricanes and tornadoes.  </w:t>
      </w:r>
    </w:p>
    <w:p w:rsidR="002679DA" w:rsidP="006E23BB" w14:paraId="0E0D4E68" w14:textId="77777777">
      <w:pPr>
        <w:pStyle w:val="ListParagraph"/>
        <w:rPr>
          <w:sz w:val="22"/>
          <w:szCs w:val="22"/>
        </w:rPr>
      </w:pPr>
      <w:r>
        <w:rPr>
          <w:sz w:val="22"/>
          <w:szCs w:val="22"/>
        </w:rPr>
        <w:t xml:space="preserve"> </w:t>
      </w:r>
    </w:p>
    <w:p w:rsidR="002679DA" w:rsidP="006E23BB" w14:paraId="15D26309" w14:textId="058BA505">
      <w:pPr>
        <w:pStyle w:val="ListParagraph"/>
        <w:numPr>
          <w:ilvl w:val="0"/>
          <w:numId w:val="15"/>
        </w:numPr>
        <w:ind w:left="1440"/>
        <w:rPr>
          <w:sz w:val="22"/>
          <w:szCs w:val="22"/>
        </w:rPr>
      </w:pPr>
      <w:r w:rsidRPr="006E23BB">
        <w:rPr>
          <w:sz w:val="22"/>
          <w:szCs w:val="22"/>
        </w:rPr>
        <w:t xml:space="preserve">CPB-funded stations that are exempt from the new rule authorizing third-party fundraising </w:t>
      </w:r>
      <w:r>
        <w:rPr>
          <w:sz w:val="22"/>
          <w:szCs w:val="22"/>
        </w:rPr>
        <w:t xml:space="preserve">are </w:t>
      </w:r>
      <w:r w:rsidRPr="006E23BB">
        <w:rPr>
          <w:sz w:val="22"/>
          <w:szCs w:val="22"/>
        </w:rPr>
        <w:t xml:space="preserve">still permitted to conduct third-party fundraising for disaster relief efforts by seeking a waiver, just as they have done in the past.  </w:t>
      </w:r>
    </w:p>
    <w:p w:rsidR="002679DA" w:rsidRPr="006E23BB" w:rsidP="006E23BB" w14:paraId="5A4C45C9" w14:textId="77777777">
      <w:pPr>
        <w:pStyle w:val="ListParagraph"/>
        <w:ind w:left="1440"/>
        <w:rPr>
          <w:sz w:val="22"/>
          <w:szCs w:val="22"/>
        </w:rPr>
      </w:pPr>
    </w:p>
    <w:p w:rsidR="004672D0" w:rsidRPr="006E23BB" w:rsidP="006E23BB" w14:paraId="0ADFCB6C" w14:textId="432E179A">
      <w:pPr>
        <w:pStyle w:val="ListParagraph"/>
        <w:numPr>
          <w:ilvl w:val="0"/>
          <w:numId w:val="15"/>
        </w:numPr>
        <w:ind w:left="1440"/>
        <w:rPr>
          <w:sz w:val="22"/>
          <w:szCs w:val="22"/>
        </w:rPr>
      </w:pPr>
      <w:r w:rsidRPr="006E23BB">
        <w:rPr>
          <w:sz w:val="22"/>
          <w:szCs w:val="22"/>
        </w:rPr>
        <w:t>Non-exempt stations may also use the waiver process if they wish to conduct third-party fundraising beyond the one-percent annual limit.  This approach will ensure that if a disaster occurs after a non-exempt station reaches its one-percent annual limit, the station will still be able to seek a waiver to raise funds on-air to support disaster relief efforts.</w:t>
      </w:r>
    </w:p>
    <w:p w:rsidR="00583458" w:rsidP="00E34125" w14:paraId="3808DE25" w14:textId="77777777">
      <w:pPr>
        <w:rPr>
          <w:sz w:val="22"/>
          <w:szCs w:val="22"/>
        </w:rPr>
      </w:pPr>
    </w:p>
    <w:p w:rsidR="00A3197D" w:rsidRPr="006E23BB" w:rsidP="006E23BB" w14:paraId="0064E91C" w14:textId="7AD05671">
      <w:pPr>
        <w:pStyle w:val="ListParagraph"/>
        <w:numPr>
          <w:ilvl w:val="0"/>
          <w:numId w:val="17"/>
        </w:numPr>
        <w:ind w:left="1080"/>
        <w:rPr>
          <w:sz w:val="22"/>
          <w:szCs w:val="22"/>
        </w:rPr>
      </w:pPr>
      <w:r w:rsidRPr="006E23BB">
        <w:rPr>
          <w:b/>
          <w:sz w:val="22"/>
          <w:szCs w:val="22"/>
        </w:rPr>
        <w:t xml:space="preserve">Limitations on </w:t>
      </w:r>
      <w:r w:rsidRPr="006E23BB" w:rsidR="005036DF">
        <w:rPr>
          <w:b/>
          <w:sz w:val="22"/>
          <w:szCs w:val="22"/>
        </w:rPr>
        <w:t>Eligible Beneficiaries of Third-Party Fundraising</w:t>
      </w:r>
      <w:r w:rsidRPr="006E23BB" w:rsidR="006804FA">
        <w:rPr>
          <w:b/>
          <w:sz w:val="22"/>
          <w:szCs w:val="22"/>
        </w:rPr>
        <w:t xml:space="preserve">  </w:t>
      </w:r>
      <w:r w:rsidRPr="006E23BB" w:rsidR="00435A1B">
        <w:rPr>
          <w:b/>
          <w:i/>
          <w:sz w:val="22"/>
          <w:szCs w:val="22"/>
        </w:rPr>
        <w:t>(Report &amp; Order para. 13)</w:t>
      </w:r>
    </w:p>
    <w:p w:rsidR="00A3197D" w:rsidP="006E23BB" w14:paraId="1836579A" w14:textId="77777777">
      <w:pPr>
        <w:pStyle w:val="ListParagraph"/>
        <w:rPr>
          <w:b/>
          <w:sz w:val="22"/>
          <w:szCs w:val="22"/>
        </w:rPr>
      </w:pPr>
    </w:p>
    <w:p w:rsidR="005036DF" w:rsidRPr="006E23BB" w:rsidP="006E23BB" w14:paraId="473EFF24" w14:textId="3A4F888D">
      <w:pPr>
        <w:pStyle w:val="ListParagraph"/>
        <w:numPr>
          <w:ilvl w:val="0"/>
          <w:numId w:val="18"/>
        </w:numPr>
        <w:ind w:left="1440"/>
        <w:rPr>
          <w:sz w:val="22"/>
          <w:szCs w:val="22"/>
        </w:rPr>
      </w:pPr>
      <w:r w:rsidRPr="006E23BB">
        <w:rPr>
          <w:sz w:val="22"/>
          <w:szCs w:val="22"/>
        </w:rPr>
        <w:t xml:space="preserve">NCE stations </w:t>
      </w:r>
      <w:r w:rsidRPr="006E23BB" w:rsidR="008E6233">
        <w:rPr>
          <w:sz w:val="22"/>
          <w:szCs w:val="22"/>
        </w:rPr>
        <w:t>may</w:t>
      </w:r>
      <w:r w:rsidRPr="006E23BB">
        <w:rPr>
          <w:sz w:val="22"/>
          <w:szCs w:val="22"/>
        </w:rPr>
        <w:t xml:space="preserve"> conduct third-party fundraising only for entities that are recognized as tax exempt, non-profit organizations under Section 501(c)(3) of the Internal Revenue Code.  </w:t>
      </w:r>
      <w:r w:rsidRPr="006E23BB" w:rsidR="001B7A99">
        <w:rPr>
          <w:sz w:val="22"/>
          <w:szCs w:val="22"/>
        </w:rPr>
        <w:t>This limitation on eligible beneficiaries will provide</w:t>
      </w:r>
      <w:r w:rsidRPr="006E23BB" w:rsidR="001B7A99">
        <w:rPr>
          <w:color w:val="000000"/>
          <w:sz w:val="22"/>
          <w:szCs w:val="22"/>
          <w:shd w:val="clear" w:color="auto" w:fill="FFFFFF"/>
        </w:rPr>
        <w:t xml:space="preserve"> NCE stations and their audiences assurances that the third-party organizations that benefit from on-air fundraising are </w:t>
      </w:r>
      <w:r w:rsidRPr="006E23BB" w:rsidR="001B7A99">
        <w:rPr>
          <w:i/>
          <w:color w:val="000000"/>
          <w:sz w:val="22"/>
          <w:szCs w:val="22"/>
          <w:shd w:val="clear" w:color="auto" w:fill="FFFFFF"/>
        </w:rPr>
        <w:t>bona fide</w:t>
      </w:r>
      <w:r w:rsidRPr="006E23BB" w:rsidR="001B7A99">
        <w:rPr>
          <w:color w:val="000000"/>
          <w:sz w:val="22"/>
          <w:szCs w:val="22"/>
          <w:shd w:val="clear" w:color="auto" w:fill="FFFFFF"/>
        </w:rPr>
        <w:t xml:space="preserve"> non-profit groups</w:t>
      </w:r>
      <w:r w:rsidRPr="006E23BB" w:rsidR="001B7A99">
        <w:rPr>
          <w:sz w:val="22"/>
          <w:szCs w:val="22"/>
        </w:rPr>
        <w:t>.</w:t>
      </w:r>
    </w:p>
    <w:p w:rsidR="005036DF" w:rsidRPr="006804FA" w:rsidP="005036DF" w14:paraId="56CEEFC7" w14:textId="77777777">
      <w:pPr>
        <w:rPr>
          <w:color w:val="000000"/>
          <w:sz w:val="22"/>
          <w:szCs w:val="22"/>
          <w:shd w:val="clear" w:color="auto" w:fill="FFFFFF"/>
        </w:rPr>
      </w:pPr>
    </w:p>
    <w:p w:rsidR="00337EBD" w:rsidRPr="006E23BB" w:rsidP="006E23BB" w14:paraId="736A7099" w14:textId="25913546">
      <w:pPr>
        <w:pStyle w:val="ListParagraph"/>
        <w:numPr>
          <w:ilvl w:val="0"/>
          <w:numId w:val="17"/>
        </w:numPr>
        <w:ind w:left="1080"/>
        <w:rPr>
          <w:b/>
          <w:sz w:val="22"/>
          <w:szCs w:val="22"/>
          <w:u w:val="single"/>
        </w:rPr>
      </w:pPr>
      <w:r w:rsidRPr="006E23BB">
        <w:rPr>
          <w:rFonts w:eastAsia="Calibri"/>
          <w:b/>
          <w:sz w:val="22"/>
          <w:szCs w:val="22"/>
        </w:rPr>
        <w:t xml:space="preserve">Annual Limit on Third-Party Fundraising  </w:t>
      </w:r>
      <w:r w:rsidR="0089516C">
        <w:rPr>
          <w:rFonts w:eastAsia="Calibri"/>
          <w:b/>
          <w:sz w:val="22"/>
          <w:szCs w:val="22"/>
        </w:rPr>
        <w:t>(</w:t>
      </w:r>
      <w:r w:rsidRPr="000C7056" w:rsidR="0089516C">
        <w:rPr>
          <w:b/>
          <w:sz w:val="22"/>
          <w:szCs w:val="22"/>
        </w:rPr>
        <w:t>47 CFR § 73.503</w:t>
      </w:r>
      <w:r w:rsidR="0089516C">
        <w:rPr>
          <w:b/>
          <w:sz w:val="22"/>
          <w:szCs w:val="22"/>
        </w:rPr>
        <w:t>(f</w:t>
      </w:r>
      <w:r w:rsidRPr="000C7056" w:rsidR="0089516C">
        <w:rPr>
          <w:b/>
          <w:sz w:val="22"/>
          <w:szCs w:val="22"/>
        </w:rPr>
        <w:t>))</w:t>
      </w:r>
    </w:p>
    <w:p w:rsidR="00337EBD" w:rsidRPr="006E23BB" w:rsidP="006E23BB" w14:paraId="0B91A8D8" w14:textId="77777777">
      <w:pPr>
        <w:pStyle w:val="ListParagraph"/>
        <w:rPr>
          <w:b/>
          <w:sz w:val="22"/>
          <w:szCs w:val="22"/>
          <w:u w:val="single"/>
        </w:rPr>
      </w:pPr>
      <w:r>
        <w:rPr>
          <w:rFonts w:eastAsia="Calibri"/>
          <w:b/>
          <w:sz w:val="22"/>
          <w:szCs w:val="22"/>
        </w:rPr>
        <w:t xml:space="preserve"> </w:t>
      </w:r>
    </w:p>
    <w:p w:rsidR="006804FA" w:rsidRPr="006E23BB" w:rsidP="006E23BB" w14:paraId="5BD18E1E" w14:textId="6E07245B">
      <w:pPr>
        <w:pStyle w:val="ListParagraph"/>
        <w:numPr>
          <w:ilvl w:val="0"/>
          <w:numId w:val="18"/>
        </w:numPr>
        <w:ind w:left="1440"/>
        <w:rPr>
          <w:b/>
          <w:sz w:val="22"/>
          <w:szCs w:val="22"/>
          <w:u w:val="single"/>
        </w:rPr>
      </w:pPr>
      <w:r w:rsidRPr="006E23BB">
        <w:rPr>
          <w:sz w:val="22"/>
          <w:szCs w:val="22"/>
        </w:rPr>
        <w:t xml:space="preserve">NCE stations </w:t>
      </w:r>
      <w:r w:rsidRPr="006E23BB" w:rsidR="00255438">
        <w:rPr>
          <w:sz w:val="22"/>
          <w:szCs w:val="22"/>
        </w:rPr>
        <w:t>may</w:t>
      </w:r>
      <w:r w:rsidRPr="006E23BB">
        <w:rPr>
          <w:sz w:val="22"/>
          <w:szCs w:val="22"/>
        </w:rPr>
        <w:t xml:space="preserve"> spend up to one percent of their total annual airtime conducting third-party fundraising.  A one-percent annual limit averages to approximately 88 hours per year</w:t>
      </w:r>
      <w:r w:rsidRPr="006E23BB" w:rsidR="00E20AE2">
        <w:rPr>
          <w:sz w:val="22"/>
          <w:szCs w:val="22"/>
        </w:rPr>
        <w:t xml:space="preserve"> for stations on the air 24 hours a day</w:t>
      </w:r>
      <w:r w:rsidRPr="006E23BB">
        <w:rPr>
          <w:sz w:val="22"/>
          <w:szCs w:val="22"/>
        </w:rPr>
        <w:t xml:space="preserve">.  This limit </w:t>
      </w:r>
      <w:r w:rsidRPr="006E23BB" w:rsidR="00E24C97">
        <w:rPr>
          <w:sz w:val="22"/>
          <w:szCs w:val="22"/>
        </w:rPr>
        <w:t xml:space="preserve">provides </w:t>
      </w:r>
      <w:r w:rsidRPr="006E23BB">
        <w:rPr>
          <w:sz w:val="22"/>
          <w:szCs w:val="22"/>
        </w:rPr>
        <w:t xml:space="preserve">NCE </w:t>
      </w:r>
      <w:r w:rsidRPr="006E23BB" w:rsidR="00E24C97">
        <w:rPr>
          <w:sz w:val="22"/>
          <w:szCs w:val="22"/>
        </w:rPr>
        <w:t xml:space="preserve">stations </w:t>
      </w:r>
      <w:r w:rsidRPr="006E23BB" w:rsidR="00B475F9">
        <w:rPr>
          <w:sz w:val="22"/>
          <w:szCs w:val="22"/>
        </w:rPr>
        <w:t xml:space="preserve">sufficient </w:t>
      </w:r>
      <w:r w:rsidRPr="006E23BB">
        <w:rPr>
          <w:sz w:val="22"/>
          <w:szCs w:val="22"/>
        </w:rPr>
        <w:t>flexibility to conduct third-party fundraising, while also ensuring that they do not frustrate their audiences with excessive fundraising appeals or divert their focus from their primary mission of providing educational programming to their communities.</w:t>
      </w:r>
    </w:p>
    <w:p w:rsidR="00E26AB5" w:rsidP="00E34125" w14:paraId="1145F329" w14:textId="77777777">
      <w:pPr>
        <w:rPr>
          <w:sz w:val="22"/>
          <w:szCs w:val="22"/>
        </w:rPr>
      </w:pPr>
    </w:p>
    <w:p w:rsidR="004F45E6" w:rsidRPr="004F45E6" w:rsidP="006E23BB" w14:paraId="13F35455" w14:textId="4EB57A99">
      <w:pPr>
        <w:pStyle w:val="ListParagraph"/>
        <w:numPr>
          <w:ilvl w:val="0"/>
          <w:numId w:val="17"/>
        </w:numPr>
        <w:ind w:left="1080"/>
        <w:rPr>
          <w:b/>
          <w:sz w:val="22"/>
          <w:szCs w:val="22"/>
        </w:rPr>
      </w:pPr>
      <w:r w:rsidRPr="006E23BB">
        <w:rPr>
          <w:b/>
          <w:sz w:val="22"/>
          <w:szCs w:val="22"/>
        </w:rPr>
        <w:t xml:space="preserve">Audience Disclosures  </w:t>
      </w:r>
      <w:r w:rsidR="001F089C">
        <w:rPr>
          <w:b/>
          <w:sz w:val="22"/>
          <w:szCs w:val="22"/>
        </w:rPr>
        <w:t xml:space="preserve">(47 CFR §§ 73.503(e)(1) &amp; </w:t>
      </w:r>
      <w:r w:rsidR="00060A3D">
        <w:rPr>
          <w:b/>
          <w:sz w:val="22"/>
          <w:szCs w:val="22"/>
        </w:rPr>
        <w:t>73.621</w:t>
      </w:r>
      <w:r w:rsidR="001F089C">
        <w:rPr>
          <w:b/>
          <w:sz w:val="22"/>
          <w:szCs w:val="22"/>
        </w:rPr>
        <w:t>(f)(1))</w:t>
      </w:r>
    </w:p>
    <w:p w:rsidR="004F45E6" w14:paraId="769A241C" w14:textId="77777777">
      <w:pPr>
        <w:rPr>
          <w:sz w:val="22"/>
          <w:szCs w:val="22"/>
        </w:rPr>
      </w:pPr>
    </w:p>
    <w:p w:rsidR="009467D8" w:rsidRPr="006E23BB" w:rsidP="006E23BB" w14:paraId="21B2C078" w14:textId="00137898">
      <w:pPr>
        <w:pStyle w:val="ListParagraph"/>
        <w:numPr>
          <w:ilvl w:val="0"/>
          <w:numId w:val="18"/>
        </w:numPr>
        <w:ind w:left="1440"/>
        <w:rPr>
          <w:sz w:val="22"/>
          <w:szCs w:val="22"/>
        </w:rPr>
      </w:pPr>
      <w:r>
        <w:rPr>
          <w:sz w:val="22"/>
          <w:szCs w:val="22"/>
        </w:rPr>
        <w:t>NCE s</w:t>
      </w:r>
      <w:r w:rsidRPr="000C7056">
        <w:rPr>
          <w:sz w:val="22"/>
          <w:szCs w:val="22"/>
        </w:rPr>
        <w:t xml:space="preserve">tations that conduct third-party fundraising are required to </w:t>
      </w:r>
      <w:r w:rsidRPr="000C7056">
        <w:rPr>
          <w:color w:val="000000"/>
          <w:sz w:val="22"/>
          <w:szCs w:val="22"/>
        </w:rPr>
        <w:t>air audience disclosures that clearly state that the fundraiser is not for the benefit of the station itself and identify the non-profit organization intended to benefit from the fundraising</w:t>
      </w:r>
      <w:r>
        <w:rPr>
          <w:color w:val="000000"/>
          <w:sz w:val="22"/>
          <w:szCs w:val="22"/>
        </w:rPr>
        <w:t>.</w:t>
      </w:r>
    </w:p>
    <w:p w:rsidR="009467D8" w:rsidP="006E23BB" w14:paraId="44BC766E" w14:textId="63EB285B">
      <w:pPr>
        <w:pStyle w:val="ListParagraph"/>
        <w:ind w:left="1440"/>
        <w:rPr>
          <w:sz w:val="22"/>
          <w:szCs w:val="22"/>
        </w:rPr>
      </w:pPr>
      <w:r>
        <w:rPr>
          <w:sz w:val="22"/>
          <w:szCs w:val="22"/>
        </w:rPr>
        <w:t xml:space="preserve"> </w:t>
      </w:r>
    </w:p>
    <w:p w:rsidR="009467D8" w:rsidRPr="006E23BB" w:rsidP="006E23BB" w14:paraId="0D7F3399" w14:textId="2E742254">
      <w:pPr>
        <w:pStyle w:val="ListParagraph"/>
        <w:numPr>
          <w:ilvl w:val="0"/>
          <w:numId w:val="18"/>
        </w:numPr>
        <w:ind w:left="1440"/>
        <w:rPr>
          <w:sz w:val="22"/>
          <w:szCs w:val="22"/>
        </w:rPr>
      </w:pPr>
      <w:r>
        <w:rPr>
          <w:sz w:val="22"/>
          <w:szCs w:val="22"/>
        </w:rPr>
        <w:t xml:space="preserve">Such </w:t>
      </w:r>
      <w:r w:rsidRPr="000C7056">
        <w:rPr>
          <w:color w:val="000000"/>
          <w:sz w:val="22"/>
          <w:szCs w:val="22"/>
        </w:rPr>
        <w:t xml:space="preserve">disclosures must be made at the beginning and the end of the fundraising program and at least once during each hour of the program.  </w:t>
      </w:r>
      <w:r w:rsidRPr="000C7056">
        <w:rPr>
          <w:sz w:val="22"/>
          <w:szCs w:val="22"/>
        </w:rPr>
        <w:t>Audience disclosures will help to avoid possible confusion on the part of station audiences as to who the fundraising program is intended to benefit, particularly where there is an affiliation between an NCE station and the non-profit organization for which the fundraising is being conducted</w:t>
      </w:r>
      <w:r>
        <w:rPr>
          <w:sz w:val="22"/>
          <w:szCs w:val="22"/>
        </w:rPr>
        <w:t>.</w:t>
      </w:r>
    </w:p>
    <w:p w:rsidR="00E26AB5" w:rsidP="00E34125" w14:paraId="336C0941" w14:textId="77777777">
      <w:pPr>
        <w:rPr>
          <w:sz w:val="22"/>
          <w:szCs w:val="22"/>
        </w:rPr>
      </w:pPr>
    </w:p>
    <w:p w:rsidR="004F45E6" w:rsidRPr="006E23BB" w:rsidP="006E23BB" w14:paraId="2E5379A9" w14:textId="420347E1">
      <w:pPr>
        <w:pStyle w:val="ListParagraph"/>
        <w:numPr>
          <w:ilvl w:val="0"/>
          <w:numId w:val="17"/>
        </w:numPr>
        <w:ind w:left="1080"/>
        <w:rPr>
          <w:sz w:val="22"/>
          <w:szCs w:val="22"/>
        </w:rPr>
      </w:pPr>
      <w:r w:rsidRPr="006E23BB">
        <w:rPr>
          <w:b/>
          <w:sz w:val="22"/>
          <w:szCs w:val="22"/>
        </w:rPr>
        <w:t xml:space="preserve">Reimbursement of Expenses Associated with Third-Party Fundraising  </w:t>
      </w:r>
      <w:r w:rsidRPr="00B43DC8" w:rsidR="00510534">
        <w:rPr>
          <w:b/>
          <w:sz w:val="22"/>
          <w:szCs w:val="22"/>
        </w:rPr>
        <w:t xml:space="preserve"> (47 CFR §§ 73.503(e)(</w:t>
      </w:r>
      <w:r w:rsidRPr="00B43DC8" w:rsidR="004E6E7A">
        <w:rPr>
          <w:b/>
          <w:sz w:val="22"/>
          <w:szCs w:val="22"/>
        </w:rPr>
        <w:t>2</w:t>
      </w:r>
      <w:r w:rsidRPr="00B43DC8" w:rsidR="00510534">
        <w:rPr>
          <w:b/>
          <w:sz w:val="22"/>
          <w:szCs w:val="22"/>
        </w:rPr>
        <w:t>) &amp; 73.621(f)(</w:t>
      </w:r>
      <w:r w:rsidRPr="00B43DC8" w:rsidR="004E6E7A">
        <w:rPr>
          <w:b/>
          <w:sz w:val="22"/>
          <w:szCs w:val="22"/>
        </w:rPr>
        <w:t>2</w:t>
      </w:r>
      <w:r w:rsidRPr="00B43DC8" w:rsidR="00510534">
        <w:rPr>
          <w:b/>
          <w:sz w:val="22"/>
          <w:szCs w:val="22"/>
        </w:rPr>
        <w:t>))</w:t>
      </w:r>
    </w:p>
    <w:p w:rsidR="004F45E6" w:rsidRPr="006E23BB" w:rsidP="006E23BB" w14:paraId="67FA3B0E" w14:textId="77777777">
      <w:pPr>
        <w:pStyle w:val="ListParagraph"/>
        <w:rPr>
          <w:sz w:val="22"/>
          <w:szCs w:val="22"/>
        </w:rPr>
      </w:pPr>
    </w:p>
    <w:p w:rsidR="004F45E6" w:rsidP="006E23BB" w14:paraId="5D4E6107" w14:textId="77777777">
      <w:pPr>
        <w:pStyle w:val="ListParagraph"/>
        <w:numPr>
          <w:ilvl w:val="0"/>
          <w:numId w:val="18"/>
        </w:numPr>
        <w:ind w:left="1440"/>
        <w:rPr>
          <w:sz w:val="22"/>
          <w:szCs w:val="22"/>
        </w:rPr>
      </w:pPr>
      <w:r w:rsidRPr="006E23BB">
        <w:rPr>
          <w:sz w:val="22"/>
          <w:szCs w:val="22"/>
        </w:rPr>
        <w:t xml:space="preserve">NCE stations </w:t>
      </w:r>
      <w:r w:rsidRPr="006E23BB" w:rsidR="006A7A08">
        <w:rPr>
          <w:sz w:val="22"/>
          <w:szCs w:val="22"/>
        </w:rPr>
        <w:t>are</w:t>
      </w:r>
      <w:r w:rsidRPr="006E23BB">
        <w:rPr>
          <w:sz w:val="22"/>
          <w:szCs w:val="22"/>
        </w:rPr>
        <w:t xml:space="preserve"> permitted to accept reimbursement of expenses they incur in conducting third-party fundraising, such as the costs of producing third-party programming and the station’s operating costs in connection with the broadcast of third-party fundraising programming.  </w:t>
      </w:r>
    </w:p>
    <w:p w:rsidR="008972BF" w:rsidP="006E23BB" w14:paraId="4F82005A" w14:textId="467F754D">
      <w:pPr>
        <w:pStyle w:val="ListParagraph"/>
        <w:ind w:left="1440"/>
        <w:rPr>
          <w:sz w:val="22"/>
          <w:szCs w:val="22"/>
        </w:rPr>
      </w:pPr>
      <w:r>
        <w:rPr>
          <w:sz w:val="22"/>
          <w:szCs w:val="22"/>
        </w:rPr>
        <w:t xml:space="preserve"> </w:t>
      </w:r>
    </w:p>
    <w:p w:rsidR="008972BF" w:rsidRPr="008972BF" w:rsidP="006E23BB" w14:paraId="649BFE92" w14:textId="66E3C917">
      <w:pPr>
        <w:pStyle w:val="ListParagraph"/>
        <w:numPr>
          <w:ilvl w:val="0"/>
          <w:numId w:val="18"/>
        </w:numPr>
        <w:ind w:left="1440"/>
        <w:rPr>
          <w:sz w:val="22"/>
          <w:szCs w:val="22"/>
        </w:rPr>
      </w:pPr>
      <w:r w:rsidRPr="008972BF">
        <w:rPr>
          <w:sz w:val="22"/>
          <w:szCs w:val="22"/>
        </w:rPr>
        <w:t>NCE stations are not permitted to accept additional consideration in exchange for conducting or airing third-party fundraising programs.  Allowing NCE stations to accept additional consideration could create the perception that NCE stations are engaging in commercial activity and airing programming akin to advertising, which could undermine their noncommercial, educational mission.</w:t>
      </w:r>
    </w:p>
    <w:p w:rsidR="009B571E" w:rsidRPr="00BD5DBA" w:rsidP="006E23BB" w14:paraId="49DABB8D" w14:textId="2868D0A0">
      <w:pPr>
        <w:pStyle w:val="ListParagraph"/>
        <w:ind w:left="1080"/>
        <w:rPr>
          <w:sz w:val="22"/>
          <w:szCs w:val="22"/>
        </w:rPr>
      </w:pPr>
    </w:p>
    <w:p w:rsidR="004F45E6" w:rsidP="006E23BB" w14:paraId="1E4D2451" w14:textId="5D7D83B7">
      <w:pPr>
        <w:pStyle w:val="ListParagraph"/>
        <w:numPr>
          <w:ilvl w:val="0"/>
          <w:numId w:val="17"/>
        </w:numPr>
        <w:ind w:left="1080"/>
        <w:rPr>
          <w:b/>
          <w:sz w:val="22"/>
          <w:szCs w:val="22"/>
        </w:rPr>
      </w:pPr>
      <w:r w:rsidRPr="006E23BB">
        <w:rPr>
          <w:b/>
          <w:sz w:val="22"/>
          <w:szCs w:val="22"/>
        </w:rPr>
        <w:t xml:space="preserve">Public File Requirement  </w:t>
      </w:r>
      <w:r w:rsidR="00331B7C">
        <w:rPr>
          <w:b/>
          <w:sz w:val="22"/>
          <w:szCs w:val="22"/>
        </w:rPr>
        <w:t>(47 CFR §73.3527(e)(14))</w:t>
      </w:r>
    </w:p>
    <w:p w:rsidR="004F45E6" w:rsidP="006E23BB" w14:paraId="3FE75184" w14:textId="23F1F41F">
      <w:pPr>
        <w:pStyle w:val="ListParagraph"/>
        <w:rPr>
          <w:b/>
          <w:sz w:val="22"/>
          <w:szCs w:val="22"/>
        </w:rPr>
      </w:pPr>
    </w:p>
    <w:p w:rsidR="004F45E6" w:rsidRPr="006E23BB" w:rsidP="006E23BB" w14:paraId="4F82993B" w14:textId="77777777">
      <w:pPr>
        <w:pStyle w:val="ListParagraph"/>
        <w:numPr>
          <w:ilvl w:val="0"/>
          <w:numId w:val="19"/>
        </w:numPr>
        <w:ind w:left="1440"/>
        <w:rPr>
          <w:b/>
          <w:sz w:val="22"/>
          <w:szCs w:val="22"/>
        </w:rPr>
      </w:pPr>
      <w:r w:rsidRPr="006E23BB">
        <w:rPr>
          <w:sz w:val="22"/>
          <w:szCs w:val="22"/>
        </w:rPr>
        <w:t xml:space="preserve">NCE stations that </w:t>
      </w:r>
      <w:r w:rsidRPr="006E23BB" w:rsidR="00A61BB2">
        <w:rPr>
          <w:sz w:val="22"/>
          <w:szCs w:val="22"/>
        </w:rPr>
        <w:t>participate</w:t>
      </w:r>
      <w:r w:rsidRPr="006E23BB">
        <w:rPr>
          <w:sz w:val="22"/>
          <w:szCs w:val="22"/>
        </w:rPr>
        <w:t xml:space="preserve"> in third-party fundraising </w:t>
      </w:r>
      <w:r w:rsidRPr="006E23BB" w:rsidR="006A7A08">
        <w:rPr>
          <w:sz w:val="22"/>
          <w:szCs w:val="22"/>
        </w:rPr>
        <w:t>are</w:t>
      </w:r>
      <w:r w:rsidRPr="006E23BB">
        <w:rPr>
          <w:sz w:val="22"/>
          <w:szCs w:val="22"/>
        </w:rPr>
        <w:t xml:space="preserve"> required to include certain information </w:t>
      </w:r>
      <w:r w:rsidRPr="006E23BB" w:rsidR="00C51555">
        <w:rPr>
          <w:sz w:val="22"/>
          <w:szCs w:val="22"/>
        </w:rPr>
        <w:t>about</w:t>
      </w:r>
      <w:r w:rsidRPr="006E23BB">
        <w:rPr>
          <w:sz w:val="22"/>
          <w:szCs w:val="22"/>
        </w:rPr>
        <w:t xml:space="preserve"> their fundraising activities in their public inspection files.  </w:t>
      </w:r>
    </w:p>
    <w:p w:rsidR="004F45E6" w:rsidRPr="006E23BB" w:rsidP="006E23BB" w14:paraId="367A4A6D" w14:textId="77777777">
      <w:pPr>
        <w:pStyle w:val="ListParagraph"/>
        <w:ind w:left="1440"/>
        <w:rPr>
          <w:b/>
          <w:sz w:val="22"/>
          <w:szCs w:val="22"/>
        </w:rPr>
      </w:pPr>
    </w:p>
    <w:p w:rsidR="00044EE4" w:rsidRPr="006E23BB" w:rsidP="006E23BB" w14:paraId="43BC2B69" w14:textId="3332FD04">
      <w:pPr>
        <w:pStyle w:val="ListParagraph"/>
        <w:numPr>
          <w:ilvl w:val="0"/>
          <w:numId w:val="19"/>
        </w:numPr>
        <w:ind w:left="1440"/>
        <w:rPr>
          <w:b/>
          <w:sz w:val="22"/>
          <w:szCs w:val="22"/>
        </w:rPr>
      </w:pPr>
      <w:r w:rsidRPr="006E23BB">
        <w:rPr>
          <w:sz w:val="22"/>
          <w:szCs w:val="22"/>
        </w:rPr>
        <w:t xml:space="preserve">For each third-party fundraising program or activity it conducts, a NCE station must place in its public file, on a quarterly basis, the following information:  </w:t>
      </w:r>
    </w:p>
    <w:p w:rsidR="00044EE4" w:rsidRPr="006E23BB" w:rsidP="006E23BB" w14:paraId="605DCE2B" w14:textId="77777777">
      <w:pPr>
        <w:pStyle w:val="ListParagraph"/>
        <w:ind w:left="1440"/>
        <w:rPr>
          <w:sz w:val="22"/>
          <w:szCs w:val="22"/>
        </w:rPr>
      </w:pPr>
    </w:p>
    <w:p w:rsidR="00044EE4" w:rsidRPr="006E23BB" w:rsidP="006E23BB" w14:paraId="3FDEF363" w14:textId="77777777">
      <w:pPr>
        <w:pStyle w:val="ListParagraph"/>
        <w:numPr>
          <w:ilvl w:val="1"/>
          <w:numId w:val="19"/>
        </w:numPr>
        <w:ind w:left="1800"/>
        <w:rPr>
          <w:b/>
          <w:sz w:val="22"/>
          <w:szCs w:val="22"/>
        </w:rPr>
      </w:pPr>
      <w:r w:rsidRPr="006E23BB">
        <w:rPr>
          <w:sz w:val="22"/>
          <w:szCs w:val="22"/>
        </w:rPr>
        <w:t>the date, time, and duration of the fundraiser;</w:t>
      </w:r>
    </w:p>
    <w:p w:rsidR="00044EE4" w:rsidRPr="006E23BB" w:rsidP="006E23BB" w14:paraId="196C33C2" w14:textId="46214DC2">
      <w:pPr>
        <w:pStyle w:val="ListParagraph"/>
        <w:numPr>
          <w:ilvl w:val="1"/>
          <w:numId w:val="19"/>
        </w:numPr>
        <w:ind w:left="1800"/>
        <w:rPr>
          <w:b/>
          <w:sz w:val="22"/>
          <w:szCs w:val="22"/>
        </w:rPr>
      </w:pPr>
      <w:r w:rsidRPr="006E23BB">
        <w:rPr>
          <w:sz w:val="22"/>
          <w:szCs w:val="22"/>
        </w:rPr>
        <w:t xml:space="preserve">the type of fundraising activity; </w:t>
      </w:r>
    </w:p>
    <w:p w:rsidR="00044EE4" w:rsidRPr="006E23BB" w:rsidP="006E23BB" w14:paraId="10C9C33B" w14:textId="77777777">
      <w:pPr>
        <w:pStyle w:val="ListParagraph"/>
        <w:numPr>
          <w:ilvl w:val="1"/>
          <w:numId w:val="19"/>
        </w:numPr>
        <w:ind w:left="1800"/>
        <w:rPr>
          <w:b/>
          <w:sz w:val="22"/>
          <w:szCs w:val="22"/>
        </w:rPr>
      </w:pPr>
      <w:r w:rsidRPr="006E23BB">
        <w:rPr>
          <w:sz w:val="22"/>
          <w:szCs w:val="22"/>
        </w:rPr>
        <w:t xml:space="preserve">the name of the non-profit organization benefitted by the fundraiser; </w:t>
      </w:r>
    </w:p>
    <w:p w:rsidR="00044EE4" w:rsidRPr="006E23BB" w:rsidP="006E23BB" w14:paraId="454774A9" w14:textId="77777777">
      <w:pPr>
        <w:pStyle w:val="ListParagraph"/>
        <w:numPr>
          <w:ilvl w:val="1"/>
          <w:numId w:val="19"/>
        </w:numPr>
        <w:ind w:left="1800"/>
        <w:rPr>
          <w:b/>
          <w:sz w:val="22"/>
          <w:szCs w:val="22"/>
        </w:rPr>
      </w:pPr>
      <w:r w:rsidRPr="006E23BB">
        <w:rPr>
          <w:color w:val="000000"/>
          <w:sz w:val="22"/>
          <w:szCs w:val="22"/>
        </w:rPr>
        <w:t xml:space="preserve">a brief description of the specific cause or project, if any, supported by the fundraiser; </w:t>
      </w:r>
      <w:r w:rsidRPr="006E23BB">
        <w:rPr>
          <w:sz w:val="22"/>
          <w:szCs w:val="22"/>
        </w:rPr>
        <w:t xml:space="preserve">and, </w:t>
      </w:r>
    </w:p>
    <w:p w:rsidR="00383EF4" w:rsidRPr="006E23BB" w:rsidP="006E23BB" w14:paraId="2F9A31D1" w14:textId="615355E1">
      <w:pPr>
        <w:pStyle w:val="ListParagraph"/>
        <w:numPr>
          <w:ilvl w:val="1"/>
          <w:numId w:val="19"/>
        </w:numPr>
        <w:ind w:left="1800"/>
        <w:rPr>
          <w:b/>
          <w:sz w:val="22"/>
          <w:szCs w:val="22"/>
        </w:rPr>
      </w:pPr>
      <w:r w:rsidRPr="006E23BB">
        <w:rPr>
          <w:sz w:val="22"/>
          <w:szCs w:val="22"/>
        </w:rPr>
        <w:t>to the extent that the NCE station participated in tallying or receiving any funds for the non-profit group, an approximation</w:t>
      </w:r>
      <w:r w:rsidRPr="006E23BB" w:rsidR="00C51555">
        <w:rPr>
          <w:sz w:val="22"/>
          <w:szCs w:val="22"/>
        </w:rPr>
        <w:t>, to the nearest $10,000,</w:t>
      </w:r>
      <w:r w:rsidRPr="006E23BB">
        <w:rPr>
          <w:sz w:val="22"/>
          <w:szCs w:val="22"/>
        </w:rPr>
        <w:t xml:space="preserve"> of the total funds raised.  </w:t>
      </w:r>
    </w:p>
    <w:p w:rsidR="007F64C6" w:rsidP="00E34125" w14:paraId="4975F05F" w14:textId="77777777">
      <w:pPr>
        <w:rPr>
          <w:sz w:val="22"/>
          <w:szCs w:val="22"/>
        </w:rPr>
      </w:pPr>
    </w:p>
    <w:p w:rsidR="00476B58" w:rsidRPr="00E47031" w:rsidP="00476B58" w14:paraId="46CAEE77" w14:textId="77777777">
      <w:pPr>
        <w:rPr>
          <w:b/>
          <w:color w:val="000000"/>
          <w:sz w:val="22"/>
          <w:szCs w:val="22"/>
        </w:rPr>
      </w:pPr>
      <w:r w:rsidRPr="00E47031">
        <w:rPr>
          <w:b/>
          <w:sz w:val="22"/>
          <w:szCs w:val="22"/>
        </w:rPr>
        <w:t>III.</w:t>
      </w:r>
      <w:r w:rsidRPr="00E47031">
        <w:rPr>
          <w:b/>
          <w:sz w:val="22"/>
          <w:szCs w:val="22"/>
        </w:rPr>
        <w:tab/>
        <w:t>RECORDKEEPING AND REPORTING REQUIREMENTS</w:t>
      </w:r>
    </w:p>
    <w:p w:rsidR="00476B58" w:rsidP="00E34125" w14:paraId="2C9682ED" w14:textId="77777777">
      <w:pPr>
        <w:rPr>
          <w:sz w:val="22"/>
          <w:szCs w:val="22"/>
        </w:rPr>
      </w:pPr>
    </w:p>
    <w:p w:rsidR="00C90E1C" w:rsidP="00E34125" w14:paraId="3121C9A3" w14:textId="56BBF6DE">
      <w:pPr>
        <w:rPr>
          <w:sz w:val="22"/>
          <w:szCs w:val="22"/>
        </w:rPr>
      </w:pPr>
      <w:r>
        <w:rPr>
          <w:sz w:val="22"/>
          <w:szCs w:val="22"/>
        </w:rPr>
        <w:tab/>
      </w:r>
      <w:r w:rsidRPr="006E23BB">
        <w:rPr>
          <w:sz w:val="22"/>
          <w:szCs w:val="22"/>
        </w:rPr>
        <w:t xml:space="preserve">The </w:t>
      </w:r>
      <w:r w:rsidRPr="006E23BB">
        <w:rPr>
          <w:i/>
          <w:sz w:val="22"/>
          <w:szCs w:val="22"/>
        </w:rPr>
        <w:t xml:space="preserve">Report and Order </w:t>
      </w:r>
      <w:r w:rsidRPr="006E23BB">
        <w:rPr>
          <w:sz w:val="22"/>
          <w:szCs w:val="22"/>
        </w:rPr>
        <w:t>contains new recordkeeping requirement</w:t>
      </w:r>
      <w:r w:rsidR="00F835D0">
        <w:rPr>
          <w:sz w:val="22"/>
          <w:szCs w:val="22"/>
        </w:rPr>
        <w:t>s for</w:t>
      </w:r>
      <w:r w:rsidRPr="006E23BB">
        <w:rPr>
          <w:sz w:val="22"/>
          <w:szCs w:val="22"/>
        </w:rPr>
        <w:t xml:space="preserve"> information on third-party fundraising</w:t>
      </w:r>
      <w:r w:rsidR="00B823E2">
        <w:rPr>
          <w:sz w:val="22"/>
          <w:szCs w:val="22"/>
        </w:rPr>
        <w:t xml:space="preserve"> </w:t>
      </w:r>
      <w:r w:rsidR="00044EE4">
        <w:rPr>
          <w:sz w:val="22"/>
          <w:szCs w:val="22"/>
        </w:rPr>
        <w:t xml:space="preserve">activities </w:t>
      </w:r>
      <w:r w:rsidR="00B823E2">
        <w:rPr>
          <w:sz w:val="22"/>
          <w:szCs w:val="22"/>
        </w:rPr>
        <w:t>that NCE stat</w:t>
      </w:r>
      <w:r w:rsidR="00044EE4">
        <w:rPr>
          <w:sz w:val="22"/>
          <w:szCs w:val="22"/>
        </w:rPr>
        <w:t>ions</w:t>
      </w:r>
      <w:r w:rsidR="00AA3EC8">
        <w:rPr>
          <w:sz w:val="22"/>
          <w:szCs w:val="22"/>
        </w:rPr>
        <w:t xml:space="preserve"> must keep in their</w:t>
      </w:r>
      <w:r w:rsidR="00026CB8">
        <w:rPr>
          <w:sz w:val="22"/>
          <w:szCs w:val="22"/>
        </w:rPr>
        <w:t xml:space="preserve"> public file</w:t>
      </w:r>
      <w:r w:rsidRPr="006E23BB">
        <w:rPr>
          <w:sz w:val="22"/>
          <w:szCs w:val="22"/>
        </w:rPr>
        <w:t>.</w:t>
      </w:r>
    </w:p>
    <w:p w:rsidR="00B823E2" w:rsidP="00E34125" w14:paraId="19EEC905" w14:textId="77777777">
      <w:pPr>
        <w:rPr>
          <w:sz w:val="22"/>
          <w:szCs w:val="22"/>
        </w:rPr>
      </w:pPr>
    </w:p>
    <w:p w:rsidR="00B823E2" w:rsidP="006E23BB" w14:paraId="30063ED0" w14:textId="39E479C9">
      <w:pPr>
        <w:pStyle w:val="ListParagraph"/>
        <w:numPr>
          <w:ilvl w:val="0"/>
          <w:numId w:val="20"/>
        </w:numPr>
        <w:ind w:left="1440"/>
        <w:rPr>
          <w:sz w:val="22"/>
          <w:szCs w:val="22"/>
        </w:rPr>
      </w:pPr>
      <w:r>
        <w:rPr>
          <w:sz w:val="22"/>
          <w:szCs w:val="22"/>
        </w:rPr>
        <w:t>E</w:t>
      </w:r>
      <w:r w:rsidRPr="00B823E2">
        <w:rPr>
          <w:sz w:val="22"/>
          <w:szCs w:val="22"/>
        </w:rPr>
        <w:t>very three months</w:t>
      </w:r>
      <w:r>
        <w:rPr>
          <w:sz w:val="22"/>
          <w:szCs w:val="22"/>
        </w:rPr>
        <w:t xml:space="preserve"> </w:t>
      </w:r>
      <w:r>
        <w:rPr>
          <w:sz w:val="22"/>
          <w:szCs w:val="22"/>
        </w:rPr>
        <w:t xml:space="preserve">NCE </w:t>
      </w:r>
      <w:r w:rsidRPr="00B823E2">
        <w:rPr>
          <w:sz w:val="22"/>
          <w:szCs w:val="22"/>
        </w:rPr>
        <w:t xml:space="preserve">stations that interrupt regular programming to conduct fundraising activities on behalf of a third-party non-profit organization pursuant to § 73.503(e) (FM stations) or § 73.621(f) (television stations), </w:t>
      </w:r>
      <w:r>
        <w:rPr>
          <w:sz w:val="22"/>
          <w:szCs w:val="22"/>
        </w:rPr>
        <w:t xml:space="preserve">must </w:t>
      </w:r>
      <w:r w:rsidR="00230406">
        <w:rPr>
          <w:sz w:val="22"/>
          <w:szCs w:val="22"/>
        </w:rPr>
        <w:t xml:space="preserve">place </w:t>
      </w:r>
      <w:r w:rsidR="0052475E">
        <w:rPr>
          <w:sz w:val="22"/>
          <w:szCs w:val="22"/>
        </w:rPr>
        <w:t>in their</w:t>
      </w:r>
      <w:r w:rsidR="00230406">
        <w:rPr>
          <w:sz w:val="22"/>
          <w:szCs w:val="22"/>
        </w:rPr>
        <w:t xml:space="preserve"> public file the information detailed </w:t>
      </w:r>
      <w:r w:rsidR="00BC3F08">
        <w:rPr>
          <w:sz w:val="22"/>
          <w:szCs w:val="22"/>
        </w:rPr>
        <w:t xml:space="preserve">above </w:t>
      </w:r>
      <w:r w:rsidR="00230406">
        <w:rPr>
          <w:sz w:val="22"/>
          <w:szCs w:val="22"/>
        </w:rPr>
        <w:t>in Section II.F</w:t>
      </w:r>
      <w:r w:rsidR="00BC3F08">
        <w:rPr>
          <w:sz w:val="22"/>
          <w:szCs w:val="22"/>
        </w:rPr>
        <w:t>.</w:t>
      </w:r>
    </w:p>
    <w:p w:rsidR="00BC3F08" w:rsidP="006E23BB" w14:paraId="78BC6550" w14:textId="77777777">
      <w:pPr>
        <w:pStyle w:val="ListParagraph"/>
        <w:ind w:left="1080"/>
        <w:rPr>
          <w:sz w:val="22"/>
          <w:szCs w:val="22"/>
        </w:rPr>
      </w:pPr>
    </w:p>
    <w:p w:rsidR="00476B58" w:rsidP="006E23BB" w14:paraId="252991CB" w14:textId="06B0D403">
      <w:pPr>
        <w:pStyle w:val="ListParagraph"/>
        <w:numPr>
          <w:ilvl w:val="0"/>
          <w:numId w:val="20"/>
        </w:numPr>
        <w:ind w:left="1440"/>
        <w:rPr>
          <w:sz w:val="22"/>
          <w:szCs w:val="22"/>
        </w:rPr>
      </w:pPr>
      <w:r w:rsidRPr="00BC3F08">
        <w:rPr>
          <w:sz w:val="22"/>
          <w:szCs w:val="22"/>
        </w:rPr>
        <w:t xml:space="preserve">NCE stations </w:t>
      </w:r>
      <w:r w:rsidR="001B42F5">
        <w:rPr>
          <w:sz w:val="22"/>
          <w:szCs w:val="22"/>
        </w:rPr>
        <w:t xml:space="preserve">that </w:t>
      </w:r>
      <w:r w:rsidRPr="00BC3F08">
        <w:rPr>
          <w:sz w:val="22"/>
          <w:szCs w:val="22"/>
        </w:rPr>
        <w:t xml:space="preserve">are </w:t>
      </w:r>
      <w:r w:rsidR="00BC3F08">
        <w:rPr>
          <w:sz w:val="22"/>
          <w:szCs w:val="22"/>
        </w:rPr>
        <w:t xml:space="preserve">subject to the public file requirement must have the information for each calendar quarter in their public file by </w:t>
      </w:r>
      <w:r w:rsidRPr="00BC3F08" w:rsidR="00BC3F08">
        <w:rPr>
          <w:sz w:val="22"/>
          <w:szCs w:val="22"/>
        </w:rPr>
        <w:t>the tenth day of the succeeding calendar quarter (e.g., January 10 for the quarter October-December, April 10 for the quarter January-March, etc.)</w:t>
      </w:r>
      <w:r w:rsidR="00BC3F08">
        <w:rPr>
          <w:sz w:val="22"/>
          <w:szCs w:val="22"/>
        </w:rPr>
        <w:t>.</w:t>
      </w:r>
    </w:p>
    <w:p w:rsidR="00BC3F08" w:rsidRPr="00BC3F08" w14:paraId="1071985C" w14:textId="77777777">
      <w:pPr>
        <w:rPr>
          <w:sz w:val="22"/>
          <w:szCs w:val="22"/>
        </w:rPr>
      </w:pPr>
    </w:p>
    <w:p w:rsidR="009B571E" w:rsidRPr="009B571E" w:rsidP="00E34125" w14:paraId="7EAC3389" w14:textId="6F64EAEF">
      <w:pPr>
        <w:rPr>
          <w:b/>
          <w:color w:val="000000"/>
          <w:sz w:val="22"/>
          <w:szCs w:val="22"/>
        </w:rPr>
      </w:pPr>
      <w:r w:rsidRPr="006E23BB">
        <w:rPr>
          <w:b/>
          <w:sz w:val="22"/>
          <w:szCs w:val="22"/>
        </w:rPr>
        <w:t>IV.        IMPLEMENTATION DATE</w:t>
      </w:r>
    </w:p>
    <w:p w:rsidR="009B571E" w:rsidP="00E34125" w14:paraId="7EB43C05" w14:textId="77777777">
      <w:pPr>
        <w:rPr>
          <w:b/>
          <w:color w:val="000000"/>
          <w:sz w:val="22"/>
          <w:szCs w:val="22"/>
        </w:rPr>
      </w:pPr>
    </w:p>
    <w:p w:rsidR="00711358" w:rsidP="00711358" w14:paraId="40EDB890" w14:textId="5B4E9D57">
      <w:pPr>
        <w:pStyle w:val="ParaNum"/>
        <w:numPr>
          <w:ilvl w:val="0"/>
          <w:numId w:val="0"/>
        </w:numPr>
        <w:ind w:firstLine="720"/>
      </w:pPr>
      <w:r w:rsidRPr="00511023">
        <w:t>The following</w:t>
      </w:r>
      <w:r>
        <w:rPr>
          <w:b/>
        </w:rPr>
        <w:t xml:space="preserve"> </w:t>
      </w:r>
      <w:r>
        <w:t xml:space="preserve">rules in the </w:t>
      </w:r>
      <w:r w:rsidRPr="00511023">
        <w:rPr>
          <w:i/>
        </w:rPr>
        <w:t>Report and Order</w:t>
      </w:r>
      <w:r>
        <w:t xml:space="preserve"> </w:t>
      </w:r>
      <w:r w:rsidRPr="0084392B">
        <w:t>bec</w:t>
      </w:r>
      <w:r w:rsidR="00FA01F7">
        <w:t>a</w:t>
      </w:r>
      <w:r w:rsidRPr="0084392B">
        <w:t xml:space="preserve">me effective </w:t>
      </w:r>
      <w:r w:rsidR="00FA01F7">
        <w:t xml:space="preserve">July 5, 2017, sixty </w:t>
      </w:r>
      <w:r w:rsidRPr="006E23BB" w:rsidR="00FA01F7">
        <w:t>(60</w:t>
      </w:r>
      <w:r w:rsidRPr="006E23BB">
        <w:t>)</w:t>
      </w:r>
      <w:r w:rsidRPr="0084392B">
        <w:t xml:space="preserve"> days after publication of the text or summary </w:t>
      </w:r>
      <w:r>
        <w:t>thereof in the Federal Register:</w:t>
      </w:r>
      <w:r w:rsidRPr="000B7CA8" w:rsidR="000B7CA8">
        <w:t xml:space="preserve"> </w:t>
      </w:r>
      <w:r w:rsidR="000B7CA8">
        <w:t>47 CFR § 73.503(d) &amp; (e)(2)-(3), Note to 47 CFR § 73.503</w:t>
      </w:r>
      <w:r w:rsidR="006C3652">
        <w:t xml:space="preserve"> and </w:t>
      </w:r>
      <w:r w:rsidR="000B7CA8">
        <w:t>47 CFR § 73.621(e) &amp;</w:t>
      </w:r>
      <w:r w:rsidR="001B42F5">
        <w:t xml:space="preserve"> </w:t>
      </w:r>
      <w:r w:rsidR="000B7CA8">
        <w:t>(f)(2)-(3)</w:t>
      </w:r>
      <w:r w:rsidR="006C3652">
        <w:t>.</w:t>
      </w:r>
      <w:r>
        <w:t xml:space="preserve"> </w:t>
      </w:r>
      <w:r w:rsidRPr="0084392B">
        <w:t xml:space="preserve"> </w:t>
      </w:r>
    </w:p>
    <w:p w:rsidR="00711358" w:rsidP="00711358" w14:paraId="7ACE4759" w14:textId="256CAC8C">
      <w:pPr>
        <w:pStyle w:val="ParaNum"/>
        <w:numPr>
          <w:ilvl w:val="0"/>
          <w:numId w:val="0"/>
        </w:numPr>
        <w:ind w:firstLine="720"/>
      </w:pPr>
      <w:r w:rsidRPr="00511023">
        <w:t>The following</w:t>
      </w:r>
      <w:r>
        <w:rPr>
          <w:b/>
        </w:rPr>
        <w:t xml:space="preserve"> </w:t>
      </w:r>
      <w:r>
        <w:t xml:space="preserve">rules in the </w:t>
      </w:r>
      <w:r w:rsidRPr="00EF5082">
        <w:rPr>
          <w:i/>
        </w:rPr>
        <w:t>Report and Order</w:t>
      </w:r>
      <w:r>
        <w:t xml:space="preserve"> </w:t>
      </w:r>
      <w:r w:rsidRPr="0084392B">
        <w:t>require</w:t>
      </w:r>
      <w:r w:rsidR="001B42F5">
        <w:t>d</w:t>
      </w:r>
      <w:r w:rsidRPr="0084392B">
        <w:t xml:space="preserve"> approval by the Office of Management and Budget (OMB) u</w:t>
      </w:r>
      <w:r>
        <w:t xml:space="preserve">nder the Paperwork Reduction Act:  47 CFR </w:t>
      </w:r>
      <w:r w:rsidR="002127FE">
        <w:t>§ 73.503(e)</w:t>
      </w:r>
      <w:r w:rsidR="00C90E1C">
        <w:t>(1</w:t>
      </w:r>
      <w:r w:rsidR="002127FE">
        <w:t>)</w:t>
      </w:r>
      <w:r>
        <w:t>,</w:t>
      </w:r>
      <w:r w:rsidR="000B7CA8">
        <w:t xml:space="preserve"> </w:t>
      </w:r>
      <w:r w:rsidR="002127FE">
        <w:t>47 CFR § 73.621(f)(1)</w:t>
      </w:r>
      <w:r w:rsidR="001B42F5">
        <w:t>,</w:t>
      </w:r>
      <w:r w:rsidR="002127FE">
        <w:t xml:space="preserve"> and </w:t>
      </w:r>
      <w:r>
        <w:t xml:space="preserve">47 CFR </w:t>
      </w:r>
      <w:r w:rsidR="002127FE">
        <w:t>§73.3527(e)(14).</w:t>
      </w:r>
      <w:r w:rsidRPr="0084392B">
        <w:t xml:space="preserve"> </w:t>
      </w:r>
      <w:r>
        <w:t xml:space="preserve">These rules </w:t>
      </w:r>
      <w:r w:rsidRPr="0084392B">
        <w:t>bec</w:t>
      </w:r>
      <w:r w:rsidR="008B3DCA">
        <w:t>a</w:t>
      </w:r>
      <w:r w:rsidRPr="0084392B">
        <w:t xml:space="preserve">me effective </w:t>
      </w:r>
      <w:r w:rsidR="002A5293">
        <w:t>November 13, 2017</w:t>
      </w:r>
      <w:r w:rsidR="008B3DCA">
        <w:t>,</w:t>
      </w:r>
      <w:r w:rsidR="002A5293">
        <w:t xml:space="preserve"> pursuant </w:t>
      </w:r>
      <w:r w:rsidR="001B42F5">
        <w:t xml:space="preserve">to </w:t>
      </w:r>
      <w:r w:rsidR="002A5293">
        <w:t xml:space="preserve">the notice </w:t>
      </w:r>
      <w:r w:rsidRPr="0084392B">
        <w:t>t</w:t>
      </w:r>
      <w:r w:rsidR="002A5293">
        <w:t>he Commission published on September 12, 2017</w:t>
      </w:r>
      <w:r w:rsidR="008B3DCA">
        <w:t>,</w:t>
      </w:r>
      <w:r w:rsidR="002A5293">
        <w:t xml:space="preserve"> in the </w:t>
      </w:r>
      <w:r w:rsidRPr="0084392B">
        <w:t xml:space="preserve">Federal Register announcing </w:t>
      </w:r>
      <w:r>
        <w:t xml:space="preserve">OMB </w:t>
      </w:r>
      <w:r w:rsidRPr="0084392B">
        <w:t>approval and the effective date.</w:t>
      </w:r>
    </w:p>
    <w:p w:rsidR="006E23BB" w14:paraId="7F2E7BCE" w14:textId="4CEF4B63">
      <w:pPr>
        <w:rPr>
          <w:b/>
          <w:color w:val="000000"/>
          <w:sz w:val="22"/>
          <w:szCs w:val="22"/>
        </w:rPr>
      </w:pPr>
      <w:r>
        <w:rPr>
          <w:b/>
          <w:color w:val="000000"/>
          <w:sz w:val="22"/>
          <w:szCs w:val="22"/>
        </w:rPr>
        <w:br w:type="page"/>
      </w:r>
    </w:p>
    <w:p w:rsidR="009B571E" w:rsidP="00E34125" w14:paraId="132BF10E" w14:textId="77777777">
      <w:pPr>
        <w:rPr>
          <w:b/>
          <w:color w:val="000000"/>
          <w:sz w:val="22"/>
          <w:szCs w:val="22"/>
        </w:rPr>
      </w:pPr>
    </w:p>
    <w:p w:rsidR="00583458" w:rsidP="00E34125" w14:paraId="4C93575C" w14:textId="3180AAE8">
      <w:pPr>
        <w:rPr>
          <w:color w:val="000000"/>
          <w:sz w:val="22"/>
          <w:szCs w:val="22"/>
        </w:rPr>
      </w:pPr>
      <w:r w:rsidRPr="006E23BB">
        <w:rPr>
          <w:b/>
          <w:sz w:val="22"/>
          <w:szCs w:val="22"/>
        </w:rPr>
        <w:t xml:space="preserve">V.  </w:t>
      </w:r>
      <w:r w:rsidRPr="00074CA4">
        <w:rPr>
          <w:b/>
        </w:rPr>
        <w:t xml:space="preserve">       </w:t>
      </w:r>
      <w:r>
        <w:rPr>
          <w:b/>
          <w:color w:val="000000"/>
          <w:sz w:val="22"/>
          <w:szCs w:val="22"/>
        </w:rPr>
        <w:t>INTERNET LINKS</w:t>
      </w:r>
    </w:p>
    <w:p w:rsidR="00583458" w:rsidP="00E34125" w14:paraId="4B8B3F03" w14:textId="77777777">
      <w:pPr>
        <w:rPr>
          <w:color w:val="000000"/>
          <w:sz w:val="22"/>
          <w:szCs w:val="22"/>
        </w:rPr>
      </w:pPr>
    </w:p>
    <w:p w:rsidR="00583458" w:rsidRPr="003F2C18" w:rsidP="006E23BB" w14:paraId="37FD20B8" w14:textId="7F8BE367">
      <w:pPr>
        <w:spacing w:after="120"/>
        <w:ind w:firstLine="720"/>
        <w:rPr>
          <w:color w:val="000000"/>
          <w:sz w:val="22"/>
          <w:szCs w:val="22"/>
        </w:rPr>
      </w:pPr>
      <w:r w:rsidRPr="006E23BB">
        <w:rPr>
          <w:sz w:val="22"/>
          <w:szCs w:val="22"/>
        </w:rPr>
        <w:t>A copy of the</w:t>
      </w:r>
      <w:r w:rsidRPr="006E23BB">
        <w:rPr>
          <w:b/>
          <w:sz w:val="22"/>
          <w:szCs w:val="22"/>
        </w:rPr>
        <w:t xml:space="preserve"> </w:t>
      </w:r>
      <w:r w:rsidRPr="003F2C18" w:rsidR="005C3042">
        <w:rPr>
          <w:i/>
          <w:color w:val="000000"/>
          <w:sz w:val="22"/>
          <w:szCs w:val="22"/>
        </w:rPr>
        <w:t>Noncommercial Educational Station Fundraising for Third-Party Non-Profit Organizations</w:t>
      </w:r>
      <w:r w:rsidRPr="003F2C18">
        <w:rPr>
          <w:color w:val="000000"/>
          <w:sz w:val="22"/>
          <w:szCs w:val="22"/>
        </w:rPr>
        <w:t>, Report and Order i</w:t>
      </w:r>
      <w:r w:rsidRPr="003F2C18">
        <w:rPr>
          <w:color w:val="000000"/>
          <w:sz w:val="22"/>
          <w:szCs w:val="22"/>
        </w:rPr>
        <w:t>s available at</w:t>
      </w:r>
      <w:r w:rsidRPr="003F2C18">
        <w:rPr>
          <w:color w:val="000000"/>
          <w:sz w:val="22"/>
          <w:szCs w:val="22"/>
        </w:rPr>
        <w:t>:</w:t>
      </w:r>
    </w:p>
    <w:p w:rsidR="00406E6D" w:rsidRPr="003F2C18" w:rsidP="006E23BB" w14:paraId="04DD0964" w14:textId="77777777">
      <w:pPr>
        <w:autoSpaceDE w:val="0"/>
        <w:autoSpaceDN w:val="0"/>
        <w:adjustRightInd w:val="0"/>
        <w:rPr>
          <w:color w:val="010101"/>
          <w:sz w:val="22"/>
          <w:szCs w:val="22"/>
        </w:rPr>
      </w:pPr>
      <w:r>
        <w:fldChar w:fldCharType="begin"/>
      </w:r>
      <w:r>
        <w:instrText xml:space="preserve"> HYPERLINK "https://apps.fcc.gov/edocs_public/attachmatch/FCC-17-41A1.docx" </w:instrText>
      </w:r>
      <w:r>
        <w:fldChar w:fldCharType="separate"/>
      </w:r>
      <w:r w:rsidRPr="003F2C18">
        <w:rPr>
          <w:rStyle w:val="Hyperlink"/>
          <w:sz w:val="22"/>
          <w:szCs w:val="22"/>
        </w:rPr>
        <w:t>https://apps.fcc.gov/edocs_public/attachmatch/FCC-17-41A1.docx</w:t>
      </w:r>
      <w:r>
        <w:fldChar w:fldCharType="end"/>
      </w:r>
      <w:r w:rsidRPr="003F2C18">
        <w:rPr>
          <w:color w:val="010101"/>
          <w:sz w:val="22"/>
          <w:szCs w:val="22"/>
        </w:rPr>
        <w:t xml:space="preserve"> (Word); </w:t>
      </w:r>
      <w:r>
        <w:fldChar w:fldCharType="begin"/>
      </w:r>
      <w:r>
        <w:instrText xml:space="preserve"> HYPERLINK "https://apps.fcc.gov/edocs_public/attachmatch/FCC-17-41A1.pdf" </w:instrText>
      </w:r>
      <w:r>
        <w:fldChar w:fldCharType="separate"/>
      </w:r>
      <w:r w:rsidRPr="003F2C18">
        <w:rPr>
          <w:rStyle w:val="Hyperlink"/>
          <w:sz w:val="22"/>
          <w:szCs w:val="22"/>
        </w:rPr>
        <w:t>https://apps.fcc.gov/edocs_public/attachmatch/FCC-17-41A1.pdf</w:t>
      </w:r>
      <w:r>
        <w:fldChar w:fldCharType="end"/>
      </w:r>
      <w:r w:rsidRPr="003F2C18">
        <w:rPr>
          <w:color w:val="010101"/>
          <w:sz w:val="22"/>
          <w:szCs w:val="22"/>
        </w:rPr>
        <w:t xml:space="preserve"> (Acrobat).</w:t>
      </w:r>
    </w:p>
    <w:p w:rsidR="00406E6D" w:rsidRPr="003F2C18" w:rsidP="00406E6D" w14:paraId="2EBDECF0" w14:textId="77777777">
      <w:pPr>
        <w:autoSpaceDE w:val="0"/>
        <w:autoSpaceDN w:val="0"/>
        <w:adjustRightInd w:val="0"/>
        <w:rPr>
          <w:color w:val="010101"/>
          <w:sz w:val="22"/>
          <w:szCs w:val="22"/>
        </w:rPr>
      </w:pPr>
    </w:p>
    <w:p w:rsidR="00BF71D7" w:rsidRPr="003F2C18" w:rsidP="006E23BB" w14:paraId="47378216" w14:textId="0BB2BAE4">
      <w:pPr>
        <w:ind w:firstLine="720"/>
        <w:rPr>
          <w:color w:val="000000"/>
          <w:sz w:val="22"/>
          <w:szCs w:val="22"/>
        </w:rPr>
      </w:pPr>
      <w:r w:rsidRPr="006E23BB">
        <w:rPr>
          <w:sz w:val="22"/>
          <w:szCs w:val="22"/>
        </w:rPr>
        <w:t xml:space="preserve">A copy of the Federal Register Summary of the </w:t>
      </w:r>
      <w:r w:rsidRPr="003F2C18">
        <w:rPr>
          <w:i/>
          <w:color w:val="000000"/>
          <w:sz w:val="22"/>
          <w:szCs w:val="22"/>
        </w:rPr>
        <w:t>Noncommercial Educational Station Fundraising for Third-Party Non-Profit Organizations</w:t>
      </w:r>
      <w:r w:rsidRPr="003F2C18">
        <w:rPr>
          <w:color w:val="000000"/>
          <w:sz w:val="22"/>
          <w:szCs w:val="22"/>
        </w:rPr>
        <w:t>, Report and Order is available at:</w:t>
      </w:r>
    </w:p>
    <w:p w:rsidR="009C74E9" w:rsidRPr="003F2C18" w:rsidP="006E23BB" w14:paraId="5B470B0D" w14:textId="1F8E1783">
      <w:pPr>
        <w:rPr>
          <w:rStyle w:val="Hyperlink"/>
          <w:sz w:val="22"/>
          <w:szCs w:val="22"/>
        </w:rPr>
      </w:pPr>
      <w:r w:rsidRPr="003F2C18">
        <w:rPr>
          <w:rStyle w:val="Hyperlink"/>
          <w:sz w:val="22"/>
          <w:szCs w:val="22"/>
        </w:rPr>
        <w:t>https://www.gpo.gov/fdsys/pkg/FR-2017-05-05/pdf/2017-09002.pdf#page=1</w:t>
      </w:r>
      <w:r w:rsidRPr="006E23BB" w:rsidR="009F1555">
        <w:rPr>
          <w:rStyle w:val="Hyperlink"/>
          <w:color w:val="auto"/>
          <w:sz w:val="22"/>
          <w:szCs w:val="22"/>
          <w:u w:val="none"/>
        </w:rPr>
        <w:t>.</w:t>
      </w:r>
    </w:p>
    <w:p w:rsidR="00E55FE0" w:rsidRPr="003F2C18" w:rsidP="006E23BB" w14:paraId="113FFCDC" w14:textId="77777777">
      <w:pPr>
        <w:rPr>
          <w:rStyle w:val="Hyperlink"/>
          <w:sz w:val="22"/>
          <w:szCs w:val="22"/>
        </w:rPr>
      </w:pPr>
    </w:p>
    <w:p w:rsidR="006C3652" w:rsidRPr="003F2C18" w:rsidP="006E23BB" w14:paraId="198B7903" w14:textId="6ACDF489">
      <w:pPr>
        <w:ind w:firstLine="720"/>
        <w:rPr>
          <w:rStyle w:val="Hyperlink"/>
          <w:sz w:val="22"/>
          <w:szCs w:val="22"/>
        </w:rPr>
      </w:pPr>
      <w:r w:rsidRPr="006E23BB">
        <w:rPr>
          <w:sz w:val="22"/>
          <w:szCs w:val="22"/>
        </w:rPr>
        <w:t>A copy of the Federal Register</w:t>
      </w:r>
      <w:r w:rsidRPr="003F2C18">
        <w:rPr>
          <w:sz w:val="22"/>
          <w:szCs w:val="22"/>
        </w:rPr>
        <w:t xml:space="preserve"> publication announcing OMB approval </w:t>
      </w:r>
      <w:r w:rsidRPr="003F2C18" w:rsidR="005941A4">
        <w:rPr>
          <w:sz w:val="22"/>
          <w:szCs w:val="22"/>
        </w:rPr>
        <w:t xml:space="preserve">of the information collection </w:t>
      </w:r>
      <w:r w:rsidRPr="003F2C18">
        <w:rPr>
          <w:sz w:val="22"/>
          <w:szCs w:val="22"/>
        </w:rPr>
        <w:t xml:space="preserve">and </w:t>
      </w:r>
      <w:r w:rsidRPr="003F2C18" w:rsidR="005941A4">
        <w:rPr>
          <w:sz w:val="22"/>
          <w:szCs w:val="22"/>
        </w:rPr>
        <w:t xml:space="preserve">the </w:t>
      </w:r>
      <w:r w:rsidRPr="003F2C18">
        <w:rPr>
          <w:sz w:val="22"/>
          <w:szCs w:val="22"/>
        </w:rPr>
        <w:t>effective date of the</w:t>
      </w:r>
      <w:r w:rsidRPr="003F2C18" w:rsidR="005941A4">
        <w:rPr>
          <w:sz w:val="22"/>
          <w:szCs w:val="22"/>
        </w:rPr>
        <w:t xml:space="preserve"> associated rules is available at:</w:t>
      </w:r>
      <w:r w:rsidRPr="003F2C18">
        <w:rPr>
          <w:sz w:val="22"/>
          <w:szCs w:val="22"/>
        </w:rPr>
        <w:t xml:space="preserve"> </w:t>
      </w:r>
    </w:p>
    <w:p w:rsidR="00925D31" w:rsidRPr="006E23BB" w:rsidP="006E23BB" w14:paraId="6F74FD1A" w14:textId="2084BE87">
      <w:pPr>
        <w:rPr>
          <w:rStyle w:val="Hyperlink"/>
          <w:color w:val="auto"/>
          <w:sz w:val="22"/>
          <w:szCs w:val="22"/>
          <w:u w:val="none"/>
        </w:rPr>
      </w:pPr>
      <w:r>
        <w:fldChar w:fldCharType="begin"/>
      </w:r>
      <w:r>
        <w:instrText xml:space="preserve"> HYPERLINK "https://www.gpo.gov/fdsys/pkg/FR-2017-09-12/pdf/2017-19218.pdf" </w:instrText>
      </w:r>
      <w:r>
        <w:fldChar w:fldCharType="separate"/>
      </w:r>
      <w:r w:rsidRPr="003F2C18" w:rsidR="009C74E9">
        <w:rPr>
          <w:rStyle w:val="Hyperlink"/>
          <w:sz w:val="22"/>
          <w:szCs w:val="22"/>
        </w:rPr>
        <w:t>https://www.gpo.gov/fdsys/pkg/FR-2017-09-12/pdf/2017-19218.pdf</w:t>
      </w:r>
      <w:r>
        <w:fldChar w:fldCharType="end"/>
      </w:r>
      <w:r w:rsidRPr="009F1555">
        <w:rPr>
          <w:rStyle w:val="Hyperlink"/>
          <w:color w:val="auto"/>
          <w:sz w:val="22"/>
          <w:szCs w:val="22"/>
          <w:u w:val="none"/>
        </w:rPr>
        <w:t>.</w:t>
      </w:r>
      <w:r w:rsidRPr="009F1555" w:rsidR="009C74E9">
        <w:rPr>
          <w:rStyle w:val="Hyperlink"/>
          <w:color w:val="auto"/>
          <w:sz w:val="22"/>
          <w:szCs w:val="22"/>
          <w:u w:val="none"/>
        </w:rPr>
        <w:t xml:space="preserve"> </w:t>
      </w:r>
    </w:p>
    <w:sectPr w:rsidSect="002127FE">
      <w:footerReference w:type="default" r:id="rId12"/>
      <w:type w:val="continuous"/>
      <w:pgSz w:w="12240" w:h="15840" w:code="1"/>
      <w:pgMar w:top="1440" w:right="1440" w:bottom="1440" w:left="1440" w:header="720" w:footer="720" w:gutter="0"/>
      <w:pgNumType w:start="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9C3" w14:paraId="1B1E88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3458" w:rsidRPr="00611EEF" w14:paraId="14193383" w14:textId="349FEBB7">
    <w:pPr>
      <w:pStyle w:val="Footer"/>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9C3" w14:paraId="64D2B39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4D7C" w:rsidRPr="00611EEF" w14:paraId="38DCB9A6" w14:textId="14381125">
    <w:pPr>
      <w:pStyle w:val="Footer"/>
      <w:jc w:val="center"/>
      <w:rPr>
        <w:sz w:val="22"/>
      </w:rPr>
    </w:pPr>
    <w:r w:rsidRPr="00611EEF">
      <w:rPr>
        <w:sz w:val="22"/>
      </w:rPr>
      <w:fldChar w:fldCharType="begin"/>
    </w:r>
    <w:r w:rsidRPr="00611EEF">
      <w:rPr>
        <w:sz w:val="22"/>
      </w:rPr>
      <w:instrText xml:space="preserve"> PAGE   \* MERGEFORMAT </w:instrText>
    </w:r>
    <w:r w:rsidRPr="00611EEF">
      <w:rPr>
        <w:sz w:val="22"/>
      </w:rPr>
      <w:fldChar w:fldCharType="separate"/>
    </w:r>
    <w:r w:rsidR="006149C3">
      <w:rPr>
        <w:noProof/>
        <w:sz w:val="22"/>
      </w:rPr>
      <w:t>1</w:t>
    </w:r>
    <w:r w:rsidRPr="00611EEF">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493B" w14:paraId="30AFF2D5" w14:textId="77777777">
      <w:r>
        <w:separator/>
      </w:r>
    </w:p>
  </w:footnote>
  <w:footnote w:type="continuationSeparator" w:id="1">
    <w:p w:rsidR="0068493B" w14:paraId="4A356DBE" w14:textId="77777777">
      <w:r>
        <w:continuationSeparator/>
      </w:r>
    </w:p>
  </w:footnote>
  <w:footnote w:id="2">
    <w:p w:rsidR="005F2BDD" w14:paraId="0875B473" w14:textId="3FEEAB97">
      <w:pPr>
        <w:pStyle w:val="FootnoteText"/>
      </w:pPr>
      <w:r>
        <w:rPr>
          <w:rStyle w:val="FootnoteReference"/>
        </w:rPr>
        <w:footnoteRef/>
      </w:r>
      <w:r>
        <w:t xml:space="preserve"> </w:t>
      </w:r>
      <w:r w:rsidRPr="006E23BB">
        <w:rPr>
          <w:i/>
        </w:rPr>
        <w:t>In the Matter of Noncommercial Educational Station Fundraising for Third-Party Non-Profit Organizations,</w:t>
      </w:r>
      <w:r w:rsidRPr="006E23BB">
        <w:t xml:space="preserve"> Report and Order</w:t>
      </w:r>
      <w:r w:rsidR="00D77B77">
        <w:t xml:space="preserve">, </w:t>
      </w:r>
      <w:r w:rsidRPr="00D77B77" w:rsidR="00D77B77">
        <w:t>32 FCC Rcd 3411</w:t>
      </w:r>
      <w:r w:rsidR="00D77B77">
        <w:t xml:space="preserv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9C3" w14:paraId="6FB7D2C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49C3" w14:paraId="15401B5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3458" w:rsidP="006E23BB" w14:paraId="323285F8" w14:textId="77777777">
    <w:pPr>
      <w:pStyle w:val="Header"/>
      <w:tabs>
        <w:tab w:val="clear" w:pos="4320"/>
        <w:tab w:val="clear" w:pos="864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580274188" r:id="rId2"/>
      </w:pict>
    </w:r>
    <w:r>
      <w:rPr>
        <w:rFonts w:ascii="CG Times (W1)" w:hAnsi="CG Times (W1)"/>
        <w:sz w:val="28"/>
      </w:rPr>
      <w:t>Federal Communications Commission</w:t>
    </w:r>
  </w:p>
  <w:p w:rsidR="00583458" w14:paraId="574A4BF1" w14:textId="77777777">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PostalCod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583458" w14:paraId="58503604" w14:textId="77777777">
    <w:pPr>
      <w:pStyle w:val="Header"/>
      <w:tabs>
        <w:tab w:val="clear" w:pos="4320"/>
      </w:tabs>
      <w:jc w:val="center"/>
      <w:rPr>
        <w:sz w:val="22"/>
      </w:rPr>
    </w:pPr>
  </w:p>
  <w:p w:rsidR="00583458" w:rsidRPr="0059603D" w:rsidP="00FC3E2D" w14:paraId="18350CA6" w14:textId="68FC7D68">
    <w:pPr>
      <w:pStyle w:val="Header"/>
      <w:tabs>
        <w:tab w:val="clear" w:pos="4320"/>
      </w:tabs>
      <w:jc w:val="center"/>
      <w:rPr>
        <w:sz w:val="24"/>
        <w:szCs w:val="24"/>
      </w:rPr>
    </w:pPr>
    <w:r w:rsidRPr="0059603D">
      <w:rPr>
        <w:sz w:val="24"/>
        <w:szCs w:val="24"/>
      </w:rPr>
      <w:t xml:space="preserve">February </w:t>
    </w:r>
    <w:r w:rsidRPr="0059603D" w:rsidR="0059603D">
      <w:rPr>
        <w:sz w:val="24"/>
        <w:szCs w:val="24"/>
      </w:rPr>
      <w:t>16</w:t>
    </w:r>
    <w:r w:rsidRPr="0059603D">
      <w:rPr>
        <w:sz w:val="24"/>
        <w:szCs w:val="24"/>
      </w:rPr>
      <w:t xml:space="preserve">, </w:t>
    </w:r>
    <w:r w:rsidRPr="0059603D" w:rsidR="007B6800">
      <w:rPr>
        <w:sz w:val="24"/>
        <w:szCs w:val="24"/>
      </w:rPr>
      <w:t>201</w:t>
    </w:r>
    <w:r w:rsidRPr="0059603D">
      <w:rPr>
        <w:sz w:val="24"/>
        <w:szCs w:val="24"/>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6D5EC8"/>
    <w:multiLevelType w:val="hybridMultilevel"/>
    <w:tmpl w:val="87181F7A"/>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BC0E81"/>
    <w:multiLevelType w:val="hybridMultilevel"/>
    <w:tmpl w:val="C452F5E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0C9F6C36"/>
    <w:multiLevelType w:val="hybridMultilevel"/>
    <w:tmpl w:val="2B409A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4CA4868"/>
    <w:multiLevelType w:val="hybridMultilevel"/>
    <w:tmpl w:val="245C21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nsid w:val="1566307D"/>
    <w:multiLevelType w:val="hybridMultilevel"/>
    <w:tmpl w:val="D61A516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25090EDB"/>
    <w:multiLevelType w:val="hybridMultilevel"/>
    <w:tmpl w:val="D8F02920"/>
    <w:lvl w:ilvl="0">
      <w:start w:val="1"/>
      <w:numFmt w:val="bullet"/>
      <w:lvlText w:val=""/>
      <w:lvlJc w:val="left"/>
      <w:pPr>
        <w:tabs>
          <w:tab w:val="num" w:pos="720"/>
        </w:tabs>
        <w:ind w:left="720" w:hanging="360"/>
      </w:pPr>
      <w:rPr>
        <w:rFonts w:ascii="Symbol" w:hAnsi="Symbol" w:hint="default"/>
        <w:b w:val="0"/>
        <w:sz w:val="16"/>
      </w:rPr>
    </w:lvl>
    <w:lvl w:ilvl="1">
      <w:start w:val="1"/>
      <w:numFmt w:val="bullet"/>
      <w:lvlText w:val="o"/>
      <w:lvlJc w:val="left"/>
      <w:pPr>
        <w:ind w:left="1440" w:hanging="360"/>
      </w:pPr>
      <w:rPr>
        <w:rFonts w:ascii="Courier New" w:hAnsi="Courier New" w:hint="default"/>
        <w:sz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35275130"/>
    <w:multiLevelType w:val="hybridMultilevel"/>
    <w:tmpl w:val="CE0AFB9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7">
    <w:nsid w:val="39AA7850"/>
    <w:multiLevelType w:val="hybridMultilevel"/>
    <w:tmpl w:val="C0E23AF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CDA4373"/>
    <w:multiLevelType w:val="hybridMultilevel"/>
    <w:tmpl w:val="9BE42AC4"/>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4E61172D"/>
    <w:multiLevelType w:val="hybridMultilevel"/>
    <w:tmpl w:val="358C9E0E"/>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F6A6A08"/>
    <w:multiLevelType w:val="hybridMultilevel"/>
    <w:tmpl w:val="B1D6F34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78D76F3"/>
    <w:multiLevelType w:val="hybridMultilevel"/>
    <w:tmpl w:val="422C13E6"/>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586862C2"/>
    <w:multiLevelType w:val="hybridMultilevel"/>
    <w:tmpl w:val="1632C718"/>
    <w:lvl w:ilvl="0">
      <w:start w:val="1"/>
      <w:numFmt w:val="upperRoman"/>
      <w:lvlText w:val="%1."/>
      <w:lvlJc w:val="left"/>
      <w:pPr>
        <w:ind w:left="1080" w:hanging="72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14">
    <w:nsid w:val="6BE460BE"/>
    <w:multiLevelType w:val="hybridMultilevel"/>
    <w:tmpl w:val="FD147B08"/>
    <w:lvl w:ilvl="0">
      <w:start w:val="1"/>
      <w:numFmt w:val="upperLetter"/>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C1F3B2B"/>
    <w:multiLevelType w:val="hybridMultilevel"/>
    <w:tmpl w:val="F16E96C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68937AB"/>
    <w:multiLevelType w:val="hybridMultilevel"/>
    <w:tmpl w:val="51524E72"/>
    <w:lvl w:ilvl="0">
      <w:start w:val="1"/>
      <w:numFmt w:val="bullet"/>
      <w:lvlText w:val=""/>
      <w:lvlJc w:val="left"/>
      <w:pPr>
        <w:ind w:left="720" w:hanging="360"/>
      </w:pPr>
      <w:rPr>
        <w:rFonts w:ascii="Symbol" w:hAnsi="Symbol" w:hint="default"/>
        <w:sz w:val="16"/>
      </w:rPr>
    </w:lvl>
    <w:lvl w:ilvl="1">
      <w:start w:val="1"/>
      <w:numFmt w:val="bullet"/>
      <w:lvlText w:val="o"/>
      <w:lvlJc w:val="left"/>
      <w:pPr>
        <w:ind w:left="1440" w:hanging="360"/>
      </w:pPr>
      <w:rPr>
        <w:rFonts w:ascii="Courier New" w:hAnsi="Courier New" w:hint="default"/>
        <w:sz w:val="16"/>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7CA52AD"/>
    <w:multiLevelType w:val="hybridMultilevel"/>
    <w:tmpl w:val="C31A65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A2D5693"/>
    <w:multiLevelType w:val="hybridMultilevel"/>
    <w:tmpl w:val="3472496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A846DA9"/>
    <w:multiLevelType w:val="hybridMultilevel"/>
    <w:tmpl w:val="711A61BC"/>
    <w:lvl w:ilvl="0">
      <w:start w:val="1"/>
      <w:numFmt w:val="decimal"/>
      <w:lvlText w:val="%1."/>
      <w:lvlJc w:val="left"/>
      <w:pPr>
        <w:tabs>
          <w:tab w:val="num" w:pos="771"/>
        </w:tabs>
        <w:ind w:left="771" w:hanging="360"/>
      </w:pPr>
      <w:rPr>
        <w:rFonts w:cs="Times New Roman"/>
        <w:i w:val="0"/>
      </w:rPr>
    </w:lvl>
    <w:lvl w:ilvl="1">
      <w:start w:val="1"/>
      <w:numFmt w:val="lowerLetter"/>
      <w:lvlText w:val="%2."/>
      <w:lvlJc w:val="left"/>
      <w:pPr>
        <w:tabs>
          <w:tab w:val="num" w:pos="1491"/>
        </w:tabs>
        <w:ind w:left="1491" w:hanging="360"/>
      </w:pPr>
      <w:rPr>
        <w:rFonts w:cs="Times New Roman"/>
      </w:rPr>
    </w:lvl>
    <w:lvl w:ilvl="2" w:tentative="1">
      <w:start w:val="1"/>
      <w:numFmt w:val="lowerRoman"/>
      <w:lvlText w:val="%3."/>
      <w:lvlJc w:val="right"/>
      <w:pPr>
        <w:tabs>
          <w:tab w:val="num" w:pos="2211"/>
        </w:tabs>
        <w:ind w:left="2211" w:hanging="180"/>
      </w:pPr>
      <w:rPr>
        <w:rFonts w:cs="Times New Roman"/>
      </w:rPr>
    </w:lvl>
    <w:lvl w:ilvl="3" w:tentative="1">
      <w:start w:val="1"/>
      <w:numFmt w:val="decimal"/>
      <w:lvlText w:val="%4."/>
      <w:lvlJc w:val="left"/>
      <w:pPr>
        <w:tabs>
          <w:tab w:val="num" w:pos="2931"/>
        </w:tabs>
        <w:ind w:left="2931" w:hanging="360"/>
      </w:pPr>
      <w:rPr>
        <w:rFonts w:cs="Times New Roman"/>
      </w:rPr>
    </w:lvl>
    <w:lvl w:ilvl="4" w:tentative="1">
      <w:start w:val="1"/>
      <w:numFmt w:val="lowerLetter"/>
      <w:lvlText w:val="%5."/>
      <w:lvlJc w:val="left"/>
      <w:pPr>
        <w:tabs>
          <w:tab w:val="num" w:pos="3651"/>
        </w:tabs>
        <w:ind w:left="3651" w:hanging="360"/>
      </w:pPr>
      <w:rPr>
        <w:rFonts w:cs="Times New Roman"/>
      </w:rPr>
    </w:lvl>
    <w:lvl w:ilvl="5" w:tentative="1">
      <w:start w:val="1"/>
      <w:numFmt w:val="lowerRoman"/>
      <w:lvlText w:val="%6."/>
      <w:lvlJc w:val="right"/>
      <w:pPr>
        <w:tabs>
          <w:tab w:val="num" w:pos="4371"/>
        </w:tabs>
        <w:ind w:left="4371" w:hanging="180"/>
      </w:pPr>
      <w:rPr>
        <w:rFonts w:cs="Times New Roman"/>
      </w:rPr>
    </w:lvl>
    <w:lvl w:ilvl="6" w:tentative="1">
      <w:start w:val="1"/>
      <w:numFmt w:val="decimal"/>
      <w:lvlText w:val="%7."/>
      <w:lvlJc w:val="left"/>
      <w:pPr>
        <w:tabs>
          <w:tab w:val="num" w:pos="5091"/>
        </w:tabs>
        <w:ind w:left="5091" w:hanging="360"/>
      </w:pPr>
      <w:rPr>
        <w:rFonts w:cs="Times New Roman"/>
      </w:rPr>
    </w:lvl>
    <w:lvl w:ilvl="7" w:tentative="1">
      <w:start w:val="1"/>
      <w:numFmt w:val="lowerLetter"/>
      <w:lvlText w:val="%8."/>
      <w:lvlJc w:val="left"/>
      <w:pPr>
        <w:tabs>
          <w:tab w:val="num" w:pos="5811"/>
        </w:tabs>
        <w:ind w:left="5811" w:hanging="360"/>
      </w:pPr>
      <w:rPr>
        <w:rFonts w:cs="Times New Roman"/>
      </w:rPr>
    </w:lvl>
    <w:lvl w:ilvl="8" w:tentative="1">
      <w:start w:val="1"/>
      <w:numFmt w:val="lowerRoman"/>
      <w:lvlText w:val="%9."/>
      <w:lvlJc w:val="right"/>
      <w:pPr>
        <w:tabs>
          <w:tab w:val="num" w:pos="6531"/>
        </w:tabs>
        <w:ind w:left="6531" w:hanging="180"/>
      </w:pPr>
      <w:rPr>
        <w:rFonts w:cs="Times New Roman"/>
      </w:rPr>
    </w:lvl>
  </w:abstractNum>
  <w:abstractNum w:abstractNumId="20">
    <w:nsid w:val="7F844131"/>
    <w:multiLevelType w:val="hybridMultilevel"/>
    <w:tmpl w:val="B35677B0"/>
    <w:lvl w:ilvl="0">
      <w:start w:val="1"/>
      <w:numFmt w:val="bullet"/>
      <w:lvlText w:val=""/>
      <w:lvlJc w:val="left"/>
      <w:pPr>
        <w:ind w:left="720" w:hanging="360"/>
      </w:pPr>
      <w:rPr>
        <w:rFonts w:ascii="Symbol" w:hAnsi="Symbol" w:hint="default"/>
        <w:sz w:val="16"/>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8"/>
  </w:num>
  <w:num w:numId="4">
    <w:abstractNumId w:val="4"/>
  </w:num>
  <w:num w:numId="5">
    <w:abstractNumId w:val="5"/>
  </w:num>
  <w:num w:numId="6">
    <w:abstractNumId w:val="8"/>
  </w:num>
  <w:num w:numId="7">
    <w:abstractNumId w:val="16"/>
  </w:num>
  <w:num w:numId="8">
    <w:abstractNumId w:val="11"/>
  </w:num>
  <w:num w:numId="9">
    <w:abstractNumId w:val="13"/>
  </w:num>
  <w:num w:numId="10">
    <w:abstractNumId w:val="19"/>
  </w:num>
  <w:num w:numId="11">
    <w:abstractNumId w:val="9"/>
  </w:num>
  <w:num w:numId="12">
    <w:abstractNumId w:val="20"/>
  </w:num>
  <w:num w:numId="13">
    <w:abstractNumId w:val="3"/>
  </w:num>
  <w:num w:numId="14">
    <w:abstractNumId w:val="10"/>
  </w:num>
  <w:num w:numId="15">
    <w:abstractNumId w:val="15"/>
  </w:num>
  <w:num w:numId="16">
    <w:abstractNumId w:val="7"/>
  </w:num>
  <w:num w:numId="17">
    <w:abstractNumId w:val="0"/>
  </w:num>
  <w:num w:numId="18">
    <w:abstractNumId w:val="17"/>
  </w:num>
  <w:num w:numId="19">
    <w:abstractNumId w:val="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51"/>
    <w:rsid w:val="000000D2"/>
    <w:rsid w:val="0000133E"/>
    <w:rsid w:val="00004F2B"/>
    <w:rsid w:val="000123CE"/>
    <w:rsid w:val="00023299"/>
    <w:rsid w:val="000250F7"/>
    <w:rsid w:val="00025510"/>
    <w:rsid w:val="00026CB8"/>
    <w:rsid w:val="0003048A"/>
    <w:rsid w:val="00034D30"/>
    <w:rsid w:val="000371D0"/>
    <w:rsid w:val="00040BF3"/>
    <w:rsid w:val="00042FAA"/>
    <w:rsid w:val="00044EE4"/>
    <w:rsid w:val="00050B7E"/>
    <w:rsid w:val="000525CC"/>
    <w:rsid w:val="0005704C"/>
    <w:rsid w:val="00060A3D"/>
    <w:rsid w:val="0006132D"/>
    <w:rsid w:val="0006325F"/>
    <w:rsid w:val="00063486"/>
    <w:rsid w:val="000679D2"/>
    <w:rsid w:val="00070C62"/>
    <w:rsid w:val="00074CA4"/>
    <w:rsid w:val="00076A18"/>
    <w:rsid w:val="0008217E"/>
    <w:rsid w:val="000823CB"/>
    <w:rsid w:val="00083668"/>
    <w:rsid w:val="0008617B"/>
    <w:rsid w:val="0009014E"/>
    <w:rsid w:val="0009100B"/>
    <w:rsid w:val="000A0451"/>
    <w:rsid w:val="000A171D"/>
    <w:rsid w:val="000A45C5"/>
    <w:rsid w:val="000A6AE9"/>
    <w:rsid w:val="000A6EA9"/>
    <w:rsid w:val="000B2012"/>
    <w:rsid w:val="000B27B3"/>
    <w:rsid w:val="000B450E"/>
    <w:rsid w:val="000B7CA8"/>
    <w:rsid w:val="000C0716"/>
    <w:rsid w:val="000C191D"/>
    <w:rsid w:val="000C23CB"/>
    <w:rsid w:val="000C51BB"/>
    <w:rsid w:val="000C5233"/>
    <w:rsid w:val="000C7056"/>
    <w:rsid w:val="000D465B"/>
    <w:rsid w:val="000E1954"/>
    <w:rsid w:val="000F1DE5"/>
    <w:rsid w:val="000F22B0"/>
    <w:rsid w:val="000F75B1"/>
    <w:rsid w:val="00101A07"/>
    <w:rsid w:val="001054F5"/>
    <w:rsid w:val="00111202"/>
    <w:rsid w:val="0011758F"/>
    <w:rsid w:val="00120573"/>
    <w:rsid w:val="0012071E"/>
    <w:rsid w:val="001209F6"/>
    <w:rsid w:val="001224C6"/>
    <w:rsid w:val="00125B6F"/>
    <w:rsid w:val="00134238"/>
    <w:rsid w:val="0014406F"/>
    <w:rsid w:val="00151E57"/>
    <w:rsid w:val="0016061A"/>
    <w:rsid w:val="00163F02"/>
    <w:rsid w:val="00167854"/>
    <w:rsid w:val="00172962"/>
    <w:rsid w:val="00173EB9"/>
    <w:rsid w:val="00174842"/>
    <w:rsid w:val="00177160"/>
    <w:rsid w:val="001847D3"/>
    <w:rsid w:val="001874F9"/>
    <w:rsid w:val="00194EEA"/>
    <w:rsid w:val="001A30FE"/>
    <w:rsid w:val="001A3E47"/>
    <w:rsid w:val="001A4D4B"/>
    <w:rsid w:val="001B1B30"/>
    <w:rsid w:val="001B3282"/>
    <w:rsid w:val="001B42F5"/>
    <w:rsid w:val="001B5181"/>
    <w:rsid w:val="001B666B"/>
    <w:rsid w:val="001B7A99"/>
    <w:rsid w:val="001C0F90"/>
    <w:rsid w:val="001C5A12"/>
    <w:rsid w:val="001D1C61"/>
    <w:rsid w:val="001D5078"/>
    <w:rsid w:val="001D646A"/>
    <w:rsid w:val="001E0C9D"/>
    <w:rsid w:val="001E13BC"/>
    <w:rsid w:val="001E2E64"/>
    <w:rsid w:val="001E4A6F"/>
    <w:rsid w:val="001F089C"/>
    <w:rsid w:val="001F2CD4"/>
    <w:rsid w:val="001F4CED"/>
    <w:rsid w:val="001F552B"/>
    <w:rsid w:val="001F64B7"/>
    <w:rsid w:val="002127FE"/>
    <w:rsid w:val="002262FC"/>
    <w:rsid w:val="002270B2"/>
    <w:rsid w:val="00230406"/>
    <w:rsid w:val="002304F6"/>
    <w:rsid w:val="002322A5"/>
    <w:rsid w:val="00235FAC"/>
    <w:rsid w:val="00242F54"/>
    <w:rsid w:val="002448E6"/>
    <w:rsid w:val="00247DBC"/>
    <w:rsid w:val="00253DDE"/>
    <w:rsid w:val="00254A86"/>
    <w:rsid w:val="00254DAC"/>
    <w:rsid w:val="00255438"/>
    <w:rsid w:val="00257ED3"/>
    <w:rsid w:val="00257F33"/>
    <w:rsid w:val="00260E1B"/>
    <w:rsid w:val="00266FA9"/>
    <w:rsid w:val="002679DA"/>
    <w:rsid w:val="00270AD9"/>
    <w:rsid w:val="002720A8"/>
    <w:rsid w:val="00281B93"/>
    <w:rsid w:val="00284037"/>
    <w:rsid w:val="00286C2F"/>
    <w:rsid w:val="00291221"/>
    <w:rsid w:val="00297D3D"/>
    <w:rsid w:val="002A08B2"/>
    <w:rsid w:val="002A4ABB"/>
    <w:rsid w:val="002A4D5F"/>
    <w:rsid w:val="002A5293"/>
    <w:rsid w:val="002A7A97"/>
    <w:rsid w:val="002B5173"/>
    <w:rsid w:val="002E0494"/>
    <w:rsid w:val="002E0A40"/>
    <w:rsid w:val="002E0CF6"/>
    <w:rsid w:val="002E3AEF"/>
    <w:rsid w:val="002E6137"/>
    <w:rsid w:val="002F2CD7"/>
    <w:rsid w:val="002F3CBC"/>
    <w:rsid w:val="002F478F"/>
    <w:rsid w:val="00300462"/>
    <w:rsid w:val="00301B2C"/>
    <w:rsid w:val="00303935"/>
    <w:rsid w:val="0030746C"/>
    <w:rsid w:val="00317937"/>
    <w:rsid w:val="0032298C"/>
    <w:rsid w:val="00330CD9"/>
    <w:rsid w:val="00331B7C"/>
    <w:rsid w:val="00332CB0"/>
    <w:rsid w:val="0033500B"/>
    <w:rsid w:val="00337517"/>
    <w:rsid w:val="00337EBD"/>
    <w:rsid w:val="00342B5F"/>
    <w:rsid w:val="00342C7B"/>
    <w:rsid w:val="00344DD3"/>
    <w:rsid w:val="0036194A"/>
    <w:rsid w:val="00362F1A"/>
    <w:rsid w:val="003662BC"/>
    <w:rsid w:val="00367A43"/>
    <w:rsid w:val="00367B2E"/>
    <w:rsid w:val="00376A20"/>
    <w:rsid w:val="00377837"/>
    <w:rsid w:val="00383EF4"/>
    <w:rsid w:val="00393252"/>
    <w:rsid w:val="003A4E12"/>
    <w:rsid w:val="003A518D"/>
    <w:rsid w:val="003B0F17"/>
    <w:rsid w:val="003B2116"/>
    <w:rsid w:val="003B65AE"/>
    <w:rsid w:val="003C09B8"/>
    <w:rsid w:val="003C13D6"/>
    <w:rsid w:val="003C6224"/>
    <w:rsid w:val="003C6F5E"/>
    <w:rsid w:val="003D217E"/>
    <w:rsid w:val="003D4ED7"/>
    <w:rsid w:val="003D5BA0"/>
    <w:rsid w:val="003D7741"/>
    <w:rsid w:val="003E3115"/>
    <w:rsid w:val="003F1B94"/>
    <w:rsid w:val="003F2C18"/>
    <w:rsid w:val="003F714E"/>
    <w:rsid w:val="00406E6D"/>
    <w:rsid w:val="00407486"/>
    <w:rsid w:val="0041066D"/>
    <w:rsid w:val="00414C13"/>
    <w:rsid w:val="00424E75"/>
    <w:rsid w:val="0042636F"/>
    <w:rsid w:val="004341D1"/>
    <w:rsid w:val="00434C53"/>
    <w:rsid w:val="00435245"/>
    <w:rsid w:val="00435A1B"/>
    <w:rsid w:val="00441942"/>
    <w:rsid w:val="004451D6"/>
    <w:rsid w:val="00447030"/>
    <w:rsid w:val="00447890"/>
    <w:rsid w:val="004525B7"/>
    <w:rsid w:val="00454541"/>
    <w:rsid w:val="00457C14"/>
    <w:rsid w:val="00465C2D"/>
    <w:rsid w:val="00466218"/>
    <w:rsid w:val="00467133"/>
    <w:rsid w:val="004672D0"/>
    <w:rsid w:val="00467686"/>
    <w:rsid w:val="00467ACC"/>
    <w:rsid w:val="00471112"/>
    <w:rsid w:val="00476B58"/>
    <w:rsid w:val="00493EE2"/>
    <w:rsid w:val="004961A6"/>
    <w:rsid w:val="004A234F"/>
    <w:rsid w:val="004B5493"/>
    <w:rsid w:val="004C6121"/>
    <w:rsid w:val="004D0177"/>
    <w:rsid w:val="004D01B1"/>
    <w:rsid w:val="004D567F"/>
    <w:rsid w:val="004D5E92"/>
    <w:rsid w:val="004D6541"/>
    <w:rsid w:val="004D7CC1"/>
    <w:rsid w:val="004E0F6D"/>
    <w:rsid w:val="004E6E7A"/>
    <w:rsid w:val="004E7B7F"/>
    <w:rsid w:val="004F0805"/>
    <w:rsid w:val="004F45E6"/>
    <w:rsid w:val="004F59A5"/>
    <w:rsid w:val="00502DE9"/>
    <w:rsid w:val="005036DF"/>
    <w:rsid w:val="005047FB"/>
    <w:rsid w:val="00510534"/>
    <w:rsid w:val="00511023"/>
    <w:rsid w:val="00521E75"/>
    <w:rsid w:val="0052475E"/>
    <w:rsid w:val="00527AF6"/>
    <w:rsid w:val="00530255"/>
    <w:rsid w:val="00543DDA"/>
    <w:rsid w:val="00550C4E"/>
    <w:rsid w:val="00550C6F"/>
    <w:rsid w:val="00562012"/>
    <w:rsid w:val="00562787"/>
    <w:rsid w:val="0056558E"/>
    <w:rsid w:val="00565F2A"/>
    <w:rsid w:val="00566CEB"/>
    <w:rsid w:val="005734A8"/>
    <w:rsid w:val="005749FC"/>
    <w:rsid w:val="00574A88"/>
    <w:rsid w:val="00583458"/>
    <w:rsid w:val="005878DA"/>
    <w:rsid w:val="005927C2"/>
    <w:rsid w:val="00592CC3"/>
    <w:rsid w:val="005941A4"/>
    <w:rsid w:val="00594F22"/>
    <w:rsid w:val="0059603D"/>
    <w:rsid w:val="00596051"/>
    <w:rsid w:val="005A0E6D"/>
    <w:rsid w:val="005A2D18"/>
    <w:rsid w:val="005A780A"/>
    <w:rsid w:val="005B3771"/>
    <w:rsid w:val="005B39D3"/>
    <w:rsid w:val="005B778A"/>
    <w:rsid w:val="005C0A9E"/>
    <w:rsid w:val="005C1E9B"/>
    <w:rsid w:val="005C3042"/>
    <w:rsid w:val="005C4583"/>
    <w:rsid w:val="005C7E02"/>
    <w:rsid w:val="005D2E2A"/>
    <w:rsid w:val="005D450A"/>
    <w:rsid w:val="005D4B2F"/>
    <w:rsid w:val="005D4B61"/>
    <w:rsid w:val="005D7B16"/>
    <w:rsid w:val="005E331E"/>
    <w:rsid w:val="005E4620"/>
    <w:rsid w:val="005E5CDC"/>
    <w:rsid w:val="005F2BDD"/>
    <w:rsid w:val="005F4FE0"/>
    <w:rsid w:val="005F7F34"/>
    <w:rsid w:val="00600179"/>
    <w:rsid w:val="00601A0C"/>
    <w:rsid w:val="00604925"/>
    <w:rsid w:val="006056CF"/>
    <w:rsid w:val="00611EEF"/>
    <w:rsid w:val="00614303"/>
    <w:rsid w:val="006149C3"/>
    <w:rsid w:val="00616327"/>
    <w:rsid w:val="00620968"/>
    <w:rsid w:val="0062409C"/>
    <w:rsid w:val="006454B1"/>
    <w:rsid w:val="00647F9E"/>
    <w:rsid w:val="00651C8A"/>
    <w:rsid w:val="0065306C"/>
    <w:rsid w:val="00671040"/>
    <w:rsid w:val="00675171"/>
    <w:rsid w:val="00677AEC"/>
    <w:rsid w:val="006804FA"/>
    <w:rsid w:val="0068493B"/>
    <w:rsid w:val="006955FF"/>
    <w:rsid w:val="006A1486"/>
    <w:rsid w:val="006A7A08"/>
    <w:rsid w:val="006C3652"/>
    <w:rsid w:val="006D255C"/>
    <w:rsid w:val="006E23BB"/>
    <w:rsid w:val="006E45C8"/>
    <w:rsid w:val="006E7116"/>
    <w:rsid w:val="006F5A51"/>
    <w:rsid w:val="007031E0"/>
    <w:rsid w:val="00706B1F"/>
    <w:rsid w:val="00711358"/>
    <w:rsid w:val="007304D5"/>
    <w:rsid w:val="00733A40"/>
    <w:rsid w:val="00735750"/>
    <w:rsid w:val="00737515"/>
    <w:rsid w:val="007447B0"/>
    <w:rsid w:val="007502AE"/>
    <w:rsid w:val="00762E7C"/>
    <w:rsid w:val="0076338B"/>
    <w:rsid w:val="00766492"/>
    <w:rsid w:val="00777251"/>
    <w:rsid w:val="00780844"/>
    <w:rsid w:val="00782164"/>
    <w:rsid w:val="00784A26"/>
    <w:rsid w:val="0079112E"/>
    <w:rsid w:val="007976E1"/>
    <w:rsid w:val="007A0BAD"/>
    <w:rsid w:val="007A104E"/>
    <w:rsid w:val="007A136F"/>
    <w:rsid w:val="007A313E"/>
    <w:rsid w:val="007B18EB"/>
    <w:rsid w:val="007B32D3"/>
    <w:rsid w:val="007B5714"/>
    <w:rsid w:val="007B6800"/>
    <w:rsid w:val="007C326F"/>
    <w:rsid w:val="007C5818"/>
    <w:rsid w:val="007D1651"/>
    <w:rsid w:val="007E0379"/>
    <w:rsid w:val="007F1715"/>
    <w:rsid w:val="007F1C15"/>
    <w:rsid w:val="007F2F0E"/>
    <w:rsid w:val="007F4D91"/>
    <w:rsid w:val="007F64C6"/>
    <w:rsid w:val="00800C88"/>
    <w:rsid w:val="00802DD7"/>
    <w:rsid w:val="008037B8"/>
    <w:rsid w:val="008054A6"/>
    <w:rsid w:val="00807408"/>
    <w:rsid w:val="008127EF"/>
    <w:rsid w:val="00812AA7"/>
    <w:rsid w:val="00812DFA"/>
    <w:rsid w:val="008230CF"/>
    <w:rsid w:val="00823A30"/>
    <w:rsid w:val="008341BA"/>
    <w:rsid w:val="00836305"/>
    <w:rsid w:val="0084392B"/>
    <w:rsid w:val="008452DC"/>
    <w:rsid w:val="008519B0"/>
    <w:rsid w:val="00856E31"/>
    <w:rsid w:val="00860602"/>
    <w:rsid w:val="00863232"/>
    <w:rsid w:val="008653AC"/>
    <w:rsid w:val="00876974"/>
    <w:rsid w:val="008809C9"/>
    <w:rsid w:val="00881D18"/>
    <w:rsid w:val="00882584"/>
    <w:rsid w:val="00886E4C"/>
    <w:rsid w:val="0089516C"/>
    <w:rsid w:val="008972BF"/>
    <w:rsid w:val="008B043C"/>
    <w:rsid w:val="008B38AD"/>
    <w:rsid w:val="008B3DCA"/>
    <w:rsid w:val="008B746E"/>
    <w:rsid w:val="008C535D"/>
    <w:rsid w:val="008C5F44"/>
    <w:rsid w:val="008D1D93"/>
    <w:rsid w:val="008D64AF"/>
    <w:rsid w:val="008D7D82"/>
    <w:rsid w:val="008E3879"/>
    <w:rsid w:val="008E6233"/>
    <w:rsid w:val="008E67E7"/>
    <w:rsid w:val="008F1D0B"/>
    <w:rsid w:val="008F7B77"/>
    <w:rsid w:val="008F7EF1"/>
    <w:rsid w:val="00901389"/>
    <w:rsid w:val="009020A6"/>
    <w:rsid w:val="0090299E"/>
    <w:rsid w:val="009041F9"/>
    <w:rsid w:val="00912526"/>
    <w:rsid w:val="00916302"/>
    <w:rsid w:val="00917B3B"/>
    <w:rsid w:val="009212CE"/>
    <w:rsid w:val="009229FC"/>
    <w:rsid w:val="00925D31"/>
    <w:rsid w:val="00927267"/>
    <w:rsid w:val="009302B8"/>
    <w:rsid w:val="0093171F"/>
    <w:rsid w:val="0093256A"/>
    <w:rsid w:val="00935410"/>
    <w:rsid w:val="00945788"/>
    <w:rsid w:val="009467D8"/>
    <w:rsid w:val="00946FA6"/>
    <w:rsid w:val="00952C56"/>
    <w:rsid w:val="009610AF"/>
    <w:rsid w:val="00963098"/>
    <w:rsid w:val="00963218"/>
    <w:rsid w:val="00964F8D"/>
    <w:rsid w:val="00966E1D"/>
    <w:rsid w:val="00971DB7"/>
    <w:rsid w:val="00975DCC"/>
    <w:rsid w:val="00980803"/>
    <w:rsid w:val="00992E1B"/>
    <w:rsid w:val="00996175"/>
    <w:rsid w:val="00997D13"/>
    <w:rsid w:val="009B0DE2"/>
    <w:rsid w:val="009B204B"/>
    <w:rsid w:val="009B4591"/>
    <w:rsid w:val="009B571E"/>
    <w:rsid w:val="009C41E3"/>
    <w:rsid w:val="009C6FA3"/>
    <w:rsid w:val="009C7147"/>
    <w:rsid w:val="009C74E9"/>
    <w:rsid w:val="009D0AE4"/>
    <w:rsid w:val="009D4B27"/>
    <w:rsid w:val="009D58F4"/>
    <w:rsid w:val="009D68F1"/>
    <w:rsid w:val="009D7D05"/>
    <w:rsid w:val="009E3568"/>
    <w:rsid w:val="009E49F1"/>
    <w:rsid w:val="009E5359"/>
    <w:rsid w:val="009F1555"/>
    <w:rsid w:val="009F29E1"/>
    <w:rsid w:val="00A03FB3"/>
    <w:rsid w:val="00A06C75"/>
    <w:rsid w:val="00A06F1A"/>
    <w:rsid w:val="00A12B7A"/>
    <w:rsid w:val="00A15035"/>
    <w:rsid w:val="00A15387"/>
    <w:rsid w:val="00A166C1"/>
    <w:rsid w:val="00A16C06"/>
    <w:rsid w:val="00A23960"/>
    <w:rsid w:val="00A26B12"/>
    <w:rsid w:val="00A3197D"/>
    <w:rsid w:val="00A31C27"/>
    <w:rsid w:val="00A3200D"/>
    <w:rsid w:val="00A362BE"/>
    <w:rsid w:val="00A45EAE"/>
    <w:rsid w:val="00A46D8B"/>
    <w:rsid w:val="00A575CA"/>
    <w:rsid w:val="00A61BB2"/>
    <w:rsid w:val="00A76264"/>
    <w:rsid w:val="00A8094E"/>
    <w:rsid w:val="00A924BE"/>
    <w:rsid w:val="00A92985"/>
    <w:rsid w:val="00A95F33"/>
    <w:rsid w:val="00AA385E"/>
    <w:rsid w:val="00AA3EC8"/>
    <w:rsid w:val="00AA59A8"/>
    <w:rsid w:val="00AA67B9"/>
    <w:rsid w:val="00AB30E3"/>
    <w:rsid w:val="00AB3455"/>
    <w:rsid w:val="00AB65E2"/>
    <w:rsid w:val="00AC1A29"/>
    <w:rsid w:val="00AC4781"/>
    <w:rsid w:val="00AC53BE"/>
    <w:rsid w:val="00AD0702"/>
    <w:rsid w:val="00AD363F"/>
    <w:rsid w:val="00AD4748"/>
    <w:rsid w:val="00AD6570"/>
    <w:rsid w:val="00AD7C4C"/>
    <w:rsid w:val="00AE6C39"/>
    <w:rsid w:val="00AF0041"/>
    <w:rsid w:val="00AF1EBE"/>
    <w:rsid w:val="00AF75FC"/>
    <w:rsid w:val="00AF7A8F"/>
    <w:rsid w:val="00B0705A"/>
    <w:rsid w:val="00B07F5A"/>
    <w:rsid w:val="00B10671"/>
    <w:rsid w:val="00B141B1"/>
    <w:rsid w:val="00B37D3C"/>
    <w:rsid w:val="00B43DC8"/>
    <w:rsid w:val="00B4423E"/>
    <w:rsid w:val="00B475F9"/>
    <w:rsid w:val="00B649E9"/>
    <w:rsid w:val="00B658F5"/>
    <w:rsid w:val="00B65D6D"/>
    <w:rsid w:val="00B67B08"/>
    <w:rsid w:val="00B778C1"/>
    <w:rsid w:val="00B823E2"/>
    <w:rsid w:val="00B84DFE"/>
    <w:rsid w:val="00B85F43"/>
    <w:rsid w:val="00B876D3"/>
    <w:rsid w:val="00B94727"/>
    <w:rsid w:val="00B96513"/>
    <w:rsid w:val="00BA423A"/>
    <w:rsid w:val="00BA655A"/>
    <w:rsid w:val="00BB1626"/>
    <w:rsid w:val="00BB19B8"/>
    <w:rsid w:val="00BB379C"/>
    <w:rsid w:val="00BC16AE"/>
    <w:rsid w:val="00BC2032"/>
    <w:rsid w:val="00BC2E5E"/>
    <w:rsid w:val="00BC3F08"/>
    <w:rsid w:val="00BC7080"/>
    <w:rsid w:val="00BD25CE"/>
    <w:rsid w:val="00BD4298"/>
    <w:rsid w:val="00BD5DBA"/>
    <w:rsid w:val="00BD7561"/>
    <w:rsid w:val="00BE4894"/>
    <w:rsid w:val="00BF71D7"/>
    <w:rsid w:val="00C02B5A"/>
    <w:rsid w:val="00C03C12"/>
    <w:rsid w:val="00C2108D"/>
    <w:rsid w:val="00C22AB2"/>
    <w:rsid w:val="00C247A5"/>
    <w:rsid w:val="00C3013D"/>
    <w:rsid w:val="00C3290C"/>
    <w:rsid w:val="00C337C4"/>
    <w:rsid w:val="00C40922"/>
    <w:rsid w:val="00C42C71"/>
    <w:rsid w:val="00C42D65"/>
    <w:rsid w:val="00C44144"/>
    <w:rsid w:val="00C443BC"/>
    <w:rsid w:val="00C51339"/>
    <w:rsid w:val="00C51555"/>
    <w:rsid w:val="00C55F87"/>
    <w:rsid w:val="00C5665F"/>
    <w:rsid w:val="00C57AE1"/>
    <w:rsid w:val="00C70318"/>
    <w:rsid w:val="00C73201"/>
    <w:rsid w:val="00C754CB"/>
    <w:rsid w:val="00C84D7C"/>
    <w:rsid w:val="00C90E1C"/>
    <w:rsid w:val="00C93F42"/>
    <w:rsid w:val="00C961ED"/>
    <w:rsid w:val="00CA4446"/>
    <w:rsid w:val="00CA4C89"/>
    <w:rsid w:val="00CA6E70"/>
    <w:rsid w:val="00CB08CF"/>
    <w:rsid w:val="00CB3CBD"/>
    <w:rsid w:val="00CB62F2"/>
    <w:rsid w:val="00CB7D88"/>
    <w:rsid w:val="00CD1719"/>
    <w:rsid w:val="00CD5560"/>
    <w:rsid w:val="00CD5E5D"/>
    <w:rsid w:val="00CD600A"/>
    <w:rsid w:val="00CE351D"/>
    <w:rsid w:val="00CE3DF8"/>
    <w:rsid w:val="00CE7993"/>
    <w:rsid w:val="00CE7C8B"/>
    <w:rsid w:val="00CF0876"/>
    <w:rsid w:val="00CF27F1"/>
    <w:rsid w:val="00CF5FB1"/>
    <w:rsid w:val="00CF6225"/>
    <w:rsid w:val="00D12D9F"/>
    <w:rsid w:val="00D161C9"/>
    <w:rsid w:val="00D16C47"/>
    <w:rsid w:val="00D178C0"/>
    <w:rsid w:val="00D17BDE"/>
    <w:rsid w:val="00D200EE"/>
    <w:rsid w:val="00D218BA"/>
    <w:rsid w:val="00D21DA0"/>
    <w:rsid w:val="00D23337"/>
    <w:rsid w:val="00D34874"/>
    <w:rsid w:val="00D34C0D"/>
    <w:rsid w:val="00D428BD"/>
    <w:rsid w:val="00D517B1"/>
    <w:rsid w:val="00D55F45"/>
    <w:rsid w:val="00D573B8"/>
    <w:rsid w:val="00D6271D"/>
    <w:rsid w:val="00D6562A"/>
    <w:rsid w:val="00D77B77"/>
    <w:rsid w:val="00D77D7B"/>
    <w:rsid w:val="00D90123"/>
    <w:rsid w:val="00D944AA"/>
    <w:rsid w:val="00D94518"/>
    <w:rsid w:val="00DA7EEF"/>
    <w:rsid w:val="00DB1198"/>
    <w:rsid w:val="00DB1666"/>
    <w:rsid w:val="00DB1DFF"/>
    <w:rsid w:val="00DB4290"/>
    <w:rsid w:val="00DB7C51"/>
    <w:rsid w:val="00DC0149"/>
    <w:rsid w:val="00DC28C7"/>
    <w:rsid w:val="00DC5725"/>
    <w:rsid w:val="00DC6CE2"/>
    <w:rsid w:val="00DD5E8C"/>
    <w:rsid w:val="00DE457D"/>
    <w:rsid w:val="00DF7F03"/>
    <w:rsid w:val="00DF7F38"/>
    <w:rsid w:val="00E059A0"/>
    <w:rsid w:val="00E06753"/>
    <w:rsid w:val="00E16286"/>
    <w:rsid w:val="00E171CC"/>
    <w:rsid w:val="00E17716"/>
    <w:rsid w:val="00E20AE2"/>
    <w:rsid w:val="00E24C97"/>
    <w:rsid w:val="00E26AB5"/>
    <w:rsid w:val="00E34125"/>
    <w:rsid w:val="00E36FD5"/>
    <w:rsid w:val="00E37093"/>
    <w:rsid w:val="00E41767"/>
    <w:rsid w:val="00E41BD9"/>
    <w:rsid w:val="00E41CFD"/>
    <w:rsid w:val="00E45C66"/>
    <w:rsid w:val="00E47031"/>
    <w:rsid w:val="00E47A85"/>
    <w:rsid w:val="00E55FE0"/>
    <w:rsid w:val="00E5716F"/>
    <w:rsid w:val="00E60E50"/>
    <w:rsid w:val="00E651C9"/>
    <w:rsid w:val="00E660C2"/>
    <w:rsid w:val="00E75371"/>
    <w:rsid w:val="00E779CD"/>
    <w:rsid w:val="00E84339"/>
    <w:rsid w:val="00E92DF8"/>
    <w:rsid w:val="00E9429D"/>
    <w:rsid w:val="00E9582A"/>
    <w:rsid w:val="00EA0492"/>
    <w:rsid w:val="00EA5FFA"/>
    <w:rsid w:val="00EA672A"/>
    <w:rsid w:val="00EB7851"/>
    <w:rsid w:val="00EC3F90"/>
    <w:rsid w:val="00EC6A3D"/>
    <w:rsid w:val="00ED0141"/>
    <w:rsid w:val="00ED2F70"/>
    <w:rsid w:val="00EE1239"/>
    <w:rsid w:val="00EE1D41"/>
    <w:rsid w:val="00EE3143"/>
    <w:rsid w:val="00EE3600"/>
    <w:rsid w:val="00EF094E"/>
    <w:rsid w:val="00EF4007"/>
    <w:rsid w:val="00EF5082"/>
    <w:rsid w:val="00F01236"/>
    <w:rsid w:val="00F02319"/>
    <w:rsid w:val="00F04F48"/>
    <w:rsid w:val="00F07B87"/>
    <w:rsid w:val="00F16BCE"/>
    <w:rsid w:val="00F227EF"/>
    <w:rsid w:val="00F27F24"/>
    <w:rsid w:val="00F3381C"/>
    <w:rsid w:val="00F35828"/>
    <w:rsid w:val="00F4067B"/>
    <w:rsid w:val="00F40A27"/>
    <w:rsid w:val="00F417D9"/>
    <w:rsid w:val="00F476EA"/>
    <w:rsid w:val="00F51667"/>
    <w:rsid w:val="00F5675B"/>
    <w:rsid w:val="00F573E8"/>
    <w:rsid w:val="00F6007B"/>
    <w:rsid w:val="00F655C5"/>
    <w:rsid w:val="00F72BFD"/>
    <w:rsid w:val="00F730AB"/>
    <w:rsid w:val="00F73348"/>
    <w:rsid w:val="00F7780C"/>
    <w:rsid w:val="00F81419"/>
    <w:rsid w:val="00F835D0"/>
    <w:rsid w:val="00F84A3E"/>
    <w:rsid w:val="00F84C3B"/>
    <w:rsid w:val="00F92241"/>
    <w:rsid w:val="00FA01F7"/>
    <w:rsid w:val="00FA2B62"/>
    <w:rsid w:val="00FA7975"/>
    <w:rsid w:val="00FB12A1"/>
    <w:rsid w:val="00FB35BE"/>
    <w:rsid w:val="00FB49A0"/>
    <w:rsid w:val="00FC2AD0"/>
    <w:rsid w:val="00FC3C4F"/>
    <w:rsid w:val="00FC3E2D"/>
    <w:rsid w:val="00FD0225"/>
    <w:rsid w:val="00FD3777"/>
    <w:rsid w:val="00FD40C1"/>
    <w:rsid w:val="00FD5336"/>
    <w:rsid w:val="00FE3C77"/>
    <w:rsid w:val="00FF01C3"/>
    <w:rsid w:val="00FF0C26"/>
    <w:rsid w:val="00FF48A1"/>
    <w:rsid w:val="00FF4C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8F1"/>
    <w:rPr>
      <w:sz w:val="20"/>
      <w:szCs w:val="20"/>
    </w:rPr>
  </w:style>
  <w:style w:type="paragraph" w:styleId="Heading1">
    <w:name w:val="heading 1"/>
    <w:basedOn w:val="Normal"/>
    <w:next w:val="Normal"/>
    <w:link w:val="Heading1Char"/>
    <w:qFormat/>
    <w:locked/>
    <w:rsid w:val="00964F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68F1"/>
    <w:pPr>
      <w:tabs>
        <w:tab w:val="center" w:pos="4320"/>
        <w:tab w:val="right" w:pos="8640"/>
      </w:tabs>
    </w:pPr>
  </w:style>
  <w:style w:type="character" w:customStyle="1" w:styleId="HeaderChar">
    <w:name w:val="Header Char"/>
    <w:basedOn w:val="DefaultParagraphFont"/>
    <w:link w:val="Header"/>
    <w:uiPriority w:val="99"/>
    <w:semiHidden/>
    <w:rsid w:val="0041275B"/>
    <w:rPr>
      <w:sz w:val="20"/>
      <w:szCs w:val="20"/>
    </w:rPr>
  </w:style>
  <w:style w:type="paragraph" w:styleId="Footer">
    <w:name w:val="footer"/>
    <w:basedOn w:val="Normal"/>
    <w:link w:val="FooterChar"/>
    <w:uiPriority w:val="99"/>
    <w:rsid w:val="009D68F1"/>
    <w:pPr>
      <w:tabs>
        <w:tab w:val="center" w:pos="4320"/>
        <w:tab w:val="right" w:pos="8640"/>
      </w:tabs>
    </w:pPr>
  </w:style>
  <w:style w:type="character" w:customStyle="1" w:styleId="FooterChar">
    <w:name w:val="Footer Char"/>
    <w:basedOn w:val="DefaultParagraphFont"/>
    <w:link w:val="Footer"/>
    <w:uiPriority w:val="99"/>
    <w:locked/>
    <w:rsid w:val="00611EEF"/>
    <w:rPr>
      <w:rFonts w:cs="Times New Roman"/>
    </w:rPr>
  </w:style>
  <w:style w:type="character" w:styleId="Hyperlink">
    <w:name w:val="Hyperlink"/>
    <w:basedOn w:val="DefaultParagraphFont"/>
    <w:uiPriority w:val="99"/>
    <w:rsid w:val="007A104E"/>
    <w:rPr>
      <w:rFonts w:cs="Times New Roman"/>
      <w:color w:val="0000FF"/>
      <w:u w:val="single"/>
    </w:rPr>
  </w:style>
  <w:style w:type="paragraph" w:styleId="ListParagraph">
    <w:name w:val="List Paragraph"/>
    <w:basedOn w:val="Normal"/>
    <w:uiPriority w:val="34"/>
    <w:qFormat/>
    <w:rsid w:val="00543DDA"/>
    <w:pPr>
      <w:ind w:left="720"/>
      <w:contextualSpacing/>
    </w:pPr>
  </w:style>
  <w:style w:type="character" w:styleId="FollowedHyperlink">
    <w:name w:val="FollowedHyperlink"/>
    <w:basedOn w:val="DefaultParagraphFont"/>
    <w:uiPriority w:val="99"/>
    <w:rsid w:val="00194EEA"/>
    <w:rPr>
      <w:rFonts w:cs="Times New Roman"/>
      <w:color w:val="800080"/>
      <w:u w:val="single"/>
    </w:rPr>
  </w:style>
  <w:style w:type="paragraph" w:styleId="FootnoteText">
    <w:name w:val="footnote text"/>
    <w:aliases w:val="Footnote Text Char Char Char,Footnote Text Char Char Char Char Char1,Footnote Text Char1 Char,Footnote Text Char1 Char Char Char1,Footnote Text Char2 Char,Footnote Text Char2 Char Char Char Char Char1,Footnote Text Char3"/>
    <w:basedOn w:val="Normal"/>
    <w:link w:val="FootnoteTextChar"/>
    <w:rsid w:val="00E84339"/>
  </w:style>
  <w:style w:type="character" w:customStyle="1" w:styleId="FootnoteTextChar">
    <w:name w:val="Footnote Text Char"/>
    <w:aliases w:val="Footnote Text Char Char Char Char Char1 Char1,Footnote Text Char Char Char Char1,Footnote Text Char1 Char Char Char1 Char1,Footnote Text Char1 Char Char1,Footnote Text Char2 Char Char Char Char Char1 Char1,Footnote Text Char3 Char"/>
    <w:basedOn w:val="DefaultParagraphFont"/>
    <w:link w:val="FootnoteText"/>
    <w:locked/>
    <w:rsid w:val="00E84339"/>
    <w:rPr>
      <w:rFonts w:cs="Times New Roman"/>
    </w:rPr>
  </w:style>
  <w:style w:type="character" w:styleId="FootnoteReference">
    <w:name w:val="footnote reference"/>
    <w:aliases w:val="(NECG) Footnote Reference,Appel note de bas de p,FR,Footnote Reference/,Footnote Reference1,Style 12,Style 124,Style 13,Style 17,Style 3,Style 34,Style 4,Style 6,Style 7,Style 9,fr,o"/>
    <w:basedOn w:val="DefaultParagraphFont"/>
    <w:rsid w:val="00E84339"/>
    <w:rPr>
      <w:rFonts w:cs="Times New Roman"/>
      <w:vertAlign w:val="superscript"/>
    </w:rPr>
  </w:style>
  <w:style w:type="paragraph" w:styleId="BalloonText">
    <w:name w:val="Balloon Text"/>
    <w:basedOn w:val="Normal"/>
    <w:link w:val="BalloonTextChar"/>
    <w:uiPriority w:val="99"/>
    <w:rsid w:val="009229FC"/>
    <w:rPr>
      <w:rFonts w:ascii="Tahoma" w:hAnsi="Tahoma" w:cs="Tahoma"/>
      <w:sz w:val="16"/>
      <w:szCs w:val="16"/>
    </w:rPr>
  </w:style>
  <w:style w:type="character" w:customStyle="1" w:styleId="BalloonTextChar">
    <w:name w:val="Balloon Text Char"/>
    <w:basedOn w:val="DefaultParagraphFont"/>
    <w:link w:val="BalloonText"/>
    <w:uiPriority w:val="99"/>
    <w:locked/>
    <w:rsid w:val="009229FC"/>
    <w:rPr>
      <w:rFonts w:ascii="Tahoma" w:hAnsi="Tahoma" w:cs="Tahoma"/>
      <w:sz w:val="16"/>
      <w:szCs w:val="16"/>
    </w:rPr>
  </w:style>
  <w:style w:type="paragraph" w:customStyle="1" w:styleId="ParaNum">
    <w:name w:val="ParaNum"/>
    <w:basedOn w:val="Normal"/>
    <w:link w:val="ParaNumChar"/>
    <w:rsid w:val="005E5CDC"/>
    <w:pPr>
      <w:widowControl w:val="0"/>
      <w:numPr>
        <w:numId w:val="9"/>
      </w:numPr>
      <w:spacing w:after="120"/>
    </w:pPr>
    <w:rPr>
      <w:kern w:val="28"/>
      <w:sz w:val="22"/>
    </w:rPr>
  </w:style>
  <w:style w:type="character" w:customStyle="1" w:styleId="ParaNumChar">
    <w:name w:val="ParaNum Char"/>
    <w:link w:val="ParaNum"/>
    <w:locked/>
    <w:rsid w:val="005E5CDC"/>
    <w:rPr>
      <w:snapToGrid w:val="0"/>
      <w:kern w:val="28"/>
      <w:sz w:val="22"/>
    </w:rPr>
  </w:style>
  <w:style w:type="character" w:styleId="CommentReference">
    <w:name w:val="annotation reference"/>
    <w:basedOn w:val="DefaultParagraphFont"/>
    <w:uiPriority w:val="99"/>
    <w:semiHidden/>
    <w:unhideWhenUsed/>
    <w:rsid w:val="001D5078"/>
    <w:rPr>
      <w:sz w:val="16"/>
      <w:szCs w:val="16"/>
    </w:rPr>
  </w:style>
  <w:style w:type="paragraph" w:styleId="CommentText">
    <w:name w:val="annotation text"/>
    <w:basedOn w:val="Normal"/>
    <w:link w:val="CommentTextChar"/>
    <w:uiPriority w:val="99"/>
    <w:semiHidden/>
    <w:unhideWhenUsed/>
    <w:rsid w:val="001D5078"/>
  </w:style>
  <w:style w:type="character" w:customStyle="1" w:styleId="CommentTextChar">
    <w:name w:val="Comment Text Char"/>
    <w:basedOn w:val="DefaultParagraphFont"/>
    <w:link w:val="CommentText"/>
    <w:uiPriority w:val="99"/>
    <w:semiHidden/>
    <w:rsid w:val="001D5078"/>
    <w:rPr>
      <w:sz w:val="20"/>
      <w:szCs w:val="20"/>
    </w:rPr>
  </w:style>
  <w:style w:type="paragraph" w:styleId="CommentSubject">
    <w:name w:val="annotation subject"/>
    <w:basedOn w:val="CommentText"/>
    <w:next w:val="CommentText"/>
    <w:link w:val="CommentSubjectChar"/>
    <w:uiPriority w:val="99"/>
    <w:semiHidden/>
    <w:unhideWhenUsed/>
    <w:rsid w:val="001D5078"/>
    <w:rPr>
      <w:b/>
      <w:bCs/>
    </w:rPr>
  </w:style>
  <w:style w:type="character" w:customStyle="1" w:styleId="CommentSubjectChar">
    <w:name w:val="Comment Subject Char"/>
    <w:basedOn w:val="CommentTextChar"/>
    <w:link w:val="CommentSubject"/>
    <w:uiPriority w:val="99"/>
    <w:semiHidden/>
    <w:rsid w:val="001D5078"/>
    <w:rPr>
      <w:b/>
      <w:bCs/>
      <w:sz w:val="20"/>
      <w:szCs w:val="20"/>
    </w:rPr>
  </w:style>
  <w:style w:type="character" w:customStyle="1" w:styleId="Heading3Char1Char">
    <w:name w:val="Heading 3 Char1 Char"/>
    <w:aliases w:val="Heading 3 Char Char Char Char"/>
    <w:basedOn w:val="DefaultParagraphFont"/>
    <w:rsid w:val="00566CEB"/>
    <w:rPr>
      <w:b/>
      <w:sz w:val="24"/>
      <w:szCs w:val="24"/>
      <w:lang w:val="en-US" w:eastAsia="en-US" w:bidi="ar-SA"/>
    </w:rPr>
  </w:style>
  <w:style w:type="character" w:customStyle="1" w:styleId="FootnoteTextChar1">
    <w:name w:val="Footnote Text Char1"/>
    <w:aliases w:val="Footnote Text Char Char,Footnote Text Char Char Char Char,Footnote Text Char Char Char Char Char1 Char,Footnote Text Char1 Char Char,Footnote Text Char1 Char Char Char1 Char,Footnote Text Char2 Char Char Char Char Char1 Char"/>
    <w:rsid w:val="00997D13"/>
  </w:style>
  <w:style w:type="character" w:customStyle="1" w:styleId="Heading1Char">
    <w:name w:val="Heading 1 Char"/>
    <w:basedOn w:val="DefaultParagraphFont"/>
    <w:link w:val="Heading1"/>
    <w:rsid w:val="00964F8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964F8D"/>
    <w:pPr>
      <w:tabs>
        <w:tab w:val="left" w:pos="720"/>
      </w:tabs>
      <w:spacing w:line="259" w:lineRule="auto"/>
      <w:outlineLvl w:val="9"/>
    </w:pPr>
  </w:style>
  <w:style w:type="paragraph" w:styleId="TOC1">
    <w:name w:val="toc 1"/>
    <w:basedOn w:val="Normal"/>
    <w:next w:val="Normal"/>
    <w:autoRedefine/>
    <w:uiPriority w:val="39"/>
    <w:unhideWhenUsed/>
    <w:rsid w:val="00964F8D"/>
    <w:pPr>
      <w:spacing w:after="100" w:line="259" w:lineRule="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B8A0-D3F5-49AD-B814-41A0D3F3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4</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Small Entity Compliance Guide</vt:lpstr>
    </vt:vector>
  </TitlesOfParts>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2018-02-16T13:17:10Z</dcterms:created>
  <dcterms:modified xsi:type="dcterms:W3CDTF">2018-02-16T13:17:10Z</dcterms:modified>
</cp:coreProperties>
</file>