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4C2EE3" w14:paraId="43B2374C"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270026C4" w14:textId="77777777">
      <w:pPr>
        <w:pStyle w:val="StyleBoldCentered"/>
      </w:pPr>
      <w:r>
        <w:t>F</w:t>
      </w:r>
      <w:r>
        <w:rPr>
          <w:caps w:val="0"/>
        </w:rPr>
        <w:t>ederal Communications Commission</w:t>
      </w:r>
    </w:p>
    <w:p w:rsidR="004C2EE3" w:rsidP="00096D8C" w14:paraId="4BDC03F8" w14:textId="77777777">
      <w:pPr>
        <w:pStyle w:val="StyleBoldCentered"/>
      </w:pPr>
      <w:r>
        <w:rPr>
          <w:caps w:val="0"/>
        </w:rPr>
        <w:t>Washington, D.C. 20554</w:t>
      </w:r>
    </w:p>
    <w:p w:rsidR="00412FC5" w:rsidP="008E5177" w14:paraId="529127F8" w14:textId="77777777"/>
    <w:p w:rsidR="008E5177" w:rsidP="008E5177" w14:paraId="25B73DFF" w14:textId="77777777">
      <w:pPr>
        <w:pStyle w:val="Header"/>
        <w:rPr>
          <w:b w:val="0"/>
        </w:rPr>
      </w:pPr>
      <w:r>
        <w:rPr>
          <w:b w:val="0"/>
        </w:rPr>
        <w:t>In the Matter of</w:t>
      </w:r>
      <w:r>
        <w:rPr>
          <w:b w:val="0"/>
        </w:rPr>
        <w:tab/>
        <w:t>)</w:t>
      </w:r>
    </w:p>
    <w:p w:rsidR="008E5177" w:rsidP="008E5177" w14:paraId="01D21E81" w14:textId="77777777">
      <w:pPr>
        <w:pStyle w:val="Header"/>
        <w:rPr>
          <w:b w:val="0"/>
        </w:rPr>
      </w:pPr>
      <w:r>
        <w:rPr>
          <w:b w:val="0"/>
        </w:rPr>
        <w:tab/>
        <w:t>)</w:t>
      </w:r>
    </w:p>
    <w:p w:rsidR="008E5177" w:rsidP="008E5177" w14:paraId="74E8FD8C" w14:textId="77777777">
      <w:pPr>
        <w:pStyle w:val="Header"/>
        <w:rPr>
          <w:b w:val="0"/>
        </w:rPr>
      </w:pPr>
      <w:r>
        <w:rPr>
          <w:b w:val="0"/>
        </w:rPr>
        <w:t>Requests for Waiver or Review of Decisions</w:t>
      </w:r>
      <w:r>
        <w:rPr>
          <w:b w:val="0"/>
        </w:rPr>
        <w:tab/>
        <w:t>)</w:t>
      </w:r>
    </w:p>
    <w:p w:rsidR="008E5177" w:rsidP="008E5177" w14:paraId="2953D707" w14:textId="77777777">
      <w:pPr>
        <w:pStyle w:val="Header"/>
        <w:rPr>
          <w:b w:val="0"/>
        </w:rPr>
      </w:pPr>
      <w:r>
        <w:rPr>
          <w:b w:val="0"/>
        </w:rPr>
        <w:t>of the Universal Service Administrator by</w:t>
      </w:r>
      <w:r>
        <w:rPr>
          <w:b w:val="0"/>
        </w:rPr>
        <w:tab/>
        <w:t>)</w:t>
      </w:r>
    </w:p>
    <w:p w:rsidR="008E5177" w:rsidP="008E5177" w14:paraId="106CF8FE" w14:textId="77777777">
      <w:pPr>
        <w:pStyle w:val="Header"/>
        <w:rPr>
          <w:b w:val="0"/>
        </w:rPr>
      </w:pPr>
      <w:r>
        <w:rPr>
          <w:b w:val="0"/>
        </w:rPr>
        <w:tab/>
        <w:t>)</w:t>
      </w:r>
    </w:p>
    <w:p w:rsidR="008E5177" w:rsidP="008E5177" w14:paraId="3F98ECC2" w14:textId="77777777">
      <w:pPr>
        <w:pStyle w:val="Header"/>
        <w:rPr>
          <w:b w:val="0"/>
        </w:rPr>
      </w:pPr>
      <w:r>
        <w:rPr>
          <w:b w:val="0"/>
        </w:rPr>
        <w:t xml:space="preserve">Indiana Telehealth Network, </w:t>
      </w:r>
      <w:r>
        <w:rPr>
          <w:b w:val="0"/>
          <w:i/>
        </w:rPr>
        <w:t>et al</w:t>
      </w:r>
      <w:r>
        <w:rPr>
          <w:b w:val="0"/>
        </w:rPr>
        <w:t xml:space="preserve">. </w:t>
      </w:r>
      <w:r>
        <w:rPr>
          <w:b w:val="0"/>
        </w:rPr>
        <w:tab/>
        <w:t xml:space="preserve">                           </w:t>
      </w:r>
      <w:r>
        <w:rPr>
          <w:b w:val="0"/>
        </w:rPr>
        <w:t xml:space="preserve">  )</w:t>
      </w:r>
      <w:r>
        <w:rPr>
          <w:b w:val="0"/>
        </w:rPr>
        <w:t xml:space="preserve">                   Funding Request Nos. 16964351, </w:t>
      </w:r>
      <w:r>
        <w:rPr>
          <w:b w:val="0"/>
          <w:i/>
        </w:rPr>
        <w:t>et al.</w:t>
      </w:r>
      <w:r>
        <w:rPr>
          <w:b w:val="0"/>
        </w:rPr>
        <w:t xml:space="preserve"> </w:t>
      </w:r>
      <w:r>
        <w:rPr>
          <w:b w:val="0"/>
        </w:rPr>
        <w:tab/>
      </w:r>
    </w:p>
    <w:p w:rsidR="008E5177" w:rsidP="008E5177" w14:paraId="68BFA910" w14:textId="77777777">
      <w:pPr>
        <w:pStyle w:val="Header"/>
        <w:rPr>
          <w:b w:val="0"/>
        </w:rPr>
      </w:pPr>
      <w:r>
        <w:rPr>
          <w:b w:val="0"/>
        </w:rPr>
        <w:t>Terre Haute, IN</w:t>
      </w:r>
      <w:r>
        <w:rPr>
          <w:b w:val="0"/>
        </w:rPr>
        <w:tab/>
        <w:t>)</w:t>
      </w:r>
    </w:p>
    <w:p w:rsidR="008E5177" w:rsidP="008E5177" w14:paraId="1BC5BBCF" w14:textId="77777777">
      <w:pPr>
        <w:pStyle w:val="Header"/>
        <w:rPr>
          <w:b w:val="0"/>
        </w:rPr>
      </w:pPr>
      <w:r>
        <w:rPr>
          <w:b w:val="0"/>
        </w:rPr>
        <w:tab/>
        <w:t>)</w:t>
      </w:r>
    </w:p>
    <w:p w:rsidR="008E5177" w:rsidP="008E5177" w14:paraId="0BC2A462" w14:textId="77777777">
      <w:pPr>
        <w:pStyle w:val="Header"/>
        <w:rPr>
          <w:b w:val="0"/>
        </w:rPr>
      </w:pPr>
      <w:r>
        <w:rPr>
          <w:b w:val="0"/>
        </w:rPr>
        <w:t>Rural Health Care Support Mechanism</w:t>
      </w:r>
      <w:r>
        <w:rPr>
          <w:b w:val="0"/>
        </w:rPr>
        <w:tab/>
        <w:t xml:space="preserve">                    </w:t>
      </w:r>
      <w:r>
        <w:rPr>
          <w:b w:val="0"/>
        </w:rPr>
        <w:t xml:space="preserve">  )</w:t>
      </w:r>
      <w:r>
        <w:rPr>
          <w:b w:val="0"/>
        </w:rPr>
        <w:t xml:space="preserve">                   WC Docket No. 02-60</w:t>
      </w:r>
    </w:p>
    <w:p w:rsidR="008E5177" w:rsidP="008E5177" w14:paraId="4528EF36" w14:textId="77777777">
      <w:pPr>
        <w:pStyle w:val="Header"/>
        <w:rPr>
          <w:b w:val="0"/>
        </w:rPr>
      </w:pPr>
    </w:p>
    <w:p w:rsidR="008E5177" w:rsidP="008E5177" w14:paraId="4E6DB984" w14:textId="77777777">
      <w:pPr>
        <w:pStyle w:val="Header"/>
        <w:jc w:val="center"/>
      </w:pPr>
      <w:r>
        <w:t>ORDER</w:t>
      </w:r>
    </w:p>
    <w:p w:rsidR="008E5177" w:rsidP="008E5177" w14:paraId="6272E10E" w14:textId="77777777">
      <w:pPr>
        <w:pStyle w:val="Header"/>
      </w:pPr>
      <w:r>
        <w:tab/>
      </w:r>
    </w:p>
    <w:p w:rsidR="008E5177" w:rsidP="008E5177" w14:paraId="6C30C9B3" w14:textId="77777777">
      <w:pPr>
        <w:tabs>
          <w:tab w:val="left" w:pos="5760"/>
        </w:tabs>
        <w:rPr>
          <w:b/>
          <w:szCs w:val="22"/>
        </w:rPr>
      </w:pPr>
      <w:r>
        <w:rPr>
          <w:b/>
          <w:szCs w:val="22"/>
        </w:rPr>
        <w:t>Adopted:  December 20, 2018</w:t>
      </w:r>
      <w:r>
        <w:rPr>
          <w:b/>
          <w:szCs w:val="22"/>
        </w:rPr>
        <w:tab/>
        <w:t xml:space="preserve">            Released:  December 20, 2018</w:t>
      </w:r>
    </w:p>
    <w:p w:rsidR="008E5177" w:rsidP="008E5177" w14:paraId="26B6BC49" w14:textId="77777777">
      <w:pPr>
        <w:pStyle w:val="Titleinfo"/>
        <w:rPr>
          <w:b w:val="0"/>
        </w:rPr>
      </w:pPr>
    </w:p>
    <w:p w:rsidR="008E5177" w:rsidP="008E5177" w14:paraId="4B61F17E" w14:textId="77777777">
      <w:pPr>
        <w:pStyle w:val="Titleinfo"/>
        <w:rPr>
          <w:b w:val="0"/>
        </w:rPr>
      </w:pPr>
      <w:r>
        <w:rPr>
          <w:b w:val="0"/>
        </w:rPr>
        <w:t>By the Chief, Telecommunications Access Policy Division, Wireline Competition Bureau:</w:t>
      </w:r>
    </w:p>
    <w:p w:rsidR="008E5177" w:rsidP="008E5177" w14:paraId="077A58BA" w14:textId="77777777">
      <w:pPr>
        <w:pStyle w:val="Titleinfo"/>
      </w:pPr>
    </w:p>
    <w:p w:rsidR="008E5177" w:rsidP="00C576A5" w14:paraId="7BAA84E6" w14:textId="77777777">
      <w:pPr>
        <w:pStyle w:val="Heading1"/>
        <w:rPr>
          <w:rStyle w:val="StyleNumberedparagraphs11ptChar"/>
          <w:szCs w:val="22"/>
        </w:rPr>
      </w:pPr>
      <w:bookmarkStart w:id="0" w:name="OLE_LINK2"/>
      <w:bookmarkStart w:id="1" w:name="OLE_LINK3"/>
      <w:r>
        <w:rPr>
          <w:rStyle w:val="StyleNumberedparagraphs11ptChar"/>
          <w:szCs w:val="22"/>
        </w:rPr>
        <w:t>Introduction</w:t>
      </w:r>
    </w:p>
    <w:p w:rsidR="008E5177" w:rsidRPr="0031147D" w:rsidP="00C576A5" w14:paraId="7EC9AA42" w14:textId="77777777">
      <w:pPr>
        <w:pStyle w:val="ParaNum"/>
        <w:rPr>
          <w:szCs w:val="22"/>
        </w:rPr>
      </w:pPr>
      <w:r>
        <w:rPr>
          <w:rStyle w:val="StyleNumberedparagraphs11ptChar"/>
          <w:szCs w:val="22"/>
        </w:rPr>
        <w:t>In this Order, we address seven requests from petitioners seeking review of decisions made by the Universal Service Administrative Company (USAC) under the Rural Health Care (RHC) Program.</w:t>
      </w:r>
      <w:r>
        <w:rPr>
          <w:rStyle w:val="FootnoteReference"/>
          <w:szCs w:val="22"/>
        </w:rPr>
        <w:footnoteReference w:id="3"/>
      </w:r>
      <w:r>
        <w:rPr>
          <w:rStyle w:val="StyleNumberedparagraphs11ptChar"/>
          <w:szCs w:val="22"/>
        </w:rPr>
        <w:t xml:space="preserve">  The petitioners </w:t>
      </w:r>
      <w:r>
        <w:t>failed to submit their Healthcare Connect Fund invoicing forms (FCC Form 463)</w:t>
      </w:r>
      <w:r w:rsidRPr="00A33ECA">
        <w:t xml:space="preserve"> </w:t>
      </w:r>
      <w:r>
        <w:t xml:space="preserve">and are </w:t>
      </w:r>
      <w:r>
        <w:rPr>
          <w:rStyle w:val="StyleNumberedparagraphs11ptChar"/>
          <w:szCs w:val="22"/>
        </w:rPr>
        <w:t xml:space="preserve">seeking a waiver of the </w:t>
      </w:r>
      <w:r>
        <w:t xml:space="preserve">invoicing deadline </w:t>
      </w:r>
      <w:r>
        <w:rPr>
          <w:rStyle w:val="StyleNumberedparagraphs11ptChar"/>
          <w:szCs w:val="22"/>
        </w:rPr>
        <w:t>for reimbursement of services under the RHC Program.</w:t>
      </w:r>
      <w:r>
        <w:rPr>
          <w:rStyle w:val="FootnoteReference"/>
          <w:szCs w:val="22"/>
        </w:rPr>
        <w:footnoteReference w:id="4"/>
      </w:r>
      <w:r>
        <w:rPr>
          <w:rStyle w:val="StyleNumberedparagraphs11ptChar"/>
          <w:szCs w:val="22"/>
        </w:rPr>
        <w:t xml:space="preserve">  For the reasons provided below, we grant one request and deny six requests</w:t>
      </w:r>
      <w:r w:rsidRPr="003D5BDB">
        <w:t>.</w:t>
      </w:r>
      <w:r>
        <w:rPr>
          <w:vertAlign w:val="superscript"/>
        </w:rPr>
        <w:footnoteReference w:id="5"/>
      </w:r>
      <w:r>
        <w:t xml:space="preserve"> </w:t>
      </w:r>
    </w:p>
    <w:p w:rsidR="008E5177" w:rsidRPr="0087583D" w:rsidP="00C576A5" w14:paraId="1C7CAB64" w14:textId="77777777">
      <w:pPr>
        <w:pStyle w:val="Heading1"/>
      </w:pPr>
      <w:r>
        <w:t>background</w:t>
      </w:r>
    </w:p>
    <w:p w:rsidR="008E5177" w:rsidRPr="004E69FB" w:rsidP="00C576A5" w14:paraId="0D97A389" w14:textId="77777777">
      <w:pPr>
        <w:pStyle w:val="ParaNum"/>
      </w:pPr>
      <w:bookmarkStart w:id="3" w:name="_Ref416091824"/>
      <w:r>
        <w:t xml:space="preserve"> The Healthcare Connect Fund provides support to eligible health care providers for broadband service.</w:t>
      </w:r>
      <w:r>
        <w:rPr>
          <w:rStyle w:val="FootnoteReference"/>
        </w:rPr>
        <w:footnoteReference w:id="6"/>
      </w:r>
      <w:r>
        <w:t xml:space="preserve">  Participating health care providers are responsible for paying at least 35% of the cost of the service to the service provider directly and the program provides funds for the balance of the service directly to the service provider.</w:t>
      </w:r>
      <w:r>
        <w:rPr>
          <w:rStyle w:val="FootnoteReference"/>
        </w:rPr>
        <w:footnoteReference w:id="7"/>
      </w:r>
      <w:r>
        <w:t xml:space="preserve">  To receive support from the program, the service provider and the health care provider must submit an invoice for the broadband service using FCC Form 463 (</w:t>
      </w:r>
      <w:r w:rsidRPr="005C5963">
        <w:t>Invoice and Request for Disbursement Form</w:t>
      </w:r>
      <w:r>
        <w:t>) to USAC.</w:t>
      </w:r>
      <w:r>
        <w:rPr>
          <w:rStyle w:val="FootnoteReference"/>
        </w:rPr>
        <w:footnoteReference w:id="8"/>
      </w:r>
      <w:r>
        <w:t xml:space="preserve">  The applicant certifies that the FCC Form 463 is accurate and </w:t>
      </w:r>
      <w:r w:rsidRPr="00E21C15">
        <w:t>they have paid the minimum 35</w:t>
      </w:r>
      <w:r>
        <w:t xml:space="preserve">% </w:t>
      </w:r>
      <w:r w:rsidRPr="00E21C15">
        <w:t>contribution</w:t>
      </w:r>
      <w:r>
        <w:t xml:space="preserve">, and </w:t>
      </w:r>
      <w:bookmarkStart w:id="5" w:name="_Hlk532292978"/>
      <w:r>
        <w:t xml:space="preserve">the </w:t>
      </w:r>
      <w:r w:rsidRPr="00E21C15">
        <w:t xml:space="preserve">service provider </w:t>
      </w:r>
      <w:r>
        <w:t xml:space="preserve">certifies to the accuracy of </w:t>
      </w:r>
      <w:r w:rsidRPr="00E21C15">
        <w:t xml:space="preserve">the </w:t>
      </w:r>
      <w:r>
        <w:t xml:space="preserve">information in the </w:t>
      </w:r>
      <w:r w:rsidRPr="00E21C15">
        <w:t>FCC Form 463</w:t>
      </w:r>
      <w:r>
        <w:t xml:space="preserve"> and submits it to </w:t>
      </w:r>
      <w:r w:rsidRPr="00E21C15">
        <w:t>USAC</w:t>
      </w:r>
      <w:r>
        <w:t xml:space="preserve"> for payment.</w:t>
      </w:r>
      <w:bookmarkEnd w:id="5"/>
      <w:r>
        <w:rPr>
          <w:rStyle w:val="FootnoteReference"/>
        </w:rPr>
        <w:footnoteReference w:id="9"/>
      </w:r>
      <w:r>
        <w:t xml:space="preserve">  Once received, USAC</w:t>
      </w:r>
      <w:r w:rsidRPr="00E21C15">
        <w:t xml:space="preserve"> processes the FCC </w:t>
      </w:r>
      <w:r>
        <w:t>F</w:t>
      </w:r>
      <w:r w:rsidRPr="00E21C15">
        <w:t>orm 463 and</w:t>
      </w:r>
      <w:r>
        <w:t>,</w:t>
      </w:r>
      <w:r w:rsidRPr="00E21C15">
        <w:t xml:space="preserve"> if approved, distribute</w:t>
      </w:r>
      <w:r>
        <w:t>s</w:t>
      </w:r>
      <w:r w:rsidRPr="00E21C15">
        <w:t xml:space="preserve"> to the service provider</w:t>
      </w:r>
      <w:r>
        <w:t xml:space="preserve"> the balance owed </w:t>
      </w:r>
      <w:r>
        <w:t>for the services</w:t>
      </w:r>
      <w:r w:rsidRPr="00E21C15">
        <w:t>.</w:t>
      </w:r>
      <w:r>
        <w:rPr>
          <w:rStyle w:val="FootnoteReference"/>
        </w:rPr>
        <w:footnoteReference w:id="10"/>
      </w:r>
      <w:r>
        <w:t xml:space="preserve">  </w:t>
      </w:r>
      <w:r w:rsidRPr="004E69FB">
        <w:t>The Commission’s ru</w:t>
      </w:r>
      <w:r>
        <w:t xml:space="preserve">les require all Healthcare Connect Fund invoices to </w:t>
      </w:r>
      <w:r w:rsidRPr="004E69FB">
        <w:t xml:space="preserve">be received by USAC within six months </w:t>
      </w:r>
      <w:r>
        <w:t xml:space="preserve">of the end date of </w:t>
      </w:r>
      <w:r w:rsidRPr="004E69FB">
        <w:t>the funding commitment.</w:t>
      </w:r>
      <w:r>
        <w:rPr>
          <w:vertAlign w:val="superscript"/>
        </w:rPr>
        <w:footnoteReference w:id="11"/>
      </w:r>
      <w:r>
        <w:rPr>
          <w:lang w:val="en"/>
        </w:rPr>
        <w:t xml:space="preserve">  </w:t>
      </w:r>
      <w:r w:rsidRPr="00E21D90">
        <w:t xml:space="preserve">The </w:t>
      </w:r>
      <w:r>
        <w:t>FCC Form 463 invoicing deadline is included o</w:t>
      </w:r>
      <w:r w:rsidRPr="00E21D90">
        <w:t>n the funding commitment letter</w:t>
      </w:r>
      <w:r>
        <w:t xml:space="preserve"> </w:t>
      </w:r>
      <w:r w:rsidRPr="00E21D90">
        <w:t xml:space="preserve">USAC sends </w:t>
      </w:r>
      <w:r>
        <w:t>to both the health care provider and service provider.</w:t>
      </w:r>
      <w:r>
        <w:rPr>
          <w:rStyle w:val="FootnoteReference"/>
        </w:rPr>
        <w:footnoteReference w:id="12"/>
      </w:r>
      <w:r>
        <w:t xml:space="preserve">  </w:t>
      </w:r>
      <w:r w:rsidRPr="004E69FB">
        <w:t>All peti</w:t>
      </w:r>
      <w:r>
        <w:t>tioners seeking relief in this O</w:t>
      </w:r>
      <w:r w:rsidRPr="004E69FB">
        <w:t xml:space="preserve">rder </w:t>
      </w:r>
      <w:r>
        <w:t xml:space="preserve">failed to submit their FCC Forms 463 and invoices by the relevant invoicing deadline. </w:t>
      </w:r>
    </w:p>
    <w:bookmarkEnd w:id="3"/>
    <w:p w:rsidR="008E5177" w:rsidP="00C576A5" w14:paraId="244D4A29" w14:textId="77777777">
      <w:pPr>
        <w:pStyle w:val="Heading1"/>
      </w:pPr>
      <w:r>
        <w:t>DISCUSSION</w:t>
      </w:r>
    </w:p>
    <w:p w:rsidR="008E5177" w:rsidP="00C576A5" w14:paraId="05B604C5" w14:textId="77777777">
      <w:pPr>
        <w:pStyle w:val="ParaNum"/>
      </w:pPr>
      <w:r>
        <w:t>Generally, the Commission’s rules may be waived if good cause is shown.</w:t>
      </w:r>
      <w:r>
        <w:rPr>
          <w:rStyle w:val="FootnoteReference"/>
          <w:szCs w:val="22"/>
        </w:rPr>
        <w:footnoteReference w:id="13"/>
      </w:r>
      <w:r>
        <w:t xml:space="preserve">  The Commission may exercise its discretion to waive a rule where the particular facts make strict compliance inconsistent with the public interest.</w:t>
      </w:r>
      <w:r>
        <w:rPr>
          <w:rStyle w:val="FootnoteReference"/>
          <w:szCs w:val="22"/>
        </w:rPr>
        <w:footnoteReference w:id="14"/>
      </w:r>
      <w:r>
        <w:t xml:space="preserve">  In addition, the Commission may take </w:t>
      </w:r>
      <w:bookmarkStart w:id="6" w:name="_GoBack"/>
      <w:bookmarkEnd w:id="6"/>
      <w:r>
        <w:t>into account considerations of hardship, equity, or more effective implementation of overall policy on an individual basis.</w:t>
      </w:r>
      <w:r>
        <w:rPr>
          <w:rStyle w:val="FootnoteReference"/>
          <w:szCs w:val="22"/>
        </w:rPr>
        <w:footnoteReference w:id="15"/>
      </w:r>
      <w:r>
        <w:t xml:space="preserve"> </w:t>
      </w:r>
      <w:r>
        <w:rPr>
          <w:i/>
        </w:rPr>
        <w:t xml:space="preserve"> </w:t>
      </w:r>
      <w:r>
        <w:t>Waiver of the Commission’s rules is appropriate only if both: (1) special circumstances warrant a deviation from the general rule; and (2) such deviation will serve the public interest.</w:t>
      </w:r>
      <w:r>
        <w:rPr>
          <w:rStyle w:val="FootnoteReference"/>
          <w:szCs w:val="22"/>
        </w:rPr>
        <w:footnoteReference w:id="16"/>
      </w:r>
      <w:r>
        <w:t xml:space="preserve">  </w:t>
      </w:r>
    </w:p>
    <w:p w:rsidR="008E5177" w:rsidP="00C576A5" w14:paraId="17F48272" w14:textId="77777777">
      <w:pPr>
        <w:pStyle w:val="ParaNum"/>
      </w:pPr>
      <w:r>
        <w:t>Based on the record and consistent with precedent, w</w:t>
      </w:r>
      <w:r w:rsidRPr="0090408E">
        <w:t>e grant one reque</w:t>
      </w:r>
      <w:r>
        <w:t xml:space="preserve">st for review and waiver </w:t>
      </w:r>
      <w:r w:rsidRPr="0090408E">
        <w:t>where the petitioner</w:t>
      </w:r>
      <w:r>
        <w:t>, Indiana Telehealth Network,</w:t>
      </w:r>
      <w:r w:rsidRPr="0090408E">
        <w:t xml:space="preserve"> </w:t>
      </w:r>
      <w:r>
        <w:t xml:space="preserve">demonstrated that it </w:t>
      </w:r>
      <w:r w:rsidRPr="0090408E">
        <w:t xml:space="preserve">was unable to file the </w:t>
      </w:r>
      <w:r>
        <w:t xml:space="preserve">Healthcare Connect Fund </w:t>
      </w:r>
      <w:r w:rsidRPr="0090408E">
        <w:t>invoice form on a timely basis due to a USAC technical system issue</w:t>
      </w:r>
      <w:r>
        <w:t xml:space="preserve"> that </w:t>
      </w:r>
      <w:r w:rsidRPr="0090408E">
        <w:t xml:space="preserve">prevented </w:t>
      </w:r>
      <w:r>
        <w:t>the filing of the</w:t>
      </w:r>
      <w:r w:rsidRPr="0090408E">
        <w:t xml:space="preserve"> invoice form.</w:t>
      </w:r>
      <w:r>
        <w:rPr>
          <w:rStyle w:val="FootnoteReference"/>
        </w:rPr>
        <w:footnoteReference w:id="17"/>
      </w:r>
      <w:r>
        <w:t xml:space="preserve">  </w:t>
      </w:r>
      <w:r w:rsidRPr="0090408E">
        <w:t xml:space="preserve">We </w:t>
      </w:r>
      <w:r>
        <w:t xml:space="preserve">deny, however, </w:t>
      </w:r>
      <w:r w:rsidRPr="00382992">
        <w:rPr>
          <w:rStyle w:val="StyleNumberedparagraphs11ptChar"/>
          <w:szCs w:val="22"/>
        </w:rPr>
        <w:t>six requests for waiver</w:t>
      </w:r>
      <w:r>
        <w:rPr>
          <w:rStyle w:val="StyleNumberedparagraphs11ptChar"/>
          <w:szCs w:val="22"/>
        </w:rPr>
        <w:t xml:space="preserve"> for which the petitioners failed to present </w:t>
      </w:r>
      <w:r>
        <w:t>compelling explanations for their delay in seeking reimbursement.</w:t>
      </w:r>
      <w:r>
        <w:rPr>
          <w:rStyle w:val="FootnoteReference"/>
        </w:rPr>
        <w:footnoteReference w:id="18"/>
      </w:r>
      <w:r>
        <w:t xml:space="preserve">  The </w:t>
      </w:r>
      <w:r>
        <w:t xml:space="preserve">petitioners indicate that they missed the invoice deadline </w:t>
      </w:r>
      <w:r w:rsidRPr="00DF629F">
        <w:t>due to</w:t>
      </w:r>
      <w:r>
        <w:t>:</w:t>
      </w:r>
      <w:r w:rsidRPr="00DF629F">
        <w:t xml:space="preserve"> </w:t>
      </w:r>
      <w:r>
        <w:t xml:space="preserve">the need to process FCC Forms 463 for </w:t>
      </w:r>
      <w:r w:rsidRPr="00DF629F">
        <w:t>an influx of funding commitment approvals</w:t>
      </w:r>
      <w:r>
        <w:t xml:space="preserve"> or revised funding year 2017 commitments due to the </w:t>
      </w:r>
      <w:r w:rsidRPr="0005166D">
        <w:t>increase</w:t>
      </w:r>
      <w:r>
        <w:t xml:space="preserve"> in the program funding cap;</w:t>
      </w:r>
      <w:r>
        <w:rPr>
          <w:rStyle w:val="FootnoteReference"/>
        </w:rPr>
        <w:footnoteReference w:id="19"/>
      </w:r>
      <w:r w:rsidRPr="00DF629F">
        <w:t xml:space="preserve"> </w:t>
      </w:r>
      <w:r>
        <w:t>difficulty in determining the invoice deadline based on the information provided on USAC’s filing system;</w:t>
      </w:r>
      <w:r>
        <w:rPr>
          <w:rStyle w:val="FootnoteReference"/>
        </w:rPr>
        <w:footnoteReference w:id="20"/>
      </w:r>
      <w:r>
        <w:t xml:space="preserve"> personnel changes;</w:t>
      </w:r>
      <w:r>
        <w:rPr>
          <w:rStyle w:val="FootnoteReference"/>
        </w:rPr>
        <w:footnoteReference w:id="21"/>
      </w:r>
      <w:r>
        <w:t xml:space="preserve"> time required for service providers to respond to numerous questions and concerns from health care provider customers;</w:t>
      </w:r>
      <w:r>
        <w:rPr>
          <w:rStyle w:val="FootnoteReference"/>
        </w:rPr>
        <w:footnoteReference w:id="22"/>
      </w:r>
      <w:r>
        <w:t xml:space="preserve"> an unspecified electronic error;</w:t>
      </w:r>
      <w:r>
        <w:rPr>
          <w:rStyle w:val="FootnoteReference"/>
        </w:rPr>
        <w:footnoteReference w:id="23"/>
      </w:r>
      <w:r>
        <w:t xml:space="preserve"> or no reason at all.</w:t>
      </w:r>
      <w:r>
        <w:rPr>
          <w:rStyle w:val="FootnoteReference"/>
        </w:rPr>
        <w:footnoteReference w:id="24"/>
      </w:r>
      <w:r>
        <w:t xml:space="preserve">  </w:t>
      </w:r>
    </w:p>
    <w:p w:rsidR="008E5177" w:rsidRPr="00382992" w:rsidP="00C576A5" w14:paraId="32A1AB1F" w14:textId="77777777">
      <w:pPr>
        <w:pStyle w:val="ParaNum"/>
        <w:widowControl/>
      </w:pPr>
      <w:r>
        <w:t>The Commission and the Wireline Competition Bureau have consistently held that a</w:t>
      </w:r>
      <w:r w:rsidRPr="00382992">
        <w:rPr>
          <w:szCs w:val="22"/>
        </w:rPr>
        <w:t xml:space="preserve">pplicants and </w:t>
      </w:r>
      <w:r>
        <w:rPr>
          <w:szCs w:val="22"/>
        </w:rPr>
        <w:t>service providers</w:t>
      </w:r>
      <w:r w:rsidRPr="00382992">
        <w:rPr>
          <w:szCs w:val="22"/>
        </w:rPr>
        <w:t xml:space="preserve"> are responsible for knowing and following the Commission’s rules, </w:t>
      </w:r>
      <w:r>
        <w:rPr>
          <w:szCs w:val="22"/>
        </w:rPr>
        <w:t xml:space="preserve">including program deadlines, </w:t>
      </w:r>
      <w:r w:rsidRPr="00382992">
        <w:rPr>
          <w:szCs w:val="22"/>
        </w:rPr>
        <w:t xml:space="preserve">and for submitting their </w:t>
      </w:r>
      <w:r>
        <w:rPr>
          <w:szCs w:val="22"/>
        </w:rPr>
        <w:t xml:space="preserve">program </w:t>
      </w:r>
      <w:r w:rsidRPr="00382992">
        <w:rPr>
          <w:szCs w:val="22"/>
        </w:rPr>
        <w:t>filings in a timely manner.</w:t>
      </w:r>
      <w:r>
        <w:rPr>
          <w:rStyle w:val="FootnoteReference"/>
          <w:szCs w:val="22"/>
        </w:rPr>
        <w:footnoteReference w:id="25"/>
      </w:r>
      <w:r w:rsidRPr="00382992">
        <w:rPr>
          <w:szCs w:val="22"/>
          <w:vertAlign w:val="superscript"/>
        </w:rPr>
        <w:t xml:space="preserve"> </w:t>
      </w:r>
      <w:r w:rsidRPr="00382992">
        <w:rPr>
          <w:szCs w:val="22"/>
        </w:rPr>
        <w:t xml:space="preserve"> A delay on the part of an applicant or service provider to certify </w:t>
      </w:r>
      <w:r>
        <w:rPr>
          <w:szCs w:val="22"/>
        </w:rPr>
        <w:t xml:space="preserve">and submit </w:t>
      </w:r>
      <w:r w:rsidRPr="00382992">
        <w:rPr>
          <w:szCs w:val="22"/>
        </w:rPr>
        <w:t xml:space="preserve">the </w:t>
      </w:r>
      <w:r>
        <w:rPr>
          <w:szCs w:val="22"/>
        </w:rPr>
        <w:t xml:space="preserve">FCC Form 463 </w:t>
      </w:r>
      <w:r w:rsidRPr="00382992">
        <w:rPr>
          <w:szCs w:val="22"/>
        </w:rPr>
        <w:t xml:space="preserve">for reasons within their control does not obviate that obligation or </w:t>
      </w:r>
      <w:r>
        <w:rPr>
          <w:szCs w:val="22"/>
        </w:rPr>
        <w:t xml:space="preserve">without more </w:t>
      </w:r>
      <w:r w:rsidRPr="00382992">
        <w:rPr>
          <w:szCs w:val="22"/>
        </w:rPr>
        <w:t>justify a waiver of the Commission’s rules.</w:t>
      </w:r>
      <w:r w:rsidRPr="00382992">
        <w:rPr>
          <w:szCs w:val="22"/>
          <w:vertAlign w:val="superscript"/>
        </w:rPr>
        <w:t xml:space="preserve"> </w:t>
      </w:r>
      <w:r w:rsidRPr="00382992">
        <w:rPr>
          <w:szCs w:val="22"/>
        </w:rPr>
        <w:t xml:space="preserve"> </w:t>
      </w:r>
      <w:r>
        <w:rPr>
          <w:szCs w:val="22"/>
        </w:rPr>
        <w:t>In each case where we are denying the waiver request, we find that  the FCC Form 463 was not submitted by the deadline due circumstances within the applicant or service provider’s control.</w:t>
      </w:r>
      <w:r>
        <w:rPr>
          <w:rStyle w:val="FootnoteReference"/>
          <w:szCs w:val="22"/>
        </w:rPr>
        <w:footnoteReference w:id="26"/>
      </w:r>
      <w:r>
        <w:rPr>
          <w:szCs w:val="22"/>
        </w:rPr>
        <w:t xml:space="preserve">  </w:t>
      </w:r>
      <w:r w:rsidRPr="00382992">
        <w:rPr>
          <w:szCs w:val="22"/>
        </w:rPr>
        <w:t xml:space="preserve">In order for the </w:t>
      </w:r>
      <w:r>
        <w:rPr>
          <w:szCs w:val="22"/>
        </w:rPr>
        <w:t xml:space="preserve">Healthcare Connect Fund </w:t>
      </w:r>
      <w:r w:rsidRPr="00382992">
        <w:rPr>
          <w:szCs w:val="22"/>
        </w:rPr>
        <w:t xml:space="preserve">to work efficiently, applicants and </w:t>
      </w:r>
      <w:r>
        <w:rPr>
          <w:szCs w:val="22"/>
        </w:rPr>
        <w:t>service providers</w:t>
      </w:r>
      <w:r w:rsidRPr="00382992">
        <w:rPr>
          <w:szCs w:val="22"/>
        </w:rPr>
        <w:t xml:space="preserve"> must assume responsibility for timely submissions and for the action or inaction of their employees, consultants and other representatives.</w:t>
      </w:r>
      <w:r>
        <w:rPr>
          <w:rStyle w:val="FootnoteReference"/>
          <w:szCs w:val="22"/>
        </w:rPr>
        <w:footnoteReference w:id="27"/>
      </w:r>
      <w:r>
        <w:rPr>
          <w:szCs w:val="22"/>
        </w:rPr>
        <w:t xml:space="preserve">  </w:t>
      </w:r>
      <w:r w:rsidRPr="00382992">
        <w:rPr>
          <w:szCs w:val="22"/>
        </w:rPr>
        <w:t>We find</w:t>
      </w:r>
      <w:r>
        <w:rPr>
          <w:szCs w:val="22"/>
        </w:rPr>
        <w:t xml:space="preserve">, therefore, that the six </w:t>
      </w:r>
      <w:r w:rsidRPr="00382992">
        <w:rPr>
          <w:szCs w:val="22"/>
        </w:rPr>
        <w:t>petitioners</w:t>
      </w:r>
      <w:r>
        <w:rPr>
          <w:szCs w:val="22"/>
        </w:rPr>
        <w:t xml:space="preserve"> identified in Appendix B</w:t>
      </w:r>
      <w:r w:rsidRPr="00382992">
        <w:rPr>
          <w:szCs w:val="22"/>
        </w:rPr>
        <w:t xml:space="preserve"> have not </w:t>
      </w:r>
      <w:r w:rsidRPr="00382992">
        <w:rPr>
          <w:szCs w:val="22"/>
        </w:rPr>
        <w:t xml:space="preserve">demonstrated special circumstances to justify a </w:t>
      </w:r>
      <w:r>
        <w:rPr>
          <w:szCs w:val="22"/>
        </w:rPr>
        <w:t xml:space="preserve">waiver </w:t>
      </w:r>
      <w:r w:rsidRPr="00382992">
        <w:rPr>
          <w:szCs w:val="22"/>
        </w:rPr>
        <w:t xml:space="preserve">finding that it would be in the public interest to allow an extension </w:t>
      </w:r>
      <w:r>
        <w:rPr>
          <w:szCs w:val="22"/>
        </w:rPr>
        <w:t xml:space="preserve">of time </w:t>
      </w:r>
      <w:r w:rsidRPr="00382992">
        <w:rPr>
          <w:szCs w:val="22"/>
        </w:rPr>
        <w:t xml:space="preserve">to file invoices after the relevant deadline.  </w:t>
      </w:r>
    </w:p>
    <w:bookmarkEnd w:id="0"/>
    <w:bookmarkEnd w:id="1"/>
    <w:p w:rsidR="008E5177" w:rsidRPr="00084F01" w:rsidP="00C576A5" w14:paraId="37C7FBE6" w14:textId="77777777">
      <w:pPr>
        <w:pStyle w:val="Heading1"/>
      </w:pPr>
      <w:r>
        <w:t>ordering Clauses</w:t>
      </w:r>
    </w:p>
    <w:p w:rsidR="008E5177" w:rsidRPr="00D46F34" w:rsidP="00C576A5" w14:paraId="341611DA" w14:textId="77777777">
      <w:pPr>
        <w:pStyle w:val="ParaNum"/>
        <w:rPr>
          <w:szCs w:val="22"/>
        </w:rPr>
      </w:pPr>
      <w:r w:rsidRPr="00DB7629">
        <w:rPr>
          <w:rStyle w:val="StyleNumberedparagraphs11ptChar"/>
          <w:szCs w:val="22"/>
        </w:rPr>
        <w:t xml:space="preserve">ACCORDINGLY, IT IS ORDERED, </w:t>
      </w:r>
      <w:r w:rsidRPr="00DB7629">
        <w:t xml:space="preserve">pursuant to the authority contained in sections 1-4 and 254 of the Communications Act of 1934, as amended, 47 U.S.C. §§ 151-154 and 254, and sections 0.91, 0.291, 1.3 and 54.722(a) </w:t>
      </w:r>
      <w:r>
        <w:t>of the Commission’s rules, 47 CF</w:t>
      </w:r>
      <w:r w:rsidRPr="00DB7629">
        <w:t>R</w:t>
      </w:r>
      <w:r>
        <w:t xml:space="preserve"> </w:t>
      </w:r>
      <w:r w:rsidRPr="00DB7629">
        <w:t>§§ 0.91, 0.291,</w:t>
      </w:r>
      <w:r>
        <w:t xml:space="preserve"> 1.3 and 54.722(a), the Request</w:t>
      </w:r>
      <w:r w:rsidRPr="00DB7629">
        <w:t xml:space="preserve"> for Review </w:t>
      </w:r>
      <w:r>
        <w:t xml:space="preserve">and Waiver </w:t>
      </w:r>
      <w:r w:rsidRPr="00DB7629">
        <w:t xml:space="preserve">filed by </w:t>
      </w:r>
      <w:r>
        <w:t>the Petitioner in Appendix A is GRANTED</w:t>
      </w:r>
      <w:r w:rsidRPr="00DB7629">
        <w:t>.</w:t>
      </w:r>
    </w:p>
    <w:p w:rsidR="008E5177" w:rsidP="00C576A5" w14:paraId="18393758" w14:textId="77777777">
      <w:pPr>
        <w:pStyle w:val="ParaNum"/>
        <w:rPr>
          <w:szCs w:val="22"/>
        </w:rPr>
      </w:pPr>
      <w:r w:rsidRPr="00103F7D">
        <w:rPr>
          <w:szCs w:val="22"/>
        </w:rPr>
        <w:t xml:space="preserve">IT IS FURTHER ORDERED, pursuant to the authority contained in sections 1-4 and 254 of the Communications Act of 1934, as amended, 47 U.S.C. §§ 151-154 and 254, and sections 0.91, 0.291, 1.3 and 54.722(a) </w:t>
      </w:r>
      <w:r>
        <w:rPr>
          <w:szCs w:val="22"/>
        </w:rPr>
        <w:t>of the Commission’s rules, 47 CF</w:t>
      </w:r>
      <w:r w:rsidRPr="00103F7D">
        <w:rPr>
          <w:szCs w:val="22"/>
        </w:rPr>
        <w:t>R</w:t>
      </w:r>
      <w:r>
        <w:rPr>
          <w:szCs w:val="22"/>
        </w:rPr>
        <w:t xml:space="preserve"> </w:t>
      </w:r>
      <w:r w:rsidRPr="00103F7D">
        <w:rPr>
          <w:szCs w:val="22"/>
        </w:rPr>
        <w:t xml:space="preserve">§§ 0.91, 0.291, 1.3 and 54.722(a), that section 54.645(b) </w:t>
      </w:r>
      <w:r>
        <w:rPr>
          <w:szCs w:val="22"/>
        </w:rPr>
        <w:t>of the Commission’s rules, 47 CF</w:t>
      </w:r>
      <w:r w:rsidRPr="00103F7D">
        <w:rPr>
          <w:szCs w:val="22"/>
        </w:rPr>
        <w:t>R</w:t>
      </w:r>
      <w:r>
        <w:rPr>
          <w:szCs w:val="22"/>
        </w:rPr>
        <w:t xml:space="preserve"> </w:t>
      </w:r>
      <w:r w:rsidRPr="00103F7D">
        <w:rPr>
          <w:szCs w:val="22"/>
        </w:rPr>
        <w:t>§ 54.645(b), IS WAIVED to the limited extent provided herein.</w:t>
      </w:r>
    </w:p>
    <w:p w:rsidR="008E5177" w:rsidRPr="00D50383" w:rsidP="00C576A5" w14:paraId="19FA67D8" w14:textId="77777777">
      <w:pPr>
        <w:pStyle w:val="ParaNum"/>
        <w:rPr>
          <w:szCs w:val="22"/>
        </w:rPr>
      </w:pPr>
      <w:r w:rsidRPr="00DB7629">
        <w:rPr>
          <w:rStyle w:val="StyleNumberedparagraphs11ptChar"/>
          <w:szCs w:val="22"/>
        </w:rPr>
        <w:t xml:space="preserve">IT IS </w:t>
      </w:r>
      <w:r>
        <w:rPr>
          <w:rStyle w:val="StyleNumberedparagraphs11ptChar"/>
          <w:szCs w:val="22"/>
        </w:rPr>
        <w:t xml:space="preserve">FURTHER </w:t>
      </w:r>
      <w:r w:rsidRPr="00DB7629">
        <w:rPr>
          <w:rStyle w:val="StyleNumberedparagraphs11ptChar"/>
          <w:szCs w:val="22"/>
        </w:rPr>
        <w:t xml:space="preserve">ORDERED, </w:t>
      </w:r>
      <w:r w:rsidRPr="00DB7629">
        <w:t>pursuant to the authority contained in sections 1-4 and 254 of the Communications Act of 1934, as amended, 47 U.S.C. §§ 151-154 and 254, and sections 0.91, 0.291, 1.3 and 54.722(a) of</w:t>
      </w:r>
      <w:r>
        <w:t xml:space="preserve"> the Commission’s rules, 47 CFR </w:t>
      </w:r>
      <w:r w:rsidRPr="00DB7629">
        <w:t>§§ 0.91, 0.291, 1.3 and 54.</w:t>
      </w:r>
      <w:r>
        <w:t xml:space="preserve">722(a), the Requests for Waiver </w:t>
      </w:r>
      <w:r w:rsidRPr="00DB7629">
        <w:t xml:space="preserve">filed by </w:t>
      </w:r>
      <w:r>
        <w:t>Petitioners in Appendix B are DENI</w:t>
      </w:r>
      <w:r w:rsidRPr="00DB7629">
        <w:t>ED.</w:t>
      </w:r>
    </w:p>
    <w:p w:rsidR="008E5177" w:rsidRPr="009371CF" w:rsidP="00C576A5" w14:paraId="4806DE39" w14:textId="77777777">
      <w:pPr>
        <w:pStyle w:val="ParaNum"/>
        <w:rPr>
          <w:szCs w:val="22"/>
        </w:rPr>
      </w:pPr>
      <w:r w:rsidRPr="00D50383">
        <w:rPr>
          <w:szCs w:val="22"/>
        </w:rPr>
        <w:t>IT IS FURTHER ORDERED that, pursuant to Section 1.102(b)(1) of the Commission’s rules, 47 CFR § 1.102(b)(1), this Order SHALL BE EFFECTIVE upon release.</w:t>
      </w:r>
    </w:p>
    <w:p w:rsidR="008E5177" w:rsidP="008E5177" w14:paraId="78638DDC" w14:textId="77777777">
      <w:pPr>
        <w:keepNext/>
        <w:tabs>
          <w:tab w:val="left" w:pos="-720"/>
        </w:tabs>
        <w:suppressAutoHyphens/>
        <w:ind w:left="4320"/>
        <w:outlineLvl w:val="0"/>
        <w:rPr>
          <w:szCs w:val="22"/>
        </w:rPr>
      </w:pPr>
      <w:r>
        <w:rPr>
          <w:szCs w:val="22"/>
        </w:rPr>
        <w:t>FEDERAL COMMUNICATIONS COMMISSION</w:t>
      </w:r>
    </w:p>
    <w:p w:rsidR="008E5177" w:rsidP="008E5177" w14:paraId="1E46249D" w14:textId="77777777">
      <w:pPr>
        <w:keepNext/>
        <w:tabs>
          <w:tab w:val="left" w:pos="-720"/>
        </w:tabs>
        <w:suppressAutoHyphens/>
        <w:ind w:left="4320"/>
        <w:rPr>
          <w:szCs w:val="22"/>
        </w:rPr>
      </w:pPr>
    </w:p>
    <w:p w:rsidR="008E5177" w:rsidP="008E5177" w14:paraId="03F75FE6" w14:textId="77777777">
      <w:pPr>
        <w:keepNext/>
        <w:keepLines/>
        <w:ind w:left="4320"/>
        <w:outlineLvl w:val="0"/>
        <w:rPr>
          <w:szCs w:val="22"/>
        </w:rPr>
      </w:pPr>
    </w:p>
    <w:p w:rsidR="008E5177" w:rsidP="008E5177" w14:paraId="4426AB42" w14:textId="77777777">
      <w:pPr>
        <w:keepNext/>
        <w:keepLines/>
        <w:ind w:left="3600" w:firstLine="720"/>
        <w:outlineLvl w:val="0"/>
        <w:rPr>
          <w:szCs w:val="22"/>
        </w:rPr>
      </w:pPr>
    </w:p>
    <w:p w:rsidR="008E5177" w:rsidP="008E5177" w14:paraId="1A84DF5E" w14:textId="77777777">
      <w:pPr>
        <w:keepNext/>
        <w:keepLines/>
        <w:ind w:left="3600" w:firstLine="720"/>
        <w:outlineLvl w:val="0"/>
        <w:rPr>
          <w:szCs w:val="22"/>
        </w:rPr>
      </w:pPr>
    </w:p>
    <w:p w:rsidR="008E5177" w:rsidP="008E5177" w14:paraId="7679CB33" w14:textId="77777777">
      <w:pPr>
        <w:keepNext/>
        <w:keepLines/>
        <w:ind w:left="3600" w:firstLine="720"/>
        <w:outlineLvl w:val="0"/>
        <w:rPr>
          <w:szCs w:val="22"/>
        </w:rPr>
      </w:pPr>
      <w:r>
        <w:rPr>
          <w:szCs w:val="22"/>
        </w:rPr>
        <w:t>Ryan B. Palmer</w:t>
      </w:r>
    </w:p>
    <w:p w:rsidR="008E5177" w:rsidP="008E5177" w14:paraId="39754A41" w14:textId="77777777">
      <w:pPr>
        <w:keepNext/>
        <w:keepLines/>
        <w:ind w:left="3600" w:firstLine="720"/>
        <w:outlineLvl w:val="0"/>
        <w:rPr>
          <w:szCs w:val="22"/>
        </w:rPr>
      </w:pPr>
      <w:r>
        <w:rPr>
          <w:szCs w:val="22"/>
        </w:rPr>
        <w:t>Chief</w:t>
      </w:r>
    </w:p>
    <w:p w:rsidR="008E5177" w:rsidP="008E5177" w14:paraId="63AE7AA6" w14:textId="77777777">
      <w:pPr>
        <w:keepNext/>
        <w:keepLines/>
        <w:ind w:left="4320"/>
        <w:outlineLvl w:val="0"/>
        <w:rPr>
          <w:szCs w:val="22"/>
        </w:rPr>
      </w:pPr>
      <w:r>
        <w:rPr>
          <w:szCs w:val="22"/>
        </w:rPr>
        <w:t>Telecommunications Access Policy Division</w:t>
      </w:r>
    </w:p>
    <w:p w:rsidR="008E5177" w:rsidP="008E5177" w14:paraId="37A426BE" w14:textId="77777777">
      <w:pPr>
        <w:keepNext/>
        <w:keepLines/>
        <w:ind w:left="4320"/>
        <w:outlineLvl w:val="0"/>
        <w:rPr>
          <w:szCs w:val="22"/>
        </w:rPr>
      </w:pPr>
      <w:r>
        <w:rPr>
          <w:szCs w:val="22"/>
        </w:rPr>
        <w:t>Wireline Competition Bureau</w:t>
      </w:r>
    </w:p>
    <w:p w:rsidR="00C576A5" w:rsidP="008E5177" w14:paraId="3969A7FD" w14:textId="77777777">
      <w:pPr>
        <w:pStyle w:val="Header"/>
        <w:jc w:val="center"/>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pPr>
    </w:p>
    <w:p w:rsidR="008E5177" w:rsidP="008E5177" w14:paraId="2F6F2B34" w14:textId="45DC8F13">
      <w:pPr>
        <w:pStyle w:val="Header"/>
        <w:jc w:val="center"/>
      </w:pPr>
      <w:r w:rsidRPr="00DC7D4E">
        <w:t>APPENDIX</w:t>
      </w:r>
      <w:r>
        <w:t xml:space="preserve"> A</w:t>
      </w:r>
    </w:p>
    <w:p w:rsidR="008E5177" w:rsidRPr="00AE2201" w:rsidP="008E5177" w14:paraId="56D93E1C" w14:textId="77777777">
      <w:pPr>
        <w:pStyle w:val="Header"/>
        <w:jc w:val="center"/>
      </w:pPr>
    </w:p>
    <w:p w:rsidR="008E5177" w:rsidRPr="00AE2201" w:rsidP="008E5177" w14:paraId="6730984E" w14:textId="77777777">
      <w:pPr>
        <w:pStyle w:val="Header"/>
        <w:jc w:val="center"/>
      </w:pPr>
      <w:r>
        <w:t>Request</w:t>
      </w:r>
      <w:r w:rsidRPr="00AE2201">
        <w:t xml:space="preserve"> for Review and Waiver Granted</w:t>
      </w:r>
    </w:p>
    <w:p w:rsidR="008E5177" w:rsidRPr="00DC7D4E" w:rsidP="008E5177" w14:paraId="4E4FC3E6" w14:textId="77777777">
      <w:pPr>
        <w:keepNext/>
        <w:keepLines/>
        <w:jc w:val="center"/>
        <w:outlineLvl w:val="0"/>
        <w:rPr>
          <w:b/>
          <w:szCs w:val="22"/>
        </w:rPr>
      </w:pPr>
    </w:p>
    <w:tbl>
      <w:tblPr>
        <w:tblW w:w="10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30"/>
        <w:gridCol w:w="1980"/>
        <w:gridCol w:w="1350"/>
        <w:gridCol w:w="3235"/>
      </w:tblGrid>
      <w:tr w14:paraId="6B9FD231" w14:textId="77777777" w:rsidTr="00271C12">
        <w:tblPrEx>
          <w:tblW w:w="10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cantSplit/>
          <w:trHeight w:val="377"/>
          <w:tblHeader/>
          <w:jc w:val="center"/>
        </w:trPr>
        <w:tc>
          <w:tcPr>
            <w:tcW w:w="4230" w:type="dxa"/>
          </w:tcPr>
          <w:p w:rsidR="008E5177" w:rsidRPr="00DC7D4E" w:rsidP="00271C12" w14:paraId="651B270B" w14:textId="77777777">
            <w:pPr>
              <w:keepNext/>
              <w:keepLines/>
              <w:jc w:val="center"/>
              <w:outlineLvl w:val="0"/>
              <w:rPr>
                <w:b/>
                <w:szCs w:val="22"/>
              </w:rPr>
            </w:pPr>
            <w:r w:rsidRPr="00DC7D4E">
              <w:rPr>
                <w:b/>
                <w:szCs w:val="22"/>
              </w:rPr>
              <w:t>Petitioner</w:t>
            </w:r>
          </w:p>
        </w:tc>
        <w:tc>
          <w:tcPr>
            <w:tcW w:w="1980" w:type="dxa"/>
          </w:tcPr>
          <w:p w:rsidR="008E5177" w:rsidRPr="00DC7D4E" w:rsidP="00271C12" w14:paraId="5DB5BEB1" w14:textId="77777777">
            <w:pPr>
              <w:keepNext/>
              <w:keepLines/>
              <w:jc w:val="center"/>
              <w:outlineLvl w:val="0"/>
              <w:rPr>
                <w:b/>
                <w:szCs w:val="22"/>
              </w:rPr>
            </w:pPr>
            <w:r>
              <w:rPr>
                <w:b/>
                <w:szCs w:val="22"/>
              </w:rPr>
              <w:t xml:space="preserve">Funding Request </w:t>
            </w:r>
            <w:r w:rsidRPr="00DC7D4E">
              <w:rPr>
                <w:b/>
                <w:szCs w:val="22"/>
              </w:rPr>
              <w:t>Number</w:t>
            </w:r>
          </w:p>
        </w:tc>
        <w:tc>
          <w:tcPr>
            <w:tcW w:w="1350" w:type="dxa"/>
          </w:tcPr>
          <w:p w:rsidR="008E5177" w:rsidRPr="00DC7D4E" w:rsidP="00271C12" w14:paraId="20616325" w14:textId="77777777">
            <w:pPr>
              <w:keepNext/>
              <w:keepLines/>
              <w:jc w:val="center"/>
              <w:outlineLvl w:val="0"/>
              <w:rPr>
                <w:b/>
                <w:szCs w:val="22"/>
              </w:rPr>
            </w:pPr>
            <w:r w:rsidRPr="00DC7D4E">
              <w:rPr>
                <w:b/>
                <w:szCs w:val="22"/>
              </w:rPr>
              <w:t>Funding</w:t>
            </w:r>
          </w:p>
          <w:p w:rsidR="008E5177" w:rsidRPr="00DC7D4E" w:rsidP="00271C12" w14:paraId="532549EC" w14:textId="77777777">
            <w:pPr>
              <w:keepNext/>
              <w:keepLines/>
              <w:jc w:val="center"/>
              <w:outlineLvl w:val="0"/>
              <w:rPr>
                <w:b/>
                <w:szCs w:val="22"/>
              </w:rPr>
            </w:pPr>
            <w:r w:rsidRPr="00DC7D4E">
              <w:rPr>
                <w:b/>
                <w:szCs w:val="22"/>
              </w:rPr>
              <w:t>Year</w:t>
            </w:r>
          </w:p>
        </w:tc>
        <w:tc>
          <w:tcPr>
            <w:tcW w:w="3235" w:type="dxa"/>
          </w:tcPr>
          <w:p w:rsidR="008E5177" w:rsidRPr="00DC7D4E" w:rsidP="00271C12" w14:paraId="5891C783" w14:textId="77777777">
            <w:pPr>
              <w:keepNext/>
              <w:keepLines/>
              <w:jc w:val="center"/>
              <w:outlineLvl w:val="0"/>
              <w:rPr>
                <w:b/>
                <w:szCs w:val="22"/>
              </w:rPr>
            </w:pPr>
            <w:r>
              <w:rPr>
                <w:b/>
                <w:szCs w:val="22"/>
              </w:rPr>
              <w:t xml:space="preserve">Date Request for Review and </w:t>
            </w:r>
            <w:r w:rsidRPr="00DC7D4E">
              <w:rPr>
                <w:b/>
                <w:szCs w:val="22"/>
              </w:rPr>
              <w:t xml:space="preserve">Waiver Filed  </w:t>
            </w:r>
          </w:p>
        </w:tc>
      </w:tr>
      <w:tr w14:paraId="7B0D3364" w14:textId="77777777" w:rsidTr="00271C12">
        <w:tblPrEx>
          <w:tblW w:w="10795" w:type="dxa"/>
          <w:jc w:val="center"/>
          <w:tblLayout w:type="fixed"/>
          <w:tblLook w:val="01E0"/>
        </w:tblPrEx>
        <w:trPr>
          <w:jc w:val="center"/>
        </w:trPr>
        <w:tc>
          <w:tcPr>
            <w:tcW w:w="4230" w:type="dxa"/>
          </w:tcPr>
          <w:p w:rsidR="008E5177" w:rsidP="00271C12" w14:paraId="6D4F8754" w14:textId="77777777">
            <w:pPr>
              <w:keepNext/>
              <w:keepLines/>
              <w:outlineLvl w:val="0"/>
              <w:rPr>
                <w:szCs w:val="22"/>
              </w:rPr>
            </w:pPr>
            <w:r w:rsidRPr="00463DE9">
              <w:rPr>
                <w:szCs w:val="22"/>
              </w:rPr>
              <w:t>Indiana Telehealth Network</w:t>
            </w:r>
          </w:p>
        </w:tc>
        <w:tc>
          <w:tcPr>
            <w:tcW w:w="1980" w:type="dxa"/>
          </w:tcPr>
          <w:p w:rsidR="008E5177" w:rsidP="00271C12" w14:paraId="1F078027" w14:textId="77777777">
            <w:pPr>
              <w:keepNext/>
              <w:keepLines/>
              <w:jc w:val="center"/>
              <w:outlineLvl w:val="0"/>
              <w:rPr>
                <w:szCs w:val="22"/>
              </w:rPr>
            </w:pPr>
            <w:r w:rsidRPr="00463DE9">
              <w:rPr>
                <w:szCs w:val="22"/>
              </w:rPr>
              <w:t>16964351</w:t>
            </w:r>
          </w:p>
        </w:tc>
        <w:tc>
          <w:tcPr>
            <w:tcW w:w="1350" w:type="dxa"/>
          </w:tcPr>
          <w:p w:rsidR="008E5177" w:rsidP="00271C12" w14:paraId="7DCC1B86" w14:textId="77777777">
            <w:pPr>
              <w:keepNext/>
              <w:keepLines/>
              <w:jc w:val="center"/>
              <w:outlineLvl w:val="0"/>
              <w:rPr>
                <w:szCs w:val="22"/>
              </w:rPr>
            </w:pPr>
            <w:r>
              <w:rPr>
                <w:szCs w:val="22"/>
              </w:rPr>
              <w:t>2016</w:t>
            </w:r>
          </w:p>
        </w:tc>
        <w:tc>
          <w:tcPr>
            <w:tcW w:w="3235" w:type="dxa"/>
          </w:tcPr>
          <w:p w:rsidR="008E5177" w:rsidP="00271C12" w14:paraId="1A48EF33" w14:textId="77777777">
            <w:pPr>
              <w:keepNext/>
              <w:keepLines/>
              <w:jc w:val="center"/>
              <w:outlineLvl w:val="0"/>
              <w:rPr>
                <w:szCs w:val="22"/>
              </w:rPr>
            </w:pPr>
            <w:r>
              <w:rPr>
                <w:szCs w:val="22"/>
              </w:rPr>
              <w:t>Sept. 5, 2018</w:t>
            </w:r>
          </w:p>
        </w:tc>
      </w:tr>
    </w:tbl>
    <w:p w:rsidR="008E5177" w:rsidP="008E5177" w14:paraId="4479888D" w14:textId="77777777"/>
    <w:p w:rsidR="008E5177" w:rsidP="008E5177" w14:paraId="05786191" w14:textId="77777777">
      <w:pPr>
        <w:jc w:val="center"/>
        <w:rPr>
          <w:b/>
        </w:rPr>
      </w:pPr>
    </w:p>
    <w:p w:rsidR="008E5177" w:rsidRPr="00710337" w:rsidP="008E5177" w14:paraId="7643B111" w14:textId="77777777">
      <w:pPr>
        <w:jc w:val="center"/>
        <w:rPr>
          <w:b/>
        </w:rPr>
      </w:pPr>
      <w:r w:rsidRPr="00710337">
        <w:rPr>
          <w:b/>
        </w:rPr>
        <w:t>APPENDIX B</w:t>
      </w:r>
    </w:p>
    <w:p w:rsidR="008E5177" w:rsidP="008E5177" w14:paraId="1DECDEA0" w14:textId="77777777"/>
    <w:p w:rsidR="008E5177" w:rsidRPr="000A3DC1" w:rsidP="008E5177" w14:paraId="232566EF" w14:textId="77777777">
      <w:pPr>
        <w:jc w:val="center"/>
      </w:pPr>
      <w:r>
        <w:rPr>
          <w:b/>
        </w:rPr>
        <w:t>Requests for Waiver Deni</w:t>
      </w:r>
      <w:r w:rsidRPr="000A3DC1">
        <w:rPr>
          <w:b/>
        </w:rPr>
        <w:t>ed</w:t>
      </w:r>
    </w:p>
    <w:p w:rsidR="008E5177" w:rsidRPr="000A3DC1" w:rsidP="008E5177" w14:paraId="6CEAAB40" w14:textId="77777777">
      <w:pPr>
        <w:rPr>
          <w:b/>
        </w:rPr>
      </w:pPr>
    </w:p>
    <w:tbl>
      <w:tblPr>
        <w:tblW w:w="10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25"/>
        <w:gridCol w:w="1980"/>
        <w:gridCol w:w="1350"/>
        <w:gridCol w:w="3240"/>
      </w:tblGrid>
      <w:tr w14:paraId="22AAA901" w14:textId="77777777" w:rsidTr="00271C12">
        <w:tblPrEx>
          <w:tblW w:w="10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cantSplit/>
          <w:trHeight w:val="377"/>
          <w:tblHeader/>
          <w:jc w:val="center"/>
        </w:trPr>
        <w:tc>
          <w:tcPr>
            <w:tcW w:w="4225" w:type="dxa"/>
          </w:tcPr>
          <w:p w:rsidR="008E5177" w:rsidRPr="000A3DC1" w:rsidP="00271C12" w14:paraId="01B89A95" w14:textId="77777777">
            <w:pPr>
              <w:jc w:val="center"/>
              <w:rPr>
                <w:b/>
              </w:rPr>
            </w:pPr>
            <w:r w:rsidRPr="000A3DC1">
              <w:rPr>
                <w:b/>
              </w:rPr>
              <w:t>Petitioner</w:t>
            </w:r>
          </w:p>
        </w:tc>
        <w:tc>
          <w:tcPr>
            <w:tcW w:w="1980" w:type="dxa"/>
          </w:tcPr>
          <w:p w:rsidR="008E5177" w:rsidRPr="000A3DC1" w:rsidP="00271C12" w14:paraId="220F0200" w14:textId="77777777">
            <w:pPr>
              <w:jc w:val="center"/>
              <w:rPr>
                <w:b/>
              </w:rPr>
            </w:pPr>
            <w:r w:rsidRPr="008C487C">
              <w:rPr>
                <w:b/>
              </w:rPr>
              <w:t>Funding Request Number(s)</w:t>
            </w:r>
          </w:p>
        </w:tc>
        <w:tc>
          <w:tcPr>
            <w:tcW w:w="1350" w:type="dxa"/>
          </w:tcPr>
          <w:p w:rsidR="008E5177" w:rsidRPr="000A3DC1" w:rsidP="00271C12" w14:paraId="34CC7280" w14:textId="77777777">
            <w:pPr>
              <w:jc w:val="center"/>
              <w:rPr>
                <w:b/>
              </w:rPr>
            </w:pPr>
            <w:r w:rsidRPr="000A3DC1">
              <w:rPr>
                <w:b/>
              </w:rPr>
              <w:t>Funding</w:t>
            </w:r>
          </w:p>
          <w:p w:rsidR="008E5177" w:rsidRPr="000A3DC1" w:rsidP="00271C12" w14:paraId="22516155" w14:textId="77777777">
            <w:pPr>
              <w:jc w:val="center"/>
              <w:rPr>
                <w:b/>
              </w:rPr>
            </w:pPr>
            <w:r w:rsidRPr="000A3DC1">
              <w:rPr>
                <w:b/>
              </w:rPr>
              <w:t>Year(s)</w:t>
            </w:r>
          </w:p>
        </w:tc>
        <w:tc>
          <w:tcPr>
            <w:tcW w:w="3240" w:type="dxa"/>
          </w:tcPr>
          <w:p w:rsidR="008E5177" w:rsidRPr="000A3DC1" w:rsidP="00271C12" w14:paraId="270FC2A3" w14:textId="77777777">
            <w:pPr>
              <w:jc w:val="center"/>
              <w:rPr>
                <w:b/>
              </w:rPr>
            </w:pPr>
            <w:r>
              <w:rPr>
                <w:b/>
              </w:rPr>
              <w:t xml:space="preserve">Date Request for </w:t>
            </w:r>
            <w:r w:rsidRPr="000A3DC1">
              <w:rPr>
                <w:b/>
              </w:rPr>
              <w:t>Waiver Filed</w:t>
            </w:r>
          </w:p>
        </w:tc>
      </w:tr>
      <w:tr w14:paraId="6A9C5108" w14:textId="77777777" w:rsidTr="00271C12">
        <w:tblPrEx>
          <w:tblW w:w="10795" w:type="dxa"/>
          <w:jc w:val="center"/>
          <w:tblLayout w:type="fixed"/>
          <w:tblLook w:val="01E0"/>
        </w:tblPrEx>
        <w:trPr>
          <w:jc w:val="center"/>
        </w:trPr>
        <w:tc>
          <w:tcPr>
            <w:tcW w:w="4225" w:type="dxa"/>
            <w:tcBorders>
              <w:top w:val="single" w:sz="4" w:space="0" w:color="auto"/>
              <w:left w:val="single" w:sz="4" w:space="0" w:color="auto"/>
              <w:bottom w:val="single" w:sz="4" w:space="0" w:color="auto"/>
              <w:right w:val="single" w:sz="4" w:space="0" w:color="auto"/>
            </w:tcBorders>
          </w:tcPr>
          <w:p w:rsidR="008E5177" w:rsidP="00271C12" w14:paraId="08225146" w14:textId="77777777">
            <w:r w:rsidRPr="007F4CFC">
              <w:t xml:space="preserve">Charter Advanced Services </w:t>
            </w:r>
          </w:p>
          <w:p w:rsidR="008E5177" w:rsidRPr="000A3DC1" w:rsidP="00271C12" w14:paraId="2794AFF7" w14:textId="77777777">
            <w:r w:rsidRPr="007F4CFC">
              <w:t>(Yakima Valley Farm Workers Clinic - Mountainview Women’s Health Center</w:t>
            </w:r>
            <w:r>
              <w:t>)</w:t>
            </w:r>
          </w:p>
        </w:tc>
        <w:tc>
          <w:tcPr>
            <w:tcW w:w="1980" w:type="dxa"/>
            <w:tcBorders>
              <w:top w:val="single" w:sz="4" w:space="0" w:color="auto"/>
              <w:left w:val="single" w:sz="4" w:space="0" w:color="auto"/>
              <w:bottom w:val="single" w:sz="4" w:space="0" w:color="auto"/>
              <w:right w:val="single" w:sz="4" w:space="0" w:color="auto"/>
            </w:tcBorders>
          </w:tcPr>
          <w:p w:rsidR="008E5177" w:rsidRPr="000A3DC1" w:rsidP="00271C12" w14:paraId="0E2F5FCA" w14:textId="77777777">
            <w:pPr>
              <w:jc w:val="center"/>
            </w:pPr>
            <w:r>
              <w:t>16875641</w:t>
            </w:r>
          </w:p>
        </w:tc>
        <w:tc>
          <w:tcPr>
            <w:tcW w:w="1350" w:type="dxa"/>
            <w:tcBorders>
              <w:top w:val="single" w:sz="4" w:space="0" w:color="auto"/>
              <w:left w:val="single" w:sz="4" w:space="0" w:color="auto"/>
              <w:bottom w:val="single" w:sz="4" w:space="0" w:color="auto"/>
              <w:right w:val="single" w:sz="4" w:space="0" w:color="auto"/>
            </w:tcBorders>
          </w:tcPr>
          <w:p w:rsidR="008E5177" w:rsidRPr="000A3DC1" w:rsidP="00271C12" w14:paraId="4A7A7FAE" w14:textId="77777777">
            <w:pPr>
              <w:jc w:val="center"/>
            </w:pPr>
            <w:r>
              <w:t>2016</w:t>
            </w:r>
          </w:p>
        </w:tc>
        <w:tc>
          <w:tcPr>
            <w:tcW w:w="3240" w:type="dxa"/>
            <w:tcBorders>
              <w:top w:val="single" w:sz="4" w:space="0" w:color="auto"/>
              <w:left w:val="single" w:sz="4" w:space="0" w:color="auto"/>
              <w:bottom w:val="single" w:sz="4" w:space="0" w:color="auto"/>
              <w:right w:val="single" w:sz="4" w:space="0" w:color="auto"/>
            </w:tcBorders>
          </w:tcPr>
          <w:p w:rsidR="008E5177" w:rsidRPr="000A3DC1" w:rsidP="00271C12" w14:paraId="588111FF" w14:textId="77777777">
            <w:pPr>
              <w:jc w:val="center"/>
            </w:pPr>
            <w:r>
              <w:t>Sept. 25, 2018</w:t>
            </w:r>
          </w:p>
        </w:tc>
      </w:tr>
      <w:tr w14:paraId="2B921179" w14:textId="77777777" w:rsidTr="00271C12">
        <w:tblPrEx>
          <w:tblW w:w="10795" w:type="dxa"/>
          <w:jc w:val="center"/>
          <w:tblLayout w:type="fixed"/>
          <w:tblLook w:val="01E0"/>
        </w:tblPrEx>
        <w:trPr>
          <w:jc w:val="center"/>
        </w:trPr>
        <w:tc>
          <w:tcPr>
            <w:tcW w:w="4225" w:type="dxa"/>
          </w:tcPr>
          <w:p w:rsidR="008E5177" w:rsidP="00271C12" w14:paraId="09DD813E" w14:textId="77777777">
            <w:r w:rsidRPr="00564004">
              <w:t xml:space="preserve">Charter Communications </w:t>
            </w:r>
          </w:p>
          <w:p w:rsidR="008E5177" w:rsidRPr="000A3DC1" w:rsidP="00271C12" w14:paraId="11B3D921" w14:textId="77777777">
            <w:r w:rsidRPr="00564004">
              <w:t>(Spooner Health System</w:t>
            </w:r>
            <w:r>
              <w:t>)</w:t>
            </w:r>
          </w:p>
        </w:tc>
        <w:tc>
          <w:tcPr>
            <w:tcW w:w="1980" w:type="dxa"/>
          </w:tcPr>
          <w:p w:rsidR="008E5177" w:rsidRPr="000A3DC1" w:rsidP="00271C12" w14:paraId="3B9D83E8" w14:textId="77777777">
            <w:pPr>
              <w:jc w:val="center"/>
            </w:pPr>
            <w:r>
              <w:t>15775081</w:t>
            </w:r>
          </w:p>
        </w:tc>
        <w:tc>
          <w:tcPr>
            <w:tcW w:w="1350" w:type="dxa"/>
          </w:tcPr>
          <w:p w:rsidR="008E5177" w:rsidRPr="000A3DC1" w:rsidP="00271C12" w14:paraId="24DA289C" w14:textId="77777777">
            <w:pPr>
              <w:jc w:val="center"/>
            </w:pPr>
            <w:r>
              <w:t>2015</w:t>
            </w:r>
          </w:p>
        </w:tc>
        <w:tc>
          <w:tcPr>
            <w:tcW w:w="3240" w:type="dxa"/>
          </w:tcPr>
          <w:p w:rsidR="008E5177" w:rsidRPr="000A3DC1" w:rsidP="00271C12" w14:paraId="6054AD88" w14:textId="77777777">
            <w:pPr>
              <w:jc w:val="center"/>
            </w:pPr>
            <w:r>
              <w:t>Mar. 9, 2018</w:t>
            </w:r>
          </w:p>
        </w:tc>
      </w:tr>
      <w:tr w14:paraId="161BFAAD" w14:textId="77777777" w:rsidTr="00271C12">
        <w:tblPrEx>
          <w:tblW w:w="10795" w:type="dxa"/>
          <w:jc w:val="center"/>
          <w:tblLayout w:type="fixed"/>
          <w:tblLook w:val="01E0"/>
        </w:tblPrEx>
        <w:trPr>
          <w:jc w:val="center"/>
        </w:trPr>
        <w:tc>
          <w:tcPr>
            <w:tcW w:w="4225" w:type="dxa"/>
          </w:tcPr>
          <w:p w:rsidR="008E5177" w:rsidP="00271C12" w14:paraId="1DB52B59" w14:textId="77777777">
            <w:r w:rsidRPr="00564004">
              <w:t xml:space="preserve">Charter </w:t>
            </w:r>
            <w:r w:rsidRPr="00564004">
              <w:t>Fiberlink</w:t>
            </w:r>
            <w:r w:rsidRPr="00564004">
              <w:t xml:space="preserve"> CC VIII, LLC </w:t>
            </w:r>
          </w:p>
          <w:p w:rsidR="008E5177" w:rsidRPr="000A3DC1" w:rsidP="00271C12" w14:paraId="4A4CA762" w14:textId="77777777">
            <w:r w:rsidRPr="00564004">
              <w:t>(</w:t>
            </w:r>
            <w:r w:rsidRPr="00564004">
              <w:t>Aspirus</w:t>
            </w:r>
            <w:r w:rsidRPr="00564004">
              <w:t xml:space="preserve"> Clinic</w:t>
            </w:r>
            <w:r>
              <w:t>)</w:t>
            </w:r>
          </w:p>
        </w:tc>
        <w:tc>
          <w:tcPr>
            <w:tcW w:w="1980" w:type="dxa"/>
          </w:tcPr>
          <w:p w:rsidR="008E5177" w:rsidP="00271C12" w14:paraId="79BE4153" w14:textId="77777777">
            <w:pPr>
              <w:jc w:val="center"/>
            </w:pPr>
            <w:r>
              <w:t>15829721 15837421</w:t>
            </w:r>
          </w:p>
          <w:p w:rsidR="008E5177" w:rsidP="00271C12" w14:paraId="12DD0E7B" w14:textId="77777777">
            <w:pPr>
              <w:jc w:val="center"/>
            </w:pPr>
            <w:r>
              <w:t>15837511</w:t>
            </w:r>
          </w:p>
          <w:p w:rsidR="008E5177" w:rsidP="00271C12" w14:paraId="45814BF1" w14:textId="77777777">
            <w:pPr>
              <w:jc w:val="center"/>
            </w:pPr>
            <w:r>
              <w:t>15837711</w:t>
            </w:r>
          </w:p>
          <w:p w:rsidR="008E5177" w:rsidP="00271C12" w14:paraId="0C4B2C6E" w14:textId="77777777">
            <w:pPr>
              <w:jc w:val="center"/>
            </w:pPr>
            <w:r>
              <w:t>15837731</w:t>
            </w:r>
          </w:p>
          <w:p w:rsidR="008E5177" w:rsidP="00271C12" w14:paraId="3AF41D33" w14:textId="77777777">
            <w:pPr>
              <w:jc w:val="center"/>
            </w:pPr>
            <w:r>
              <w:t>15832131</w:t>
            </w:r>
          </w:p>
          <w:p w:rsidR="008E5177" w:rsidP="00271C12" w14:paraId="421111EE" w14:textId="77777777">
            <w:pPr>
              <w:jc w:val="center"/>
            </w:pPr>
            <w:r>
              <w:t>15829601</w:t>
            </w:r>
          </w:p>
          <w:p w:rsidR="008E5177" w:rsidP="00271C12" w14:paraId="23E9C096" w14:textId="77777777">
            <w:pPr>
              <w:jc w:val="center"/>
            </w:pPr>
            <w:r>
              <w:t>15829861</w:t>
            </w:r>
          </w:p>
          <w:p w:rsidR="008E5177" w:rsidRPr="000A3DC1" w:rsidP="00271C12" w14:paraId="598E0E43" w14:textId="77777777">
            <w:pPr>
              <w:jc w:val="center"/>
            </w:pPr>
            <w:r>
              <w:t>15826201</w:t>
            </w:r>
          </w:p>
        </w:tc>
        <w:tc>
          <w:tcPr>
            <w:tcW w:w="1350" w:type="dxa"/>
          </w:tcPr>
          <w:p w:rsidR="008E5177" w:rsidP="00271C12" w14:paraId="39C5FD07" w14:textId="77777777">
            <w:pPr>
              <w:jc w:val="center"/>
            </w:pPr>
            <w:r>
              <w:t>2015</w:t>
            </w:r>
          </w:p>
          <w:p w:rsidR="008E5177" w:rsidP="00271C12" w14:paraId="7B88C377" w14:textId="77777777">
            <w:pPr>
              <w:jc w:val="center"/>
            </w:pPr>
            <w:r w:rsidRPr="00235BA2">
              <w:t>2015</w:t>
            </w:r>
          </w:p>
          <w:p w:rsidR="008E5177" w:rsidP="00271C12" w14:paraId="48BFA8D6" w14:textId="77777777">
            <w:pPr>
              <w:jc w:val="center"/>
            </w:pPr>
            <w:r w:rsidRPr="00235BA2">
              <w:t>2015</w:t>
            </w:r>
          </w:p>
          <w:p w:rsidR="008E5177" w:rsidP="00271C12" w14:paraId="7BBCF646" w14:textId="77777777">
            <w:pPr>
              <w:jc w:val="center"/>
            </w:pPr>
            <w:r w:rsidRPr="00235BA2">
              <w:t>2015</w:t>
            </w:r>
          </w:p>
          <w:p w:rsidR="008E5177" w:rsidP="00271C12" w14:paraId="1B40E826" w14:textId="77777777">
            <w:pPr>
              <w:jc w:val="center"/>
            </w:pPr>
            <w:r w:rsidRPr="00235BA2">
              <w:t>2015</w:t>
            </w:r>
          </w:p>
          <w:p w:rsidR="008E5177" w:rsidP="00271C12" w14:paraId="2416B214" w14:textId="77777777">
            <w:pPr>
              <w:jc w:val="center"/>
            </w:pPr>
            <w:r w:rsidRPr="00235BA2">
              <w:t>2015</w:t>
            </w:r>
          </w:p>
          <w:p w:rsidR="008E5177" w:rsidP="00271C12" w14:paraId="15BA6C8E" w14:textId="77777777">
            <w:pPr>
              <w:jc w:val="center"/>
            </w:pPr>
            <w:r w:rsidRPr="00235BA2">
              <w:t>2015</w:t>
            </w:r>
          </w:p>
          <w:p w:rsidR="008E5177" w:rsidP="00271C12" w14:paraId="2BE33B69" w14:textId="77777777">
            <w:pPr>
              <w:jc w:val="center"/>
            </w:pPr>
            <w:r w:rsidRPr="00235BA2">
              <w:t>2015</w:t>
            </w:r>
          </w:p>
          <w:p w:rsidR="008E5177" w:rsidRPr="000A3DC1" w:rsidP="00271C12" w14:paraId="476AEAFC" w14:textId="77777777">
            <w:pPr>
              <w:jc w:val="center"/>
            </w:pPr>
            <w:r w:rsidRPr="00235BA2">
              <w:t>2015</w:t>
            </w:r>
          </w:p>
        </w:tc>
        <w:tc>
          <w:tcPr>
            <w:tcW w:w="3240" w:type="dxa"/>
          </w:tcPr>
          <w:p w:rsidR="008E5177" w:rsidRPr="000A3DC1" w:rsidP="00271C12" w14:paraId="6BC59618" w14:textId="77777777">
            <w:pPr>
              <w:jc w:val="center"/>
            </w:pPr>
            <w:r>
              <w:t>May 10, 2018</w:t>
            </w:r>
          </w:p>
        </w:tc>
      </w:tr>
      <w:tr w14:paraId="4A693EFC" w14:textId="77777777" w:rsidTr="00271C12">
        <w:tblPrEx>
          <w:tblW w:w="10795" w:type="dxa"/>
          <w:jc w:val="center"/>
          <w:tblLayout w:type="fixed"/>
          <w:tblLook w:val="01E0"/>
        </w:tblPrEx>
        <w:trPr>
          <w:trHeight w:val="665"/>
          <w:jc w:val="center"/>
        </w:trPr>
        <w:tc>
          <w:tcPr>
            <w:tcW w:w="4225" w:type="dxa"/>
          </w:tcPr>
          <w:p w:rsidR="008E5177" w:rsidP="00271C12" w14:paraId="4A6C7E50" w14:textId="77777777">
            <w:r w:rsidRPr="00E11668">
              <w:t xml:space="preserve">Charter </w:t>
            </w:r>
            <w:r w:rsidRPr="00E11668">
              <w:t>Fiberlink</w:t>
            </w:r>
            <w:r w:rsidRPr="00E11668">
              <w:t xml:space="preserve"> CCO, LLC </w:t>
            </w:r>
          </w:p>
          <w:p w:rsidR="008E5177" w:rsidRPr="000A3DC1" w:rsidP="00271C12" w14:paraId="3F369722" w14:textId="77777777">
            <w:r w:rsidRPr="00E11668">
              <w:t>(St. Joseph)</w:t>
            </w:r>
          </w:p>
        </w:tc>
        <w:tc>
          <w:tcPr>
            <w:tcW w:w="1980" w:type="dxa"/>
          </w:tcPr>
          <w:p w:rsidR="008E5177" w:rsidP="00271C12" w14:paraId="2C50C58D" w14:textId="77777777">
            <w:pPr>
              <w:jc w:val="center"/>
            </w:pPr>
            <w:r>
              <w:t>14622131</w:t>
            </w:r>
          </w:p>
          <w:p w:rsidR="008E5177" w:rsidRPr="000A3DC1" w:rsidP="00271C12" w14:paraId="31B76FAA" w14:textId="77777777">
            <w:pPr>
              <w:jc w:val="center"/>
            </w:pPr>
            <w:r>
              <w:t>15768411</w:t>
            </w:r>
          </w:p>
        </w:tc>
        <w:tc>
          <w:tcPr>
            <w:tcW w:w="1350" w:type="dxa"/>
          </w:tcPr>
          <w:p w:rsidR="008E5177" w:rsidP="00271C12" w14:paraId="6543A47F" w14:textId="77777777">
            <w:pPr>
              <w:jc w:val="center"/>
            </w:pPr>
            <w:r>
              <w:t>2014</w:t>
            </w:r>
          </w:p>
          <w:p w:rsidR="008E5177" w:rsidRPr="000A3DC1" w:rsidP="00271C12" w14:paraId="6F0A90DF" w14:textId="77777777">
            <w:pPr>
              <w:jc w:val="center"/>
            </w:pPr>
            <w:r>
              <w:t>2015</w:t>
            </w:r>
          </w:p>
        </w:tc>
        <w:tc>
          <w:tcPr>
            <w:tcW w:w="3240" w:type="dxa"/>
          </w:tcPr>
          <w:p w:rsidR="008E5177" w:rsidRPr="000A3DC1" w:rsidP="00271C12" w14:paraId="0364BB11" w14:textId="77777777">
            <w:pPr>
              <w:jc w:val="center"/>
            </w:pPr>
            <w:r>
              <w:t>Oct. 12, 2018</w:t>
            </w:r>
          </w:p>
        </w:tc>
      </w:tr>
      <w:tr w14:paraId="4295C337" w14:textId="77777777" w:rsidTr="00271C12">
        <w:tblPrEx>
          <w:tblW w:w="10795" w:type="dxa"/>
          <w:jc w:val="center"/>
          <w:tblLayout w:type="fixed"/>
          <w:tblLook w:val="01E0"/>
        </w:tblPrEx>
        <w:trPr>
          <w:jc w:val="center"/>
        </w:trPr>
        <w:tc>
          <w:tcPr>
            <w:tcW w:w="4225" w:type="dxa"/>
          </w:tcPr>
          <w:p w:rsidR="008E5177" w:rsidRPr="001A6BDE" w:rsidP="00271C12" w14:paraId="42A23226" w14:textId="77777777">
            <w:r w:rsidRPr="001A6BDE">
              <w:t>District Health Department No. 10</w:t>
            </w:r>
          </w:p>
        </w:tc>
        <w:tc>
          <w:tcPr>
            <w:tcW w:w="1980" w:type="dxa"/>
          </w:tcPr>
          <w:p w:rsidR="008E5177" w:rsidP="00271C12" w14:paraId="636AA528" w14:textId="77777777">
            <w:pPr>
              <w:jc w:val="center"/>
            </w:pPr>
            <w:r w:rsidRPr="00D833DB">
              <w:t>16977171</w:t>
            </w:r>
          </w:p>
        </w:tc>
        <w:tc>
          <w:tcPr>
            <w:tcW w:w="1350" w:type="dxa"/>
          </w:tcPr>
          <w:p w:rsidR="008E5177" w:rsidP="00271C12" w14:paraId="0D4EE911" w14:textId="77777777">
            <w:pPr>
              <w:jc w:val="center"/>
            </w:pPr>
            <w:r w:rsidRPr="001A5B56">
              <w:t>2016</w:t>
            </w:r>
          </w:p>
        </w:tc>
        <w:tc>
          <w:tcPr>
            <w:tcW w:w="3240" w:type="dxa"/>
          </w:tcPr>
          <w:p w:rsidR="008E5177" w:rsidP="00271C12" w14:paraId="274FFC7B" w14:textId="77777777">
            <w:pPr>
              <w:jc w:val="center"/>
            </w:pPr>
            <w:r w:rsidRPr="0004289B">
              <w:t>Feb. 27, 2018</w:t>
            </w:r>
          </w:p>
        </w:tc>
      </w:tr>
      <w:tr w14:paraId="0B0645A8" w14:textId="77777777" w:rsidTr="00271C12">
        <w:tblPrEx>
          <w:tblW w:w="10795" w:type="dxa"/>
          <w:jc w:val="center"/>
          <w:tblLayout w:type="fixed"/>
          <w:tblLook w:val="01E0"/>
        </w:tblPrEx>
        <w:trPr>
          <w:jc w:val="center"/>
        </w:trPr>
        <w:tc>
          <w:tcPr>
            <w:tcW w:w="4225" w:type="dxa"/>
          </w:tcPr>
          <w:p w:rsidR="008E5177" w:rsidP="00271C12" w14:paraId="066EE83B" w14:textId="77777777">
            <w:r w:rsidRPr="001A6BDE">
              <w:t>Hancock Rural Telephone Corp</w:t>
            </w:r>
            <w:r>
              <w:t>oration</w:t>
            </w:r>
            <w:r w:rsidRPr="007237D7">
              <w:t xml:space="preserve"> d/b/a </w:t>
            </w:r>
            <w:r w:rsidRPr="007237D7">
              <w:t>NineStar</w:t>
            </w:r>
            <w:r w:rsidRPr="007237D7">
              <w:t xml:space="preserve"> Connect</w:t>
            </w:r>
          </w:p>
          <w:p w:rsidR="008E5177" w:rsidRPr="001A6BDE" w:rsidP="00271C12" w14:paraId="67CFCB57" w14:textId="77777777">
            <w:r>
              <w:t>(</w:t>
            </w:r>
            <w:r w:rsidRPr="007237D7">
              <w:t>Indiana Telehealth Network</w:t>
            </w:r>
            <w:r>
              <w:t>)</w:t>
            </w:r>
          </w:p>
        </w:tc>
        <w:tc>
          <w:tcPr>
            <w:tcW w:w="1980" w:type="dxa"/>
          </w:tcPr>
          <w:p w:rsidR="008E5177" w:rsidP="00271C12" w14:paraId="29B8B361" w14:textId="77777777">
            <w:pPr>
              <w:jc w:val="center"/>
            </w:pPr>
            <w:r w:rsidRPr="007237D7">
              <w:t>14642481</w:t>
            </w:r>
          </w:p>
        </w:tc>
        <w:tc>
          <w:tcPr>
            <w:tcW w:w="1350" w:type="dxa"/>
          </w:tcPr>
          <w:p w:rsidR="008E5177" w:rsidP="00271C12" w14:paraId="2DC663DC" w14:textId="77777777">
            <w:pPr>
              <w:jc w:val="center"/>
            </w:pPr>
            <w:r>
              <w:t>2014</w:t>
            </w:r>
          </w:p>
        </w:tc>
        <w:tc>
          <w:tcPr>
            <w:tcW w:w="3240" w:type="dxa"/>
          </w:tcPr>
          <w:p w:rsidR="008E5177" w:rsidP="00271C12" w14:paraId="2EF1BDAC" w14:textId="77777777">
            <w:pPr>
              <w:jc w:val="center"/>
            </w:pPr>
            <w:r>
              <w:t>Feb. 20</w:t>
            </w:r>
            <w:r w:rsidRPr="001A6BDE">
              <w:t>, 2018</w:t>
            </w:r>
          </w:p>
        </w:tc>
      </w:tr>
    </w:tbl>
    <w:p w:rsidR="008E5177" w:rsidP="008E5177" w14:paraId="0AAAED2A" w14:textId="77777777"/>
    <w:p w:rsidR="008E5177" w:rsidP="008E5177" w14:paraId="5A592166" w14:textId="77777777"/>
    <w:sectPr w:rsidSect="00C576A5">
      <w:footerReference w:type="default" r:id="rId10"/>
      <w:endnotePr>
        <w:numFmt w:val="decimal"/>
      </w:endnotePr>
      <w:pgSz w:w="12240" w:h="15840"/>
      <w:pgMar w:top="1440" w:right="1440" w:bottom="72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0AE02D3C"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55341AA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05BCE1E5"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3A32BB60"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75C98D4E" w14:textId="77777777">
    <w:pPr>
      <w:pStyle w:val="Footer"/>
      <w:tabs>
        <w:tab w:val="clear" w:pos="864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576A5" w14:paraId="0DF31C70"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E5177" w14:paraId="45A8756B" w14:textId="77777777">
      <w:r>
        <w:separator/>
      </w:r>
    </w:p>
  </w:footnote>
  <w:footnote w:type="continuationSeparator" w:id="1">
    <w:p w:rsidR="008E5177" w:rsidP="00C721AC" w14:paraId="178C94AB" w14:textId="77777777">
      <w:pPr>
        <w:spacing w:before="120"/>
        <w:rPr>
          <w:sz w:val="20"/>
        </w:rPr>
      </w:pPr>
      <w:r>
        <w:rPr>
          <w:sz w:val="20"/>
        </w:rPr>
        <w:t xml:space="preserve">(Continued from previous page)  </w:t>
      </w:r>
      <w:r>
        <w:rPr>
          <w:sz w:val="20"/>
        </w:rPr>
        <w:separator/>
      </w:r>
    </w:p>
  </w:footnote>
  <w:footnote w:type="continuationNotice" w:id="2">
    <w:p w:rsidR="008E5177" w:rsidP="00C721AC" w14:paraId="5BA15345" w14:textId="77777777">
      <w:pPr>
        <w:jc w:val="right"/>
        <w:rPr>
          <w:sz w:val="20"/>
        </w:rPr>
      </w:pPr>
      <w:r>
        <w:rPr>
          <w:sz w:val="20"/>
        </w:rPr>
        <w:t>(continued….)</w:t>
      </w:r>
    </w:p>
  </w:footnote>
  <w:footnote w:id="3">
    <w:p w:rsidR="008E5177" w:rsidP="008E5177" w14:paraId="23F6F5A5" w14:textId="77777777">
      <w:pPr>
        <w:pStyle w:val="FootnoteText"/>
      </w:pPr>
      <w:r>
        <w:rPr>
          <w:rStyle w:val="FootnoteReference"/>
        </w:rPr>
        <w:footnoteRef/>
      </w:r>
      <w:r>
        <w:t xml:space="preserve"> </w:t>
      </w:r>
      <w:r w:rsidRPr="002C382B">
        <w:rPr>
          <w:i/>
        </w:rPr>
        <w:t xml:space="preserve">See </w:t>
      </w:r>
      <w:r>
        <w:t xml:space="preserve">Appendices A-B.  </w:t>
      </w:r>
      <w:r w:rsidRPr="00827D99">
        <w:t>Section 54.719(c) of the Commission’s rules provides that any person aggrieved by an action taken by a division of USAC may seek r</w:t>
      </w:r>
      <w:r>
        <w:t>eview from the Commission. 47 CF</w:t>
      </w:r>
      <w:r w:rsidRPr="00827D99">
        <w:t>R</w:t>
      </w:r>
      <w:r>
        <w:t xml:space="preserve"> </w:t>
      </w:r>
      <w:r w:rsidRPr="00827D99">
        <w:t>§ 54.719(c).</w:t>
      </w:r>
    </w:p>
  </w:footnote>
  <w:footnote w:id="4">
    <w:p w:rsidR="008E5177" w:rsidP="008E5177" w14:paraId="543A8532" w14:textId="77777777">
      <w:pPr>
        <w:pStyle w:val="FootnoteText"/>
      </w:pPr>
      <w:r>
        <w:rPr>
          <w:rStyle w:val="FootnoteReference"/>
        </w:rPr>
        <w:footnoteRef/>
      </w:r>
      <w:r>
        <w:t xml:space="preserve"> </w:t>
      </w:r>
      <w:r w:rsidRPr="00F44AC5">
        <w:rPr>
          <w:i/>
        </w:rPr>
        <w:t>See</w:t>
      </w:r>
      <w:r>
        <w:t xml:space="preserve"> </w:t>
      </w:r>
      <w:r w:rsidRPr="00F44AC5">
        <w:t>47 CFR § 54.645(b)</w:t>
      </w:r>
      <w:r>
        <w:t xml:space="preserve">; </w:t>
      </w:r>
      <w:r w:rsidRPr="00F44AC5">
        <w:rPr>
          <w:i/>
        </w:rPr>
        <w:t>Rural Health Care Support Mechanism</w:t>
      </w:r>
      <w:r w:rsidRPr="00F44AC5">
        <w:t>, WC Docket No. 02-60, Report and Order, 27 FCC Rcd 16678, 16804, para. 305 (2012) (</w:t>
      </w:r>
      <w:bookmarkStart w:id="2" w:name="_Hlk529530098"/>
      <w:r w:rsidRPr="00F44AC5">
        <w:rPr>
          <w:i/>
        </w:rPr>
        <w:t>Healthcare Connect Fund Order</w:t>
      </w:r>
      <w:bookmarkEnd w:id="2"/>
      <w:r>
        <w:t>).</w:t>
      </w:r>
    </w:p>
  </w:footnote>
  <w:footnote w:id="5">
    <w:p w:rsidR="008E5177" w:rsidRPr="0081200C" w:rsidP="008E5177" w14:paraId="6414A93A" w14:textId="77777777">
      <w:pPr>
        <w:pStyle w:val="FootnoteText"/>
      </w:pPr>
      <w:r>
        <w:rPr>
          <w:rStyle w:val="FootnoteReference"/>
        </w:rPr>
        <w:footnoteRef/>
      </w:r>
      <w:r>
        <w:t xml:space="preserve"> </w:t>
      </w:r>
      <w:r>
        <w:rPr>
          <w:i/>
        </w:rPr>
        <w:t xml:space="preserve">See </w:t>
      </w:r>
      <w:r>
        <w:t>Appendices A-B.</w:t>
      </w:r>
    </w:p>
  </w:footnote>
  <w:footnote w:id="6">
    <w:p w:rsidR="008E5177" w:rsidP="008E5177" w14:paraId="07ACFCA7" w14:textId="77777777">
      <w:pPr>
        <w:pStyle w:val="FootnoteText"/>
      </w:pPr>
      <w:r>
        <w:rPr>
          <w:rStyle w:val="FootnoteReference"/>
        </w:rPr>
        <w:footnoteRef/>
      </w:r>
      <w:r>
        <w:t xml:space="preserve"> </w:t>
      </w:r>
      <w:r w:rsidRPr="00896D05">
        <w:rPr>
          <w:i/>
        </w:rPr>
        <w:t>See Healthcare Connect Fund Order</w:t>
      </w:r>
      <w:r>
        <w:t xml:space="preserve">. </w:t>
      </w:r>
    </w:p>
  </w:footnote>
  <w:footnote w:id="7">
    <w:p w:rsidR="008E5177" w:rsidP="008E5177" w14:paraId="12653956" w14:textId="77777777">
      <w:pPr>
        <w:pStyle w:val="FootnoteText"/>
      </w:pPr>
      <w:r>
        <w:rPr>
          <w:rStyle w:val="FootnoteReference"/>
        </w:rPr>
        <w:footnoteRef/>
      </w:r>
      <w:r>
        <w:t xml:space="preserve"> </w:t>
      </w:r>
      <w:r w:rsidRPr="00896D05">
        <w:rPr>
          <w:i/>
        </w:rPr>
        <w:t>Id.</w:t>
      </w:r>
      <w:r>
        <w:t xml:space="preserve"> at 16718-24, paras. 91-98.</w:t>
      </w:r>
    </w:p>
  </w:footnote>
  <w:footnote w:id="8">
    <w:p w:rsidR="008E5177" w:rsidRPr="00A130E0" w:rsidP="008E5177" w14:paraId="5055413A" w14:textId="77777777">
      <w:pPr>
        <w:pStyle w:val="FootnoteText"/>
      </w:pPr>
      <w:r>
        <w:rPr>
          <w:rStyle w:val="FootnoteReference"/>
        </w:rPr>
        <w:footnoteRef/>
      </w:r>
      <w:r>
        <w:t xml:space="preserve"> </w:t>
      </w:r>
      <w:r w:rsidRPr="00A130E0">
        <w:rPr>
          <w:i/>
        </w:rPr>
        <w:t>See</w:t>
      </w:r>
      <w:r>
        <w:t xml:space="preserve"> USAC, Rural Health Care Program, Healthcare Connect Fund Program, Individual HCPs, Initiate Invoicing, </w:t>
      </w:r>
      <w:hyperlink r:id="rId1" w:history="1">
        <w:r w:rsidRPr="00A130E0">
          <w:rPr>
            <w:rStyle w:val="Hyperlink"/>
          </w:rPr>
          <w:t>https://www.usac.org/rhc/healthcare-connect/Individual/step07/default.aspx</w:t>
        </w:r>
      </w:hyperlink>
      <w:r w:rsidRPr="00A130E0">
        <w:t xml:space="preserve"> (last visited Nov. 9, 2018) (</w:t>
      </w:r>
      <w:bookmarkStart w:id="4" w:name="_Hlk529530077"/>
      <w:r w:rsidRPr="00A130E0">
        <w:t>Invoicing Procedures</w:t>
      </w:r>
      <w:bookmarkEnd w:id="4"/>
      <w:r w:rsidRPr="00A130E0">
        <w:t xml:space="preserve">). </w:t>
      </w:r>
    </w:p>
  </w:footnote>
  <w:footnote w:id="9">
    <w:p w:rsidR="008E5177" w:rsidRPr="00A130E0" w:rsidP="008E5177" w14:paraId="71B4359E" w14:textId="77777777">
      <w:pPr>
        <w:pStyle w:val="FootnoteText"/>
      </w:pPr>
      <w:r w:rsidRPr="00A130E0">
        <w:rPr>
          <w:rStyle w:val="FootnoteReference"/>
        </w:rPr>
        <w:footnoteRef/>
      </w:r>
      <w:r w:rsidRPr="00A130E0">
        <w:t xml:space="preserve"> Invoicing Procedures</w:t>
      </w:r>
      <w:r w:rsidRPr="00A130E0">
        <w:rPr>
          <w:snapToGrid w:val="0"/>
          <w:color w:val="000000"/>
          <w:kern w:val="28"/>
        </w:rPr>
        <w:t>;</w:t>
      </w:r>
      <w:r w:rsidRPr="00A130E0">
        <w:rPr>
          <w:i/>
          <w:snapToGrid w:val="0"/>
          <w:color w:val="000000"/>
          <w:kern w:val="28"/>
        </w:rPr>
        <w:t xml:space="preserve"> </w:t>
      </w:r>
      <w:r w:rsidRPr="00A130E0">
        <w:rPr>
          <w:i/>
        </w:rPr>
        <w:t>Healthcare Connect Fund Order</w:t>
      </w:r>
      <w:r w:rsidRPr="00A130E0">
        <w:t>, 27 FCC Rcd at 16804, para. 305.</w:t>
      </w:r>
    </w:p>
  </w:footnote>
  <w:footnote w:id="10">
    <w:p w:rsidR="008E5177" w:rsidRPr="00A130E0" w:rsidP="008E5177" w14:paraId="2979EFA7" w14:textId="77777777">
      <w:pPr>
        <w:pStyle w:val="FootnoteText"/>
      </w:pPr>
      <w:r w:rsidRPr="00A130E0">
        <w:rPr>
          <w:rStyle w:val="FootnoteReference"/>
        </w:rPr>
        <w:footnoteRef/>
      </w:r>
      <w:r w:rsidRPr="00A130E0">
        <w:t xml:space="preserve"> Invoicing Procedures</w:t>
      </w:r>
      <w:r>
        <w:t>.</w:t>
      </w:r>
    </w:p>
  </w:footnote>
  <w:footnote w:id="11">
    <w:p w:rsidR="008E5177" w:rsidRPr="00923E5F" w:rsidP="008E5177" w14:paraId="45EB99E2" w14:textId="77777777">
      <w:pPr>
        <w:pStyle w:val="FootnoteText"/>
      </w:pPr>
      <w:r w:rsidRPr="00A130E0">
        <w:rPr>
          <w:rStyle w:val="FootnoteReference"/>
        </w:rPr>
        <w:footnoteRef/>
      </w:r>
      <w:r w:rsidRPr="00A130E0">
        <w:t xml:space="preserve"> </w:t>
      </w:r>
      <w:r w:rsidRPr="00A130E0">
        <w:rPr>
          <w:i/>
        </w:rPr>
        <w:t>See</w:t>
      </w:r>
      <w:r w:rsidRPr="00A130E0">
        <w:t xml:space="preserve"> 47 CFR. § </w:t>
      </w:r>
      <w:r w:rsidRPr="00A130E0">
        <w:rPr>
          <w:color w:val="000000"/>
        </w:rPr>
        <w:t xml:space="preserve">54.645(b); </w:t>
      </w:r>
      <w:r w:rsidRPr="00A130E0">
        <w:rPr>
          <w:i/>
          <w:color w:val="000000"/>
        </w:rPr>
        <w:t>Healthcare Connect Fund Order</w:t>
      </w:r>
      <w:r>
        <w:rPr>
          <w:color w:val="000000"/>
        </w:rPr>
        <w:t>, 27 FCC Rcd at 16804, para. 305.</w:t>
      </w:r>
    </w:p>
  </w:footnote>
  <w:footnote w:id="12">
    <w:p w:rsidR="008E5177" w:rsidP="008E5177" w14:paraId="7A7B4020" w14:textId="77777777">
      <w:pPr>
        <w:pStyle w:val="FootnoteText"/>
      </w:pPr>
      <w:r>
        <w:rPr>
          <w:rStyle w:val="FootnoteReference"/>
        </w:rPr>
        <w:footnoteRef/>
      </w:r>
      <w:r>
        <w:t xml:space="preserve"> </w:t>
      </w:r>
      <w:r w:rsidRPr="00923E5F">
        <w:t>Invoicing Procedures</w:t>
      </w:r>
      <w:r>
        <w:t>.</w:t>
      </w:r>
    </w:p>
  </w:footnote>
  <w:footnote w:id="13">
    <w:p w:rsidR="008E5177" w:rsidP="008E5177" w14:paraId="65580156" w14:textId="77777777">
      <w:pPr>
        <w:pStyle w:val="FootnoteText"/>
      </w:pPr>
      <w:r>
        <w:rPr>
          <w:rStyle w:val="FootnoteReference"/>
        </w:rPr>
        <w:footnoteRef/>
      </w:r>
      <w:r>
        <w:t xml:space="preserve"> 47 CFR § 1.3.  </w:t>
      </w:r>
    </w:p>
  </w:footnote>
  <w:footnote w:id="14">
    <w:p w:rsidR="008E5177" w:rsidP="008E5177" w14:paraId="7C3827DD" w14:textId="77777777">
      <w:pPr>
        <w:pStyle w:val="FootnoteText"/>
      </w:pPr>
      <w:r>
        <w:rPr>
          <w:rStyle w:val="FootnoteReference"/>
        </w:rPr>
        <w:footnoteRef/>
      </w:r>
      <w:r>
        <w:t xml:space="preserve"> </w:t>
      </w:r>
      <w:r>
        <w:rPr>
          <w:i/>
        </w:rPr>
        <w:t>Northeast Cellular Telephone Co. v. FCC</w:t>
      </w:r>
      <w:r>
        <w:t>, 897 F.2d 1164, 1166 (D.C. Cir. 1990) (</w:t>
      </w:r>
      <w:r>
        <w:rPr>
          <w:i/>
        </w:rPr>
        <w:t>Northeast Cellular</w:t>
      </w:r>
      <w:r>
        <w:t xml:space="preserve">).  </w:t>
      </w:r>
    </w:p>
  </w:footnote>
  <w:footnote w:id="15">
    <w:p w:rsidR="008E5177" w:rsidP="008E5177" w14:paraId="115E5182" w14:textId="77777777">
      <w:pPr>
        <w:pStyle w:val="FootnoteText"/>
      </w:pPr>
      <w:r>
        <w:rPr>
          <w:rStyle w:val="FootnoteReference"/>
        </w:rPr>
        <w:footnoteRef/>
      </w:r>
      <w:r>
        <w:t xml:space="preserve"> </w:t>
      </w:r>
      <w:r>
        <w:rPr>
          <w:i/>
        </w:rPr>
        <w:t>WAIT Radio v. FCC</w:t>
      </w:r>
      <w:r>
        <w:t xml:space="preserve">, 418 F.2d 1153, 1159 (D.C. Cir. 1969); </w:t>
      </w:r>
      <w:r>
        <w:rPr>
          <w:i/>
        </w:rPr>
        <w:t>Northeast Cellular</w:t>
      </w:r>
      <w:r>
        <w:t xml:space="preserve">, 897 F.2d at 1166.  </w:t>
      </w:r>
    </w:p>
  </w:footnote>
  <w:footnote w:id="16">
    <w:p w:rsidR="008E5177" w:rsidP="008E5177" w14:paraId="6A69A464" w14:textId="77777777">
      <w:pPr>
        <w:pStyle w:val="Numberedparagraphs"/>
        <w:numPr>
          <w:ilvl w:val="0"/>
          <w:numId w:val="0"/>
        </w:numPr>
        <w:spacing w:after="120"/>
      </w:pPr>
      <w:r>
        <w:rPr>
          <w:rStyle w:val="FootnoteReference"/>
        </w:rPr>
        <w:footnoteRef/>
      </w:r>
      <w:r>
        <w:t xml:space="preserve"> </w:t>
      </w:r>
      <w:r>
        <w:rPr>
          <w:i/>
          <w:sz w:val="20"/>
        </w:rPr>
        <w:t>Northeast Cellular</w:t>
      </w:r>
      <w:r>
        <w:rPr>
          <w:sz w:val="20"/>
        </w:rPr>
        <w:t>, 897 F.2d at 1166.</w:t>
      </w:r>
      <w:r>
        <w:t xml:space="preserve">  </w:t>
      </w:r>
    </w:p>
  </w:footnote>
  <w:footnote w:id="17">
    <w:p w:rsidR="008E5177" w:rsidP="008E5177" w14:paraId="71D48B0F" w14:textId="77777777">
      <w:pPr>
        <w:pStyle w:val="FootnoteText"/>
      </w:pPr>
      <w:r>
        <w:rPr>
          <w:rStyle w:val="FootnoteReference"/>
        </w:rPr>
        <w:footnoteRef/>
      </w:r>
      <w:r>
        <w:t xml:space="preserve"> </w:t>
      </w:r>
      <w:r>
        <w:rPr>
          <w:i/>
        </w:rPr>
        <w:t xml:space="preserve">See </w:t>
      </w:r>
      <w:r>
        <w:t>Appendix A; Request for Review and Waiver by Indiana Telehealth Network (ITN) of Funding Decision by the Universal Service Administrative Company, WC Docket No. 02-60 (filed Sept. 5, 2018)</w:t>
      </w:r>
      <w:bookmarkStart w:id="7" w:name="_Hlk528745510"/>
      <w:r>
        <w:t xml:space="preserve"> (ITN Request for Review and Waiver).  </w:t>
      </w:r>
      <w:r w:rsidRPr="009E0A7B">
        <w:rPr>
          <w:i/>
          <w:iCs/>
        </w:rPr>
        <w:t xml:space="preserve">See </w:t>
      </w:r>
      <w:bookmarkStart w:id="8" w:name="_Hlk528747523"/>
      <w:r w:rsidRPr="009E0A7B">
        <w:rPr>
          <w:i/>
          <w:iCs/>
        </w:rPr>
        <w:t>Rural Health Care Support Mechanism</w:t>
      </w:r>
      <w:r w:rsidRPr="009E0A7B">
        <w:rPr>
          <w:iCs/>
        </w:rPr>
        <w:t>, WC Docket 02-60, 30 FCC Rcd 1063, 1064-65, para</w:t>
      </w:r>
      <w:r>
        <w:rPr>
          <w:iCs/>
        </w:rPr>
        <w:t>s</w:t>
      </w:r>
      <w:r w:rsidRPr="009E0A7B">
        <w:rPr>
          <w:iCs/>
        </w:rPr>
        <w:t>. 4-5 (WCB 2015) (granting a limited waiver of the H</w:t>
      </w:r>
      <w:r>
        <w:rPr>
          <w:iCs/>
        </w:rPr>
        <w:t xml:space="preserve">ealthcare </w:t>
      </w:r>
      <w:r w:rsidRPr="009E0A7B">
        <w:rPr>
          <w:iCs/>
        </w:rPr>
        <w:t>C</w:t>
      </w:r>
      <w:r>
        <w:rPr>
          <w:iCs/>
        </w:rPr>
        <w:t xml:space="preserve">onnect </w:t>
      </w:r>
      <w:r w:rsidRPr="009E0A7B">
        <w:rPr>
          <w:iCs/>
        </w:rPr>
        <w:t>F</w:t>
      </w:r>
      <w:r>
        <w:rPr>
          <w:iCs/>
        </w:rPr>
        <w:t>und</w:t>
      </w:r>
      <w:r w:rsidRPr="009E0A7B">
        <w:rPr>
          <w:iCs/>
        </w:rPr>
        <w:t xml:space="preserve"> invoice deadline due to USAC filing system deficiencies beyond the control of some applicants and service providers that prevented them from meeting the invoice deadline)</w:t>
      </w:r>
      <w:r>
        <w:rPr>
          <w:iCs/>
        </w:rPr>
        <w:t xml:space="preserve"> (</w:t>
      </w:r>
      <w:r w:rsidRPr="00765135">
        <w:rPr>
          <w:i/>
          <w:iCs/>
        </w:rPr>
        <w:t>H</w:t>
      </w:r>
      <w:r>
        <w:rPr>
          <w:i/>
          <w:iCs/>
        </w:rPr>
        <w:t xml:space="preserve">ealthcare </w:t>
      </w:r>
      <w:r w:rsidRPr="00765135">
        <w:rPr>
          <w:i/>
          <w:iCs/>
        </w:rPr>
        <w:t>C</w:t>
      </w:r>
      <w:r>
        <w:rPr>
          <w:i/>
          <w:iCs/>
        </w:rPr>
        <w:t xml:space="preserve">onnect </w:t>
      </w:r>
      <w:r w:rsidRPr="00765135">
        <w:rPr>
          <w:i/>
          <w:iCs/>
        </w:rPr>
        <w:t>F</w:t>
      </w:r>
      <w:r>
        <w:rPr>
          <w:i/>
          <w:iCs/>
        </w:rPr>
        <w:t>und</w:t>
      </w:r>
      <w:r w:rsidRPr="00765135">
        <w:rPr>
          <w:i/>
          <w:iCs/>
        </w:rPr>
        <w:t xml:space="preserve"> Invoice </w:t>
      </w:r>
      <w:r>
        <w:rPr>
          <w:i/>
          <w:iCs/>
        </w:rPr>
        <w:t xml:space="preserve">Deadline </w:t>
      </w:r>
      <w:r w:rsidRPr="00765135">
        <w:rPr>
          <w:i/>
          <w:iCs/>
        </w:rPr>
        <w:t>Order</w:t>
      </w:r>
      <w:r>
        <w:rPr>
          <w:iCs/>
        </w:rPr>
        <w:t>)</w:t>
      </w:r>
      <w:r w:rsidRPr="009E0A7B">
        <w:rPr>
          <w:iCs/>
        </w:rPr>
        <w:t>;</w:t>
      </w:r>
      <w:r w:rsidRPr="009E0A7B">
        <w:rPr>
          <w:i/>
          <w:iCs/>
        </w:rPr>
        <w:t xml:space="preserve"> </w:t>
      </w:r>
      <w:bookmarkEnd w:id="8"/>
      <w:r w:rsidRPr="009E0A7B">
        <w:rPr>
          <w:i/>
          <w:iCs/>
        </w:rPr>
        <w:t>Schools and Libraries Universal Service Support Mechanism</w:t>
      </w:r>
      <w:r>
        <w:rPr>
          <w:iCs/>
        </w:rPr>
        <w:t xml:space="preserve">, </w:t>
      </w:r>
      <w:r w:rsidRPr="009E0A7B">
        <w:rPr>
          <w:iCs/>
        </w:rPr>
        <w:t xml:space="preserve">CC Docket No. 02-6, Order, </w:t>
      </w:r>
      <w:r w:rsidRPr="009E0A7B">
        <w:t>33 FCC Rcd 2042, para. 6 (WCB 2018) (finding that extraordinary circumstances exist to grant a waiver of the invoice deadline “when applicants and service providers have made every attempt to comply with the </w:t>
      </w:r>
      <w:r w:rsidRPr="009E0A7B">
        <w:rPr>
          <w:bCs/>
        </w:rPr>
        <w:t>invoice</w:t>
      </w:r>
      <w:r w:rsidRPr="009E0A7B">
        <w:t> deadline rules, but were blocked from timely completing the </w:t>
      </w:r>
      <w:r w:rsidRPr="009E0A7B">
        <w:rPr>
          <w:bCs/>
        </w:rPr>
        <w:t>invoicing</w:t>
      </w:r>
      <w:r w:rsidRPr="009E0A7B">
        <w:t xml:space="preserve"> process because a predicate request or function had not been completed (or could not be completed) by USAC’s systems”); </w:t>
      </w:r>
      <w:bookmarkEnd w:id="7"/>
      <w:r w:rsidRPr="009E0A7B">
        <w:rPr>
          <w:i/>
        </w:rPr>
        <w:t xml:space="preserve">see also </w:t>
      </w:r>
      <w:r w:rsidRPr="009E0A7B">
        <w:rPr>
          <w:i/>
          <w:iCs/>
        </w:rPr>
        <w:t>Wireline Competition Bureau Extends Deadline for E-rate Participants to Request Invoice Deadline Extensions</w:t>
      </w:r>
      <w:r w:rsidRPr="009E0A7B">
        <w:rPr>
          <w:iCs/>
        </w:rPr>
        <w:t>, CC Docket No. 02-6, Public Notice,</w:t>
      </w:r>
      <w:r w:rsidRPr="009E0A7B">
        <w:t xml:space="preserve"> </w:t>
      </w:r>
      <w:r w:rsidRPr="009E0A7B">
        <w:rPr>
          <w:iCs/>
        </w:rPr>
        <w:t>31 FCC Rcd 11924 (WCB 2016) (extending the invoice deadline in order to provide E-rate participants with additional time to file their invoice deadline extension requests due to USAC technical system issues that prevented participants fro</w:t>
      </w:r>
      <w:r>
        <w:rPr>
          <w:iCs/>
        </w:rPr>
        <w:t>m timely filing their requests).</w:t>
      </w:r>
    </w:p>
  </w:footnote>
  <w:footnote w:id="18">
    <w:p w:rsidR="008E5177" w:rsidP="008E5177" w14:paraId="01E7AC86" w14:textId="77777777">
      <w:pPr>
        <w:pStyle w:val="FootnoteText"/>
      </w:pPr>
      <w:r>
        <w:rPr>
          <w:rStyle w:val="FootnoteReference"/>
        </w:rPr>
        <w:footnoteRef/>
      </w:r>
      <w:r>
        <w:t xml:space="preserve"> </w:t>
      </w:r>
      <w:r w:rsidRPr="00442609">
        <w:rPr>
          <w:i/>
        </w:rPr>
        <w:t>See</w:t>
      </w:r>
      <w:r>
        <w:t xml:space="preserve"> Appendix B.  </w:t>
      </w:r>
      <w:r w:rsidRPr="0099257E">
        <w:rPr>
          <w:i/>
        </w:rPr>
        <w:t xml:space="preserve">See </w:t>
      </w:r>
      <w:r w:rsidRPr="0099257E">
        <w:rPr>
          <w:i/>
          <w:iCs/>
        </w:rPr>
        <w:t>Requests for Waiver of Decisions of the Universal Service Administrator by Batesville Community </w:t>
      </w:r>
      <w:r w:rsidRPr="0099257E">
        <w:rPr>
          <w:bCs/>
          <w:i/>
          <w:iCs/>
        </w:rPr>
        <w:t>School</w:t>
      </w:r>
      <w:r w:rsidRPr="0099257E">
        <w:rPr>
          <w:i/>
          <w:iCs/>
        </w:rPr>
        <w:t> Corporation et al.; </w:t>
      </w:r>
      <w:r w:rsidRPr="0099257E">
        <w:rPr>
          <w:bCs/>
          <w:i/>
          <w:iCs/>
        </w:rPr>
        <w:t>Schools</w:t>
      </w:r>
      <w:r w:rsidRPr="0099257E">
        <w:rPr>
          <w:i/>
          <w:iCs/>
        </w:rPr>
        <w:t> and </w:t>
      </w:r>
      <w:r w:rsidRPr="0099257E">
        <w:rPr>
          <w:bCs/>
          <w:i/>
          <w:iCs/>
        </w:rPr>
        <w:t>Libraries</w:t>
      </w:r>
      <w:r w:rsidRPr="0099257E">
        <w:rPr>
          <w:i/>
          <w:iCs/>
        </w:rPr>
        <w:t> Universal Service Support Mechanism; Modernizing the E-rate Program for </w:t>
      </w:r>
      <w:r w:rsidRPr="0099257E">
        <w:rPr>
          <w:bCs/>
          <w:i/>
          <w:iCs/>
        </w:rPr>
        <w:t>Schools</w:t>
      </w:r>
      <w:r w:rsidRPr="0099257E">
        <w:rPr>
          <w:i/>
          <w:iCs/>
        </w:rPr>
        <w:t> and </w:t>
      </w:r>
      <w:r w:rsidRPr="0099257E">
        <w:rPr>
          <w:bCs/>
          <w:i/>
          <w:iCs/>
        </w:rPr>
        <w:t>Libraries</w:t>
      </w:r>
      <w:r w:rsidRPr="0099257E">
        <w:t>, </w:t>
      </w:r>
      <w:hyperlink r:id="rId2" w:anchor="co_pp_sp_4493_7733" w:history="1">
        <w:r w:rsidRPr="0099257E">
          <w:rPr>
            <w:rStyle w:val="Hyperlink"/>
          </w:rPr>
          <w:t>CC Docket No. 02-6, WC Docket No. 13-184, Order, 31 FCC Rcd 7731, 7733</w:t>
        </w:r>
      </w:hyperlink>
      <w:r w:rsidRPr="0099257E">
        <w:t>, paras. 5-7 (WCB 2016) (denying requests for waiver that present only generalized arguments, rather than </w:t>
      </w:r>
      <w:r w:rsidRPr="0099257E">
        <w:rPr>
          <w:bCs/>
        </w:rPr>
        <w:t>special</w:t>
      </w:r>
      <w:r w:rsidRPr="0099257E">
        <w:t> </w:t>
      </w:r>
      <w:r w:rsidRPr="0099257E">
        <w:rPr>
          <w:bCs/>
        </w:rPr>
        <w:t>circumstances</w:t>
      </w:r>
      <w:r w:rsidRPr="0099257E">
        <w:t xml:space="preserve"> warranting deviation from the general rule); </w:t>
      </w:r>
      <w:r w:rsidRPr="0099257E">
        <w:rPr>
          <w:i/>
        </w:rPr>
        <w:t xml:space="preserve">WAIT Radio v. </w:t>
      </w:r>
      <w:r w:rsidRPr="0099257E">
        <w:t xml:space="preserve">FCC, 418 F.2d 1153, 1157, note 9 (D.C. Cir. 1969) (holding that the Commission “is not bound to process in depth what are only generalized pleas, a requirement that would condemn it to divert resources of time and personnel to hollow claims. The applicant for waiver must articulate a specific pleading, and adduce concrete support, preferably documentary”); </w:t>
      </w:r>
      <w:r w:rsidRPr="0099257E">
        <w:rPr>
          <w:i/>
        </w:rPr>
        <w:t xml:space="preserve">Rio Grande Family </w:t>
      </w:r>
      <w:r w:rsidRPr="0099257E">
        <w:t>Radio</w:t>
      </w:r>
      <w:r w:rsidRPr="0099257E">
        <w:rPr>
          <w:i/>
        </w:rPr>
        <w:t xml:space="preserve"> Fellowship, Inc</w:t>
      </w:r>
      <w:r w:rsidRPr="0099257E">
        <w:t>. v. FCC, 406 F.2d 664, 666 (D.C. Cir. 1968) (“When an applicant seeks a waiver of a rule, it must plead with particularity the facts and circumstances which warrant such action”).</w:t>
      </w:r>
    </w:p>
  </w:footnote>
  <w:footnote w:id="19">
    <w:p w:rsidR="008E5177" w:rsidP="008E5177" w14:paraId="2FD23DB7" w14:textId="77777777">
      <w:pPr>
        <w:pStyle w:val="FootnoteText"/>
      </w:pPr>
      <w:r>
        <w:rPr>
          <w:rStyle w:val="FootnoteReference"/>
        </w:rPr>
        <w:footnoteRef/>
      </w:r>
      <w:r>
        <w:t xml:space="preserve"> </w:t>
      </w:r>
      <w:r w:rsidRPr="003002AD">
        <w:rPr>
          <w:i/>
        </w:rPr>
        <w:t>See</w:t>
      </w:r>
      <w:r>
        <w:t xml:space="preserve"> Waiver Request for Denied Invoice Extension Request by </w:t>
      </w:r>
      <w:r w:rsidRPr="003002AD">
        <w:t>Charter Communications (Spooner Health System), WC Docket No. 02-60 (filed Mar. 9, 2018)</w:t>
      </w:r>
      <w:r>
        <w:t xml:space="preserve"> (Charter Communications Waiver Request)</w:t>
      </w:r>
      <w:r w:rsidRPr="003002AD">
        <w:t>;</w:t>
      </w:r>
      <w:r>
        <w:rPr>
          <w:snapToGrid w:val="0"/>
          <w:kern w:val="28"/>
          <w:sz w:val="22"/>
        </w:rPr>
        <w:t xml:space="preserve"> </w:t>
      </w:r>
      <w:r w:rsidRPr="003002AD">
        <w:t>Waiver Request for Denied Invoice Extension Request</w:t>
      </w:r>
      <w:r>
        <w:t>s</w:t>
      </w:r>
      <w:r w:rsidRPr="003002AD">
        <w:t xml:space="preserve"> b</w:t>
      </w:r>
      <w:r>
        <w:t xml:space="preserve">y </w:t>
      </w:r>
      <w:r w:rsidRPr="003002AD">
        <w:t xml:space="preserve">Charter </w:t>
      </w:r>
      <w:r w:rsidRPr="003002AD">
        <w:t>Fiberlink</w:t>
      </w:r>
      <w:r w:rsidRPr="003002AD">
        <w:t xml:space="preserve"> CC VIII, LLC (</w:t>
      </w:r>
      <w:r w:rsidRPr="003002AD">
        <w:t>Aspirus</w:t>
      </w:r>
      <w:r w:rsidRPr="003002AD">
        <w:t xml:space="preserve"> Clinic)</w:t>
      </w:r>
      <w:r>
        <w:t>, WC Docket No. 02-60 (filed May 10, 2018)</w:t>
      </w:r>
      <w:r w:rsidRPr="003002AD">
        <w:t xml:space="preserve">; </w:t>
      </w:r>
      <w:r>
        <w:t xml:space="preserve">(Charter </w:t>
      </w:r>
      <w:r>
        <w:t>Fiberlink</w:t>
      </w:r>
      <w:r>
        <w:t xml:space="preserve"> </w:t>
      </w:r>
      <w:r w:rsidRPr="00FE7CE5">
        <w:t>CC VIII</w:t>
      </w:r>
      <w:r>
        <w:t xml:space="preserve"> Waiver Request); </w:t>
      </w:r>
      <w:r w:rsidRPr="003002AD">
        <w:t>Waiver Request for Denied Invoice Extension Request</w:t>
      </w:r>
      <w:r>
        <w:t>s</w:t>
      </w:r>
      <w:r w:rsidRPr="003002AD">
        <w:t xml:space="preserve"> by Charter </w:t>
      </w:r>
      <w:r>
        <w:t>Fiberlink</w:t>
      </w:r>
      <w:r>
        <w:t xml:space="preserve"> CCO, LLC (St. Joseph), WC Docket No. 02-60 (filed Oct. 12, 2018) (Charter </w:t>
      </w:r>
      <w:r>
        <w:t>Fiberlink</w:t>
      </w:r>
      <w:r>
        <w:t xml:space="preserve"> CCO Waiver Request); </w:t>
      </w:r>
      <w:r w:rsidRPr="004461BC">
        <w:t xml:space="preserve">Waiver Request for Denied Invoice Extension Request by Charter Advanced Services (Yakima Valley Farm Workers Clinic - Mountainview Women’s Health Center), WC Docket No, 02-60 (filed Sept. 25, 2018) (Charter Advanced Services Waiver Request). </w:t>
      </w:r>
      <w:r w:rsidRPr="004461BC">
        <w:rPr>
          <w:i/>
        </w:rPr>
        <w:t xml:space="preserve">  </w:t>
      </w:r>
      <w:r>
        <w:t xml:space="preserve">  </w:t>
      </w:r>
      <w:r w:rsidRPr="00C65BF9">
        <w:rPr>
          <w:i/>
        </w:rPr>
        <w:t xml:space="preserve">  </w:t>
      </w:r>
    </w:p>
  </w:footnote>
  <w:footnote w:id="20">
    <w:p w:rsidR="008E5177" w:rsidP="008E5177" w14:paraId="2F964F54" w14:textId="77777777">
      <w:pPr>
        <w:pStyle w:val="FootnoteText"/>
      </w:pPr>
      <w:r>
        <w:rPr>
          <w:rStyle w:val="FootnoteReference"/>
        </w:rPr>
        <w:footnoteRef/>
      </w:r>
      <w:r>
        <w:t xml:space="preserve"> </w:t>
      </w:r>
      <w:r w:rsidRPr="00863F7C">
        <w:rPr>
          <w:i/>
        </w:rPr>
        <w:t xml:space="preserve">See </w:t>
      </w:r>
      <w:r w:rsidRPr="00DA291C">
        <w:t xml:space="preserve">Charter Communications </w:t>
      </w:r>
      <w:r>
        <w:t xml:space="preserve">Waiver Request; </w:t>
      </w:r>
      <w:r w:rsidRPr="00DA291C">
        <w:t xml:space="preserve">Charter </w:t>
      </w:r>
      <w:r w:rsidRPr="00DA291C">
        <w:t>Fiberlink</w:t>
      </w:r>
      <w:r w:rsidRPr="00DA291C">
        <w:t xml:space="preserve"> CC VIII</w:t>
      </w:r>
      <w:r>
        <w:t xml:space="preserve"> Waiver Request</w:t>
      </w:r>
      <w:r w:rsidRPr="00DA291C">
        <w:t xml:space="preserve">; Charter </w:t>
      </w:r>
      <w:r w:rsidRPr="00DA291C">
        <w:t>Fiberlink</w:t>
      </w:r>
      <w:r w:rsidRPr="00DA291C">
        <w:t xml:space="preserve"> CCO</w:t>
      </w:r>
      <w:r>
        <w:t xml:space="preserve"> Waiver Request</w:t>
      </w:r>
      <w:r w:rsidRPr="00DA291C">
        <w:t>;</w:t>
      </w:r>
      <w:r>
        <w:t xml:space="preserve"> Charter Advanced Services Waiver Request. </w:t>
      </w:r>
      <w:r w:rsidRPr="00C65BF9">
        <w:rPr>
          <w:i/>
        </w:rPr>
        <w:t xml:space="preserve">  </w:t>
      </w:r>
    </w:p>
  </w:footnote>
  <w:footnote w:id="21">
    <w:p w:rsidR="008E5177" w:rsidP="008E5177" w14:paraId="346E1CB0" w14:textId="77777777">
      <w:pPr>
        <w:pStyle w:val="FootnoteText"/>
      </w:pPr>
      <w:r>
        <w:rPr>
          <w:rStyle w:val="FootnoteReference"/>
        </w:rPr>
        <w:footnoteRef/>
      </w:r>
      <w:r>
        <w:t xml:space="preserve"> </w:t>
      </w:r>
      <w:r w:rsidRPr="00584EB8">
        <w:rPr>
          <w:i/>
        </w:rPr>
        <w:t xml:space="preserve">See </w:t>
      </w:r>
      <w:r w:rsidRPr="00584EB8">
        <w:t xml:space="preserve">Charter Communications </w:t>
      </w:r>
      <w:r>
        <w:t xml:space="preserve">Waiver Request; </w:t>
      </w:r>
      <w:r w:rsidRPr="00584EB8">
        <w:t xml:space="preserve">Charter </w:t>
      </w:r>
      <w:r w:rsidRPr="00584EB8">
        <w:t>Fiberlink</w:t>
      </w:r>
      <w:r w:rsidRPr="00584EB8">
        <w:t xml:space="preserve"> CC VIII</w:t>
      </w:r>
      <w:r>
        <w:t xml:space="preserve"> Waiver Request.</w:t>
      </w:r>
    </w:p>
  </w:footnote>
  <w:footnote w:id="22">
    <w:p w:rsidR="008E5177" w:rsidP="008E5177" w14:paraId="7F4F573D" w14:textId="77777777">
      <w:pPr>
        <w:pStyle w:val="FootnoteText"/>
      </w:pPr>
      <w:r>
        <w:rPr>
          <w:rStyle w:val="FootnoteReference"/>
        </w:rPr>
        <w:footnoteRef/>
      </w:r>
      <w:r>
        <w:t xml:space="preserve"> </w:t>
      </w:r>
      <w:r w:rsidRPr="00584EB8">
        <w:rPr>
          <w:i/>
        </w:rPr>
        <w:t>See</w:t>
      </w:r>
      <w:r w:rsidRPr="00E76637">
        <w:rPr>
          <w:snapToGrid w:val="0"/>
          <w:kern w:val="28"/>
          <w:sz w:val="22"/>
        </w:rPr>
        <w:t xml:space="preserve"> </w:t>
      </w:r>
      <w:r w:rsidRPr="00896D05">
        <w:t>Charter Advanced Services Waiver Request.</w:t>
      </w:r>
      <w:r w:rsidRPr="00584EB8">
        <w:rPr>
          <w:i/>
        </w:rPr>
        <w:t xml:space="preserve"> </w:t>
      </w:r>
    </w:p>
  </w:footnote>
  <w:footnote w:id="23">
    <w:p w:rsidR="008E5177" w:rsidP="008E5177" w14:paraId="21D2AE0E" w14:textId="77777777">
      <w:pPr>
        <w:pStyle w:val="FootnoteText"/>
      </w:pPr>
      <w:r>
        <w:rPr>
          <w:rStyle w:val="FootnoteReference"/>
        </w:rPr>
        <w:footnoteRef/>
      </w:r>
      <w:r>
        <w:t xml:space="preserve"> </w:t>
      </w:r>
      <w:r w:rsidRPr="00584EB8">
        <w:rPr>
          <w:i/>
        </w:rPr>
        <w:t xml:space="preserve">See </w:t>
      </w:r>
      <w:r>
        <w:t xml:space="preserve">Request for Review and Waiver by </w:t>
      </w:r>
      <w:r w:rsidRPr="00584EB8">
        <w:t>Hancock Rural Telephone Corp</w:t>
      </w:r>
      <w:r>
        <w:t xml:space="preserve">oration, WC Docket No. 02-60 (filed Feb. 20, 2018). </w:t>
      </w:r>
    </w:p>
  </w:footnote>
  <w:footnote w:id="24">
    <w:p w:rsidR="008E5177" w:rsidRPr="00D833DB" w:rsidP="008E5177" w14:paraId="2A6C2255" w14:textId="77777777">
      <w:pPr>
        <w:pStyle w:val="FootnoteText"/>
        <w:rPr>
          <w:i/>
        </w:rPr>
      </w:pPr>
      <w:r>
        <w:rPr>
          <w:rStyle w:val="FootnoteReference"/>
        </w:rPr>
        <w:footnoteRef/>
      </w:r>
      <w:r>
        <w:t xml:space="preserve"> </w:t>
      </w:r>
      <w:r w:rsidRPr="00584EB8">
        <w:rPr>
          <w:i/>
        </w:rPr>
        <w:t xml:space="preserve">See </w:t>
      </w:r>
      <w:r w:rsidRPr="00D833DB">
        <w:t>Form 463 Deadline Waiver Request</w:t>
      </w:r>
      <w:r>
        <w:t xml:space="preserve"> by </w:t>
      </w:r>
      <w:r w:rsidRPr="00D833DB">
        <w:t>District Health Department No. 10</w:t>
      </w:r>
      <w:r>
        <w:t xml:space="preserve">, WC Docket No. 02-60 (filed Feb. 27, 2018). </w:t>
      </w:r>
    </w:p>
  </w:footnote>
  <w:footnote w:id="25">
    <w:p w:rsidR="008E5177" w:rsidP="008E5177" w14:paraId="116DE927" w14:textId="77777777">
      <w:pPr>
        <w:pStyle w:val="FootnoteText"/>
      </w:pPr>
      <w:r>
        <w:rPr>
          <w:rStyle w:val="FootnoteReference"/>
        </w:rPr>
        <w:footnoteRef/>
      </w:r>
      <w:r>
        <w:t xml:space="preserve"> </w:t>
      </w:r>
      <w:r w:rsidRPr="00765135">
        <w:rPr>
          <w:i/>
        </w:rPr>
        <w:t>See H</w:t>
      </w:r>
      <w:r>
        <w:rPr>
          <w:i/>
        </w:rPr>
        <w:t xml:space="preserve">ealthcare </w:t>
      </w:r>
      <w:r w:rsidRPr="00765135">
        <w:rPr>
          <w:i/>
        </w:rPr>
        <w:t>C</w:t>
      </w:r>
      <w:r>
        <w:rPr>
          <w:i/>
        </w:rPr>
        <w:t xml:space="preserve">onnect </w:t>
      </w:r>
      <w:r w:rsidRPr="00765135">
        <w:rPr>
          <w:i/>
        </w:rPr>
        <w:t>F</w:t>
      </w:r>
      <w:r>
        <w:rPr>
          <w:i/>
        </w:rPr>
        <w:t>und</w:t>
      </w:r>
      <w:r w:rsidRPr="00765135">
        <w:rPr>
          <w:i/>
        </w:rPr>
        <w:t xml:space="preserve"> Invoice </w:t>
      </w:r>
      <w:r>
        <w:rPr>
          <w:i/>
        </w:rPr>
        <w:t xml:space="preserve">Deadline </w:t>
      </w:r>
      <w:r w:rsidRPr="00765135">
        <w:rPr>
          <w:i/>
        </w:rPr>
        <w:t>Order</w:t>
      </w:r>
      <w:r>
        <w:t xml:space="preserve">, </w:t>
      </w:r>
      <w:r>
        <w:rPr>
          <w:iCs/>
        </w:rPr>
        <w:t>30 FCC Rcd at 1065, para. 6 (</w:t>
      </w:r>
      <w:r w:rsidRPr="00765135">
        <w:rPr>
          <w:iCs/>
        </w:rPr>
        <w:t>remind</w:t>
      </w:r>
      <w:r>
        <w:rPr>
          <w:iCs/>
        </w:rPr>
        <w:t>ing</w:t>
      </w:r>
      <w:r w:rsidRPr="00765135">
        <w:rPr>
          <w:iCs/>
        </w:rPr>
        <w:t xml:space="preserve"> applicants that adherence to the filing deadlines and program rules are necessary for the effic</w:t>
      </w:r>
      <w:r>
        <w:rPr>
          <w:iCs/>
        </w:rPr>
        <w:t>ient administration of the Healthcare Connect Fund P</w:t>
      </w:r>
      <w:r w:rsidRPr="00765135">
        <w:rPr>
          <w:iCs/>
        </w:rPr>
        <w:t>rogram</w:t>
      </w:r>
      <w:r>
        <w:rPr>
          <w:iCs/>
        </w:rPr>
        <w:t xml:space="preserve">); </w:t>
      </w:r>
      <w:r w:rsidRPr="00765135">
        <w:rPr>
          <w:i/>
          <w:iCs/>
        </w:rPr>
        <w:t>Request for Review by Portland Area Indian Health Service</w:t>
      </w:r>
      <w:r w:rsidRPr="00765135">
        <w:rPr>
          <w:iCs/>
        </w:rPr>
        <w:t xml:space="preserve">, </w:t>
      </w:r>
      <w:r w:rsidRPr="00765135">
        <w:rPr>
          <w:i/>
          <w:iCs/>
        </w:rPr>
        <w:t>Rural Health Care Universal Service Support Mechanism</w:t>
      </w:r>
      <w:r w:rsidRPr="00765135">
        <w:rPr>
          <w:iCs/>
        </w:rPr>
        <w:t>, WC Docket No. 02-60, Order, 25 FCC Rcd 13050, 13053, para. 7 (WCB 2010) (“All applicants must comply with our rules and procedures and continue to submit complete and accurate information to USAC as part of th</w:t>
      </w:r>
      <w:r>
        <w:rPr>
          <w:iCs/>
        </w:rPr>
        <w:t>e application review process”).</w:t>
      </w:r>
    </w:p>
  </w:footnote>
  <w:footnote w:id="26">
    <w:p w:rsidR="008E5177" w:rsidRPr="00184655" w:rsidP="008E5177" w14:paraId="40964194" w14:textId="77777777">
      <w:pPr>
        <w:pStyle w:val="FootnoteText"/>
        <w:rPr>
          <w:rFonts w:ascii="Arial" w:hAnsi="Arial" w:cs="Arial"/>
          <w:color w:val="000000"/>
          <w:sz w:val="24"/>
          <w:szCs w:val="24"/>
        </w:rPr>
      </w:pPr>
      <w:r>
        <w:rPr>
          <w:rStyle w:val="FootnoteReference"/>
        </w:rPr>
        <w:footnoteRef/>
      </w:r>
      <w:r>
        <w:t xml:space="preserve"> </w:t>
      </w:r>
      <w:r>
        <w:rPr>
          <w:i/>
        </w:rPr>
        <w:t>See Freehold Regional High School District, Schools and Libraries Universal Service Support Mechanism</w:t>
      </w:r>
      <w:r>
        <w:t>, CC Docket NO. 02-6, 19 FCC Rcd 2983, 2984, para. 2 (WCB 2004) (stating that “</w:t>
      </w:r>
      <w:r w:rsidRPr="00184655">
        <w:t>n</w:t>
      </w:r>
      <w:r w:rsidRPr="00184655">
        <w:rPr>
          <w:shd w:val="clear" w:color="auto" w:fill="FFFFFF"/>
        </w:rPr>
        <w:t>either employee illness, staff failure to perform a job properly, nor misunderstanding of the rules relieves applicants of their responsibility to comply with the Commission's rules and procedures</w:t>
      </w:r>
      <w:r>
        <w:rPr>
          <w:rFonts w:ascii="Arial" w:hAnsi="Arial" w:cs="Arial"/>
          <w:color w:val="000000"/>
          <w:sz w:val="24"/>
          <w:szCs w:val="24"/>
        </w:rPr>
        <w:t>”).</w:t>
      </w:r>
    </w:p>
  </w:footnote>
  <w:footnote w:id="27">
    <w:p w:rsidR="008E5177" w:rsidP="008E5177" w14:paraId="5F5E9E62" w14:textId="77777777">
      <w:pPr>
        <w:pStyle w:val="FootnoteText"/>
      </w:pPr>
      <w:r>
        <w:rPr>
          <w:rStyle w:val="FootnoteReference"/>
        </w:rPr>
        <w:footnoteRef/>
      </w:r>
      <w:r>
        <w:t xml:space="preserve"> </w:t>
      </w:r>
      <w:r w:rsidRPr="00765135">
        <w:rPr>
          <w:i/>
        </w:rPr>
        <w:t>See H</w:t>
      </w:r>
      <w:r>
        <w:rPr>
          <w:i/>
        </w:rPr>
        <w:t xml:space="preserve">ealthcare </w:t>
      </w:r>
      <w:r w:rsidRPr="00765135">
        <w:rPr>
          <w:i/>
        </w:rPr>
        <w:t>C</w:t>
      </w:r>
      <w:r>
        <w:rPr>
          <w:i/>
        </w:rPr>
        <w:t xml:space="preserve">onnect </w:t>
      </w:r>
      <w:r w:rsidRPr="00765135">
        <w:rPr>
          <w:i/>
        </w:rPr>
        <w:t>F</w:t>
      </w:r>
      <w:r>
        <w:rPr>
          <w:i/>
        </w:rPr>
        <w:t>und</w:t>
      </w:r>
      <w:r w:rsidRPr="00765135">
        <w:rPr>
          <w:i/>
        </w:rPr>
        <w:t xml:space="preserve"> Invoice </w:t>
      </w:r>
      <w:r>
        <w:rPr>
          <w:i/>
        </w:rPr>
        <w:t xml:space="preserve">Deadline </w:t>
      </w:r>
      <w:r w:rsidRPr="00765135">
        <w:rPr>
          <w:i/>
        </w:rPr>
        <w:t>Order</w:t>
      </w:r>
      <w:r>
        <w:t xml:space="preserve">, </w:t>
      </w:r>
      <w:r>
        <w:rPr>
          <w:iCs/>
        </w:rPr>
        <w:t>30 FCC Rcd at 1065, para. 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04933E19" w14:textId="263E0FF1">
    <w:pPr>
      <w:pStyle w:val="Header"/>
      <w:rPr>
        <w:b w:val="0"/>
      </w:rPr>
    </w:pPr>
    <w:r>
      <w:tab/>
      <w:t>Federal Communications Commission</w:t>
    </w:r>
    <w:r>
      <w:tab/>
    </w:r>
    <w:r w:rsidR="008E5177">
      <w:t>DA 18-1</w:t>
    </w:r>
    <w:r w:rsidR="004B6B00">
      <w:t>284</w:t>
    </w:r>
  </w:p>
  <w:p w:rsidR="00D25FB5" w14:paraId="1FC209DE"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720159BE"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27241C52" w14:textId="78E35B26">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Pr>
        <w:spacing w:val="-2"/>
      </w:rPr>
      <w:t>DA 18-1284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6D83D08"/>
    <w:multiLevelType w:val="multilevel"/>
    <w:tmpl w:val="47282E80"/>
    <w:lvl w:ilvl="0">
      <w:start w:val="1"/>
      <w:numFmt w:val="upperRoman"/>
      <w:suff w:val="nothing"/>
      <w:lvlText w:val="%1.  "/>
      <w:lvlJc w:val="left"/>
      <w:rPr>
        <w:rFonts w:ascii="Times New Roman" w:hAnsi="Times New Roman" w:cs="Times New Roman" w:hint="default"/>
        <w:b/>
        <w:i w:val="0"/>
        <w:sz w:val="22"/>
      </w:rPr>
    </w:lvl>
    <w:lvl w:ilvl="1">
      <w:start w:val="1"/>
      <w:numFmt w:val="upperLetter"/>
      <w:lvlText w:val="%2."/>
      <w:lvlJc w:val="left"/>
      <w:pPr>
        <w:tabs>
          <w:tab w:val="num" w:pos="1080"/>
        </w:tabs>
        <w:ind w:left="720"/>
      </w:pPr>
      <w:rPr>
        <w:rFonts w:cs="Times New Roman"/>
      </w:rPr>
    </w:lvl>
    <w:lvl w:ilvl="2">
      <w:start w:val="1"/>
      <w:numFmt w:val="decimal"/>
      <w:lvlRestart w:val="0"/>
      <w:pStyle w:val="Numberedparagraphs"/>
      <w:lvlText w:val="%3."/>
      <w:lvlJc w:val="left"/>
      <w:pPr>
        <w:tabs>
          <w:tab w:val="num" w:pos="1440"/>
        </w:tabs>
        <w:ind w:left="360" w:firstLine="720"/>
      </w:pPr>
      <w:rPr>
        <w:rFonts w:ascii="Times New Roman" w:hAnsi="Times New Roman" w:cs="Times New Roman" w:hint="default"/>
        <w:b w:val="0"/>
        <w:i w:val="0"/>
        <w:color w:val="auto"/>
        <w:sz w:val="22"/>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5">
    <w:nsid w:val="3D0F1B3D"/>
    <w:multiLevelType w:val="multilevel"/>
    <w:tmpl w:val="E7BC9EA6"/>
    <w:lvl w:ilvl="0">
      <w:start w:val="1"/>
      <w:numFmt w:val="decimal"/>
      <w:lvlText w:val="%1."/>
      <w:lvlJc w:val="left"/>
      <w:pPr>
        <w:tabs>
          <w:tab w:val="num" w:pos="1260"/>
        </w:tabs>
        <w:ind w:left="180" w:firstLine="720"/>
      </w:pPr>
      <w:rPr>
        <w:rFonts w:ascii="Times New Roman" w:hAnsi="Times New Roman" w:cs="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080"/>
        </w:tabs>
        <w:ind w:left="720"/>
      </w:pPr>
      <w:rPr>
        <w:rFonts w:cs="Times New Roman"/>
      </w:rPr>
    </w:lvl>
    <w:lvl w:ilvl="2">
      <w:start w:val="1"/>
      <w:numFmt w:val="decimal"/>
      <w:lvlRestart w:val="0"/>
      <w:lvlText w:val="%3."/>
      <w:lvlJc w:val="left"/>
      <w:pPr>
        <w:tabs>
          <w:tab w:val="num" w:pos="1440"/>
        </w:tabs>
        <w:ind w:left="360" w:firstLine="720"/>
      </w:pPr>
      <w:rPr>
        <w:rFonts w:ascii="Times New Roman" w:hAnsi="Times New Roman" w:cs="Times New Roman" w:hint="default"/>
        <w:b w:val="0"/>
        <w:i w:val="0"/>
        <w:color w:val="auto"/>
        <w:sz w:val="22"/>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7"/>
  </w:num>
  <w:num w:numId="3">
    <w:abstractNumId w:val="3"/>
  </w:num>
  <w:num w:numId="4">
    <w:abstractNumId w:val="6"/>
  </w:num>
  <w:num w:numId="5">
    <w:abstractNumId w:val="2"/>
  </w:num>
  <w:num w:numId="6">
    <w:abstractNumId w:val="0"/>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177"/>
    <w:rsid w:val="00036039"/>
    <w:rsid w:val="00037F90"/>
    <w:rsid w:val="0004289B"/>
    <w:rsid w:val="0005166D"/>
    <w:rsid w:val="00084F01"/>
    <w:rsid w:val="000875BF"/>
    <w:rsid w:val="00096D8C"/>
    <w:rsid w:val="000A3DC1"/>
    <w:rsid w:val="000C0B65"/>
    <w:rsid w:val="000E05FE"/>
    <w:rsid w:val="000E3D42"/>
    <w:rsid w:val="00103F7D"/>
    <w:rsid w:val="00122BD5"/>
    <w:rsid w:val="00133F79"/>
    <w:rsid w:val="00184655"/>
    <w:rsid w:val="00194A66"/>
    <w:rsid w:val="001A5B56"/>
    <w:rsid w:val="001A6BDE"/>
    <w:rsid w:val="001D6BCF"/>
    <w:rsid w:val="001E01CA"/>
    <w:rsid w:val="00235BA2"/>
    <w:rsid w:val="00271C12"/>
    <w:rsid w:val="00275CF5"/>
    <w:rsid w:val="0028301F"/>
    <w:rsid w:val="00285017"/>
    <w:rsid w:val="002A2D2E"/>
    <w:rsid w:val="002C00E8"/>
    <w:rsid w:val="002C382B"/>
    <w:rsid w:val="003002AD"/>
    <w:rsid w:val="0031147D"/>
    <w:rsid w:val="00343749"/>
    <w:rsid w:val="003660ED"/>
    <w:rsid w:val="00382992"/>
    <w:rsid w:val="003B0550"/>
    <w:rsid w:val="003B694F"/>
    <w:rsid w:val="003D5BDB"/>
    <w:rsid w:val="003F171C"/>
    <w:rsid w:val="00412FC5"/>
    <w:rsid w:val="00422276"/>
    <w:rsid w:val="004242F1"/>
    <w:rsid w:val="00442609"/>
    <w:rsid w:val="00445A00"/>
    <w:rsid w:val="004461BC"/>
    <w:rsid w:val="00451B0F"/>
    <w:rsid w:val="00463DE9"/>
    <w:rsid w:val="004B6B00"/>
    <w:rsid w:val="004C2EE3"/>
    <w:rsid w:val="004E4A22"/>
    <w:rsid w:val="004E69FB"/>
    <w:rsid w:val="00511968"/>
    <w:rsid w:val="0055614C"/>
    <w:rsid w:val="00564004"/>
    <w:rsid w:val="00566D06"/>
    <w:rsid w:val="00584EB8"/>
    <w:rsid w:val="005C5963"/>
    <w:rsid w:val="005E14C2"/>
    <w:rsid w:val="00607BA5"/>
    <w:rsid w:val="0061180A"/>
    <w:rsid w:val="00626EB6"/>
    <w:rsid w:val="00655D03"/>
    <w:rsid w:val="00683388"/>
    <w:rsid w:val="00683F84"/>
    <w:rsid w:val="006A6A81"/>
    <w:rsid w:val="006F7393"/>
    <w:rsid w:val="0070224F"/>
    <w:rsid w:val="00710337"/>
    <w:rsid w:val="007115F7"/>
    <w:rsid w:val="007237D7"/>
    <w:rsid w:val="00765135"/>
    <w:rsid w:val="00785689"/>
    <w:rsid w:val="0079754B"/>
    <w:rsid w:val="007A1E6D"/>
    <w:rsid w:val="007B0EB2"/>
    <w:rsid w:val="007F4CFC"/>
    <w:rsid w:val="00810B6F"/>
    <w:rsid w:val="0081200C"/>
    <w:rsid w:val="00822CE0"/>
    <w:rsid w:val="00827D99"/>
    <w:rsid w:val="00841AB1"/>
    <w:rsid w:val="00863F7C"/>
    <w:rsid w:val="0087583D"/>
    <w:rsid w:val="00896D05"/>
    <w:rsid w:val="008C487C"/>
    <w:rsid w:val="008C68F1"/>
    <w:rsid w:val="008E5177"/>
    <w:rsid w:val="0090408E"/>
    <w:rsid w:val="00921803"/>
    <w:rsid w:val="00923E5F"/>
    <w:rsid w:val="00926503"/>
    <w:rsid w:val="009371CF"/>
    <w:rsid w:val="009726D8"/>
    <w:rsid w:val="0099257E"/>
    <w:rsid w:val="009D7308"/>
    <w:rsid w:val="009E0A7B"/>
    <w:rsid w:val="009F76DB"/>
    <w:rsid w:val="00A130E0"/>
    <w:rsid w:val="00A32C3B"/>
    <w:rsid w:val="00A33ECA"/>
    <w:rsid w:val="00A45F4F"/>
    <w:rsid w:val="00A600A9"/>
    <w:rsid w:val="00AA55B7"/>
    <w:rsid w:val="00AA5B9E"/>
    <w:rsid w:val="00AB2407"/>
    <w:rsid w:val="00AB53DF"/>
    <w:rsid w:val="00AE2201"/>
    <w:rsid w:val="00B07E5C"/>
    <w:rsid w:val="00B811F7"/>
    <w:rsid w:val="00BA5DC6"/>
    <w:rsid w:val="00BA6196"/>
    <w:rsid w:val="00BC6D8C"/>
    <w:rsid w:val="00C34006"/>
    <w:rsid w:val="00C36B4C"/>
    <w:rsid w:val="00C426B1"/>
    <w:rsid w:val="00C576A5"/>
    <w:rsid w:val="00C65BF9"/>
    <w:rsid w:val="00C66160"/>
    <w:rsid w:val="00C721AC"/>
    <w:rsid w:val="00C90D6A"/>
    <w:rsid w:val="00CA247E"/>
    <w:rsid w:val="00CA6D21"/>
    <w:rsid w:val="00CC72B6"/>
    <w:rsid w:val="00D0218D"/>
    <w:rsid w:val="00D25FB5"/>
    <w:rsid w:val="00D44223"/>
    <w:rsid w:val="00D46F34"/>
    <w:rsid w:val="00D50383"/>
    <w:rsid w:val="00D833DB"/>
    <w:rsid w:val="00DA2529"/>
    <w:rsid w:val="00DA291C"/>
    <w:rsid w:val="00DB130A"/>
    <w:rsid w:val="00DB2EBB"/>
    <w:rsid w:val="00DB7629"/>
    <w:rsid w:val="00DC10A1"/>
    <w:rsid w:val="00DC655F"/>
    <w:rsid w:val="00DC7D4E"/>
    <w:rsid w:val="00DD0B59"/>
    <w:rsid w:val="00DD7EBD"/>
    <w:rsid w:val="00DF629F"/>
    <w:rsid w:val="00DF62B6"/>
    <w:rsid w:val="00E07225"/>
    <w:rsid w:val="00E11668"/>
    <w:rsid w:val="00E21C15"/>
    <w:rsid w:val="00E21D90"/>
    <w:rsid w:val="00E5409F"/>
    <w:rsid w:val="00E76637"/>
    <w:rsid w:val="00EE6488"/>
    <w:rsid w:val="00F021FA"/>
    <w:rsid w:val="00F44AC5"/>
    <w:rsid w:val="00F62E97"/>
    <w:rsid w:val="00F64209"/>
    <w:rsid w:val="00F93BF5"/>
    <w:rsid w:val="00FE7CE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DFF9E4A2-3536-4B20-B806-D31337FF1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ootnote Text Char,Footnote Text Char Char Char,Footnote Text Char Char Char Char Char Char,Footnote Text Char1 Char,Footnote Text Char1 Char1 Char Char Char,Footnote Text Char2 Char Char Char,f,fn,fn Char"/>
    <w:link w:val="FootnoteTextChar1"/>
    <w:rsid w:val="000E3D42"/>
    <w:pPr>
      <w:spacing w:after="120"/>
    </w:pPr>
  </w:style>
  <w:style w:type="character" w:styleId="FootnoteReference">
    <w:name w:val="footnote reference"/>
    <w:aliases w:val="(NECG) Footnote Reference,Appel note de bas de p,FR,Footnote Reference/,Footnote Reference1,Style 12,Style 124,Style 13,Style 17,Style 3,Style 6,Style 7,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Heading1Char">
    <w:name w:val="Heading 1 Char"/>
    <w:link w:val="Heading1"/>
    <w:locked/>
    <w:rsid w:val="008E5177"/>
    <w:rPr>
      <w:rFonts w:ascii="Times New Roman Bold" w:hAnsi="Times New Roman Bold"/>
      <w:b/>
      <w:caps/>
      <w:snapToGrid w:val="0"/>
      <w:kern w:val="28"/>
      <w:sz w:val="22"/>
    </w:rPr>
  </w:style>
  <w:style w:type="character" w:customStyle="1" w:styleId="HeaderChar">
    <w:name w:val="Header Char"/>
    <w:link w:val="Header"/>
    <w:locked/>
    <w:rsid w:val="008E5177"/>
    <w:rPr>
      <w:b/>
      <w:snapToGrid w:val="0"/>
      <w:kern w:val="28"/>
      <w:sz w:val="22"/>
    </w:rPr>
  </w:style>
  <w:style w:type="paragraph" w:customStyle="1" w:styleId="Titleinfo">
    <w:name w:val="Title info"/>
    <w:basedOn w:val="Header"/>
    <w:rsid w:val="008E5177"/>
  </w:style>
  <w:style w:type="paragraph" w:customStyle="1" w:styleId="Numberedparagraphs">
    <w:name w:val="Numbered paragraphs"/>
    <w:basedOn w:val="Normal"/>
    <w:rsid w:val="008E5177"/>
    <w:pPr>
      <w:numPr>
        <w:ilvl w:val="2"/>
        <w:numId w:val="7"/>
      </w:numPr>
      <w:spacing w:after="220"/>
    </w:pPr>
  </w:style>
  <w:style w:type="character" w:customStyle="1" w:styleId="StyleNumberedparagraphs11ptChar">
    <w:name w:val="Style Numbered paragraphs + 11 pt Char"/>
    <w:rsid w:val="008E5177"/>
    <w:rPr>
      <w:sz w:val="22"/>
      <w:lang w:val="en-US" w:eastAsia="en-US"/>
    </w:rPr>
  </w:style>
  <w:style w:type="character" w:customStyle="1" w:styleId="FootnoteTextChar1">
    <w:name w:val="Footnote Text Char1"/>
    <w:aliases w:val="ALTS FOOTNOTE Char Char,ALTS FOOTNOTE Char1,Footnote Text Char Char,Footnote Text Char Char Char Char,Footnote Text Char1 Char Char,Footnote Text Char2 Char Char Char Char,f Char,fn Char Char,fn Char1"/>
    <w:link w:val="FootnoteText"/>
    <w:locked/>
    <w:rsid w:val="008E5177"/>
  </w:style>
  <w:style w:type="paragraph" w:styleId="ListParagraph">
    <w:name w:val="List Paragraph"/>
    <w:basedOn w:val="Normal"/>
    <w:uiPriority w:val="34"/>
    <w:qFormat/>
    <w:rsid w:val="008E517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4.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usac.org/rhc/healthcare-connect/Individual/step07/default.aspx" TargetMode="External" /><Relationship Id="rId2" Type="http://schemas.openxmlformats.org/officeDocument/2006/relationships/hyperlink" Target="https://1.next.westlaw.com/Link/Document/FullText?findType=Y&amp;serNum=2039446623&amp;pubNum=0004493&amp;originatingDoc=I403cce53bef911e794bae40cad3637b1&amp;refType=CA&amp;fi=co_pp_sp_4493_7733&amp;originationContext=document&amp;transitionType=DocumentItem&amp;contextData=(sc.Search)"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