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E31AC" w:rsidRPr="003E31AC" w:rsidP="00F96F63" w14:paraId="25CA295D" w14:textId="77777777">
      <w:pPr>
        <w:rPr>
          <w:sz w:val="12"/>
          <w:szCs w:val="12"/>
        </w:rPr>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pPr>
      <w:bookmarkStart w:id="1" w:name="TOChere"/>
    </w:p>
    <w:bookmarkEnd w:id="1"/>
    <w:p w:rsidR="003E31AC" w:rsidRPr="00A87AD7" w:rsidP="003E31AC" w14:paraId="57A18A35" w14:textId="560835F0">
      <w:pPr>
        <w:spacing w:before="120"/>
        <w:jc w:val="right"/>
        <w:rPr>
          <w:b/>
          <w:szCs w:val="22"/>
        </w:rPr>
      </w:pPr>
      <w:r w:rsidRPr="00A87AD7">
        <w:rPr>
          <w:b/>
          <w:szCs w:val="22"/>
        </w:rPr>
        <w:t xml:space="preserve">DA </w:t>
      </w:r>
      <w:r>
        <w:rPr>
          <w:b/>
          <w:szCs w:val="22"/>
        </w:rPr>
        <w:t>18-</w:t>
      </w:r>
      <w:r w:rsidR="008138D8">
        <w:rPr>
          <w:b/>
          <w:szCs w:val="22"/>
        </w:rPr>
        <w:t>1280</w:t>
      </w:r>
    </w:p>
    <w:p w:rsidR="003E31AC" w:rsidP="003E31AC" w14:paraId="6B4000A6" w14:textId="77777777">
      <w:pPr>
        <w:spacing w:before="60"/>
        <w:jc w:val="right"/>
        <w:rPr>
          <w:b/>
          <w:szCs w:val="22"/>
        </w:rPr>
      </w:pPr>
      <w:r w:rsidRPr="00A87AD7">
        <w:rPr>
          <w:b/>
          <w:szCs w:val="22"/>
        </w:rPr>
        <w:t>Released:</w:t>
      </w:r>
      <w:r>
        <w:rPr>
          <w:b/>
          <w:szCs w:val="22"/>
        </w:rPr>
        <w:t xml:space="preserve"> December 20,</w:t>
      </w:r>
      <w:r w:rsidRPr="00A87AD7">
        <w:rPr>
          <w:b/>
          <w:szCs w:val="22"/>
        </w:rPr>
        <w:t xml:space="preserve"> </w:t>
      </w:r>
      <w:r>
        <w:rPr>
          <w:b/>
          <w:szCs w:val="22"/>
        </w:rPr>
        <w:t>2018</w:t>
      </w:r>
    </w:p>
    <w:p w:rsidR="003E31AC" w:rsidRPr="00A87AD7" w:rsidP="003E31AC" w14:paraId="1165C1A4" w14:textId="77777777">
      <w:pPr>
        <w:spacing w:before="60"/>
        <w:jc w:val="right"/>
        <w:rPr>
          <w:b/>
          <w:szCs w:val="22"/>
        </w:rPr>
      </w:pPr>
    </w:p>
    <w:p w:rsidR="003E31AC" w:rsidRPr="00A87AD7" w:rsidP="003E31AC" w14:paraId="07C26242" w14:textId="77777777">
      <w:pPr>
        <w:jc w:val="center"/>
        <w:rPr>
          <w:b/>
          <w:szCs w:val="22"/>
        </w:rPr>
      </w:pPr>
      <w:r w:rsidRPr="00A87AD7">
        <w:rPr>
          <w:b/>
          <w:szCs w:val="22"/>
        </w:rPr>
        <w:t xml:space="preserve">WIRELINE COMPETITION BUREAU ANNOUNCES RESULTS OF </w:t>
      </w:r>
      <w:r>
        <w:rPr>
          <w:b/>
          <w:szCs w:val="22"/>
        </w:rPr>
        <w:t>2019</w:t>
      </w:r>
      <w:r w:rsidRPr="00A87AD7">
        <w:rPr>
          <w:b/>
          <w:szCs w:val="22"/>
        </w:rPr>
        <w:t xml:space="preserve"> URBAN RATE SURVEY FOR FIXED VOICE AND BROADBAND SERVICES, </w:t>
      </w:r>
      <w:r>
        <w:rPr>
          <w:b/>
          <w:szCs w:val="22"/>
        </w:rPr>
        <w:t>PO</w:t>
      </w:r>
      <w:r w:rsidRPr="00A87AD7">
        <w:rPr>
          <w:b/>
          <w:szCs w:val="22"/>
        </w:rPr>
        <w:t>STING OF SURVEY DATA AND EXPLANATORY</w:t>
      </w:r>
      <w:r>
        <w:rPr>
          <w:b/>
          <w:szCs w:val="22"/>
        </w:rPr>
        <w:t xml:space="preserve"> NOTES, AND</w:t>
      </w:r>
      <w:r w:rsidRPr="00A87AD7">
        <w:rPr>
          <w:b/>
          <w:szCs w:val="22"/>
        </w:rPr>
        <w:t xml:space="preserve"> REQUIRED MINIMUM USAGE ALLOWANCE FOR E</w:t>
      </w:r>
      <w:r>
        <w:rPr>
          <w:b/>
          <w:szCs w:val="22"/>
        </w:rPr>
        <w:t xml:space="preserve">LIGIBLE </w:t>
      </w:r>
      <w:r w:rsidRPr="00A87AD7">
        <w:rPr>
          <w:b/>
          <w:szCs w:val="22"/>
        </w:rPr>
        <w:t>T</w:t>
      </w:r>
      <w:r>
        <w:rPr>
          <w:b/>
          <w:szCs w:val="22"/>
        </w:rPr>
        <w:t>ELECOMMUNICATIONS CARRIERS</w:t>
      </w:r>
      <w:r w:rsidRPr="00A87AD7">
        <w:rPr>
          <w:b/>
          <w:szCs w:val="22"/>
        </w:rPr>
        <w:t xml:space="preserve">  </w:t>
      </w:r>
    </w:p>
    <w:p w:rsidR="003E31AC" w:rsidRPr="00A87AD7" w:rsidP="003E31AC" w14:paraId="474041DD" w14:textId="77777777">
      <w:pPr>
        <w:jc w:val="center"/>
        <w:rPr>
          <w:b/>
          <w:szCs w:val="22"/>
        </w:rPr>
      </w:pPr>
    </w:p>
    <w:p w:rsidR="003E31AC" w:rsidRPr="00A87AD7" w:rsidP="003E31AC" w14:paraId="072B847E" w14:textId="77777777">
      <w:pPr>
        <w:jc w:val="center"/>
        <w:rPr>
          <w:b/>
          <w:szCs w:val="22"/>
        </w:rPr>
      </w:pPr>
      <w:r w:rsidRPr="00A87AD7">
        <w:rPr>
          <w:b/>
          <w:szCs w:val="22"/>
        </w:rPr>
        <w:t>WC Docket No. 10-90</w:t>
      </w:r>
    </w:p>
    <w:p w:rsidR="003E31AC" w:rsidRPr="00A87AD7" w:rsidP="003E31AC" w14:paraId="2B869B02" w14:textId="77777777">
      <w:pPr>
        <w:jc w:val="center"/>
        <w:rPr>
          <w:b/>
          <w:szCs w:val="22"/>
        </w:rPr>
      </w:pPr>
    </w:p>
    <w:p w:rsidR="003E31AC" w:rsidP="003E31AC" w14:paraId="65F56F45" w14:textId="77777777">
      <w:pPr>
        <w:widowControl/>
        <w:ind w:firstLine="720"/>
        <w:rPr>
          <w:szCs w:val="22"/>
        </w:rPr>
      </w:pPr>
      <w:r w:rsidRPr="00A87AD7">
        <w:rPr>
          <w:szCs w:val="22"/>
        </w:rPr>
        <w:t>Today, the Wireline Competition Bu</w:t>
      </w:r>
      <w:r>
        <w:rPr>
          <w:szCs w:val="22"/>
        </w:rPr>
        <w:t>reau (Bureau) announces the 2019</w:t>
      </w:r>
      <w:r w:rsidRPr="00A87AD7">
        <w:rPr>
          <w:szCs w:val="22"/>
        </w:rPr>
        <w:t xml:space="preserve"> reasonable comparability benchmarks for fixed voice and broadband services</w:t>
      </w:r>
      <w:r>
        <w:rPr>
          <w:szCs w:val="22"/>
        </w:rPr>
        <w:t xml:space="preserve"> for eligible telecommunications carriers (ETCs) subject to broadband public interest obligations, including incumbent local exchange rate-of-return carriers, incumbent price-cap carriers receiving CAF Phase II support, Rural Broadband Experiment providers, and </w:t>
      </w:r>
      <w:hyperlink r:id="rId10" w:history="1">
        <w:r w:rsidRPr="009F4707">
          <w:rPr>
            <w:bCs/>
            <w:shd w:val="clear" w:color="auto" w:fill="FFFFFF"/>
          </w:rPr>
          <w:t>Connect America Fund Phase II Auction (Auction 903)</w:t>
        </w:r>
      </w:hyperlink>
      <w:r w:rsidRPr="009F4707">
        <w:t xml:space="preserve"> </w:t>
      </w:r>
      <w:r>
        <w:t>winners</w:t>
      </w:r>
      <w:r w:rsidRPr="00A87AD7">
        <w:rPr>
          <w:szCs w:val="22"/>
        </w:rPr>
        <w:t>.</w:t>
      </w:r>
      <w:r>
        <w:rPr>
          <w:rStyle w:val="FootnoteReference"/>
          <w:szCs w:val="22"/>
        </w:rPr>
        <w:footnoteReference w:id="3"/>
      </w:r>
      <w:r w:rsidRPr="00A87AD7">
        <w:rPr>
          <w:szCs w:val="22"/>
        </w:rPr>
        <w:t xml:space="preserve">  In addition, we announce the posting of the fixed voice and broadband services data collected in the most recent urban rate survey, and explanatory notes regarding the data, on the Commission’s website at </w:t>
      </w:r>
      <w:r w:rsidRPr="00120608">
        <w:rPr>
          <w:szCs w:val="22"/>
        </w:rPr>
        <w:t>http://www.fcc.gov/encyclopedia/urban-rate-survey-data</w:t>
      </w:r>
      <w:r w:rsidRPr="00A87AD7">
        <w:rPr>
          <w:szCs w:val="22"/>
        </w:rPr>
        <w:t xml:space="preserve">.  </w:t>
      </w:r>
      <w:r>
        <w:rPr>
          <w:szCs w:val="22"/>
        </w:rPr>
        <w:t xml:space="preserve">The Bureau also announces the required minimum usage allowance for ETCs subject to public interest obligations for fixed broadband.  </w:t>
      </w:r>
    </w:p>
    <w:p w:rsidR="003E31AC" w:rsidRPr="00A87AD7" w:rsidP="003E31AC" w14:paraId="13BA9837" w14:textId="77777777">
      <w:pPr>
        <w:widowControl/>
        <w:ind w:firstLine="720"/>
        <w:rPr>
          <w:szCs w:val="22"/>
        </w:rPr>
      </w:pPr>
    </w:p>
    <w:p w:rsidR="003E31AC" w:rsidP="003E31AC" w14:paraId="786E29E7" w14:textId="77777777">
      <w:pPr>
        <w:widowControl/>
        <w:spacing w:after="120"/>
        <w:ind w:firstLine="720"/>
      </w:pPr>
      <w:r w:rsidRPr="00A87AD7">
        <w:rPr>
          <w:i/>
          <w:szCs w:val="22"/>
        </w:rPr>
        <w:t xml:space="preserve">Voice Rates.  </w:t>
      </w:r>
      <w:r w:rsidRPr="00A87AD7">
        <w:rPr>
          <w:szCs w:val="22"/>
        </w:rPr>
        <w:t>Based on the survey results, the 201</w:t>
      </w:r>
      <w:r>
        <w:rPr>
          <w:szCs w:val="22"/>
        </w:rPr>
        <w:t>9</w:t>
      </w:r>
      <w:r w:rsidRPr="00A87AD7">
        <w:rPr>
          <w:szCs w:val="22"/>
        </w:rPr>
        <w:t xml:space="preserve"> </w:t>
      </w:r>
      <w:r>
        <w:rPr>
          <w:szCs w:val="22"/>
        </w:rPr>
        <w:t>urban average monthly rate (the rate floor) is</w:t>
      </w:r>
      <w:r w:rsidRPr="00A87AD7">
        <w:rPr>
          <w:szCs w:val="22"/>
        </w:rPr>
        <w:t xml:space="preserve"> $</w:t>
      </w:r>
      <w:r>
        <w:t>26.98</w:t>
      </w:r>
      <w:r>
        <w:rPr>
          <w:szCs w:val="22"/>
        </w:rPr>
        <w:t>.</w:t>
      </w:r>
      <w:r>
        <w:rPr>
          <w:rStyle w:val="FootnoteReference"/>
          <w:szCs w:val="22"/>
        </w:rPr>
        <w:footnoteReference w:id="4"/>
      </w:r>
      <w:r w:rsidRPr="00A87AD7">
        <w:rPr>
          <w:szCs w:val="22"/>
        </w:rPr>
        <w:t xml:space="preserve">  </w:t>
      </w:r>
      <w:r>
        <w:rPr>
          <w:szCs w:val="22"/>
        </w:rPr>
        <w:t xml:space="preserve">Therefore, </w:t>
      </w:r>
      <w:r w:rsidRPr="00A87AD7">
        <w:rPr>
          <w:szCs w:val="22"/>
        </w:rPr>
        <w:t>the reasonable comparability benchmark for voice services</w:t>
      </w:r>
      <w:r>
        <w:rPr>
          <w:szCs w:val="22"/>
        </w:rPr>
        <w:t>, two standard deviations above the urban average,</w:t>
      </w:r>
      <w:r w:rsidRPr="00A87AD7">
        <w:rPr>
          <w:szCs w:val="22"/>
        </w:rPr>
        <w:t xml:space="preserve"> is $</w:t>
      </w:r>
      <w:r>
        <w:t>51.61</w:t>
      </w:r>
      <w:r w:rsidRPr="00A87AD7">
        <w:rPr>
          <w:szCs w:val="22"/>
        </w:rPr>
        <w:t>.</w:t>
      </w:r>
      <w:r>
        <w:rPr>
          <w:rStyle w:val="FootnoteReference"/>
          <w:szCs w:val="22"/>
        </w:rPr>
        <w:footnoteReference w:id="5"/>
      </w:r>
      <w:r w:rsidRPr="00A87AD7">
        <w:rPr>
          <w:szCs w:val="22"/>
        </w:rPr>
        <w:t xml:space="preserve">  Under the Commission’s rules, </w:t>
      </w:r>
      <w:r>
        <w:rPr>
          <w:szCs w:val="22"/>
        </w:rPr>
        <w:t>e</w:t>
      </w:r>
      <w:r w:rsidRPr="00A87AD7">
        <w:rPr>
          <w:szCs w:val="22"/>
        </w:rPr>
        <w:t>ach ETC, including competitive ETCs providing fixed voice services,</w:t>
      </w:r>
      <w:r>
        <w:rPr>
          <w:rStyle w:val="FootnoteReference"/>
          <w:szCs w:val="22"/>
        </w:rPr>
        <w:footnoteReference w:id="6"/>
      </w:r>
      <w:r w:rsidRPr="00A87AD7">
        <w:rPr>
          <w:szCs w:val="22"/>
        </w:rPr>
        <w:t xml:space="preserve"> must certify in the FCC Form 481 </w:t>
      </w:r>
      <w:r>
        <w:rPr>
          <w:szCs w:val="22"/>
        </w:rPr>
        <w:t>filed no later than July 1, 2019</w:t>
      </w:r>
      <w:r w:rsidRPr="00A87AD7">
        <w:rPr>
          <w:szCs w:val="22"/>
        </w:rPr>
        <w:t>, that the pricing of its</w:t>
      </w:r>
      <w:r>
        <w:t xml:space="preserve"> basic residential voice services is no more than $51.61.</w:t>
      </w:r>
      <w:r>
        <w:rPr>
          <w:rStyle w:val="FootnoteReference"/>
        </w:rPr>
        <w:footnoteReference w:id="7"/>
      </w:r>
    </w:p>
    <w:p w:rsidR="003E31AC" w:rsidP="003E31AC" w14:paraId="354A7E67" w14:textId="77777777">
      <w:pPr>
        <w:widowControl/>
        <w:spacing w:after="120"/>
        <w:ind w:firstLine="720"/>
      </w:pPr>
      <w:r>
        <w:t>In May 2017, the Commission froze the rate at which support reductions would occur at $18 until July 1, 2018 or until the Commission takes further action.</w:t>
      </w:r>
      <w:r>
        <w:rPr>
          <w:rStyle w:val="FootnoteReference"/>
        </w:rPr>
        <w:footnoteReference w:id="8"/>
      </w:r>
      <w:r>
        <w:t xml:space="preserve">  The Commission also sought comment on whether to make any changes to the current rate floor methodology or eliminate the rate floor and its accompanying reporting obligation entirely.  This proceeding remains pending.</w:t>
      </w:r>
      <w:r>
        <w:rPr>
          <w:rStyle w:val="FootnoteReference"/>
        </w:rPr>
        <w:footnoteReference w:id="9"/>
      </w:r>
      <w:r>
        <w:t xml:space="preserve">  Unless the Commission takes further action prior to July 1, 2019, carriers will be subject to support reductions for any rate that is less than $26.98 and must report their rates to the extent those rates are below the rate floor (i.e. $26.98) in their annual Form 481 filings.</w:t>
      </w:r>
      <w:r>
        <w:rPr>
          <w:rStyle w:val="FootnoteReference"/>
        </w:rPr>
        <w:footnoteReference w:id="10"/>
      </w:r>
      <w:r>
        <w:t xml:space="preserve">  </w:t>
      </w:r>
      <w:bookmarkStart w:id="2" w:name="_GoBack"/>
      <w:bookmarkEnd w:id="2"/>
    </w:p>
    <w:p w:rsidR="003E31AC" w:rsidP="003E31AC" w14:paraId="05DFF616" w14:textId="77777777">
      <w:pPr>
        <w:spacing w:after="120"/>
        <w:ind w:firstLine="720"/>
      </w:pPr>
      <w:r w:rsidRPr="001A1646">
        <w:rPr>
          <w:i/>
        </w:rPr>
        <w:t>Broadband Rates</w:t>
      </w:r>
      <w:r>
        <w:t>.  Recipients of high-cost and/or Connect America Fund support that are subject to broadband performance obligations are required to offer broadband service at rates that are at or below the relevant reasonable comparability benchmark.</w:t>
      </w:r>
      <w:r>
        <w:rPr>
          <w:rStyle w:val="FootnoteReference"/>
        </w:rPr>
        <w:footnoteReference w:id="11"/>
      </w:r>
      <w:r>
        <w:t xml:space="preserve">  Carriers subject to the Alaska Plan are required to meet Alaska-specific benchmarks</w:t>
      </w:r>
      <w:r>
        <w:rPr>
          <w:rStyle w:val="FootnoteReference"/>
        </w:rPr>
        <w:footnoteReference w:id="12"/>
      </w:r>
      <w:r>
        <w:t xml:space="preserve"> and to certify that they are meeting the relevant reasonable comparability benchmark for their broadband service offering in the FCC Form 481 filed no later than July 1, 2019.</w:t>
      </w:r>
      <w:r>
        <w:rPr>
          <w:rStyle w:val="FootnoteReference"/>
        </w:rPr>
        <w:footnoteReference w:id="13"/>
      </w:r>
    </w:p>
    <w:p w:rsidR="003E31AC" w:rsidP="003E31AC" w14:paraId="7BF05419" w14:textId="77777777">
      <w:pPr>
        <w:spacing w:after="120"/>
        <w:ind w:firstLine="720"/>
      </w:pPr>
      <w:r>
        <w:t>Under the approach adopted by the Bureau in 2014, the reasonable comparability broadband benchmark varies, depending upon the supported service’s download and upload bandwidths and usage allowance.</w:t>
      </w:r>
      <w:r>
        <w:rPr>
          <w:rStyle w:val="FootnoteReference"/>
        </w:rPr>
        <w:footnoteReference w:id="14"/>
      </w:r>
      <w:r>
        <w:t xml:space="preserve">  Alaska-specific benchmarks were developed in the same manner using data from Alaska carriers serving Alaska urban areas.  </w:t>
      </w:r>
    </w:p>
    <w:p w:rsidR="003E31AC" w:rsidP="003E31AC" w14:paraId="4DD7466E" w14:textId="77777777">
      <w:pPr>
        <w:spacing w:after="120"/>
        <w:ind w:firstLine="720"/>
      </w:pPr>
      <w:r>
        <w:t>The following table provides the 2019 benchmark</w:t>
      </w:r>
      <w:r>
        <w:rPr>
          <w:rStyle w:val="FootnoteReference"/>
        </w:rPr>
        <w:footnoteReference w:id="15"/>
      </w:r>
      <w:r>
        <w:t xml:space="preserve"> for </w:t>
      </w:r>
      <w:r>
        <w:t>a number of</w:t>
      </w:r>
      <w:r>
        <w:t xml:space="preserve"> different broadband service offerings, though providers will need to determine the benchmark for services with characteristics not shown in the table:</w:t>
      </w:r>
      <w:r>
        <w:rPr>
          <w:rStyle w:val="FootnoteReference"/>
        </w:rPr>
        <w:footnoteReference w:id="16"/>
      </w:r>
      <w:r>
        <w:t xml:space="preserve"> </w:t>
      </w:r>
    </w:p>
    <w:p w:rsidR="003E31AC" w:rsidP="003E31AC" w14:paraId="56B5D3D5" w14:textId="77777777">
      <w:pPr>
        <w:spacing w:after="120"/>
        <w:sectPr w:rsidSect="003E31AC">
          <w:endnotePr>
            <w:numFmt w:val="decimal"/>
          </w:endnotePr>
          <w:type w:val="continuous"/>
          <w:pgSz w:w="12240" w:h="15840"/>
          <w:pgMar w:top="1440" w:right="1440" w:bottom="720" w:left="1440" w:header="630" w:footer="720" w:gutter="0"/>
          <w:pgNumType w:start="1"/>
          <w:cols w:space="720"/>
          <w:noEndnote/>
          <w:titlePg/>
        </w:sectPr>
      </w:pPr>
    </w:p>
    <w:tbl>
      <w:tblPr>
        <w:tblW w:w="9800" w:type="dxa"/>
        <w:jc w:val="center"/>
        <w:tblLook w:val="04A0"/>
      </w:tblPr>
      <w:tblGrid>
        <w:gridCol w:w="2294"/>
        <w:gridCol w:w="2466"/>
        <w:gridCol w:w="2430"/>
        <w:gridCol w:w="1350"/>
        <w:gridCol w:w="1260"/>
      </w:tblGrid>
      <w:tr w14:paraId="167CF917" w14:textId="77777777" w:rsidTr="00191CFE">
        <w:tblPrEx>
          <w:tblW w:w="9800" w:type="dxa"/>
          <w:jc w:val="center"/>
          <w:tblLook w:val="04A0"/>
        </w:tblPrEx>
        <w:trPr>
          <w:trHeight w:val="315"/>
          <w:jc w:val="center"/>
        </w:trPr>
        <w:tc>
          <w:tcPr>
            <w:tcW w:w="22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E31AC" w:rsidRPr="005610F1" w:rsidP="003E31AC" w14:paraId="188C8579" w14:textId="77777777">
            <w:pPr>
              <w:keepNext/>
              <w:keepLines/>
              <w:widowControl/>
              <w:jc w:val="center"/>
              <w:rPr>
                <w:b/>
                <w:color w:val="000000"/>
                <w:szCs w:val="22"/>
              </w:rPr>
            </w:pPr>
            <w:r w:rsidRPr="005610F1">
              <w:rPr>
                <w:b/>
                <w:color w:val="000000"/>
                <w:szCs w:val="22"/>
              </w:rPr>
              <w:t xml:space="preserve">Download </w:t>
            </w:r>
            <w:r>
              <w:rPr>
                <w:b/>
                <w:color w:val="000000"/>
                <w:szCs w:val="22"/>
              </w:rPr>
              <w:t>Bandwidth</w:t>
            </w:r>
            <w:r w:rsidRPr="005610F1">
              <w:rPr>
                <w:b/>
                <w:color w:val="000000"/>
                <w:szCs w:val="22"/>
              </w:rPr>
              <w:t xml:space="preserve"> (</w:t>
            </w:r>
            <w:r w:rsidRPr="005610F1">
              <w:rPr>
                <w:b/>
                <w:color w:val="000000"/>
                <w:szCs w:val="22"/>
              </w:rPr>
              <w:t>Mbps</w:t>
            </w:r>
            <w:r w:rsidRPr="005610F1">
              <w:rPr>
                <w:b/>
                <w:color w:val="000000"/>
                <w:szCs w:val="22"/>
              </w:rPr>
              <w:t>)</w:t>
            </w:r>
          </w:p>
        </w:tc>
        <w:tc>
          <w:tcPr>
            <w:tcW w:w="2466" w:type="dxa"/>
            <w:tcBorders>
              <w:top w:val="single" w:sz="8" w:space="0" w:color="auto"/>
              <w:left w:val="nil"/>
              <w:bottom w:val="single" w:sz="8" w:space="0" w:color="auto"/>
              <w:right w:val="single" w:sz="8" w:space="0" w:color="auto"/>
            </w:tcBorders>
            <w:shd w:val="clear" w:color="auto" w:fill="auto"/>
            <w:noWrap/>
            <w:vAlign w:val="center"/>
            <w:hideMark/>
          </w:tcPr>
          <w:p w:rsidR="003E31AC" w:rsidRPr="005610F1" w:rsidP="003E31AC" w14:paraId="61E9266E" w14:textId="77777777">
            <w:pPr>
              <w:keepNext/>
              <w:keepLines/>
              <w:widowControl/>
              <w:jc w:val="center"/>
              <w:rPr>
                <w:b/>
                <w:color w:val="000000"/>
                <w:szCs w:val="22"/>
              </w:rPr>
            </w:pPr>
            <w:r w:rsidRPr="005610F1">
              <w:rPr>
                <w:b/>
                <w:color w:val="000000"/>
                <w:szCs w:val="22"/>
              </w:rPr>
              <w:t xml:space="preserve">Upload </w:t>
            </w:r>
            <w:r>
              <w:rPr>
                <w:b/>
                <w:color w:val="000000"/>
                <w:szCs w:val="22"/>
              </w:rPr>
              <w:t>Bandwidth</w:t>
            </w:r>
            <w:r w:rsidRPr="005610F1">
              <w:rPr>
                <w:b/>
                <w:color w:val="000000"/>
                <w:szCs w:val="22"/>
              </w:rPr>
              <w:t xml:space="preserve"> (</w:t>
            </w:r>
            <w:r w:rsidRPr="005610F1">
              <w:rPr>
                <w:b/>
                <w:color w:val="000000"/>
                <w:szCs w:val="22"/>
              </w:rPr>
              <w:t>Mbps</w:t>
            </w:r>
            <w:r w:rsidRPr="005610F1">
              <w:rPr>
                <w:b/>
                <w:color w:val="000000"/>
                <w:szCs w:val="22"/>
              </w:rPr>
              <w:t>)</w:t>
            </w:r>
          </w:p>
        </w:tc>
        <w:tc>
          <w:tcPr>
            <w:tcW w:w="2430" w:type="dxa"/>
            <w:tcBorders>
              <w:top w:val="single" w:sz="8" w:space="0" w:color="auto"/>
              <w:left w:val="nil"/>
              <w:bottom w:val="single" w:sz="8" w:space="0" w:color="auto"/>
              <w:right w:val="single" w:sz="8" w:space="0" w:color="auto"/>
            </w:tcBorders>
            <w:shd w:val="clear" w:color="auto" w:fill="auto"/>
            <w:noWrap/>
            <w:vAlign w:val="center"/>
            <w:hideMark/>
          </w:tcPr>
          <w:p w:rsidR="003E31AC" w:rsidRPr="005610F1" w:rsidP="003E31AC" w14:paraId="487441FF" w14:textId="77777777">
            <w:pPr>
              <w:keepNext/>
              <w:keepLines/>
              <w:widowControl/>
              <w:jc w:val="center"/>
              <w:rPr>
                <w:b/>
                <w:color w:val="000000"/>
                <w:szCs w:val="22"/>
              </w:rPr>
            </w:pPr>
            <w:r w:rsidRPr="005610F1">
              <w:rPr>
                <w:b/>
                <w:color w:val="000000"/>
                <w:szCs w:val="22"/>
              </w:rPr>
              <w:t>Capacity Allowance (GB)</w:t>
            </w:r>
          </w:p>
        </w:tc>
        <w:tc>
          <w:tcPr>
            <w:tcW w:w="1350" w:type="dxa"/>
            <w:tcBorders>
              <w:top w:val="single" w:sz="8" w:space="0" w:color="auto"/>
              <w:left w:val="nil"/>
              <w:bottom w:val="single" w:sz="8" w:space="0" w:color="auto"/>
              <w:right w:val="single" w:sz="8" w:space="0" w:color="auto"/>
            </w:tcBorders>
            <w:shd w:val="clear" w:color="auto" w:fill="auto"/>
            <w:noWrap/>
            <w:vAlign w:val="center"/>
            <w:hideMark/>
          </w:tcPr>
          <w:p w:rsidR="003E31AC" w:rsidP="003E31AC" w14:paraId="2F14AD07" w14:textId="77777777">
            <w:pPr>
              <w:keepNext/>
              <w:keepLines/>
              <w:widowControl/>
              <w:jc w:val="center"/>
              <w:rPr>
                <w:b/>
                <w:color w:val="000000"/>
                <w:szCs w:val="22"/>
              </w:rPr>
            </w:pPr>
            <w:r>
              <w:rPr>
                <w:b/>
                <w:color w:val="000000"/>
                <w:szCs w:val="22"/>
              </w:rPr>
              <w:t>2019</w:t>
            </w:r>
            <w:r w:rsidRPr="005610F1">
              <w:rPr>
                <w:b/>
                <w:color w:val="000000"/>
                <w:szCs w:val="22"/>
              </w:rPr>
              <w:t xml:space="preserve"> U</w:t>
            </w:r>
            <w:r>
              <w:rPr>
                <w:b/>
                <w:color w:val="000000"/>
                <w:szCs w:val="22"/>
              </w:rPr>
              <w:t>.</w:t>
            </w:r>
            <w:r w:rsidRPr="005610F1">
              <w:rPr>
                <w:b/>
                <w:color w:val="000000"/>
                <w:szCs w:val="22"/>
              </w:rPr>
              <w:t>S</w:t>
            </w:r>
            <w:r>
              <w:rPr>
                <w:b/>
                <w:color w:val="000000"/>
                <w:szCs w:val="22"/>
              </w:rPr>
              <w:t xml:space="preserve">. </w:t>
            </w:r>
          </w:p>
          <w:p w:rsidR="003E31AC" w:rsidRPr="005610F1" w:rsidP="003E31AC" w14:paraId="473EB3C5" w14:textId="77777777">
            <w:pPr>
              <w:keepNext/>
              <w:keepLines/>
              <w:widowControl/>
              <w:jc w:val="center"/>
              <w:rPr>
                <w:b/>
                <w:color w:val="000000"/>
                <w:szCs w:val="22"/>
              </w:rPr>
            </w:pPr>
            <w:r>
              <w:rPr>
                <w:b/>
                <w:color w:val="000000"/>
                <w:szCs w:val="22"/>
              </w:rPr>
              <w:t>($)</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rsidR="003E31AC" w:rsidP="003E31AC" w14:paraId="4B835852" w14:textId="77777777">
            <w:pPr>
              <w:keepNext/>
              <w:keepLines/>
              <w:widowControl/>
              <w:jc w:val="center"/>
              <w:rPr>
                <w:b/>
                <w:color w:val="000000"/>
                <w:szCs w:val="22"/>
              </w:rPr>
            </w:pPr>
            <w:r>
              <w:rPr>
                <w:b/>
                <w:color w:val="000000"/>
                <w:szCs w:val="22"/>
              </w:rPr>
              <w:t>2019</w:t>
            </w:r>
            <w:r w:rsidRPr="005610F1">
              <w:rPr>
                <w:b/>
                <w:color w:val="000000"/>
                <w:szCs w:val="22"/>
              </w:rPr>
              <w:t xml:space="preserve"> AK</w:t>
            </w:r>
          </w:p>
          <w:p w:rsidR="003E31AC" w:rsidRPr="005610F1" w:rsidP="003E31AC" w14:paraId="08E00DC5" w14:textId="77777777">
            <w:pPr>
              <w:keepNext/>
              <w:keepLines/>
              <w:widowControl/>
              <w:jc w:val="center"/>
              <w:rPr>
                <w:b/>
                <w:color w:val="000000"/>
                <w:szCs w:val="22"/>
              </w:rPr>
            </w:pPr>
            <w:r>
              <w:rPr>
                <w:b/>
                <w:color w:val="000000"/>
                <w:szCs w:val="22"/>
              </w:rPr>
              <w:t xml:space="preserve"> ($)</w:t>
            </w:r>
          </w:p>
        </w:tc>
      </w:tr>
      <w:tr w14:paraId="180529D7" w14:textId="77777777" w:rsidTr="00191CFE">
        <w:tblPrEx>
          <w:tblW w:w="9800" w:type="dxa"/>
          <w:jc w:val="center"/>
          <w:tblLook w:val="04A0"/>
        </w:tblPrEx>
        <w:trPr>
          <w:trHeight w:val="315"/>
          <w:jc w:val="center"/>
        </w:trPr>
        <w:tc>
          <w:tcPr>
            <w:tcW w:w="2294" w:type="dxa"/>
            <w:tcBorders>
              <w:top w:val="nil"/>
              <w:left w:val="single" w:sz="8" w:space="0" w:color="auto"/>
              <w:bottom w:val="single" w:sz="8" w:space="0" w:color="auto"/>
              <w:right w:val="single" w:sz="8" w:space="0" w:color="auto"/>
            </w:tcBorders>
            <w:shd w:val="clear" w:color="auto" w:fill="auto"/>
            <w:noWrap/>
            <w:vAlign w:val="center"/>
            <w:hideMark/>
          </w:tcPr>
          <w:p w:rsidR="003E31AC" w:rsidRPr="008A0FCD" w:rsidP="003E31AC" w14:paraId="536C9583" w14:textId="77777777">
            <w:pPr>
              <w:keepNext/>
              <w:keepLines/>
              <w:widowControl/>
              <w:jc w:val="center"/>
              <w:rPr>
                <w:color w:val="000000"/>
                <w:szCs w:val="22"/>
              </w:rPr>
            </w:pPr>
            <w:r w:rsidRPr="008A0FCD">
              <w:rPr>
                <w:color w:val="000000"/>
                <w:szCs w:val="22"/>
              </w:rPr>
              <w:t>4</w:t>
            </w:r>
          </w:p>
        </w:tc>
        <w:tc>
          <w:tcPr>
            <w:tcW w:w="2466" w:type="dxa"/>
            <w:tcBorders>
              <w:top w:val="nil"/>
              <w:left w:val="nil"/>
              <w:bottom w:val="single" w:sz="8" w:space="0" w:color="auto"/>
              <w:right w:val="single" w:sz="8" w:space="0" w:color="auto"/>
            </w:tcBorders>
            <w:shd w:val="clear" w:color="auto" w:fill="auto"/>
            <w:noWrap/>
            <w:vAlign w:val="center"/>
            <w:hideMark/>
          </w:tcPr>
          <w:p w:rsidR="003E31AC" w:rsidRPr="008A0FCD" w:rsidP="003E31AC" w14:paraId="07B0983D" w14:textId="77777777">
            <w:pPr>
              <w:keepNext/>
              <w:keepLines/>
              <w:widowControl/>
              <w:jc w:val="center"/>
              <w:rPr>
                <w:color w:val="000000"/>
                <w:szCs w:val="22"/>
              </w:rPr>
            </w:pPr>
            <w:r w:rsidRPr="008A0FCD">
              <w:rPr>
                <w:color w:val="000000"/>
                <w:szCs w:val="22"/>
              </w:rPr>
              <w:t>1</w:t>
            </w:r>
          </w:p>
        </w:tc>
        <w:tc>
          <w:tcPr>
            <w:tcW w:w="2430" w:type="dxa"/>
            <w:tcBorders>
              <w:top w:val="nil"/>
              <w:left w:val="nil"/>
              <w:bottom w:val="single" w:sz="8" w:space="0" w:color="auto"/>
              <w:right w:val="single" w:sz="8" w:space="0" w:color="auto"/>
            </w:tcBorders>
            <w:shd w:val="clear" w:color="auto" w:fill="auto"/>
            <w:noWrap/>
            <w:vAlign w:val="center"/>
            <w:hideMark/>
          </w:tcPr>
          <w:p w:rsidR="003E31AC" w:rsidRPr="008A0FCD" w:rsidP="003E31AC" w14:paraId="1CCD00E1" w14:textId="77777777">
            <w:pPr>
              <w:keepNext/>
              <w:keepLines/>
              <w:widowControl/>
              <w:jc w:val="center"/>
              <w:rPr>
                <w:color w:val="000000"/>
                <w:szCs w:val="22"/>
              </w:rPr>
            </w:pPr>
            <w:r>
              <w:rPr>
                <w:color w:val="000000"/>
                <w:szCs w:val="22"/>
              </w:rPr>
              <w:t>200</w:t>
            </w:r>
          </w:p>
        </w:tc>
        <w:tc>
          <w:tcPr>
            <w:tcW w:w="1350" w:type="dxa"/>
            <w:tcBorders>
              <w:top w:val="nil"/>
              <w:left w:val="nil"/>
              <w:bottom w:val="single" w:sz="8" w:space="0" w:color="auto"/>
              <w:right w:val="single" w:sz="8" w:space="0" w:color="auto"/>
            </w:tcBorders>
            <w:shd w:val="clear" w:color="auto" w:fill="auto"/>
            <w:noWrap/>
          </w:tcPr>
          <w:p w:rsidR="003E31AC" w:rsidRPr="00687524" w:rsidP="003E31AC" w14:paraId="7FA76B5C" w14:textId="77777777">
            <w:pPr>
              <w:keepNext/>
              <w:keepLines/>
              <w:widowControl/>
              <w:jc w:val="right"/>
              <w:rPr>
                <w:color w:val="000000"/>
                <w:szCs w:val="22"/>
              </w:rPr>
            </w:pPr>
            <w:r>
              <w:t>66.12</w:t>
            </w:r>
          </w:p>
        </w:tc>
        <w:tc>
          <w:tcPr>
            <w:tcW w:w="1260" w:type="dxa"/>
            <w:tcBorders>
              <w:top w:val="nil"/>
              <w:left w:val="nil"/>
              <w:bottom w:val="single" w:sz="8" w:space="0" w:color="auto"/>
              <w:right w:val="single" w:sz="8" w:space="0" w:color="auto"/>
            </w:tcBorders>
            <w:shd w:val="clear" w:color="auto" w:fill="auto"/>
            <w:noWrap/>
          </w:tcPr>
          <w:p w:rsidR="003E31AC" w:rsidRPr="00687524" w:rsidP="003E31AC" w14:paraId="54CEAE65" w14:textId="77777777">
            <w:pPr>
              <w:keepNext/>
              <w:keepLines/>
              <w:widowControl/>
              <w:jc w:val="right"/>
              <w:rPr>
                <w:color w:val="000000"/>
                <w:szCs w:val="22"/>
              </w:rPr>
            </w:pPr>
            <w:r>
              <w:t>113.19</w:t>
            </w:r>
          </w:p>
        </w:tc>
      </w:tr>
      <w:tr w14:paraId="18A4659D" w14:textId="77777777" w:rsidTr="00191CFE">
        <w:tblPrEx>
          <w:tblW w:w="9800" w:type="dxa"/>
          <w:jc w:val="center"/>
          <w:tblLook w:val="04A0"/>
        </w:tblPrEx>
        <w:trPr>
          <w:trHeight w:val="315"/>
          <w:jc w:val="center"/>
        </w:trPr>
        <w:tc>
          <w:tcPr>
            <w:tcW w:w="2294" w:type="dxa"/>
            <w:tcBorders>
              <w:top w:val="nil"/>
              <w:left w:val="single" w:sz="8" w:space="0" w:color="auto"/>
              <w:bottom w:val="single" w:sz="8" w:space="0" w:color="auto"/>
              <w:right w:val="single" w:sz="8" w:space="0" w:color="auto"/>
            </w:tcBorders>
            <w:shd w:val="clear" w:color="auto" w:fill="auto"/>
            <w:noWrap/>
            <w:vAlign w:val="center"/>
            <w:hideMark/>
          </w:tcPr>
          <w:p w:rsidR="003E31AC" w:rsidRPr="008A0FCD" w:rsidP="003E31AC" w14:paraId="1922EC15" w14:textId="77777777">
            <w:pPr>
              <w:keepNext/>
              <w:keepLines/>
              <w:widowControl/>
              <w:jc w:val="center"/>
              <w:rPr>
                <w:color w:val="000000"/>
                <w:szCs w:val="22"/>
              </w:rPr>
            </w:pPr>
            <w:r w:rsidRPr="008A0FCD">
              <w:rPr>
                <w:color w:val="000000"/>
                <w:szCs w:val="22"/>
              </w:rPr>
              <w:t>4</w:t>
            </w:r>
          </w:p>
        </w:tc>
        <w:tc>
          <w:tcPr>
            <w:tcW w:w="2466" w:type="dxa"/>
            <w:tcBorders>
              <w:top w:val="nil"/>
              <w:left w:val="nil"/>
              <w:bottom w:val="single" w:sz="8" w:space="0" w:color="auto"/>
              <w:right w:val="single" w:sz="8" w:space="0" w:color="auto"/>
            </w:tcBorders>
            <w:shd w:val="clear" w:color="auto" w:fill="auto"/>
            <w:noWrap/>
            <w:vAlign w:val="center"/>
            <w:hideMark/>
          </w:tcPr>
          <w:p w:rsidR="003E31AC" w:rsidRPr="008A0FCD" w:rsidP="003E31AC" w14:paraId="6BC7A656" w14:textId="77777777">
            <w:pPr>
              <w:keepNext/>
              <w:keepLines/>
              <w:widowControl/>
              <w:jc w:val="center"/>
              <w:rPr>
                <w:color w:val="000000"/>
                <w:szCs w:val="22"/>
              </w:rPr>
            </w:pPr>
            <w:r w:rsidRPr="008A0FCD">
              <w:rPr>
                <w:color w:val="000000"/>
                <w:szCs w:val="22"/>
              </w:rPr>
              <w:t>1</w:t>
            </w:r>
          </w:p>
        </w:tc>
        <w:tc>
          <w:tcPr>
            <w:tcW w:w="2430" w:type="dxa"/>
            <w:tcBorders>
              <w:top w:val="nil"/>
              <w:left w:val="nil"/>
              <w:bottom w:val="single" w:sz="8" w:space="0" w:color="auto"/>
              <w:right w:val="single" w:sz="8" w:space="0" w:color="auto"/>
            </w:tcBorders>
            <w:shd w:val="clear" w:color="auto" w:fill="auto"/>
            <w:noWrap/>
            <w:vAlign w:val="center"/>
            <w:hideMark/>
          </w:tcPr>
          <w:p w:rsidR="003E31AC" w:rsidRPr="008A0FCD" w:rsidP="003E31AC" w14:paraId="654520BC" w14:textId="77777777">
            <w:pPr>
              <w:keepNext/>
              <w:keepLines/>
              <w:widowControl/>
              <w:jc w:val="center"/>
              <w:rPr>
                <w:color w:val="000000"/>
                <w:szCs w:val="22"/>
              </w:rPr>
            </w:pPr>
            <w:r w:rsidRPr="008A0FCD">
              <w:rPr>
                <w:color w:val="000000"/>
                <w:szCs w:val="22"/>
              </w:rPr>
              <w:t>Unlimited</w:t>
            </w:r>
          </w:p>
        </w:tc>
        <w:tc>
          <w:tcPr>
            <w:tcW w:w="1350" w:type="dxa"/>
            <w:tcBorders>
              <w:top w:val="nil"/>
              <w:left w:val="nil"/>
              <w:bottom w:val="single" w:sz="8" w:space="0" w:color="auto"/>
              <w:right w:val="single" w:sz="8" w:space="0" w:color="auto"/>
            </w:tcBorders>
            <w:shd w:val="clear" w:color="auto" w:fill="auto"/>
            <w:noWrap/>
            <w:hideMark/>
          </w:tcPr>
          <w:p w:rsidR="003E31AC" w:rsidRPr="00687524" w:rsidP="003E31AC" w14:paraId="2805B0ED" w14:textId="77777777">
            <w:pPr>
              <w:keepNext/>
              <w:keepLines/>
              <w:widowControl/>
              <w:jc w:val="right"/>
              <w:rPr>
                <w:color w:val="000000"/>
                <w:szCs w:val="22"/>
              </w:rPr>
            </w:pPr>
            <w:r w:rsidRPr="00687524">
              <w:t>70.7</w:t>
            </w:r>
            <w:r>
              <w:t>6</w:t>
            </w:r>
          </w:p>
        </w:tc>
        <w:tc>
          <w:tcPr>
            <w:tcW w:w="1260" w:type="dxa"/>
            <w:tcBorders>
              <w:top w:val="nil"/>
              <w:left w:val="nil"/>
              <w:bottom w:val="single" w:sz="8" w:space="0" w:color="auto"/>
              <w:right w:val="single" w:sz="8" w:space="0" w:color="auto"/>
            </w:tcBorders>
            <w:shd w:val="clear" w:color="auto" w:fill="auto"/>
            <w:noWrap/>
            <w:hideMark/>
          </w:tcPr>
          <w:p w:rsidR="003E31AC" w:rsidRPr="00687524" w:rsidP="003E31AC" w14:paraId="7D614BC3" w14:textId="77777777">
            <w:pPr>
              <w:keepNext/>
              <w:keepLines/>
              <w:widowControl/>
              <w:jc w:val="right"/>
              <w:rPr>
                <w:color w:val="000000"/>
                <w:szCs w:val="22"/>
              </w:rPr>
            </w:pPr>
            <w:r w:rsidRPr="00687524">
              <w:t>119.06</w:t>
            </w:r>
          </w:p>
        </w:tc>
      </w:tr>
      <w:tr w14:paraId="47DEB81F" w14:textId="77777777" w:rsidTr="00191CFE">
        <w:tblPrEx>
          <w:tblW w:w="9800" w:type="dxa"/>
          <w:jc w:val="center"/>
          <w:tblLook w:val="04A0"/>
        </w:tblPrEx>
        <w:trPr>
          <w:trHeight w:val="315"/>
          <w:jc w:val="center"/>
        </w:trPr>
        <w:tc>
          <w:tcPr>
            <w:tcW w:w="2294" w:type="dxa"/>
            <w:tcBorders>
              <w:top w:val="nil"/>
              <w:left w:val="single" w:sz="8" w:space="0" w:color="auto"/>
              <w:bottom w:val="single" w:sz="8" w:space="0" w:color="auto"/>
              <w:right w:val="single" w:sz="8" w:space="0" w:color="auto"/>
            </w:tcBorders>
            <w:shd w:val="clear" w:color="auto" w:fill="auto"/>
            <w:noWrap/>
            <w:vAlign w:val="center"/>
            <w:hideMark/>
          </w:tcPr>
          <w:p w:rsidR="003E31AC" w:rsidRPr="008A0FCD" w:rsidP="003E31AC" w14:paraId="75DAEF8E" w14:textId="77777777">
            <w:pPr>
              <w:keepNext/>
              <w:keepLines/>
              <w:widowControl/>
              <w:jc w:val="center"/>
              <w:rPr>
                <w:color w:val="000000"/>
                <w:szCs w:val="22"/>
              </w:rPr>
            </w:pPr>
            <w:r w:rsidRPr="008A0FCD">
              <w:rPr>
                <w:color w:val="000000"/>
                <w:szCs w:val="22"/>
              </w:rPr>
              <w:t>10</w:t>
            </w:r>
          </w:p>
        </w:tc>
        <w:tc>
          <w:tcPr>
            <w:tcW w:w="2466" w:type="dxa"/>
            <w:tcBorders>
              <w:top w:val="nil"/>
              <w:left w:val="nil"/>
              <w:bottom w:val="single" w:sz="8" w:space="0" w:color="auto"/>
              <w:right w:val="single" w:sz="8" w:space="0" w:color="auto"/>
            </w:tcBorders>
            <w:shd w:val="clear" w:color="auto" w:fill="auto"/>
            <w:noWrap/>
            <w:vAlign w:val="center"/>
            <w:hideMark/>
          </w:tcPr>
          <w:p w:rsidR="003E31AC" w:rsidRPr="008A0FCD" w:rsidP="003E31AC" w14:paraId="6B250B47" w14:textId="77777777">
            <w:pPr>
              <w:keepNext/>
              <w:keepLines/>
              <w:widowControl/>
              <w:jc w:val="center"/>
              <w:rPr>
                <w:color w:val="000000"/>
                <w:szCs w:val="22"/>
              </w:rPr>
            </w:pPr>
            <w:r w:rsidRPr="008A0FCD">
              <w:rPr>
                <w:color w:val="000000"/>
                <w:szCs w:val="22"/>
              </w:rPr>
              <w:t>1</w:t>
            </w:r>
          </w:p>
        </w:tc>
        <w:tc>
          <w:tcPr>
            <w:tcW w:w="2430" w:type="dxa"/>
            <w:tcBorders>
              <w:top w:val="nil"/>
              <w:left w:val="nil"/>
              <w:bottom w:val="single" w:sz="8" w:space="0" w:color="auto"/>
              <w:right w:val="single" w:sz="8" w:space="0" w:color="auto"/>
            </w:tcBorders>
            <w:shd w:val="clear" w:color="auto" w:fill="auto"/>
            <w:noWrap/>
            <w:vAlign w:val="center"/>
            <w:hideMark/>
          </w:tcPr>
          <w:p w:rsidR="003E31AC" w:rsidRPr="008A0FCD" w:rsidP="003E31AC" w14:paraId="072E83D4" w14:textId="77777777">
            <w:pPr>
              <w:keepNext/>
              <w:keepLines/>
              <w:widowControl/>
              <w:jc w:val="center"/>
              <w:rPr>
                <w:color w:val="000000"/>
                <w:szCs w:val="22"/>
              </w:rPr>
            </w:pPr>
            <w:r>
              <w:rPr>
                <w:color w:val="000000"/>
                <w:szCs w:val="22"/>
              </w:rPr>
              <w:t>200</w:t>
            </w:r>
          </w:p>
        </w:tc>
        <w:tc>
          <w:tcPr>
            <w:tcW w:w="1350" w:type="dxa"/>
            <w:tcBorders>
              <w:top w:val="nil"/>
              <w:left w:val="nil"/>
              <w:bottom w:val="single" w:sz="8" w:space="0" w:color="auto"/>
              <w:right w:val="single" w:sz="8" w:space="0" w:color="auto"/>
            </w:tcBorders>
            <w:shd w:val="clear" w:color="auto" w:fill="auto"/>
            <w:noWrap/>
          </w:tcPr>
          <w:p w:rsidR="003E31AC" w:rsidRPr="00687524" w:rsidP="003E31AC" w14:paraId="1E84182F" w14:textId="77777777">
            <w:pPr>
              <w:keepNext/>
              <w:keepLines/>
              <w:widowControl/>
              <w:jc w:val="right"/>
              <w:rPr>
                <w:color w:val="000000"/>
                <w:szCs w:val="22"/>
              </w:rPr>
            </w:pPr>
            <w:r>
              <w:t>72.31</w:t>
            </w:r>
          </w:p>
        </w:tc>
        <w:tc>
          <w:tcPr>
            <w:tcW w:w="1260" w:type="dxa"/>
            <w:tcBorders>
              <w:top w:val="nil"/>
              <w:left w:val="nil"/>
              <w:bottom w:val="single" w:sz="8" w:space="0" w:color="auto"/>
              <w:right w:val="single" w:sz="8" w:space="0" w:color="auto"/>
            </w:tcBorders>
            <w:shd w:val="clear" w:color="auto" w:fill="auto"/>
            <w:noWrap/>
          </w:tcPr>
          <w:p w:rsidR="003E31AC" w:rsidRPr="00687524" w:rsidP="003E31AC" w14:paraId="4CA09771" w14:textId="77777777">
            <w:pPr>
              <w:keepNext/>
              <w:keepLines/>
              <w:widowControl/>
              <w:jc w:val="right"/>
              <w:rPr>
                <w:color w:val="000000"/>
                <w:szCs w:val="22"/>
              </w:rPr>
            </w:pPr>
            <w:r>
              <w:t>121.54</w:t>
            </w:r>
          </w:p>
        </w:tc>
      </w:tr>
      <w:tr w14:paraId="3B13D316" w14:textId="77777777" w:rsidTr="00191CFE">
        <w:tblPrEx>
          <w:tblW w:w="9800" w:type="dxa"/>
          <w:jc w:val="center"/>
          <w:tblLook w:val="04A0"/>
        </w:tblPrEx>
        <w:trPr>
          <w:trHeight w:val="315"/>
          <w:jc w:val="center"/>
        </w:trPr>
        <w:tc>
          <w:tcPr>
            <w:tcW w:w="2294" w:type="dxa"/>
            <w:tcBorders>
              <w:top w:val="nil"/>
              <w:left w:val="single" w:sz="8" w:space="0" w:color="auto"/>
              <w:bottom w:val="single" w:sz="8" w:space="0" w:color="auto"/>
              <w:right w:val="single" w:sz="8" w:space="0" w:color="auto"/>
            </w:tcBorders>
            <w:shd w:val="clear" w:color="auto" w:fill="auto"/>
            <w:noWrap/>
            <w:vAlign w:val="center"/>
            <w:hideMark/>
          </w:tcPr>
          <w:p w:rsidR="003E31AC" w:rsidRPr="008A0FCD" w:rsidP="003E31AC" w14:paraId="464A5095" w14:textId="77777777">
            <w:pPr>
              <w:keepNext/>
              <w:keepLines/>
              <w:widowControl/>
              <w:jc w:val="center"/>
              <w:rPr>
                <w:color w:val="000000"/>
                <w:szCs w:val="22"/>
              </w:rPr>
            </w:pPr>
            <w:r w:rsidRPr="008A0FCD">
              <w:rPr>
                <w:color w:val="000000"/>
                <w:szCs w:val="22"/>
              </w:rPr>
              <w:t>10</w:t>
            </w:r>
          </w:p>
        </w:tc>
        <w:tc>
          <w:tcPr>
            <w:tcW w:w="2466" w:type="dxa"/>
            <w:tcBorders>
              <w:top w:val="nil"/>
              <w:left w:val="nil"/>
              <w:bottom w:val="single" w:sz="8" w:space="0" w:color="auto"/>
              <w:right w:val="single" w:sz="8" w:space="0" w:color="auto"/>
            </w:tcBorders>
            <w:shd w:val="clear" w:color="auto" w:fill="auto"/>
            <w:noWrap/>
            <w:vAlign w:val="center"/>
            <w:hideMark/>
          </w:tcPr>
          <w:p w:rsidR="003E31AC" w:rsidRPr="008A0FCD" w:rsidP="003E31AC" w14:paraId="2C023D5F" w14:textId="77777777">
            <w:pPr>
              <w:keepNext/>
              <w:keepLines/>
              <w:widowControl/>
              <w:jc w:val="center"/>
              <w:rPr>
                <w:color w:val="000000"/>
                <w:szCs w:val="22"/>
              </w:rPr>
            </w:pPr>
            <w:r w:rsidRPr="008A0FCD">
              <w:rPr>
                <w:color w:val="000000"/>
                <w:szCs w:val="22"/>
              </w:rPr>
              <w:t>1</w:t>
            </w:r>
          </w:p>
        </w:tc>
        <w:tc>
          <w:tcPr>
            <w:tcW w:w="2430" w:type="dxa"/>
            <w:tcBorders>
              <w:top w:val="nil"/>
              <w:left w:val="nil"/>
              <w:bottom w:val="single" w:sz="8" w:space="0" w:color="auto"/>
              <w:right w:val="single" w:sz="8" w:space="0" w:color="auto"/>
            </w:tcBorders>
            <w:shd w:val="clear" w:color="auto" w:fill="auto"/>
            <w:noWrap/>
            <w:vAlign w:val="center"/>
            <w:hideMark/>
          </w:tcPr>
          <w:p w:rsidR="003E31AC" w:rsidRPr="008A0FCD" w:rsidP="003E31AC" w14:paraId="6CF925CC" w14:textId="77777777">
            <w:pPr>
              <w:keepNext/>
              <w:keepLines/>
              <w:widowControl/>
              <w:jc w:val="center"/>
              <w:rPr>
                <w:color w:val="000000"/>
                <w:szCs w:val="22"/>
              </w:rPr>
            </w:pPr>
            <w:r w:rsidRPr="008A0FCD">
              <w:rPr>
                <w:color w:val="000000"/>
                <w:szCs w:val="22"/>
              </w:rPr>
              <w:t>Unlimited</w:t>
            </w:r>
          </w:p>
        </w:tc>
        <w:tc>
          <w:tcPr>
            <w:tcW w:w="1350" w:type="dxa"/>
            <w:tcBorders>
              <w:top w:val="nil"/>
              <w:left w:val="nil"/>
              <w:bottom w:val="single" w:sz="8" w:space="0" w:color="auto"/>
              <w:right w:val="single" w:sz="8" w:space="0" w:color="auto"/>
            </w:tcBorders>
            <w:shd w:val="clear" w:color="auto" w:fill="auto"/>
            <w:noWrap/>
            <w:hideMark/>
          </w:tcPr>
          <w:p w:rsidR="003E31AC" w:rsidRPr="00687524" w:rsidP="003E31AC" w14:paraId="2D2BFD78" w14:textId="77777777">
            <w:pPr>
              <w:keepNext/>
              <w:keepLines/>
              <w:widowControl/>
              <w:jc w:val="right"/>
              <w:rPr>
                <w:color w:val="000000"/>
                <w:szCs w:val="22"/>
              </w:rPr>
            </w:pPr>
            <w:r w:rsidRPr="00687524">
              <w:t>77.</w:t>
            </w:r>
            <w:r>
              <w:t>30</w:t>
            </w:r>
          </w:p>
        </w:tc>
        <w:tc>
          <w:tcPr>
            <w:tcW w:w="1260" w:type="dxa"/>
            <w:tcBorders>
              <w:top w:val="nil"/>
              <w:left w:val="nil"/>
              <w:bottom w:val="single" w:sz="8" w:space="0" w:color="auto"/>
              <w:right w:val="single" w:sz="8" w:space="0" w:color="auto"/>
            </w:tcBorders>
            <w:shd w:val="clear" w:color="auto" w:fill="auto"/>
            <w:noWrap/>
            <w:hideMark/>
          </w:tcPr>
          <w:p w:rsidR="003E31AC" w:rsidRPr="00687524" w:rsidP="003E31AC" w14:paraId="0BA7AFE6" w14:textId="77777777">
            <w:pPr>
              <w:keepNext/>
              <w:keepLines/>
              <w:widowControl/>
              <w:jc w:val="right"/>
              <w:rPr>
                <w:color w:val="000000"/>
                <w:szCs w:val="22"/>
              </w:rPr>
            </w:pPr>
            <w:r w:rsidRPr="00687524">
              <w:t>127.75</w:t>
            </w:r>
          </w:p>
        </w:tc>
      </w:tr>
      <w:tr w14:paraId="6D86FEDC" w14:textId="77777777" w:rsidTr="00191CFE">
        <w:tblPrEx>
          <w:tblW w:w="9800" w:type="dxa"/>
          <w:jc w:val="center"/>
          <w:tblLook w:val="04A0"/>
        </w:tblPrEx>
        <w:trPr>
          <w:trHeight w:val="315"/>
          <w:jc w:val="center"/>
        </w:trPr>
        <w:tc>
          <w:tcPr>
            <w:tcW w:w="2294" w:type="dxa"/>
            <w:tcBorders>
              <w:top w:val="nil"/>
              <w:left w:val="single" w:sz="8" w:space="0" w:color="auto"/>
              <w:bottom w:val="single" w:sz="8" w:space="0" w:color="auto"/>
              <w:right w:val="single" w:sz="8" w:space="0" w:color="auto"/>
            </w:tcBorders>
            <w:shd w:val="clear" w:color="auto" w:fill="auto"/>
            <w:noWrap/>
            <w:vAlign w:val="center"/>
            <w:hideMark/>
          </w:tcPr>
          <w:p w:rsidR="003E31AC" w:rsidRPr="008A0FCD" w:rsidP="003E31AC" w14:paraId="0295C63E" w14:textId="77777777">
            <w:pPr>
              <w:keepNext/>
              <w:keepLines/>
              <w:widowControl/>
              <w:jc w:val="center"/>
              <w:rPr>
                <w:color w:val="000000"/>
                <w:szCs w:val="22"/>
              </w:rPr>
            </w:pPr>
            <w:r w:rsidRPr="008A0FCD">
              <w:rPr>
                <w:color w:val="000000"/>
                <w:szCs w:val="22"/>
              </w:rPr>
              <w:t>25</w:t>
            </w:r>
          </w:p>
        </w:tc>
        <w:tc>
          <w:tcPr>
            <w:tcW w:w="2466" w:type="dxa"/>
            <w:tcBorders>
              <w:top w:val="nil"/>
              <w:left w:val="nil"/>
              <w:bottom w:val="single" w:sz="8" w:space="0" w:color="auto"/>
              <w:right w:val="single" w:sz="8" w:space="0" w:color="auto"/>
            </w:tcBorders>
            <w:shd w:val="clear" w:color="auto" w:fill="auto"/>
            <w:noWrap/>
            <w:vAlign w:val="center"/>
            <w:hideMark/>
          </w:tcPr>
          <w:p w:rsidR="003E31AC" w:rsidRPr="008A0FCD" w:rsidP="003E31AC" w14:paraId="46E2E46E" w14:textId="77777777">
            <w:pPr>
              <w:keepNext/>
              <w:keepLines/>
              <w:widowControl/>
              <w:jc w:val="center"/>
              <w:rPr>
                <w:color w:val="000000"/>
                <w:szCs w:val="22"/>
              </w:rPr>
            </w:pPr>
            <w:r w:rsidRPr="008A0FCD">
              <w:rPr>
                <w:color w:val="000000"/>
                <w:szCs w:val="22"/>
              </w:rPr>
              <w:t>3</w:t>
            </w:r>
          </w:p>
        </w:tc>
        <w:tc>
          <w:tcPr>
            <w:tcW w:w="2430" w:type="dxa"/>
            <w:tcBorders>
              <w:top w:val="nil"/>
              <w:left w:val="nil"/>
              <w:bottom w:val="single" w:sz="8" w:space="0" w:color="auto"/>
              <w:right w:val="single" w:sz="8" w:space="0" w:color="auto"/>
            </w:tcBorders>
            <w:shd w:val="clear" w:color="auto" w:fill="auto"/>
            <w:noWrap/>
            <w:vAlign w:val="center"/>
            <w:hideMark/>
          </w:tcPr>
          <w:p w:rsidR="003E31AC" w:rsidRPr="008A0FCD" w:rsidP="003E31AC" w14:paraId="09623ABD" w14:textId="77777777">
            <w:pPr>
              <w:keepNext/>
              <w:keepLines/>
              <w:widowControl/>
              <w:jc w:val="center"/>
              <w:rPr>
                <w:color w:val="000000"/>
                <w:szCs w:val="22"/>
              </w:rPr>
            </w:pPr>
            <w:r>
              <w:rPr>
                <w:color w:val="000000"/>
                <w:szCs w:val="22"/>
              </w:rPr>
              <w:t>200</w:t>
            </w:r>
          </w:p>
        </w:tc>
        <w:tc>
          <w:tcPr>
            <w:tcW w:w="1350" w:type="dxa"/>
            <w:tcBorders>
              <w:top w:val="nil"/>
              <w:left w:val="nil"/>
              <w:bottom w:val="single" w:sz="8" w:space="0" w:color="auto"/>
              <w:right w:val="single" w:sz="8" w:space="0" w:color="auto"/>
            </w:tcBorders>
            <w:shd w:val="clear" w:color="auto" w:fill="auto"/>
            <w:noWrap/>
          </w:tcPr>
          <w:p w:rsidR="003E31AC" w:rsidRPr="00687524" w:rsidP="003E31AC" w14:paraId="187428EC" w14:textId="77777777">
            <w:pPr>
              <w:keepNext/>
              <w:keepLines/>
              <w:widowControl/>
              <w:jc w:val="right"/>
              <w:rPr>
                <w:color w:val="000000"/>
                <w:szCs w:val="22"/>
              </w:rPr>
            </w:pPr>
            <w:r>
              <w:t>77.65</w:t>
            </w:r>
          </w:p>
        </w:tc>
        <w:tc>
          <w:tcPr>
            <w:tcW w:w="1260" w:type="dxa"/>
            <w:tcBorders>
              <w:top w:val="nil"/>
              <w:left w:val="nil"/>
              <w:bottom w:val="single" w:sz="8" w:space="0" w:color="auto"/>
              <w:right w:val="single" w:sz="8" w:space="0" w:color="auto"/>
            </w:tcBorders>
            <w:shd w:val="clear" w:color="auto" w:fill="auto"/>
            <w:noWrap/>
          </w:tcPr>
          <w:p w:rsidR="003E31AC" w:rsidRPr="00687524" w:rsidP="003E31AC" w14:paraId="3B52AB6B" w14:textId="77777777">
            <w:pPr>
              <w:keepNext/>
              <w:keepLines/>
              <w:widowControl/>
              <w:jc w:val="right"/>
              <w:rPr>
                <w:color w:val="000000"/>
                <w:szCs w:val="22"/>
              </w:rPr>
            </w:pPr>
            <w:r>
              <w:t>129.52</w:t>
            </w:r>
          </w:p>
        </w:tc>
      </w:tr>
      <w:tr w14:paraId="2772473F" w14:textId="77777777" w:rsidTr="00191CFE">
        <w:tblPrEx>
          <w:tblW w:w="9800" w:type="dxa"/>
          <w:jc w:val="center"/>
          <w:tblLook w:val="04A0"/>
        </w:tblPrEx>
        <w:trPr>
          <w:trHeight w:val="315"/>
          <w:jc w:val="center"/>
        </w:trPr>
        <w:tc>
          <w:tcPr>
            <w:tcW w:w="2294" w:type="dxa"/>
            <w:tcBorders>
              <w:top w:val="nil"/>
              <w:left w:val="single" w:sz="8" w:space="0" w:color="auto"/>
              <w:bottom w:val="single" w:sz="8" w:space="0" w:color="auto"/>
              <w:right w:val="single" w:sz="8" w:space="0" w:color="auto"/>
            </w:tcBorders>
            <w:shd w:val="clear" w:color="auto" w:fill="auto"/>
            <w:noWrap/>
            <w:vAlign w:val="center"/>
            <w:hideMark/>
          </w:tcPr>
          <w:p w:rsidR="003E31AC" w:rsidRPr="008A0FCD" w:rsidP="003E31AC" w14:paraId="6EEC39B3" w14:textId="77777777">
            <w:pPr>
              <w:keepNext/>
              <w:keepLines/>
              <w:widowControl/>
              <w:jc w:val="center"/>
              <w:rPr>
                <w:color w:val="000000"/>
                <w:szCs w:val="22"/>
              </w:rPr>
            </w:pPr>
            <w:r w:rsidRPr="008A0FCD">
              <w:rPr>
                <w:color w:val="000000"/>
                <w:szCs w:val="22"/>
              </w:rPr>
              <w:t>25</w:t>
            </w:r>
          </w:p>
        </w:tc>
        <w:tc>
          <w:tcPr>
            <w:tcW w:w="2466" w:type="dxa"/>
            <w:tcBorders>
              <w:top w:val="nil"/>
              <w:left w:val="nil"/>
              <w:bottom w:val="single" w:sz="8" w:space="0" w:color="auto"/>
              <w:right w:val="single" w:sz="8" w:space="0" w:color="auto"/>
            </w:tcBorders>
            <w:shd w:val="clear" w:color="auto" w:fill="auto"/>
            <w:noWrap/>
            <w:vAlign w:val="center"/>
            <w:hideMark/>
          </w:tcPr>
          <w:p w:rsidR="003E31AC" w:rsidRPr="008A0FCD" w:rsidP="003E31AC" w14:paraId="776E8AED" w14:textId="77777777">
            <w:pPr>
              <w:keepNext/>
              <w:keepLines/>
              <w:widowControl/>
              <w:jc w:val="center"/>
              <w:rPr>
                <w:color w:val="000000"/>
                <w:szCs w:val="22"/>
              </w:rPr>
            </w:pPr>
            <w:r w:rsidRPr="008A0FCD">
              <w:rPr>
                <w:color w:val="000000"/>
                <w:szCs w:val="22"/>
              </w:rPr>
              <w:t>3</w:t>
            </w:r>
          </w:p>
        </w:tc>
        <w:tc>
          <w:tcPr>
            <w:tcW w:w="2430" w:type="dxa"/>
            <w:tcBorders>
              <w:top w:val="nil"/>
              <w:left w:val="nil"/>
              <w:bottom w:val="single" w:sz="8" w:space="0" w:color="auto"/>
              <w:right w:val="single" w:sz="8" w:space="0" w:color="auto"/>
            </w:tcBorders>
            <w:shd w:val="clear" w:color="auto" w:fill="auto"/>
            <w:noWrap/>
            <w:vAlign w:val="center"/>
            <w:hideMark/>
          </w:tcPr>
          <w:p w:rsidR="003E31AC" w:rsidRPr="008A0FCD" w:rsidP="003E31AC" w14:paraId="66D48C86" w14:textId="77777777">
            <w:pPr>
              <w:keepNext/>
              <w:keepLines/>
              <w:widowControl/>
              <w:jc w:val="center"/>
              <w:rPr>
                <w:color w:val="000000"/>
                <w:szCs w:val="22"/>
              </w:rPr>
            </w:pPr>
            <w:r w:rsidRPr="008A0FCD">
              <w:rPr>
                <w:color w:val="000000"/>
                <w:szCs w:val="22"/>
              </w:rPr>
              <w:t>Unlimited</w:t>
            </w:r>
          </w:p>
        </w:tc>
        <w:tc>
          <w:tcPr>
            <w:tcW w:w="1350" w:type="dxa"/>
            <w:tcBorders>
              <w:top w:val="nil"/>
              <w:left w:val="nil"/>
              <w:bottom w:val="single" w:sz="8" w:space="0" w:color="auto"/>
              <w:right w:val="single" w:sz="8" w:space="0" w:color="auto"/>
            </w:tcBorders>
            <w:shd w:val="clear" w:color="auto" w:fill="auto"/>
            <w:noWrap/>
            <w:hideMark/>
          </w:tcPr>
          <w:p w:rsidR="003E31AC" w:rsidRPr="00687524" w:rsidP="003E31AC" w14:paraId="031FD636" w14:textId="77777777">
            <w:pPr>
              <w:keepNext/>
              <w:keepLines/>
              <w:widowControl/>
              <w:jc w:val="right"/>
              <w:rPr>
                <w:color w:val="000000"/>
                <w:szCs w:val="22"/>
              </w:rPr>
            </w:pPr>
            <w:r w:rsidRPr="00687524">
              <w:t>82.6</w:t>
            </w:r>
            <w:r>
              <w:t>6</w:t>
            </w:r>
          </w:p>
        </w:tc>
        <w:tc>
          <w:tcPr>
            <w:tcW w:w="1260" w:type="dxa"/>
            <w:tcBorders>
              <w:top w:val="nil"/>
              <w:left w:val="nil"/>
              <w:bottom w:val="single" w:sz="8" w:space="0" w:color="auto"/>
              <w:right w:val="single" w:sz="8" w:space="0" w:color="auto"/>
            </w:tcBorders>
            <w:shd w:val="clear" w:color="auto" w:fill="auto"/>
            <w:noWrap/>
            <w:hideMark/>
          </w:tcPr>
          <w:p w:rsidR="003E31AC" w:rsidRPr="00687524" w:rsidP="003E31AC" w14:paraId="77698DCF" w14:textId="77777777">
            <w:pPr>
              <w:keepNext/>
              <w:keepLines/>
              <w:widowControl/>
              <w:jc w:val="right"/>
              <w:rPr>
                <w:color w:val="000000"/>
                <w:szCs w:val="22"/>
              </w:rPr>
            </w:pPr>
            <w:r w:rsidRPr="00687524">
              <w:t>135.75</w:t>
            </w:r>
          </w:p>
        </w:tc>
      </w:tr>
      <w:tr w14:paraId="66649EE1" w14:textId="77777777" w:rsidTr="00191CFE">
        <w:tblPrEx>
          <w:tblW w:w="9800" w:type="dxa"/>
          <w:jc w:val="center"/>
          <w:tblLook w:val="04A0"/>
        </w:tblPrEx>
        <w:trPr>
          <w:trHeight w:val="315"/>
          <w:jc w:val="center"/>
        </w:trPr>
        <w:tc>
          <w:tcPr>
            <w:tcW w:w="2294" w:type="dxa"/>
            <w:tcBorders>
              <w:top w:val="nil"/>
              <w:left w:val="single" w:sz="8" w:space="0" w:color="auto"/>
              <w:bottom w:val="single" w:sz="8" w:space="0" w:color="auto"/>
              <w:right w:val="single" w:sz="8" w:space="0" w:color="auto"/>
            </w:tcBorders>
            <w:shd w:val="clear" w:color="auto" w:fill="auto"/>
            <w:noWrap/>
            <w:vAlign w:val="center"/>
            <w:hideMark/>
          </w:tcPr>
          <w:p w:rsidR="003E31AC" w:rsidRPr="008A0FCD" w:rsidP="003E31AC" w14:paraId="66240ED5" w14:textId="77777777">
            <w:pPr>
              <w:keepNext/>
              <w:keepLines/>
              <w:widowControl/>
              <w:jc w:val="center"/>
              <w:rPr>
                <w:color w:val="000000"/>
                <w:szCs w:val="22"/>
              </w:rPr>
            </w:pPr>
            <w:r w:rsidRPr="008A0FCD">
              <w:rPr>
                <w:color w:val="000000"/>
                <w:szCs w:val="22"/>
              </w:rPr>
              <w:t>25</w:t>
            </w:r>
          </w:p>
        </w:tc>
        <w:tc>
          <w:tcPr>
            <w:tcW w:w="2466" w:type="dxa"/>
            <w:tcBorders>
              <w:top w:val="nil"/>
              <w:left w:val="nil"/>
              <w:bottom w:val="single" w:sz="8" w:space="0" w:color="auto"/>
              <w:right w:val="single" w:sz="8" w:space="0" w:color="auto"/>
            </w:tcBorders>
            <w:shd w:val="clear" w:color="auto" w:fill="auto"/>
            <w:noWrap/>
            <w:vAlign w:val="center"/>
            <w:hideMark/>
          </w:tcPr>
          <w:p w:rsidR="003E31AC" w:rsidRPr="008A0FCD" w:rsidP="003E31AC" w14:paraId="1059DE25" w14:textId="77777777">
            <w:pPr>
              <w:keepNext/>
              <w:keepLines/>
              <w:widowControl/>
              <w:jc w:val="center"/>
              <w:rPr>
                <w:color w:val="000000"/>
                <w:szCs w:val="22"/>
              </w:rPr>
            </w:pPr>
            <w:r w:rsidRPr="008A0FCD">
              <w:rPr>
                <w:color w:val="000000"/>
                <w:szCs w:val="22"/>
              </w:rPr>
              <w:t>5</w:t>
            </w:r>
          </w:p>
        </w:tc>
        <w:tc>
          <w:tcPr>
            <w:tcW w:w="2430" w:type="dxa"/>
            <w:tcBorders>
              <w:top w:val="nil"/>
              <w:left w:val="nil"/>
              <w:bottom w:val="single" w:sz="8" w:space="0" w:color="auto"/>
              <w:right w:val="single" w:sz="8" w:space="0" w:color="auto"/>
            </w:tcBorders>
            <w:shd w:val="clear" w:color="auto" w:fill="auto"/>
            <w:noWrap/>
            <w:vAlign w:val="center"/>
            <w:hideMark/>
          </w:tcPr>
          <w:p w:rsidR="003E31AC" w:rsidRPr="008A0FCD" w:rsidP="003E31AC" w14:paraId="62ABDFF8" w14:textId="77777777">
            <w:pPr>
              <w:keepNext/>
              <w:keepLines/>
              <w:widowControl/>
              <w:jc w:val="center"/>
              <w:rPr>
                <w:color w:val="000000"/>
                <w:szCs w:val="22"/>
              </w:rPr>
            </w:pPr>
            <w:r>
              <w:rPr>
                <w:color w:val="000000"/>
                <w:szCs w:val="22"/>
              </w:rPr>
              <w:t>200</w:t>
            </w:r>
          </w:p>
        </w:tc>
        <w:tc>
          <w:tcPr>
            <w:tcW w:w="1350" w:type="dxa"/>
            <w:tcBorders>
              <w:top w:val="nil"/>
              <w:left w:val="nil"/>
              <w:bottom w:val="single" w:sz="8" w:space="0" w:color="auto"/>
              <w:right w:val="single" w:sz="8" w:space="0" w:color="auto"/>
            </w:tcBorders>
            <w:shd w:val="clear" w:color="auto" w:fill="auto"/>
            <w:noWrap/>
          </w:tcPr>
          <w:p w:rsidR="003E31AC" w:rsidRPr="00687524" w:rsidP="003E31AC" w14:paraId="76BC2593" w14:textId="77777777">
            <w:pPr>
              <w:keepNext/>
              <w:keepLines/>
              <w:widowControl/>
              <w:jc w:val="right"/>
              <w:rPr>
                <w:color w:val="000000"/>
                <w:szCs w:val="22"/>
              </w:rPr>
            </w:pPr>
            <w:r>
              <w:t>78.49</w:t>
            </w:r>
          </w:p>
        </w:tc>
        <w:tc>
          <w:tcPr>
            <w:tcW w:w="1260" w:type="dxa"/>
            <w:tcBorders>
              <w:top w:val="nil"/>
              <w:left w:val="nil"/>
              <w:bottom w:val="single" w:sz="8" w:space="0" w:color="auto"/>
              <w:right w:val="single" w:sz="8" w:space="0" w:color="auto"/>
            </w:tcBorders>
            <w:shd w:val="clear" w:color="auto" w:fill="auto"/>
            <w:noWrap/>
          </w:tcPr>
          <w:p w:rsidR="003E31AC" w:rsidRPr="00687524" w:rsidP="003E31AC" w14:paraId="2AFA7B9A" w14:textId="77777777">
            <w:pPr>
              <w:keepNext/>
              <w:keepLines/>
              <w:widowControl/>
              <w:jc w:val="right"/>
              <w:rPr>
                <w:color w:val="000000"/>
                <w:szCs w:val="22"/>
              </w:rPr>
            </w:pPr>
            <w:r>
              <w:t>129.78</w:t>
            </w:r>
          </w:p>
        </w:tc>
      </w:tr>
      <w:tr w14:paraId="01BE8C13" w14:textId="77777777" w:rsidTr="00191CFE">
        <w:tblPrEx>
          <w:tblW w:w="9800" w:type="dxa"/>
          <w:jc w:val="center"/>
          <w:tblLook w:val="04A0"/>
        </w:tblPrEx>
        <w:trPr>
          <w:trHeight w:val="315"/>
          <w:jc w:val="center"/>
        </w:trPr>
        <w:tc>
          <w:tcPr>
            <w:tcW w:w="2294" w:type="dxa"/>
            <w:tcBorders>
              <w:top w:val="nil"/>
              <w:left w:val="single" w:sz="8" w:space="0" w:color="auto"/>
              <w:bottom w:val="single" w:sz="8" w:space="0" w:color="auto"/>
              <w:right w:val="single" w:sz="8" w:space="0" w:color="auto"/>
            </w:tcBorders>
            <w:shd w:val="clear" w:color="auto" w:fill="auto"/>
            <w:noWrap/>
            <w:vAlign w:val="center"/>
            <w:hideMark/>
          </w:tcPr>
          <w:p w:rsidR="003E31AC" w:rsidRPr="008A0FCD" w:rsidP="003E31AC" w14:paraId="3D301912" w14:textId="77777777">
            <w:pPr>
              <w:keepNext/>
              <w:keepLines/>
              <w:widowControl/>
              <w:jc w:val="center"/>
              <w:rPr>
                <w:color w:val="000000"/>
                <w:szCs w:val="22"/>
              </w:rPr>
            </w:pPr>
            <w:r w:rsidRPr="008A0FCD">
              <w:rPr>
                <w:color w:val="000000"/>
                <w:szCs w:val="22"/>
              </w:rPr>
              <w:t>25</w:t>
            </w:r>
          </w:p>
        </w:tc>
        <w:tc>
          <w:tcPr>
            <w:tcW w:w="2466" w:type="dxa"/>
            <w:tcBorders>
              <w:top w:val="nil"/>
              <w:left w:val="nil"/>
              <w:bottom w:val="single" w:sz="8" w:space="0" w:color="auto"/>
              <w:right w:val="single" w:sz="8" w:space="0" w:color="auto"/>
            </w:tcBorders>
            <w:shd w:val="clear" w:color="auto" w:fill="auto"/>
            <w:noWrap/>
            <w:vAlign w:val="center"/>
            <w:hideMark/>
          </w:tcPr>
          <w:p w:rsidR="003E31AC" w:rsidRPr="008A0FCD" w:rsidP="003E31AC" w14:paraId="793EA0A0" w14:textId="77777777">
            <w:pPr>
              <w:keepNext/>
              <w:keepLines/>
              <w:widowControl/>
              <w:jc w:val="center"/>
              <w:rPr>
                <w:color w:val="000000"/>
                <w:szCs w:val="22"/>
              </w:rPr>
            </w:pPr>
            <w:r w:rsidRPr="008A0FCD">
              <w:rPr>
                <w:color w:val="000000"/>
                <w:szCs w:val="22"/>
              </w:rPr>
              <w:t>5</w:t>
            </w:r>
          </w:p>
        </w:tc>
        <w:tc>
          <w:tcPr>
            <w:tcW w:w="2430" w:type="dxa"/>
            <w:tcBorders>
              <w:top w:val="nil"/>
              <w:left w:val="nil"/>
              <w:bottom w:val="single" w:sz="8" w:space="0" w:color="auto"/>
              <w:right w:val="single" w:sz="8" w:space="0" w:color="auto"/>
            </w:tcBorders>
            <w:shd w:val="clear" w:color="auto" w:fill="auto"/>
            <w:noWrap/>
            <w:vAlign w:val="center"/>
            <w:hideMark/>
          </w:tcPr>
          <w:p w:rsidR="003E31AC" w:rsidRPr="008A0FCD" w:rsidP="003E31AC" w14:paraId="72A51933" w14:textId="77777777">
            <w:pPr>
              <w:keepNext/>
              <w:keepLines/>
              <w:widowControl/>
              <w:jc w:val="center"/>
              <w:rPr>
                <w:color w:val="000000"/>
                <w:szCs w:val="22"/>
              </w:rPr>
            </w:pPr>
            <w:r w:rsidRPr="008A0FCD">
              <w:rPr>
                <w:color w:val="000000"/>
                <w:szCs w:val="22"/>
              </w:rPr>
              <w:t>Unlimited</w:t>
            </w:r>
          </w:p>
        </w:tc>
        <w:tc>
          <w:tcPr>
            <w:tcW w:w="1350" w:type="dxa"/>
            <w:tcBorders>
              <w:top w:val="nil"/>
              <w:left w:val="nil"/>
              <w:bottom w:val="single" w:sz="8" w:space="0" w:color="auto"/>
              <w:right w:val="single" w:sz="8" w:space="0" w:color="auto"/>
            </w:tcBorders>
            <w:shd w:val="clear" w:color="auto" w:fill="auto"/>
            <w:noWrap/>
            <w:hideMark/>
          </w:tcPr>
          <w:p w:rsidR="003E31AC" w:rsidRPr="00687524" w:rsidP="003E31AC" w14:paraId="42C4BC21" w14:textId="77777777">
            <w:pPr>
              <w:keepNext/>
              <w:keepLines/>
              <w:widowControl/>
              <w:jc w:val="right"/>
              <w:rPr>
                <w:color w:val="000000"/>
                <w:szCs w:val="22"/>
              </w:rPr>
            </w:pPr>
            <w:r w:rsidRPr="00687524">
              <w:t>83.</w:t>
            </w:r>
            <w:r>
              <w:t>50</w:t>
            </w:r>
          </w:p>
        </w:tc>
        <w:tc>
          <w:tcPr>
            <w:tcW w:w="1260" w:type="dxa"/>
            <w:tcBorders>
              <w:top w:val="nil"/>
              <w:left w:val="nil"/>
              <w:bottom w:val="single" w:sz="8" w:space="0" w:color="auto"/>
              <w:right w:val="single" w:sz="8" w:space="0" w:color="auto"/>
            </w:tcBorders>
            <w:shd w:val="clear" w:color="auto" w:fill="auto"/>
            <w:noWrap/>
            <w:hideMark/>
          </w:tcPr>
          <w:p w:rsidR="003E31AC" w:rsidRPr="00687524" w:rsidP="003E31AC" w14:paraId="1072088C" w14:textId="77777777">
            <w:pPr>
              <w:keepNext/>
              <w:keepLines/>
              <w:widowControl/>
              <w:jc w:val="right"/>
              <w:rPr>
                <w:color w:val="000000"/>
                <w:szCs w:val="22"/>
              </w:rPr>
            </w:pPr>
            <w:r w:rsidRPr="00687524">
              <w:t>136.01</w:t>
            </w:r>
          </w:p>
        </w:tc>
      </w:tr>
      <w:tr w14:paraId="70EBDDDE" w14:textId="77777777" w:rsidTr="00191CFE">
        <w:tblPrEx>
          <w:tblW w:w="9800" w:type="dxa"/>
          <w:jc w:val="center"/>
          <w:tblLook w:val="04A0"/>
        </w:tblPrEx>
        <w:trPr>
          <w:trHeight w:val="315"/>
          <w:jc w:val="center"/>
        </w:trPr>
        <w:tc>
          <w:tcPr>
            <w:tcW w:w="2294" w:type="dxa"/>
            <w:tcBorders>
              <w:top w:val="nil"/>
              <w:left w:val="single" w:sz="8" w:space="0" w:color="auto"/>
              <w:bottom w:val="single" w:sz="8" w:space="0" w:color="auto"/>
              <w:right w:val="single" w:sz="8" w:space="0" w:color="auto"/>
            </w:tcBorders>
            <w:shd w:val="clear" w:color="auto" w:fill="auto"/>
            <w:noWrap/>
            <w:vAlign w:val="center"/>
            <w:hideMark/>
          </w:tcPr>
          <w:p w:rsidR="003E31AC" w:rsidRPr="008A0FCD" w:rsidP="003E31AC" w14:paraId="061064A3" w14:textId="77777777">
            <w:pPr>
              <w:keepNext/>
              <w:keepLines/>
              <w:widowControl/>
              <w:jc w:val="center"/>
              <w:rPr>
                <w:color w:val="000000"/>
                <w:szCs w:val="22"/>
              </w:rPr>
            </w:pPr>
            <w:r w:rsidRPr="008A0FCD">
              <w:rPr>
                <w:color w:val="000000"/>
                <w:szCs w:val="22"/>
              </w:rPr>
              <w:t>50</w:t>
            </w:r>
          </w:p>
        </w:tc>
        <w:tc>
          <w:tcPr>
            <w:tcW w:w="2466" w:type="dxa"/>
            <w:tcBorders>
              <w:top w:val="nil"/>
              <w:left w:val="nil"/>
              <w:bottom w:val="single" w:sz="8" w:space="0" w:color="auto"/>
              <w:right w:val="single" w:sz="8" w:space="0" w:color="auto"/>
            </w:tcBorders>
            <w:shd w:val="clear" w:color="auto" w:fill="auto"/>
            <w:noWrap/>
            <w:vAlign w:val="center"/>
            <w:hideMark/>
          </w:tcPr>
          <w:p w:rsidR="003E31AC" w:rsidRPr="008A0FCD" w:rsidP="003E31AC" w14:paraId="3DF16961" w14:textId="77777777">
            <w:pPr>
              <w:keepNext/>
              <w:keepLines/>
              <w:widowControl/>
              <w:jc w:val="center"/>
              <w:rPr>
                <w:color w:val="000000"/>
                <w:szCs w:val="22"/>
              </w:rPr>
            </w:pPr>
            <w:r w:rsidRPr="008A0FCD">
              <w:rPr>
                <w:color w:val="000000"/>
                <w:szCs w:val="22"/>
              </w:rPr>
              <w:t>5</w:t>
            </w:r>
          </w:p>
        </w:tc>
        <w:tc>
          <w:tcPr>
            <w:tcW w:w="2430" w:type="dxa"/>
            <w:tcBorders>
              <w:top w:val="nil"/>
              <w:left w:val="nil"/>
              <w:bottom w:val="single" w:sz="8" w:space="0" w:color="auto"/>
              <w:right w:val="single" w:sz="8" w:space="0" w:color="auto"/>
            </w:tcBorders>
            <w:shd w:val="clear" w:color="auto" w:fill="auto"/>
            <w:noWrap/>
            <w:vAlign w:val="center"/>
            <w:hideMark/>
          </w:tcPr>
          <w:p w:rsidR="003E31AC" w:rsidRPr="008A0FCD" w:rsidP="003E31AC" w14:paraId="7164867E" w14:textId="77777777">
            <w:pPr>
              <w:keepNext/>
              <w:keepLines/>
              <w:widowControl/>
              <w:jc w:val="center"/>
              <w:rPr>
                <w:color w:val="000000"/>
                <w:szCs w:val="22"/>
              </w:rPr>
            </w:pPr>
            <w:r w:rsidRPr="008A0FCD">
              <w:rPr>
                <w:color w:val="000000"/>
                <w:szCs w:val="22"/>
              </w:rPr>
              <w:t>Unlimited</w:t>
            </w:r>
          </w:p>
        </w:tc>
        <w:tc>
          <w:tcPr>
            <w:tcW w:w="1350" w:type="dxa"/>
            <w:tcBorders>
              <w:top w:val="nil"/>
              <w:left w:val="nil"/>
              <w:bottom w:val="single" w:sz="8" w:space="0" w:color="auto"/>
              <w:right w:val="single" w:sz="8" w:space="0" w:color="auto"/>
            </w:tcBorders>
            <w:shd w:val="clear" w:color="auto" w:fill="auto"/>
            <w:noWrap/>
            <w:hideMark/>
          </w:tcPr>
          <w:p w:rsidR="003E31AC" w:rsidRPr="00687524" w:rsidP="003E31AC" w14:paraId="38887FA4" w14:textId="77777777">
            <w:pPr>
              <w:keepNext/>
              <w:keepLines/>
              <w:widowControl/>
              <w:jc w:val="right"/>
              <w:rPr>
                <w:color w:val="000000"/>
                <w:szCs w:val="22"/>
              </w:rPr>
            </w:pPr>
            <w:r w:rsidRPr="00687524">
              <w:t>100.8</w:t>
            </w:r>
            <w:r>
              <w:t>5</w:t>
            </w:r>
          </w:p>
        </w:tc>
        <w:tc>
          <w:tcPr>
            <w:tcW w:w="1260" w:type="dxa"/>
            <w:tcBorders>
              <w:top w:val="nil"/>
              <w:left w:val="nil"/>
              <w:bottom w:val="single" w:sz="8" w:space="0" w:color="auto"/>
              <w:right w:val="single" w:sz="8" w:space="0" w:color="auto"/>
            </w:tcBorders>
            <w:shd w:val="clear" w:color="auto" w:fill="auto"/>
            <w:noWrap/>
            <w:hideMark/>
          </w:tcPr>
          <w:p w:rsidR="003E31AC" w:rsidRPr="00687524" w:rsidP="003E31AC" w14:paraId="679597C2" w14:textId="77777777">
            <w:pPr>
              <w:keepNext/>
              <w:keepLines/>
              <w:widowControl/>
              <w:jc w:val="right"/>
              <w:rPr>
                <w:color w:val="000000"/>
                <w:szCs w:val="22"/>
              </w:rPr>
            </w:pPr>
            <w:r w:rsidRPr="00687524">
              <w:t>153.6</w:t>
            </w:r>
            <w:r>
              <w:t>4</w:t>
            </w:r>
          </w:p>
        </w:tc>
      </w:tr>
      <w:tr w14:paraId="1BE71505" w14:textId="77777777" w:rsidTr="00191CFE">
        <w:tblPrEx>
          <w:tblW w:w="9800" w:type="dxa"/>
          <w:jc w:val="center"/>
          <w:tblLook w:val="04A0"/>
        </w:tblPrEx>
        <w:trPr>
          <w:trHeight w:val="315"/>
          <w:jc w:val="center"/>
        </w:trPr>
        <w:tc>
          <w:tcPr>
            <w:tcW w:w="2294" w:type="dxa"/>
            <w:tcBorders>
              <w:top w:val="nil"/>
              <w:left w:val="single" w:sz="8" w:space="0" w:color="auto"/>
              <w:bottom w:val="single" w:sz="8" w:space="0" w:color="auto"/>
              <w:right w:val="single" w:sz="8" w:space="0" w:color="auto"/>
            </w:tcBorders>
            <w:shd w:val="clear" w:color="auto" w:fill="auto"/>
            <w:noWrap/>
            <w:vAlign w:val="center"/>
            <w:hideMark/>
          </w:tcPr>
          <w:p w:rsidR="003E31AC" w:rsidRPr="008A0FCD" w:rsidP="003E31AC" w14:paraId="23AB792C" w14:textId="77777777">
            <w:pPr>
              <w:keepNext/>
              <w:keepLines/>
              <w:widowControl/>
              <w:jc w:val="center"/>
              <w:rPr>
                <w:color w:val="000000"/>
                <w:szCs w:val="22"/>
              </w:rPr>
            </w:pPr>
            <w:r w:rsidRPr="008A0FCD">
              <w:rPr>
                <w:color w:val="000000"/>
                <w:szCs w:val="22"/>
              </w:rPr>
              <w:t>100</w:t>
            </w:r>
          </w:p>
        </w:tc>
        <w:tc>
          <w:tcPr>
            <w:tcW w:w="2466" w:type="dxa"/>
            <w:tcBorders>
              <w:top w:val="nil"/>
              <w:left w:val="nil"/>
              <w:bottom w:val="single" w:sz="8" w:space="0" w:color="auto"/>
              <w:right w:val="single" w:sz="8" w:space="0" w:color="auto"/>
            </w:tcBorders>
            <w:shd w:val="clear" w:color="auto" w:fill="auto"/>
            <w:noWrap/>
            <w:vAlign w:val="center"/>
            <w:hideMark/>
          </w:tcPr>
          <w:p w:rsidR="003E31AC" w:rsidRPr="008A0FCD" w:rsidP="003E31AC" w14:paraId="045459A4" w14:textId="77777777">
            <w:pPr>
              <w:keepNext/>
              <w:keepLines/>
              <w:widowControl/>
              <w:jc w:val="center"/>
              <w:rPr>
                <w:color w:val="000000"/>
                <w:szCs w:val="22"/>
              </w:rPr>
            </w:pPr>
            <w:r w:rsidRPr="008A0FCD">
              <w:rPr>
                <w:color w:val="000000"/>
                <w:szCs w:val="22"/>
              </w:rPr>
              <w:t>10</w:t>
            </w:r>
          </w:p>
        </w:tc>
        <w:tc>
          <w:tcPr>
            <w:tcW w:w="2430" w:type="dxa"/>
            <w:tcBorders>
              <w:top w:val="nil"/>
              <w:left w:val="nil"/>
              <w:bottom w:val="single" w:sz="8" w:space="0" w:color="auto"/>
              <w:right w:val="single" w:sz="8" w:space="0" w:color="auto"/>
            </w:tcBorders>
            <w:shd w:val="clear" w:color="auto" w:fill="auto"/>
            <w:noWrap/>
            <w:vAlign w:val="center"/>
            <w:hideMark/>
          </w:tcPr>
          <w:p w:rsidR="003E31AC" w:rsidRPr="008A0FCD" w:rsidP="003E31AC" w14:paraId="32FF9516" w14:textId="77777777">
            <w:pPr>
              <w:keepNext/>
              <w:keepLines/>
              <w:widowControl/>
              <w:jc w:val="center"/>
              <w:rPr>
                <w:color w:val="000000"/>
                <w:szCs w:val="22"/>
              </w:rPr>
            </w:pPr>
            <w:r w:rsidRPr="008A0FCD">
              <w:rPr>
                <w:color w:val="000000"/>
                <w:szCs w:val="22"/>
              </w:rPr>
              <w:t>Unlimited</w:t>
            </w:r>
          </w:p>
        </w:tc>
        <w:tc>
          <w:tcPr>
            <w:tcW w:w="1350" w:type="dxa"/>
            <w:tcBorders>
              <w:top w:val="nil"/>
              <w:left w:val="nil"/>
              <w:bottom w:val="single" w:sz="8" w:space="0" w:color="auto"/>
              <w:right w:val="single" w:sz="8" w:space="0" w:color="auto"/>
            </w:tcBorders>
            <w:shd w:val="clear" w:color="auto" w:fill="auto"/>
            <w:noWrap/>
            <w:hideMark/>
          </w:tcPr>
          <w:p w:rsidR="003E31AC" w:rsidRPr="00687524" w:rsidP="003E31AC" w14:paraId="120742CA" w14:textId="77777777">
            <w:pPr>
              <w:keepNext/>
              <w:keepLines/>
              <w:widowControl/>
              <w:jc w:val="right"/>
              <w:rPr>
                <w:color w:val="000000"/>
                <w:szCs w:val="22"/>
              </w:rPr>
            </w:pPr>
            <w:r w:rsidRPr="00687524">
              <w:t>106.23</w:t>
            </w:r>
          </w:p>
        </w:tc>
        <w:tc>
          <w:tcPr>
            <w:tcW w:w="1260" w:type="dxa"/>
            <w:tcBorders>
              <w:top w:val="nil"/>
              <w:left w:val="nil"/>
              <w:bottom w:val="single" w:sz="8" w:space="0" w:color="auto"/>
              <w:right w:val="single" w:sz="8" w:space="0" w:color="auto"/>
            </w:tcBorders>
            <w:shd w:val="clear" w:color="auto" w:fill="auto"/>
            <w:noWrap/>
            <w:hideMark/>
          </w:tcPr>
          <w:p w:rsidR="003E31AC" w:rsidRPr="00687524" w:rsidP="003E31AC" w14:paraId="3B99F209" w14:textId="77777777">
            <w:pPr>
              <w:keepNext/>
              <w:keepLines/>
              <w:widowControl/>
              <w:jc w:val="right"/>
              <w:rPr>
                <w:color w:val="000000"/>
                <w:szCs w:val="22"/>
              </w:rPr>
            </w:pPr>
            <w:r w:rsidRPr="00687524">
              <w:t>161.1</w:t>
            </w:r>
            <w:r>
              <w:t>6</w:t>
            </w:r>
          </w:p>
        </w:tc>
      </w:tr>
      <w:tr w14:paraId="2FD68F4D" w14:textId="77777777" w:rsidTr="00191CFE">
        <w:tblPrEx>
          <w:tblW w:w="9800" w:type="dxa"/>
          <w:jc w:val="center"/>
          <w:tblLook w:val="04A0"/>
        </w:tblPrEx>
        <w:trPr>
          <w:trHeight w:val="315"/>
          <w:jc w:val="center"/>
        </w:trPr>
        <w:tc>
          <w:tcPr>
            <w:tcW w:w="2294" w:type="dxa"/>
            <w:tcBorders>
              <w:top w:val="nil"/>
              <w:left w:val="single" w:sz="8" w:space="0" w:color="auto"/>
              <w:bottom w:val="single" w:sz="8" w:space="0" w:color="auto"/>
              <w:right w:val="single" w:sz="8" w:space="0" w:color="auto"/>
            </w:tcBorders>
            <w:shd w:val="clear" w:color="auto" w:fill="auto"/>
            <w:noWrap/>
            <w:vAlign w:val="center"/>
            <w:hideMark/>
          </w:tcPr>
          <w:p w:rsidR="003E31AC" w:rsidRPr="008A0FCD" w:rsidP="003E31AC" w14:paraId="0B1E1AD1" w14:textId="77777777">
            <w:pPr>
              <w:keepNext/>
              <w:keepLines/>
              <w:widowControl/>
              <w:jc w:val="center"/>
              <w:rPr>
                <w:color w:val="000000"/>
                <w:szCs w:val="22"/>
              </w:rPr>
            </w:pPr>
            <w:r w:rsidRPr="008A0FCD">
              <w:rPr>
                <w:color w:val="000000"/>
                <w:szCs w:val="22"/>
              </w:rPr>
              <w:t>250</w:t>
            </w:r>
          </w:p>
        </w:tc>
        <w:tc>
          <w:tcPr>
            <w:tcW w:w="2466" w:type="dxa"/>
            <w:tcBorders>
              <w:top w:val="nil"/>
              <w:left w:val="nil"/>
              <w:bottom w:val="single" w:sz="8" w:space="0" w:color="auto"/>
              <w:right w:val="single" w:sz="8" w:space="0" w:color="auto"/>
            </w:tcBorders>
            <w:shd w:val="clear" w:color="auto" w:fill="auto"/>
            <w:noWrap/>
            <w:vAlign w:val="center"/>
            <w:hideMark/>
          </w:tcPr>
          <w:p w:rsidR="003E31AC" w:rsidRPr="008A0FCD" w:rsidP="003E31AC" w14:paraId="1CF767AB" w14:textId="77777777">
            <w:pPr>
              <w:keepNext/>
              <w:keepLines/>
              <w:widowControl/>
              <w:jc w:val="center"/>
              <w:rPr>
                <w:color w:val="000000"/>
                <w:szCs w:val="22"/>
              </w:rPr>
            </w:pPr>
            <w:r w:rsidRPr="008A0FCD">
              <w:rPr>
                <w:color w:val="000000"/>
                <w:szCs w:val="22"/>
              </w:rPr>
              <w:t>25</w:t>
            </w:r>
          </w:p>
        </w:tc>
        <w:tc>
          <w:tcPr>
            <w:tcW w:w="2430" w:type="dxa"/>
            <w:tcBorders>
              <w:top w:val="nil"/>
              <w:left w:val="nil"/>
              <w:bottom w:val="single" w:sz="8" w:space="0" w:color="auto"/>
              <w:right w:val="single" w:sz="8" w:space="0" w:color="auto"/>
            </w:tcBorders>
            <w:shd w:val="clear" w:color="auto" w:fill="auto"/>
            <w:noWrap/>
            <w:vAlign w:val="center"/>
            <w:hideMark/>
          </w:tcPr>
          <w:p w:rsidR="003E31AC" w:rsidRPr="008A0FCD" w:rsidP="003E31AC" w14:paraId="5A50D73F" w14:textId="77777777">
            <w:pPr>
              <w:keepNext/>
              <w:keepLines/>
              <w:widowControl/>
              <w:jc w:val="center"/>
              <w:rPr>
                <w:color w:val="000000"/>
                <w:szCs w:val="22"/>
              </w:rPr>
            </w:pPr>
            <w:r w:rsidRPr="008A0FCD">
              <w:rPr>
                <w:color w:val="000000"/>
                <w:szCs w:val="22"/>
              </w:rPr>
              <w:t>Unlimited</w:t>
            </w:r>
          </w:p>
        </w:tc>
        <w:tc>
          <w:tcPr>
            <w:tcW w:w="1350" w:type="dxa"/>
            <w:tcBorders>
              <w:top w:val="nil"/>
              <w:left w:val="nil"/>
              <w:bottom w:val="single" w:sz="8" w:space="0" w:color="auto"/>
              <w:right w:val="single" w:sz="8" w:space="0" w:color="auto"/>
            </w:tcBorders>
            <w:shd w:val="clear" w:color="auto" w:fill="auto"/>
            <w:noWrap/>
            <w:hideMark/>
          </w:tcPr>
          <w:p w:rsidR="003E31AC" w:rsidRPr="00687524" w:rsidP="003E31AC" w14:paraId="6A5E7AB4" w14:textId="77777777">
            <w:pPr>
              <w:keepNext/>
              <w:keepLines/>
              <w:widowControl/>
              <w:jc w:val="right"/>
              <w:rPr>
                <w:color w:val="000000"/>
                <w:szCs w:val="22"/>
              </w:rPr>
            </w:pPr>
            <w:r w:rsidRPr="00687524">
              <w:t>128.6</w:t>
            </w:r>
            <w:r>
              <w:t>9</w:t>
            </w:r>
          </w:p>
        </w:tc>
        <w:tc>
          <w:tcPr>
            <w:tcW w:w="1260" w:type="dxa"/>
            <w:tcBorders>
              <w:top w:val="nil"/>
              <w:left w:val="nil"/>
              <w:bottom w:val="single" w:sz="8" w:space="0" w:color="auto"/>
              <w:right w:val="single" w:sz="8" w:space="0" w:color="auto"/>
            </w:tcBorders>
            <w:shd w:val="clear" w:color="auto" w:fill="auto"/>
            <w:noWrap/>
            <w:hideMark/>
          </w:tcPr>
          <w:p w:rsidR="003E31AC" w:rsidRPr="00687524" w:rsidP="003E31AC" w14:paraId="45963E08" w14:textId="77777777">
            <w:pPr>
              <w:keepNext/>
              <w:keepLines/>
              <w:widowControl/>
              <w:jc w:val="right"/>
              <w:rPr>
                <w:color w:val="000000"/>
                <w:szCs w:val="22"/>
              </w:rPr>
            </w:pPr>
            <w:r w:rsidRPr="00687524">
              <w:t>203.67</w:t>
            </w:r>
          </w:p>
        </w:tc>
      </w:tr>
      <w:tr w14:paraId="028305CC" w14:textId="77777777" w:rsidTr="00191CFE">
        <w:tblPrEx>
          <w:tblW w:w="9800" w:type="dxa"/>
          <w:jc w:val="center"/>
          <w:tblLook w:val="04A0"/>
        </w:tblPrEx>
        <w:trPr>
          <w:trHeight w:val="315"/>
          <w:jc w:val="center"/>
        </w:trPr>
        <w:tc>
          <w:tcPr>
            <w:tcW w:w="2294" w:type="dxa"/>
            <w:tcBorders>
              <w:top w:val="nil"/>
              <w:left w:val="single" w:sz="8" w:space="0" w:color="auto"/>
              <w:bottom w:val="single" w:sz="8" w:space="0" w:color="auto"/>
              <w:right w:val="single" w:sz="8" w:space="0" w:color="auto"/>
            </w:tcBorders>
            <w:shd w:val="clear" w:color="auto" w:fill="auto"/>
            <w:noWrap/>
            <w:vAlign w:val="center"/>
            <w:hideMark/>
          </w:tcPr>
          <w:p w:rsidR="003E31AC" w:rsidRPr="008A0FCD" w:rsidP="003E31AC" w14:paraId="55444102" w14:textId="77777777">
            <w:pPr>
              <w:keepNext/>
              <w:keepLines/>
              <w:widowControl/>
              <w:jc w:val="center"/>
              <w:rPr>
                <w:color w:val="000000"/>
                <w:szCs w:val="22"/>
              </w:rPr>
            </w:pPr>
            <w:r w:rsidRPr="008A0FCD">
              <w:rPr>
                <w:color w:val="000000"/>
                <w:szCs w:val="22"/>
              </w:rPr>
              <w:t>500</w:t>
            </w:r>
          </w:p>
        </w:tc>
        <w:tc>
          <w:tcPr>
            <w:tcW w:w="2466" w:type="dxa"/>
            <w:tcBorders>
              <w:top w:val="nil"/>
              <w:left w:val="nil"/>
              <w:bottom w:val="single" w:sz="8" w:space="0" w:color="auto"/>
              <w:right w:val="single" w:sz="8" w:space="0" w:color="auto"/>
            </w:tcBorders>
            <w:shd w:val="clear" w:color="auto" w:fill="auto"/>
            <w:noWrap/>
            <w:vAlign w:val="center"/>
            <w:hideMark/>
          </w:tcPr>
          <w:p w:rsidR="003E31AC" w:rsidRPr="008A0FCD" w:rsidP="003E31AC" w14:paraId="367EC0DE" w14:textId="77777777">
            <w:pPr>
              <w:keepNext/>
              <w:keepLines/>
              <w:widowControl/>
              <w:jc w:val="center"/>
              <w:rPr>
                <w:color w:val="000000"/>
                <w:szCs w:val="22"/>
              </w:rPr>
            </w:pPr>
            <w:r w:rsidRPr="008A0FCD">
              <w:rPr>
                <w:color w:val="000000"/>
                <w:szCs w:val="22"/>
              </w:rPr>
              <w:t>50</w:t>
            </w:r>
          </w:p>
        </w:tc>
        <w:tc>
          <w:tcPr>
            <w:tcW w:w="2430" w:type="dxa"/>
            <w:tcBorders>
              <w:top w:val="nil"/>
              <w:left w:val="nil"/>
              <w:bottom w:val="single" w:sz="8" w:space="0" w:color="auto"/>
              <w:right w:val="single" w:sz="8" w:space="0" w:color="auto"/>
            </w:tcBorders>
            <w:shd w:val="clear" w:color="auto" w:fill="auto"/>
            <w:noWrap/>
            <w:vAlign w:val="center"/>
            <w:hideMark/>
          </w:tcPr>
          <w:p w:rsidR="003E31AC" w:rsidRPr="008A0FCD" w:rsidP="003E31AC" w14:paraId="37B9E801" w14:textId="77777777">
            <w:pPr>
              <w:keepNext/>
              <w:keepLines/>
              <w:widowControl/>
              <w:jc w:val="center"/>
              <w:rPr>
                <w:color w:val="000000"/>
                <w:szCs w:val="22"/>
              </w:rPr>
            </w:pPr>
            <w:r w:rsidRPr="008A0FCD">
              <w:rPr>
                <w:color w:val="000000"/>
                <w:szCs w:val="22"/>
              </w:rPr>
              <w:t>Unlimited</w:t>
            </w:r>
          </w:p>
        </w:tc>
        <w:tc>
          <w:tcPr>
            <w:tcW w:w="1350" w:type="dxa"/>
            <w:tcBorders>
              <w:top w:val="nil"/>
              <w:left w:val="nil"/>
              <w:bottom w:val="single" w:sz="8" w:space="0" w:color="auto"/>
              <w:right w:val="single" w:sz="8" w:space="0" w:color="auto"/>
            </w:tcBorders>
            <w:shd w:val="clear" w:color="auto" w:fill="auto"/>
            <w:noWrap/>
            <w:hideMark/>
          </w:tcPr>
          <w:p w:rsidR="003E31AC" w:rsidRPr="00687524" w:rsidP="003E31AC" w14:paraId="720642A8" w14:textId="77777777">
            <w:pPr>
              <w:keepNext/>
              <w:keepLines/>
              <w:widowControl/>
              <w:jc w:val="right"/>
              <w:rPr>
                <w:color w:val="000000"/>
                <w:szCs w:val="22"/>
              </w:rPr>
            </w:pPr>
            <w:r w:rsidRPr="00687524">
              <w:t>148.35</w:t>
            </w:r>
          </w:p>
        </w:tc>
        <w:tc>
          <w:tcPr>
            <w:tcW w:w="1260" w:type="dxa"/>
            <w:tcBorders>
              <w:top w:val="nil"/>
              <w:left w:val="nil"/>
              <w:bottom w:val="single" w:sz="8" w:space="0" w:color="auto"/>
              <w:right w:val="single" w:sz="8" w:space="0" w:color="auto"/>
            </w:tcBorders>
            <w:shd w:val="clear" w:color="auto" w:fill="auto"/>
            <w:noWrap/>
            <w:hideMark/>
          </w:tcPr>
          <w:p w:rsidR="003E31AC" w:rsidRPr="00687524" w:rsidP="003E31AC" w14:paraId="75380E21" w14:textId="77777777">
            <w:pPr>
              <w:keepNext/>
              <w:keepLines/>
              <w:widowControl/>
              <w:jc w:val="right"/>
              <w:rPr>
                <w:color w:val="000000"/>
                <w:szCs w:val="22"/>
              </w:rPr>
            </w:pPr>
            <w:r w:rsidRPr="00687524">
              <w:t>223.87</w:t>
            </w:r>
          </w:p>
        </w:tc>
      </w:tr>
      <w:tr w14:paraId="0C5A6173" w14:textId="77777777" w:rsidTr="00191CFE">
        <w:tblPrEx>
          <w:tblW w:w="9800" w:type="dxa"/>
          <w:jc w:val="center"/>
          <w:tblLook w:val="04A0"/>
        </w:tblPrEx>
        <w:trPr>
          <w:trHeight w:val="315"/>
          <w:jc w:val="center"/>
        </w:trPr>
        <w:tc>
          <w:tcPr>
            <w:tcW w:w="2294" w:type="dxa"/>
            <w:tcBorders>
              <w:top w:val="nil"/>
              <w:left w:val="single" w:sz="8" w:space="0" w:color="auto"/>
              <w:bottom w:val="single" w:sz="8" w:space="0" w:color="auto"/>
              <w:right w:val="single" w:sz="8" w:space="0" w:color="auto"/>
            </w:tcBorders>
            <w:shd w:val="clear" w:color="auto" w:fill="auto"/>
            <w:noWrap/>
            <w:vAlign w:val="center"/>
            <w:hideMark/>
          </w:tcPr>
          <w:p w:rsidR="003E31AC" w:rsidRPr="008A0FCD" w:rsidP="003E31AC" w14:paraId="778215AF" w14:textId="77777777">
            <w:pPr>
              <w:keepNext/>
              <w:keepLines/>
              <w:widowControl/>
              <w:jc w:val="center"/>
              <w:rPr>
                <w:color w:val="000000"/>
                <w:szCs w:val="22"/>
              </w:rPr>
            </w:pPr>
            <w:r w:rsidRPr="008A0FCD">
              <w:rPr>
                <w:color w:val="000000"/>
                <w:szCs w:val="22"/>
              </w:rPr>
              <w:t>1000</w:t>
            </w:r>
          </w:p>
        </w:tc>
        <w:tc>
          <w:tcPr>
            <w:tcW w:w="2466" w:type="dxa"/>
            <w:tcBorders>
              <w:top w:val="nil"/>
              <w:left w:val="nil"/>
              <w:bottom w:val="single" w:sz="8" w:space="0" w:color="auto"/>
              <w:right w:val="single" w:sz="8" w:space="0" w:color="auto"/>
            </w:tcBorders>
            <w:shd w:val="clear" w:color="auto" w:fill="auto"/>
            <w:noWrap/>
            <w:vAlign w:val="center"/>
            <w:hideMark/>
          </w:tcPr>
          <w:p w:rsidR="003E31AC" w:rsidRPr="008A0FCD" w:rsidP="003E31AC" w14:paraId="5486CBB8" w14:textId="77777777">
            <w:pPr>
              <w:keepNext/>
              <w:keepLines/>
              <w:widowControl/>
              <w:jc w:val="center"/>
              <w:rPr>
                <w:color w:val="000000"/>
                <w:szCs w:val="22"/>
              </w:rPr>
            </w:pPr>
            <w:r w:rsidRPr="008A0FCD">
              <w:rPr>
                <w:color w:val="000000"/>
                <w:szCs w:val="22"/>
              </w:rPr>
              <w:t>100</w:t>
            </w:r>
          </w:p>
        </w:tc>
        <w:tc>
          <w:tcPr>
            <w:tcW w:w="2430" w:type="dxa"/>
            <w:tcBorders>
              <w:top w:val="nil"/>
              <w:left w:val="nil"/>
              <w:bottom w:val="single" w:sz="8" w:space="0" w:color="auto"/>
              <w:right w:val="single" w:sz="8" w:space="0" w:color="auto"/>
            </w:tcBorders>
            <w:shd w:val="clear" w:color="auto" w:fill="auto"/>
            <w:noWrap/>
            <w:vAlign w:val="center"/>
            <w:hideMark/>
          </w:tcPr>
          <w:p w:rsidR="003E31AC" w:rsidRPr="008A0FCD" w:rsidP="003E31AC" w14:paraId="52422709" w14:textId="77777777">
            <w:pPr>
              <w:keepNext/>
              <w:keepLines/>
              <w:widowControl/>
              <w:jc w:val="center"/>
              <w:rPr>
                <w:color w:val="000000"/>
                <w:szCs w:val="22"/>
              </w:rPr>
            </w:pPr>
            <w:r w:rsidRPr="008A0FCD">
              <w:rPr>
                <w:color w:val="000000"/>
                <w:szCs w:val="22"/>
              </w:rPr>
              <w:t>Unlimited</w:t>
            </w:r>
          </w:p>
        </w:tc>
        <w:tc>
          <w:tcPr>
            <w:tcW w:w="1350" w:type="dxa"/>
            <w:tcBorders>
              <w:top w:val="nil"/>
              <w:left w:val="nil"/>
              <w:bottom w:val="single" w:sz="8" w:space="0" w:color="auto"/>
              <w:right w:val="single" w:sz="8" w:space="0" w:color="auto"/>
            </w:tcBorders>
            <w:shd w:val="clear" w:color="auto" w:fill="auto"/>
            <w:noWrap/>
            <w:hideMark/>
          </w:tcPr>
          <w:p w:rsidR="003E31AC" w:rsidRPr="00687524" w:rsidP="003E31AC" w14:paraId="4EE07244" w14:textId="77777777">
            <w:pPr>
              <w:keepNext/>
              <w:keepLines/>
              <w:widowControl/>
              <w:jc w:val="right"/>
              <w:rPr>
                <w:color w:val="000000"/>
                <w:szCs w:val="22"/>
              </w:rPr>
            </w:pPr>
            <w:r w:rsidRPr="00687524">
              <w:t>162.3</w:t>
            </w:r>
            <w:r>
              <w:t>3</w:t>
            </w:r>
          </w:p>
        </w:tc>
        <w:tc>
          <w:tcPr>
            <w:tcW w:w="1260" w:type="dxa"/>
            <w:tcBorders>
              <w:top w:val="nil"/>
              <w:left w:val="nil"/>
              <w:bottom w:val="single" w:sz="8" w:space="0" w:color="auto"/>
              <w:right w:val="single" w:sz="8" w:space="0" w:color="auto"/>
            </w:tcBorders>
            <w:shd w:val="clear" w:color="auto" w:fill="auto"/>
            <w:noWrap/>
            <w:hideMark/>
          </w:tcPr>
          <w:p w:rsidR="003E31AC" w:rsidRPr="00687524" w:rsidP="003E31AC" w14:paraId="138C670F" w14:textId="77777777">
            <w:pPr>
              <w:keepNext/>
              <w:keepLines/>
              <w:widowControl/>
              <w:jc w:val="right"/>
              <w:rPr>
                <w:color w:val="000000"/>
                <w:szCs w:val="22"/>
              </w:rPr>
            </w:pPr>
            <w:r w:rsidRPr="00687524">
              <w:t>232.3</w:t>
            </w:r>
            <w:r>
              <w:t>8</w:t>
            </w:r>
          </w:p>
        </w:tc>
      </w:tr>
    </w:tbl>
    <w:p w:rsidR="003E31AC" w:rsidP="003E31AC" w14:paraId="025938B2" w14:textId="77777777">
      <w:pPr>
        <w:widowControl/>
        <w:spacing w:after="120"/>
      </w:pPr>
    </w:p>
    <w:p w:rsidR="003E31AC" w:rsidP="003E31AC" w14:paraId="33E0B5D1" w14:textId="77777777">
      <w:pPr>
        <w:widowControl/>
        <w:spacing w:after="120"/>
      </w:pPr>
      <w:r>
        <w:t xml:space="preserve">To facilitate benchmark calculations, the Bureau will post an Excel file and online tool in which providers can enter the relevant variables to determine the benchmark for specific service characteristics at </w:t>
      </w:r>
      <w:hyperlink r:id="rId11" w:history="1">
        <w:r w:rsidRPr="00D60A9B">
          <w:rPr>
            <w:rStyle w:val="Hyperlink"/>
          </w:rPr>
          <w:t>http://www.fcc.gov/encyclopedia/urban-rate-survey-data</w:t>
        </w:r>
      </w:hyperlink>
      <w:r>
        <w:t>.</w:t>
      </w:r>
    </w:p>
    <w:p w:rsidR="003E31AC" w:rsidP="003E31AC" w14:paraId="4EABF2C3" w14:textId="77777777">
      <w:pPr>
        <w:pStyle w:val="ParaNum"/>
        <w:widowControl/>
        <w:numPr>
          <w:ilvl w:val="0"/>
          <w:numId w:val="0"/>
        </w:numPr>
        <w:ind w:firstLine="720"/>
        <w:rPr>
          <w:szCs w:val="22"/>
        </w:rPr>
      </w:pPr>
      <w:r>
        <w:rPr>
          <w:i/>
        </w:rPr>
        <w:t>Minimum Usage Allowance</w:t>
      </w:r>
      <w:r>
        <w:t xml:space="preserve">.  </w:t>
      </w:r>
      <w:r>
        <w:rPr>
          <w:szCs w:val="22"/>
        </w:rPr>
        <w:t xml:space="preserve">Under the </w:t>
      </w:r>
      <w:r>
        <w:rPr>
          <w:i/>
          <w:szCs w:val="22"/>
        </w:rPr>
        <w:t xml:space="preserve">USF/ICC Transformation Order </w:t>
      </w:r>
      <w:r w:rsidRPr="00590154">
        <w:rPr>
          <w:szCs w:val="22"/>
        </w:rPr>
        <w:t>and subsequent orders</w:t>
      </w:r>
      <w:r>
        <w:rPr>
          <w:szCs w:val="22"/>
        </w:rPr>
        <w:t>, ETCs subject to broadband public interest obligations must provide broadband with usage allowances reasonably comparable to those available through comparable offerings in urban areas.</w:t>
      </w:r>
      <w:r>
        <w:rPr>
          <w:rStyle w:val="FootnoteReference"/>
          <w:szCs w:val="22"/>
        </w:rPr>
        <w:footnoteReference w:id="17"/>
      </w:r>
      <w:r>
        <w:rPr>
          <w:szCs w:val="22"/>
        </w:rPr>
        <w:t xml:space="preserve">  The Commission delegated to the Bureau the task of setting a specific minimum usage allowance and specified that minimum should be adjusted over time.</w:t>
      </w:r>
      <w:r>
        <w:rPr>
          <w:rStyle w:val="FootnoteReference"/>
          <w:szCs w:val="22"/>
        </w:rPr>
        <w:footnoteReference w:id="18"/>
      </w:r>
    </w:p>
    <w:p w:rsidR="003E31AC" w:rsidRPr="004928BA" w:rsidP="003E31AC" w14:paraId="358CF988" w14:textId="77777777">
      <w:pPr>
        <w:pStyle w:val="ParaNum"/>
        <w:widowControl/>
        <w:numPr>
          <w:ilvl w:val="0"/>
          <w:numId w:val="0"/>
        </w:numPr>
        <w:ind w:firstLine="720"/>
        <w:rPr>
          <w:szCs w:val="22"/>
        </w:rPr>
      </w:pPr>
      <w:r w:rsidRPr="00C44D42">
        <w:rPr>
          <w:szCs w:val="22"/>
        </w:rPr>
        <w:t xml:space="preserve">In the </w:t>
      </w:r>
      <w:r>
        <w:rPr>
          <w:szCs w:val="22"/>
        </w:rPr>
        <w:t xml:space="preserve">2016 </w:t>
      </w:r>
      <w:r w:rsidRPr="00C44D42">
        <w:rPr>
          <w:i/>
          <w:szCs w:val="22"/>
        </w:rPr>
        <w:t>Rate-of-Return Reform Order</w:t>
      </w:r>
      <w:r w:rsidRPr="00C44D42">
        <w:rPr>
          <w:szCs w:val="22"/>
        </w:rPr>
        <w:t xml:space="preserve">, the Commission specified that the required minimum usage allowance for </w:t>
      </w:r>
      <w:r>
        <w:rPr>
          <w:szCs w:val="22"/>
        </w:rPr>
        <w:t>rate-of-return carriers receiving model-based</w:t>
      </w:r>
      <w:r w:rsidRPr="00C44D42">
        <w:rPr>
          <w:szCs w:val="22"/>
        </w:rPr>
        <w:t xml:space="preserve"> support would be 150 GB per month, </w:t>
      </w:r>
      <w:r>
        <w:rPr>
          <w:szCs w:val="22"/>
        </w:rPr>
        <w:t xml:space="preserve">or a </w:t>
      </w:r>
      <w:r w:rsidRPr="00D122B6">
        <w:t>usage allowance reflect</w:t>
      </w:r>
      <w:r>
        <w:t>ing</w:t>
      </w:r>
      <w:r w:rsidRPr="00D122B6">
        <w:t xml:space="preserve"> the average usage of a majority of fixed broadband customers, using Measuring Broadband America data or a similar data source, whichever is higher</w:t>
      </w:r>
      <w:r w:rsidRPr="00C44D42">
        <w:rPr>
          <w:szCs w:val="22"/>
        </w:rPr>
        <w:t>.</w:t>
      </w:r>
      <w:r>
        <w:rPr>
          <w:rStyle w:val="FootnoteReference"/>
        </w:rPr>
        <w:footnoteReference w:id="19"/>
      </w:r>
      <w:r w:rsidRPr="00C44D42">
        <w:rPr>
          <w:szCs w:val="22"/>
        </w:rPr>
        <w:t xml:space="preserve">  </w:t>
      </w:r>
      <w:r>
        <w:rPr>
          <w:szCs w:val="22"/>
        </w:rPr>
        <w:t xml:space="preserve">In the 2016 </w:t>
      </w:r>
      <w:r w:rsidRPr="00C44D42">
        <w:rPr>
          <w:i/>
          <w:szCs w:val="22"/>
        </w:rPr>
        <w:t>Phase II Auction Order</w:t>
      </w:r>
      <w:r>
        <w:rPr>
          <w:szCs w:val="22"/>
        </w:rPr>
        <w:t xml:space="preserve">, the Commission concluded that </w:t>
      </w:r>
      <w:r>
        <w:t xml:space="preserve">price cap carriers that accepted model-based support could meet the baseline performance data usage allowance established for the Phase II auction support in </w:t>
      </w:r>
      <w:r>
        <w:t xml:space="preserve">lieu of meeting the standard previously adopted by the Bureau’s </w:t>
      </w:r>
      <w:r w:rsidRPr="0078191A">
        <w:rPr>
          <w:i/>
        </w:rPr>
        <w:t>Phase II Service Obligations Order</w:t>
      </w:r>
      <w:r>
        <w:rPr>
          <w:i/>
        </w:rPr>
        <w:t>.</w:t>
      </w:r>
      <w:r>
        <w:rPr>
          <w:rStyle w:val="FootnoteReference"/>
        </w:rPr>
        <w:footnoteReference w:id="20"/>
      </w:r>
      <w:r>
        <w:rPr>
          <w:i/>
        </w:rPr>
        <w:t xml:space="preserve">  </w:t>
      </w:r>
      <w:r>
        <w:t xml:space="preserve">The usage allowance adopted by the Commission for the baseline performance tier is the same as that specified for rate-of-return recipients of model-based support:  </w:t>
      </w:r>
      <w:r w:rsidRPr="00D122B6">
        <w:t>150 GB per month, or a usage allowance that reflects the average usage of a majority of fixed broadband customers, using Measuring Broadband America</w:t>
      </w:r>
      <w:r>
        <w:t xml:space="preserve"> (MBA)</w:t>
      </w:r>
      <w:r w:rsidRPr="00D122B6">
        <w:t xml:space="preserve"> data or a </w:t>
      </w:r>
      <w:r w:rsidRPr="004928BA">
        <w:t>similar data source, whichever is higher.</w:t>
      </w:r>
      <w:r>
        <w:rPr>
          <w:rStyle w:val="FootnoteReference"/>
        </w:rPr>
        <w:footnoteReference w:id="21"/>
      </w:r>
      <w:r w:rsidRPr="004928BA">
        <w:t xml:space="preserve"> </w:t>
      </w:r>
    </w:p>
    <w:p w:rsidR="003E31AC" w:rsidP="003E31AC" w14:paraId="7C4DB650" w14:textId="77777777">
      <w:pPr>
        <w:spacing w:after="120"/>
        <w:ind w:firstLine="720"/>
      </w:pPr>
      <w:r>
        <w:t xml:space="preserve">For 2018, the Bureau specified a </w:t>
      </w:r>
      <w:r w:rsidRPr="004928BA">
        <w:t>minimum mo</w:t>
      </w:r>
      <w:r>
        <w:t>nthly usage allowance of 170 GB</w:t>
      </w:r>
      <w:r w:rsidRPr="004928BA">
        <w:t xml:space="preserve"> </w:t>
      </w:r>
      <w:r>
        <w:t xml:space="preserve">(rounded from 172.3 GB for administrative convenience) </w:t>
      </w:r>
      <w:r w:rsidRPr="004928BA">
        <w:t>for both price cap carriers receiving Phase II model-based support and rate-of-return carriers</w:t>
      </w:r>
      <w:r>
        <w:t xml:space="preserve"> based on the Cisco Visual Networking Index (Cisco VNI) average Internet household usage in the United States</w:t>
      </w:r>
      <w:r w:rsidRPr="004928BA">
        <w:t>.</w:t>
      </w:r>
      <w:r>
        <w:rPr>
          <w:rStyle w:val="FootnoteReference"/>
        </w:rPr>
        <w:footnoteReference w:id="22"/>
      </w:r>
      <w:r>
        <w:t xml:space="preserve">  The Bureau did this because at that time, the MBA program was phasing out collection of usage data.  However, the MBA program has recently developed and deployed updated processes to collect such data.  Based on MBA 2018 usage data, the average monthly usage is 215.62 GBs per month.</w:t>
      </w:r>
      <w:r>
        <w:rPr>
          <w:rStyle w:val="FootnoteReference"/>
        </w:rPr>
        <w:footnoteReference w:id="23"/>
      </w:r>
      <w:r>
        <w:t xml:space="preserve">  For administrative convenience, the Bureau specifies a </w:t>
      </w:r>
      <w:r w:rsidRPr="004928BA">
        <w:t xml:space="preserve">minimum monthly usage allowance of </w:t>
      </w:r>
      <w:r>
        <w:t>215 GB for 2019.</w:t>
      </w:r>
    </w:p>
    <w:p w:rsidR="003E31AC" w:rsidP="003E31AC" w14:paraId="4C580815" w14:textId="77777777">
      <w:pPr>
        <w:spacing w:after="120"/>
        <w:ind w:firstLine="720"/>
      </w:pPr>
      <w:r>
        <w:t xml:space="preserve">For further information, please contact Suzanne Yelen, Telecommunications Access Policy Division, Wireline Competition Bureau, at (202) 418-7400 or (202) 418-0484 (TTY), or at </w:t>
      </w:r>
      <w:hyperlink r:id="rId12" w:history="1">
        <w:r w:rsidRPr="003115D4">
          <w:rPr>
            <w:rStyle w:val="Hyperlink"/>
          </w:rPr>
          <w:t>suzanne.yelen@fcc.gov</w:t>
        </w:r>
      </w:hyperlink>
      <w:r>
        <w:t xml:space="preserve">. </w:t>
      </w:r>
    </w:p>
    <w:p w:rsidR="003E31AC" w:rsidP="003E31AC" w14:paraId="683AF28E" w14:textId="77777777">
      <w:pPr>
        <w:jc w:val="center"/>
      </w:pPr>
      <w:r>
        <w:rPr>
          <w:b/>
          <w:szCs w:val="22"/>
        </w:rPr>
        <w:t>‒ FCC ‒</w:t>
      </w:r>
    </w:p>
    <w:sectPr w:rsidSect="003E31AC">
      <w:endnotePr>
        <w:numFmt w:val="decimal"/>
      </w:endnotePr>
      <w:pgSz w:w="12240" w:h="15840"/>
      <w:pgMar w:top="1440" w:right="1440" w:bottom="720" w:left="1440" w:header="63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D2F026D"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F7CCC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14A575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E9AF8A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E31AC" w14:paraId="0FD9F56A" w14:textId="77777777">
      <w:r>
        <w:separator/>
      </w:r>
    </w:p>
  </w:footnote>
  <w:footnote w:type="continuationSeparator" w:id="1">
    <w:p w:rsidR="003E31AC" w14:paraId="5930D92B" w14:textId="77777777">
      <w:pPr>
        <w:rPr>
          <w:sz w:val="20"/>
        </w:rPr>
      </w:pPr>
      <w:r>
        <w:rPr>
          <w:sz w:val="20"/>
        </w:rPr>
        <w:t xml:space="preserve">(Continued from previous page)  </w:t>
      </w:r>
      <w:r>
        <w:rPr>
          <w:sz w:val="20"/>
        </w:rPr>
        <w:separator/>
      </w:r>
    </w:p>
  </w:footnote>
  <w:footnote w:type="continuationNotice" w:id="2">
    <w:p w:rsidR="003E31AC" w:rsidP="00910F12" w14:paraId="4C6AA532" w14:textId="77777777">
      <w:pPr>
        <w:jc w:val="right"/>
        <w:rPr>
          <w:sz w:val="20"/>
        </w:rPr>
      </w:pPr>
      <w:r>
        <w:rPr>
          <w:sz w:val="20"/>
        </w:rPr>
        <w:t>(continued….)</w:t>
      </w:r>
    </w:p>
  </w:footnote>
  <w:footnote w:id="3">
    <w:p w:rsidR="003E31AC" w:rsidP="003E31AC" w14:paraId="03D31E5D" w14:textId="77777777">
      <w:pPr>
        <w:pStyle w:val="FootnoteText"/>
      </w:pPr>
      <w:r>
        <w:rPr>
          <w:rStyle w:val="FootnoteReference"/>
        </w:rPr>
        <w:footnoteRef/>
      </w:r>
      <w:r>
        <w:t xml:space="preserve"> </w:t>
      </w:r>
      <w:r>
        <w:rPr>
          <w:i/>
        </w:rPr>
        <w:t xml:space="preserve">See </w:t>
      </w:r>
      <w:r w:rsidRPr="00832F63">
        <w:rPr>
          <w:i/>
        </w:rPr>
        <w:t>Connect America Fund et al.</w:t>
      </w:r>
      <w:r>
        <w:t>,</w:t>
      </w:r>
      <w:r w:rsidRPr="00832F63">
        <w:rPr>
          <w:i/>
        </w:rPr>
        <w:t xml:space="preserve"> </w:t>
      </w:r>
      <w:r w:rsidRPr="00832F63">
        <w:t xml:space="preserve">WC Docket No. 10-90 et al., Report and Order and Further Notice of Proposed </w:t>
      </w:r>
      <w:r w:rsidRPr="00862792">
        <w:t>Rulemaking, 26 FCC Rcd 17663 (2011) (</w:t>
      </w:r>
      <w:r w:rsidRPr="00862792">
        <w:rPr>
          <w:i/>
        </w:rPr>
        <w:t>USF/ICC Transformation Order</w:t>
      </w:r>
      <w:r w:rsidRPr="00862792">
        <w:t xml:space="preserve">), </w:t>
      </w:r>
      <w:r w:rsidRPr="00862792">
        <w:rPr>
          <w:i/>
          <w:iCs/>
        </w:rPr>
        <w:t>aff’d sub nom, In re: FCC 11-161</w:t>
      </w:r>
      <w:r w:rsidRPr="00862792">
        <w:rPr>
          <w:iCs/>
        </w:rPr>
        <w:t xml:space="preserve">, </w:t>
      </w:r>
      <w:r w:rsidRPr="00862792">
        <w:t>753 F.3d 1015 (10th Cir. 2014).</w:t>
      </w:r>
    </w:p>
  </w:footnote>
  <w:footnote w:id="4">
    <w:p w:rsidR="003E31AC" w:rsidP="003E31AC" w14:paraId="554082DB" w14:textId="77777777">
      <w:pPr>
        <w:pStyle w:val="FootnoteText"/>
      </w:pPr>
      <w:r>
        <w:rPr>
          <w:rStyle w:val="FootnoteReference"/>
        </w:rPr>
        <w:footnoteRef/>
      </w:r>
      <w:r>
        <w:t xml:space="preserve"> The </w:t>
      </w:r>
      <w:r>
        <w:rPr>
          <w:i/>
        </w:rPr>
        <w:t>USF/ICC Transformation Order</w:t>
      </w:r>
      <w:r>
        <w:t xml:space="preserve"> defined the average urban rate to include local end-user rates plus state regulated fees (specifically, state subscriber line charges (SLCs), state universal service, and mandatory extended area service charges).  </w:t>
      </w:r>
      <w:r>
        <w:rPr>
          <w:i/>
        </w:rPr>
        <w:t>USF/ICC Transformation Order</w:t>
      </w:r>
      <w:r>
        <w:t>, 26 FCC Rcd at 17751, para. 238.  The rate floor and reasonable comparability benchmark for voice services apply to mainland providers and those in Alaska.</w:t>
      </w:r>
    </w:p>
  </w:footnote>
  <w:footnote w:id="5">
    <w:p w:rsidR="003E31AC" w:rsidP="003E31AC" w14:paraId="26E8E791" w14:textId="77777777">
      <w:pPr>
        <w:pStyle w:val="FootnoteText"/>
      </w:pPr>
      <w:r>
        <w:rPr>
          <w:rStyle w:val="FootnoteReference"/>
        </w:rPr>
        <w:footnoteRef/>
      </w:r>
      <w:r>
        <w:t xml:space="preserve"> </w:t>
      </w:r>
      <w:r>
        <w:rPr>
          <w:i/>
        </w:rPr>
        <w:t>Id.</w:t>
      </w:r>
      <w:r>
        <w:t xml:space="preserve"> at 17694, para. 84.  </w:t>
      </w:r>
    </w:p>
  </w:footnote>
  <w:footnote w:id="6">
    <w:p w:rsidR="003E31AC" w:rsidRPr="00D33A4F" w:rsidP="003E31AC" w14:paraId="500879F8" w14:textId="77777777">
      <w:pPr>
        <w:pStyle w:val="FootnoteText"/>
      </w:pPr>
      <w:r>
        <w:rPr>
          <w:rStyle w:val="FootnoteReference"/>
        </w:rPr>
        <w:footnoteRef/>
      </w:r>
      <w:r>
        <w:t xml:space="preserve"> The Bureau has adopted a benchmark only for fixed voice services because “the differences in rate plans and other attributes of fixed and mobile </w:t>
      </w:r>
      <w:r w:rsidRPr="00D33A4F">
        <w:t xml:space="preserve">services would make it inordinately difficult to create a unified benchmark” that applied to both fixed and mobile services.  </w:t>
      </w:r>
      <w:r w:rsidRPr="00D33A4F">
        <w:rPr>
          <w:i/>
        </w:rPr>
        <w:t>See</w:t>
      </w:r>
      <w:r w:rsidRPr="00D33A4F">
        <w:t xml:space="preserve"> </w:t>
      </w:r>
      <w:r w:rsidRPr="00D33A4F">
        <w:rPr>
          <w:i/>
          <w:shd w:val="clear" w:color="auto" w:fill="FFFFFF"/>
        </w:rPr>
        <w:t>Connect America Fund</w:t>
      </w:r>
      <w:r w:rsidRPr="00D33A4F">
        <w:rPr>
          <w:shd w:val="clear" w:color="auto" w:fill="FFFFFF"/>
        </w:rPr>
        <w:t xml:space="preserve">, WC Docket No. 10-90, Order, </w:t>
      </w:r>
      <w:r w:rsidRPr="00D33A4F">
        <w:rPr>
          <w:iCs/>
          <w:shd w:val="clear" w:color="auto" w:fill="FFFFFF"/>
        </w:rPr>
        <w:t>28 FCC Rcd 4242, para. 6 (</w:t>
      </w:r>
      <w:r>
        <w:rPr>
          <w:iCs/>
          <w:shd w:val="clear" w:color="auto" w:fill="FFFFFF"/>
        </w:rPr>
        <w:t>WCB</w:t>
      </w:r>
      <w:r w:rsidRPr="00D33A4F">
        <w:rPr>
          <w:iCs/>
          <w:shd w:val="clear" w:color="auto" w:fill="FFFFFF"/>
        </w:rPr>
        <w:t xml:space="preserve"> 2014).</w:t>
      </w:r>
      <w:r w:rsidRPr="00D33A4F">
        <w:t xml:space="preserve"> </w:t>
      </w:r>
    </w:p>
  </w:footnote>
  <w:footnote w:id="7">
    <w:p w:rsidR="003E31AC" w:rsidP="003E31AC" w14:paraId="703C0631" w14:textId="77777777">
      <w:pPr>
        <w:pStyle w:val="FootnoteText"/>
      </w:pPr>
      <w:r>
        <w:rPr>
          <w:rStyle w:val="FootnoteReference"/>
        </w:rPr>
        <w:footnoteRef/>
      </w:r>
      <w:r>
        <w:t xml:space="preserve"> 47 CFR § 54.313(a</w:t>
      </w:r>
      <w:r>
        <w:t>)(</w:t>
      </w:r>
      <w:r>
        <w:t xml:space="preserve">10); </w:t>
      </w:r>
      <w:r w:rsidRPr="00754F81">
        <w:rPr>
          <w:i/>
        </w:rPr>
        <w:t>see also</w:t>
      </w:r>
      <w:r>
        <w:t xml:space="preserve"> </w:t>
      </w:r>
      <w:r w:rsidRPr="00832F63">
        <w:rPr>
          <w:i/>
        </w:rPr>
        <w:t>USF/ICC Transformation Order</w:t>
      </w:r>
      <w:r>
        <w:t xml:space="preserve">, 26 FCC Rcd </w:t>
      </w:r>
      <w:r w:rsidRPr="00832F63">
        <w:rPr>
          <w:i/>
        </w:rPr>
        <w:t xml:space="preserve"> </w:t>
      </w:r>
      <w:r w:rsidRPr="00754F81">
        <w:t>at 18046-47</w:t>
      </w:r>
      <w:r>
        <w:rPr>
          <w:i/>
        </w:rPr>
        <w:t>,</w:t>
      </w:r>
      <w:r>
        <w:t xml:space="preserve"> para. 1026.  In the </w:t>
      </w:r>
      <w:r w:rsidRPr="007A324D">
        <w:rPr>
          <w:i/>
        </w:rPr>
        <w:t>USF/ICC Transformation Order</w:t>
      </w:r>
      <w:r>
        <w:t xml:space="preserve">, the Commission required that as a condition of receiving high-cost support, ETCs must offer voice service in supported areas at rates that are reasonably comparable to rates for similar services in urban areas.  </w:t>
      </w:r>
      <w:r w:rsidRPr="008E70BA">
        <w:rPr>
          <w:i/>
        </w:rPr>
        <w:t>USF/Transformation Order</w:t>
      </w:r>
      <w:r>
        <w:t xml:space="preserve">, 26 FCC at 17693, para. 81.  </w:t>
      </w:r>
    </w:p>
  </w:footnote>
  <w:footnote w:id="8">
    <w:p w:rsidR="003E31AC" w:rsidP="003E31AC" w14:paraId="49C6839B" w14:textId="77777777">
      <w:pPr>
        <w:pStyle w:val="FootnoteText"/>
      </w:pPr>
      <w:r>
        <w:rPr>
          <w:rStyle w:val="FootnoteReference"/>
        </w:rPr>
        <w:footnoteRef/>
      </w:r>
      <w:r>
        <w:t xml:space="preserve"> </w:t>
      </w:r>
      <w:r w:rsidRPr="00E01DE2">
        <w:rPr>
          <w:i/>
        </w:rPr>
        <w:t>See</w:t>
      </w:r>
      <w:r>
        <w:t xml:space="preserve"> </w:t>
      </w:r>
      <w:r w:rsidRPr="003A01A2">
        <w:rPr>
          <w:i/>
        </w:rPr>
        <w:t>Connect America Fund</w:t>
      </w:r>
      <w:r>
        <w:t>, WC Docket No. 10-90, Notice of Proposed Rulemaking and Order, 32 FCC Rcd 4509, 4514, paras. 14-15 (2017).</w:t>
      </w:r>
    </w:p>
  </w:footnote>
  <w:footnote w:id="9">
    <w:p w:rsidR="003E31AC" w:rsidP="003E31AC" w14:paraId="5FB3AA3F" w14:textId="77777777">
      <w:pPr>
        <w:pStyle w:val="FootnoteText"/>
      </w:pPr>
      <w:r>
        <w:rPr>
          <w:rStyle w:val="FootnoteReference"/>
        </w:rPr>
        <w:footnoteRef/>
      </w:r>
      <w:r>
        <w:t xml:space="preserve"> </w:t>
      </w:r>
      <w:r w:rsidRPr="00044156">
        <w:rPr>
          <w:i/>
        </w:rPr>
        <w:t>Id</w:t>
      </w:r>
      <w:r>
        <w:t xml:space="preserve">. at 4511-14, paras. 6-13. </w:t>
      </w:r>
    </w:p>
  </w:footnote>
  <w:footnote w:id="10">
    <w:p w:rsidR="003E31AC" w:rsidP="003E31AC" w14:paraId="0A972408" w14:textId="77777777">
      <w:pPr>
        <w:pStyle w:val="FootnoteText"/>
      </w:pPr>
      <w:r>
        <w:rPr>
          <w:rStyle w:val="FootnoteReference"/>
        </w:rPr>
        <w:footnoteRef/>
      </w:r>
      <w:r>
        <w:t xml:space="preserve"> </w:t>
      </w:r>
      <w:r w:rsidRPr="00000F26">
        <w:rPr>
          <w:i/>
        </w:rPr>
        <w:t>See</w:t>
      </w:r>
      <w:r>
        <w:t xml:space="preserve"> 47 CFR 54.313(h).</w:t>
      </w:r>
    </w:p>
  </w:footnote>
  <w:footnote w:id="11">
    <w:p w:rsidR="003E31AC" w:rsidRPr="00BC6FF8" w:rsidP="003E31AC" w14:paraId="634E0505" w14:textId="77777777">
      <w:pPr>
        <w:pStyle w:val="FootnoteText"/>
      </w:pPr>
      <w:r>
        <w:rPr>
          <w:rStyle w:val="FootnoteReference"/>
        </w:rPr>
        <w:footnoteRef/>
      </w:r>
      <w:r>
        <w:t xml:space="preserve"> </w:t>
      </w:r>
      <w:r w:rsidRPr="00721ADB">
        <w:rPr>
          <w:i/>
        </w:rPr>
        <w:t>Id</w:t>
      </w:r>
      <w:r>
        <w:t xml:space="preserve">. at 17695, para. 86.  </w:t>
      </w:r>
    </w:p>
  </w:footnote>
  <w:footnote w:id="12">
    <w:p w:rsidR="003E31AC" w:rsidP="003E31AC" w14:paraId="432380E9" w14:textId="77777777">
      <w:pPr>
        <w:pStyle w:val="FootnoteText"/>
      </w:pPr>
      <w:r>
        <w:rPr>
          <w:rStyle w:val="FootnoteReference"/>
        </w:rPr>
        <w:footnoteRef/>
      </w:r>
      <w:r>
        <w:t xml:space="preserve"> </w:t>
      </w:r>
      <w:r w:rsidRPr="00125743">
        <w:rPr>
          <w:i/>
        </w:rPr>
        <w:t>Connect America Fund, Report and Order and Further Notice of Proposed Rulemaking</w:t>
      </w:r>
      <w:r>
        <w:t>, WC Docket No.10-90, et al., 31 FCC Rcd 10139, 10149, para 28 (2016).</w:t>
      </w:r>
    </w:p>
  </w:footnote>
  <w:footnote w:id="13">
    <w:p w:rsidR="003E31AC" w:rsidRPr="00FE7075" w:rsidP="003E31AC" w14:paraId="44153A4B" w14:textId="77777777">
      <w:pPr>
        <w:pStyle w:val="FootnoteText"/>
      </w:pPr>
      <w:r>
        <w:rPr>
          <w:rStyle w:val="FootnoteReference"/>
        </w:rPr>
        <w:footnoteRef/>
      </w:r>
      <w:r>
        <w:t xml:space="preserve"> 47 CFR § 54.313(a</w:t>
      </w:r>
      <w:r>
        <w:t>)(</w:t>
      </w:r>
      <w:r>
        <w:t xml:space="preserve">12).  The Commission has directed the Bureau to develop an Alaska-specific reasonable comparability benchmark.  </w:t>
      </w:r>
      <w:r w:rsidRPr="008B5FC0">
        <w:rPr>
          <w:i/>
        </w:rPr>
        <w:t>See</w:t>
      </w:r>
      <w:r>
        <w:t xml:space="preserve"> </w:t>
      </w:r>
      <w:r w:rsidRPr="008B5FC0">
        <w:rPr>
          <w:i/>
        </w:rPr>
        <w:t>Connect America Fund; Universal Service Reform–Mobility Fund; Connect America Fund–Alaska Plan</w:t>
      </w:r>
      <w:r>
        <w:t xml:space="preserve">, WC Docket Nos. 10-90, 16-271, WT Docket No. 10-208, Report and Order and Further Notice of Proposed Rulemaking, 31 FCC Rcd 10139, 10149, para. 28 (2016); </w:t>
      </w:r>
      <w:r w:rsidRPr="008B5FC0">
        <w:rPr>
          <w:i/>
        </w:rPr>
        <w:t>Connect America Fund</w:t>
      </w:r>
      <w:r>
        <w:t xml:space="preserve">, WC Docket No.10-90, </w:t>
      </w:r>
      <w:r w:rsidRPr="00FE7075">
        <w:t xml:space="preserve">Order, </w:t>
      </w:r>
      <w:r w:rsidRPr="00FE7075">
        <w:rPr>
          <w:iCs/>
          <w:shd w:val="clear" w:color="auto" w:fill="FFFFFF"/>
        </w:rPr>
        <w:t>31 FCC Rcd 1208612092, para. 21</w:t>
      </w:r>
      <w:r w:rsidRPr="00FE7075">
        <w:t xml:space="preserve"> (2016).</w:t>
      </w:r>
    </w:p>
  </w:footnote>
  <w:footnote w:id="14">
    <w:p w:rsidR="003E31AC" w:rsidRPr="00D33A4F" w:rsidP="003E31AC" w14:paraId="7D6A2C4E" w14:textId="77777777">
      <w:pPr>
        <w:pStyle w:val="FootnoteText"/>
      </w:pPr>
      <w:r>
        <w:rPr>
          <w:rStyle w:val="FootnoteReference"/>
        </w:rPr>
        <w:footnoteRef/>
      </w:r>
      <w:r>
        <w:t xml:space="preserve"> </w:t>
      </w:r>
      <w:r w:rsidRPr="00897C63">
        <w:rPr>
          <w:i/>
        </w:rPr>
        <w:t>Connect America Fund</w:t>
      </w:r>
      <w:r w:rsidRPr="00897C63">
        <w:t>, WC Docket No. 10-90</w:t>
      </w:r>
      <w:r w:rsidRPr="00D33A4F">
        <w:t xml:space="preserve">, Report and Order, </w:t>
      </w:r>
      <w:r w:rsidRPr="00D33A4F">
        <w:rPr>
          <w:iCs/>
          <w:shd w:val="clear" w:color="auto" w:fill="FFFFFF"/>
        </w:rPr>
        <w:t>29 FCC Rcd 13485 (</w:t>
      </w:r>
      <w:r>
        <w:rPr>
          <w:iCs/>
          <w:shd w:val="clear" w:color="auto" w:fill="FFFFFF"/>
        </w:rPr>
        <w:t>WCB</w:t>
      </w:r>
      <w:r w:rsidRPr="00D33A4F">
        <w:rPr>
          <w:iCs/>
          <w:shd w:val="clear" w:color="auto" w:fill="FFFFFF"/>
        </w:rPr>
        <w:t xml:space="preserve"> 2014).</w:t>
      </w:r>
    </w:p>
  </w:footnote>
  <w:footnote w:id="15">
    <w:p w:rsidR="003E31AC" w:rsidRPr="0036662D" w:rsidP="003E31AC" w14:paraId="6D329D1A" w14:textId="77777777">
      <w:pPr>
        <w:pStyle w:val="FootnoteText"/>
      </w:pPr>
      <w:r>
        <w:rPr>
          <w:rStyle w:val="FootnoteReference"/>
        </w:rPr>
        <w:footnoteRef/>
      </w:r>
      <w:r>
        <w:t xml:space="preserve"> We note that the</w:t>
      </w:r>
      <w:r w:rsidRPr="00120608">
        <w:t xml:space="preserve"> 2019 reasonable comparability benchmarks calculated for fixed broadband services are </w:t>
      </w:r>
      <w:r w:rsidRPr="00120608">
        <w:t>similar to</w:t>
      </w:r>
      <w:r w:rsidRPr="00120608">
        <w:t xml:space="preserve"> the 2017 reasonable comparability benchmarks, which are lower than 2018 reasonable comparability benchmarks. The reason for the change is that the standard deviation in survey data varies over survey years. The inconsistent rate variation in the data reflects rapid changes in the consumer market for fixed broadband services as well as a larger number of service offerings creating a smaller sample size for each service package offered in the market</w:t>
      </w:r>
      <w:r>
        <w:t>.</w:t>
      </w:r>
    </w:p>
  </w:footnote>
  <w:footnote w:id="16">
    <w:p w:rsidR="003E31AC" w:rsidP="003E31AC" w14:paraId="49C1D685" w14:textId="77777777">
      <w:pPr>
        <w:pStyle w:val="FootnoteText"/>
      </w:pPr>
      <w:r>
        <w:rPr>
          <w:rStyle w:val="FootnoteReference"/>
        </w:rPr>
        <w:footnoteRef/>
      </w:r>
      <w:r>
        <w:t xml:space="preserve"> We emphasize that carriers subject to broadband public interest obligations may offer their customers services other than those meeting the defined benchmark and minimum usage allowance.  </w:t>
      </w:r>
      <w:r>
        <w:t>As long as</w:t>
      </w:r>
      <w:r>
        <w:t xml:space="preserve"> the carrier offers at least one broadband service plan that meets the relevant metrics, it is free to offer other plans and packages to meet the varying needs of consumers.  We note that usage allowance requirements do not apply to those areas that rely exclusively on satellite backhaul.  </w:t>
      </w:r>
      <w:r>
        <w:rPr>
          <w:i/>
        </w:rPr>
        <w:t>See USF/ICC Transformation Order</w:t>
      </w:r>
      <w:r>
        <w:t>, 26 FCC Rcd</w:t>
      </w:r>
      <w:r>
        <w:rPr>
          <w:i/>
        </w:rPr>
        <w:t xml:space="preserve"> </w:t>
      </w:r>
      <w:r>
        <w:t xml:space="preserve">at 17699-700, para. 101; </w:t>
      </w:r>
      <w:r>
        <w:rPr>
          <w:i/>
        </w:rPr>
        <w:t xml:space="preserve">see also </w:t>
      </w:r>
      <w:r>
        <w:t>47 CFR § 54.313(g).</w:t>
      </w:r>
    </w:p>
  </w:footnote>
  <w:footnote w:id="17">
    <w:p w:rsidR="003E31AC" w:rsidP="003E31AC" w14:paraId="2C4F91B2" w14:textId="77777777">
      <w:pPr>
        <w:pStyle w:val="FootnoteText"/>
      </w:pPr>
      <w:r>
        <w:rPr>
          <w:rStyle w:val="FootnoteReference"/>
        </w:rPr>
        <w:footnoteRef/>
      </w:r>
      <w:r>
        <w:rPr>
          <w:i/>
        </w:rPr>
        <w:t xml:space="preserve"> See USF/ICC Transformation Order</w:t>
      </w:r>
      <w:r>
        <w:t xml:space="preserve">, 26 FCC Rcd at 17699, para. 99.  </w:t>
      </w:r>
      <w:r w:rsidRPr="00D96D70">
        <w:rPr>
          <w:i/>
        </w:rPr>
        <w:t>See</w:t>
      </w:r>
      <w:r w:rsidRPr="00D96D70">
        <w:t xml:space="preserve"> 47 CFR §§ 54.308(a)</w:t>
      </w:r>
      <w:r>
        <w:t>, 54.309(a).</w:t>
      </w:r>
      <w:r w:rsidRPr="00D96D70">
        <w:t xml:space="preserve"> </w:t>
      </w:r>
    </w:p>
  </w:footnote>
  <w:footnote w:id="18">
    <w:p w:rsidR="003E31AC" w:rsidRPr="00264543" w:rsidP="003E31AC" w14:paraId="03952A4A" w14:textId="77777777">
      <w:pPr>
        <w:pStyle w:val="FootnoteText"/>
        <w:rPr>
          <w:b/>
        </w:rPr>
      </w:pPr>
      <w:r>
        <w:rPr>
          <w:rStyle w:val="FootnoteReference"/>
        </w:rPr>
        <w:footnoteRef/>
      </w:r>
      <w:r>
        <w:rPr>
          <w:i/>
        </w:rPr>
        <w:t xml:space="preserve"> USF/ICC Transformation Order</w:t>
      </w:r>
      <w:r>
        <w:t>, 26 FCC Rcd at 17699, para. 99</w:t>
      </w:r>
      <w:r>
        <w:rPr>
          <w:i/>
        </w:rPr>
        <w:t xml:space="preserve">.  </w:t>
      </w:r>
      <w:r>
        <w:t xml:space="preserve">In 2013, the Bureau concluded that price cap carriers accepting model-based support would be required to offer a minimum usage allowance over the course of Phase II’s term that (1) remains consistent with trends in usage for 80 percent of consumers using cable or fiber-based fixed broadband services, or alternatively, (2) </w:t>
      </w:r>
      <w:r w:rsidRPr="00E36F87">
        <w:rPr>
          <w:szCs w:val="22"/>
        </w:rPr>
        <w:t xml:space="preserve">is at least 100 GB and at or above the usage level for 80 percent of all of </w:t>
      </w:r>
      <w:r w:rsidRPr="00CB4ECB">
        <w:rPr>
          <w:szCs w:val="22"/>
        </w:rPr>
        <w:t xml:space="preserve">that carrier’s broadband subscribers, including those subscribers that live outside of Phase II-funded areas.  </w:t>
      </w:r>
      <w:r w:rsidRPr="00847C8D">
        <w:rPr>
          <w:i/>
        </w:rPr>
        <w:t xml:space="preserve">See </w:t>
      </w:r>
      <w:r w:rsidRPr="00CE236E">
        <w:rPr>
          <w:i/>
        </w:rPr>
        <w:t>Connect America Fund</w:t>
      </w:r>
      <w:r w:rsidRPr="00CE236E">
        <w:t>, WC Docket No. 10-90, Report and Order, 28 FCC Rcd 15060, 1506</w:t>
      </w:r>
      <w:r w:rsidRPr="008B5FC0">
        <w:t>8, paras. 18 (WCB 2013) (</w:t>
      </w:r>
      <w:r w:rsidRPr="008B5FC0">
        <w:rPr>
          <w:i/>
        </w:rPr>
        <w:t>Phase II Service Obligations Order</w:t>
      </w:r>
      <w:r w:rsidRPr="008B5FC0">
        <w:t xml:space="preserve">).  </w:t>
      </w:r>
      <w:r>
        <w:rPr>
          <w:snapToGrid w:val="0"/>
          <w:kern w:val="28"/>
        </w:rPr>
        <w:t>T</w:t>
      </w:r>
      <w:r w:rsidRPr="008B5FC0">
        <w:rPr>
          <w:snapToGrid w:val="0"/>
          <w:kern w:val="28"/>
        </w:rPr>
        <w:t>he Bureau adopted the same approach for determining usage allowances for rate-of-return carriers</w:t>
      </w:r>
      <w:r w:rsidRPr="008B5FC0">
        <w:t xml:space="preserve"> as the Bureau had previously adopted for Phase II model-based support recipients</w:t>
      </w:r>
      <w:r w:rsidRPr="008B5FC0">
        <w:rPr>
          <w:snapToGrid w:val="0"/>
          <w:kern w:val="28"/>
        </w:rPr>
        <w:t xml:space="preserve">.  </w:t>
      </w:r>
      <w:r w:rsidRPr="00CB4ECB">
        <w:rPr>
          <w:bCs/>
          <w:i/>
          <w:snapToGrid w:val="0"/>
          <w:kern w:val="28"/>
          <w:shd w:val="clear" w:color="auto" w:fill="FFFFFF"/>
        </w:rPr>
        <w:t>Wireline Competition Bureau Announces Results of 2016 Urban Rate Survey for Fixed Voice and Broadband Services, et al.</w:t>
      </w:r>
      <w:r w:rsidRPr="00CB4ECB">
        <w:rPr>
          <w:bCs/>
          <w:snapToGrid w:val="0"/>
          <w:kern w:val="28"/>
          <w:shd w:val="clear" w:color="auto" w:fill="FFFFFF"/>
        </w:rPr>
        <w:t xml:space="preserve">, Public Notice, </w:t>
      </w:r>
      <w:r w:rsidRPr="00CB4ECB">
        <w:rPr>
          <w:iCs/>
          <w:snapToGrid w:val="0"/>
          <w:kern w:val="28"/>
          <w:shd w:val="clear" w:color="auto" w:fill="FFFFFF"/>
        </w:rPr>
        <w:t xml:space="preserve">31 FCC Rcd 3393 (WCB 2016).  </w:t>
      </w:r>
    </w:p>
  </w:footnote>
  <w:footnote w:id="19">
    <w:p w:rsidR="003E31AC" w:rsidP="003E31AC" w14:paraId="0C841D72" w14:textId="77777777">
      <w:pPr>
        <w:spacing w:after="120"/>
      </w:pPr>
      <w:r>
        <w:rPr>
          <w:rStyle w:val="FootnoteReference"/>
        </w:rPr>
        <w:footnoteRef/>
      </w:r>
      <w:r>
        <w:t xml:space="preserve"> </w:t>
      </w:r>
      <w:r w:rsidRPr="008B5FC0">
        <w:rPr>
          <w:i/>
          <w:sz w:val="20"/>
        </w:rPr>
        <w:t>Connect America Fund et al.</w:t>
      </w:r>
      <w:r w:rsidRPr="008B5FC0">
        <w:rPr>
          <w:sz w:val="20"/>
        </w:rPr>
        <w:t>, Report and Order, Order and Order on Reconsideration, and Further Notice of Proposed Rulemaking, 31 FCC Rcd 3087</w:t>
      </w:r>
      <w:r>
        <w:rPr>
          <w:sz w:val="20"/>
        </w:rPr>
        <w:t>, 3099, para. 27</w:t>
      </w:r>
      <w:r w:rsidRPr="008B5FC0">
        <w:rPr>
          <w:sz w:val="20"/>
        </w:rPr>
        <w:t xml:space="preserve"> (2016)</w:t>
      </w:r>
      <w:r>
        <w:rPr>
          <w:sz w:val="20"/>
        </w:rPr>
        <w:t>.</w:t>
      </w:r>
      <w:r w:rsidRPr="00A33DEF">
        <w:rPr>
          <w:sz w:val="20"/>
        </w:rPr>
        <w:t xml:space="preserve">   </w:t>
      </w:r>
      <w:r w:rsidRPr="00A33DEF">
        <w:rPr>
          <w:i/>
          <w:sz w:val="20"/>
        </w:rPr>
        <w:t>See</w:t>
      </w:r>
      <w:r w:rsidRPr="00A33DEF">
        <w:rPr>
          <w:sz w:val="20"/>
        </w:rPr>
        <w:t xml:space="preserve"> 47 CFR § 54.308(a)(1).</w:t>
      </w:r>
    </w:p>
  </w:footnote>
  <w:footnote w:id="20">
    <w:p w:rsidR="003E31AC" w:rsidP="003E31AC" w14:paraId="436A599C" w14:textId="77777777">
      <w:pPr>
        <w:pStyle w:val="FootnoteText"/>
      </w:pPr>
      <w:r>
        <w:rPr>
          <w:rStyle w:val="FootnoteReference"/>
        </w:rPr>
        <w:footnoteRef/>
      </w:r>
      <w:r>
        <w:t xml:space="preserve"> </w:t>
      </w:r>
      <w:r w:rsidRPr="008B5FC0">
        <w:rPr>
          <w:i/>
        </w:rPr>
        <w:t>Connect America et al</w:t>
      </w:r>
      <w:r>
        <w:t>., Report and Order and Further Notice of Proposed Rulemaking, 31 FCC Rcd 5949, 5959, para. 25 n.52 (2016)</w:t>
      </w:r>
      <w:r>
        <w:rPr>
          <w:i/>
        </w:rPr>
        <w:t>.</w:t>
      </w:r>
    </w:p>
  </w:footnote>
  <w:footnote w:id="21">
    <w:p w:rsidR="003E31AC" w:rsidRPr="00590154" w:rsidP="003E31AC" w14:paraId="61FC7C2D" w14:textId="77777777">
      <w:pPr>
        <w:pStyle w:val="FootnoteText"/>
      </w:pPr>
      <w:r w:rsidRPr="00590154">
        <w:rPr>
          <w:rStyle w:val="FootnoteReference"/>
        </w:rPr>
        <w:footnoteRef/>
      </w:r>
      <w:r w:rsidRPr="00590154">
        <w:t xml:space="preserve"> </w:t>
      </w:r>
      <w:r w:rsidRPr="00590154">
        <w:rPr>
          <w:i/>
        </w:rPr>
        <w:t>Id</w:t>
      </w:r>
      <w:r w:rsidRPr="00590154">
        <w:t xml:space="preserve">. at 5959-60, para. 25.  </w:t>
      </w:r>
      <w:r w:rsidRPr="00590154">
        <w:rPr>
          <w:i/>
        </w:rPr>
        <w:t>See</w:t>
      </w:r>
      <w:r w:rsidRPr="00590154">
        <w:t xml:space="preserve"> 47 CFR § 54.309(a)(2)(ii).</w:t>
      </w:r>
    </w:p>
  </w:footnote>
  <w:footnote w:id="22">
    <w:p w:rsidR="003E31AC" w:rsidP="003E31AC" w14:paraId="2E34C7A1" w14:textId="77777777">
      <w:pPr>
        <w:pStyle w:val="FootnoteText"/>
      </w:pPr>
      <w:r>
        <w:rPr>
          <w:rStyle w:val="FootnoteReference"/>
        </w:rPr>
        <w:footnoteRef/>
      </w:r>
      <w:r>
        <w:t xml:space="preserve"> Cisco Visual Networking Index:  Forecast and Methodology, 2016-2021, Overview of VNI </w:t>
      </w:r>
      <w:r>
        <w:t>metodology</w:t>
      </w:r>
      <w:r>
        <w:t xml:space="preserve"> </w:t>
      </w:r>
      <w:r w:rsidRPr="002035A3">
        <w:rPr>
          <w:i/>
        </w:rPr>
        <w:t>available at</w:t>
      </w:r>
      <w:r>
        <w:t xml:space="preserve"> </w:t>
      </w:r>
      <w:hyperlink r:id="rId1" w:anchor="_Toc484813975" w:history="1">
        <w:r w:rsidRPr="00F963C2">
          <w:rPr>
            <w:rStyle w:val="Hyperlink"/>
          </w:rPr>
          <w:t>https://www.cisco.com/c/en/us/solutions/collateral/service-provider/visual-networking-index-vni/complete-white-paper-c11-481360.html#_Toc484813975</w:t>
        </w:r>
      </w:hyperlink>
      <w:r>
        <w:t xml:space="preserve">.  In lieu of this national figure, price cap carriers receiving Phase II support are free to utilize the alternative measure adopted by the Bureau in 2013 if that is lower:  a usage allowance that </w:t>
      </w:r>
      <w:r w:rsidRPr="00E36F87">
        <w:rPr>
          <w:szCs w:val="22"/>
        </w:rPr>
        <w:t xml:space="preserve">is at or above the usage level for 80 percent of </w:t>
      </w:r>
      <w:r w:rsidRPr="00E36F87">
        <w:rPr>
          <w:szCs w:val="22"/>
        </w:rPr>
        <w:t>all of</w:t>
      </w:r>
      <w:r w:rsidRPr="00E36F87">
        <w:rPr>
          <w:szCs w:val="22"/>
        </w:rPr>
        <w:t xml:space="preserve"> </w:t>
      </w:r>
      <w:r w:rsidRPr="00CB4ECB">
        <w:rPr>
          <w:szCs w:val="22"/>
        </w:rPr>
        <w:t xml:space="preserve">that carrier’s broadband subscribers, including those subscribers that live outside of Phase II-funded areas.  </w:t>
      </w:r>
      <w:r w:rsidRPr="00847C8D">
        <w:rPr>
          <w:i/>
        </w:rPr>
        <w:t xml:space="preserve">See </w:t>
      </w:r>
      <w:r w:rsidRPr="008B5FC0">
        <w:rPr>
          <w:i/>
        </w:rPr>
        <w:t>Phase II Service Obligations Order</w:t>
      </w:r>
      <w:r>
        <w:rPr>
          <w:i/>
        </w:rPr>
        <w:t>,</w:t>
      </w:r>
      <w:r w:rsidRPr="00CE236E">
        <w:rPr>
          <w:i/>
        </w:rPr>
        <w:t xml:space="preserve"> </w:t>
      </w:r>
      <w:r w:rsidRPr="00CE236E">
        <w:t xml:space="preserve">28 FCC Rcd </w:t>
      </w:r>
      <w:r>
        <w:t>at</w:t>
      </w:r>
      <w:r w:rsidRPr="00CE236E">
        <w:t xml:space="preserve"> 1506</w:t>
      </w:r>
      <w:r w:rsidRPr="008B5FC0">
        <w:t xml:space="preserve">8, para. 18.  </w:t>
      </w:r>
    </w:p>
  </w:footnote>
  <w:footnote w:id="23">
    <w:p w:rsidR="003E31AC" w:rsidP="003E31AC" w14:paraId="39DB39F0" w14:textId="77777777">
      <w:pPr>
        <w:pStyle w:val="FootnoteText"/>
      </w:pPr>
      <w:r>
        <w:rPr>
          <w:rStyle w:val="FootnoteReference"/>
        </w:rPr>
        <w:footnoteRef/>
      </w:r>
      <w:r>
        <w:t xml:space="preserve"> We note that the Cisco VNI average Internet household usage was 254.7 GB per month in 2017.  </w:t>
      </w:r>
      <w:r w:rsidRPr="00120608">
        <w:rPr>
          <w:i/>
        </w:rPr>
        <w:t>See</w:t>
      </w:r>
      <w:r>
        <w:t xml:space="preserve"> Cisco Visual Networking Index:  Forecast and Methodology, 2017-2022, Overview of VNI methodology </w:t>
      </w:r>
      <w:r w:rsidRPr="002035A3">
        <w:rPr>
          <w:i/>
        </w:rPr>
        <w:t>available at</w:t>
      </w:r>
      <w:r>
        <w:t xml:space="preserve"> </w:t>
      </w:r>
      <w:r w:rsidRPr="00120608">
        <w:t>https://www.cisco.com/c/m/en_us/solutions/service-provider/vni-forecast-highlights.html#</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8057D2E" w14:textId="415162D5">
    <w:pPr>
      <w:tabs>
        <w:tab w:val="center" w:pos="4680"/>
        <w:tab w:val="right" w:pos="9360"/>
      </w:tabs>
    </w:pPr>
    <w:r w:rsidRPr="009838BC">
      <w:rPr>
        <w:b/>
      </w:rPr>
      <w:tab/>
      <w:t>Federal Communications Commission</w:t>
    </w:r>
    <w:r w:rsidRPr="009838BC">
      <w:rPr>
        <w:b/>
      </w:rPr>
      <w:tab/>
    </w:r>
    <w:r w:rsidR="003E31AC">
      <w:rPr>
        <w:b/>
      </w:rPr>
      <w:t>DA 18-</w:t>
    </w:r>
    <w:r w:rsidR="008138D8">
      <w:rPr>
        <w:b/>
      </w:rPr>
      <w:t>1280</w:t>
    </w:r>
  </w:p>
  <w:p w:rsidR="009838BC" w:rsidRPr="009838BC" w:rsidP="009838BC" w14:paraId="45A0192A"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29F236BA"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67B42EA"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090A2073" w14:textId="77777777">
                <w:pPr>
                  <w:rPr>
                    <w:rFonts w:ascii="Arial" w:hAnsi="Arial"/>
                    <w:b/>
                  </w:rPr>
                </w:pPr>
                <w:r>
                  <w:rPr>
                    <w:rFonts w:ascii="Arial" w:hAnsi="Arial"/>
                    <w:b/>
                  </w:rPr>
                  <w:t>Federal Communications Commission</w:t>
                </w:r>
              </w:p>
              <w:p w:rsidR="009838BC" w:rsidP="009838BC" w14:paraId="648B976B"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5A3CD430"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21C3013F"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844.8pt,56.7pt" to="1312.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5AE2F5F8" w14:textId="77777777">
                <w:pPr>
                  <w:spacing w:before="40"/>
                  <w:jc w:val="right"/>
                  <w:rPr>
                    <w:rFonts w:ascii="Arial" w:hAnsi="Arial"/>
                    <w:b/>
                    <w:sz w:val="16"/>
                  </w:rPr>
                </w:pPr>
                <w:r>
                  <w:rPr>
                    <w:rFonts w:ascii="Arial" w:hAnsi="Arial"/>
                    <w:b/>
                    <w:sz w:val="16"/>
                  </w:rPr>
                  <w:t>News Media Information 202 / 418-0500</w:t>
                </w:r>
              </w:p>
              <w:p w:rsidR="009838BC" w:rsidP="009838BC" w14:paraId="50031CF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227BCCFC" w14:textId="77777777">
                <w:pPr>
                  <w:jc w:val="right"/>
                </w:pPr>
                <w:r>
                  <w:rPr>
                    <w:rFonts w:ascii="Arial" w:hAnsi="Arial"/>
                    <w:b/>
                    <w:sz w:val="16"/>
                  </w:rPr>
                  <w:t>TTY: 1-888-835-5322</w:t>
                </w:r>
              </w:p>
            </w:txbxContent>
          </v:textbox>
        </v:shape>
      </w:pict>
    </w:r>
  </w:p>
  <w:p w:rsidR="006F7393" w:rsidRPr="003E31AC" w:rsidP="009838BC" w14:paraId="5113997D" w14:textId="77777777">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1AC"/>
    <w:rsid w:val="00000F26"/>
    <w:rsid w:val="000072CE"/>
    <w:rsid w:val="00013A8B"/>
    <w:rsid w:val="00021445"/>
    <w:rsid w:val="00036039"/>
    <w:rsid w:val="00037F90"/>
    <w:rsid w:val="00044156"/>
    <w:rsid w:val="000875BF"/>
    <w:rsid w:val="00096D8C"/>
    <w:rsid w:val="000C0B65"/>
    <w:rsid w:val="000E3D42"/>
    <w:rsid w:val="000E5884"/>
    <w:rsid w:val="00120608"/>
    <w:rsid w:val="00122BD5"/>
    <w:rsid w:val="00125743"/>
    <w:rsid w:val="001979D9"/>
    <w:rsid w:val="001A1646"/>
    <w:rsid w:val="001D6BCF"/>
    <w:rsid w:val="001E01CA"/>
    <w:rsid w:val="002035A3"/>
    <w:rsid w:val="002060D9"/>
    <w:rsid w:val="00226822"/>
    <w:rsid w:val="00260594"/>
    <w:rsid w:val="00264543"/>
    <w:rsid w:val="00285017"/>
    <w:rsid w:val="002A2D2E"/>
    <w:rsid w:val="003115D4"/>
    <w:rsid w:val="00343749"/>
    <w:rsid w:val="00357D50"/>
    <w:rsid w:val="0036662D"/>
    <w:rsid w:val="003925DC"/>
    <w:rsid w:val="003A01A2"/>
    <w:rsid w:val="003B0550"/>
    <w:rsid w:val="003B694F"/>
    <w:rsid w:val="003E31AC"/>
    <w:rsid w:val="003F171C"/>
    <w:rsid w:val="00412FC5"/>
    <w:rsid w:val="00422276"/>
    <w:rsid w:val="004242F1"/>
    <w:rsid w:val="00445A00"/>
    <w:rsid w:val="00451B0F"/>
    <w:rsid w:val="0046125F"/>
    <w:rsid w:val="00487524"/>
    <w:rsid w:val="004928BA"/>
    <w:rsid w:val="00496106"/>
    <w:rsid w:val="004C12D0"/>
    <w:rsid w:val="004C2EE3"/>
    <w:rsid w:val="004E4A22"/>
    <w:rsid w:val="00511968"/>
    <w:rsid w:val="0055614C"/>
    <w:rsid w:val="005610F1"/>
    <w:rsid w:val="00590154"/>
    <w:rsid w:val="00607BA5"/>
    <w:rsid w:val="00626EB6"/>
    <w:rsid w:val="006353A3"/>
    <w:rsid w:val="00655D03"/>
    <w:rsid w:val="00683F84"/>
    <w:rsid w:val="00687524"/>
    <w:rsid w:val="006A6A81"/>
    <w:rsid w:val="006E26AF"/>
    <w:rsid w:val="006F7393"/>
    <w:rsid w:val="0070224F"/>
    <w:rsid w:val="007115F7"/>
    <w:rsid w:val="00721ADB"/>
    <w:rsid w:val="00754F81"/>
    <w:rsid w:val="0078191A"/>
    <w:rsid w:val="00785689"/>
    <w:rsid w:val="0079754B"/>
    <w:rsid w:val="007A1E6D"/>
    <w:rsid w:val="007A324D"/>
    <w:rsid w:val="008138D8"/>
    <w:rsid w:val="00822CE0"/>
    <w:rsid w:val="00832F63"/>
    <w:rsid w:val="00837C62"/>
    <w:rsid w:val="00841AB1"/>
    <w:rsid w:val="00847C8D"/>
    <w:rsid w:val="00862792"/>
    <w:rsid w:val="00897C63"/>
    <w:rsid w:val="008A0FCD"/>
    <w:rsid w:val="008B5FC0"/>
    <w:rsid w:val="008C22FD"/>
    <w:rsid w:val="008E70BA"/>
    <w:rsid w:val="00910F12"/>
    <w:rsid w:val="00926503"/>
    <w:rsid w:val="00930ECF"/>
    <w:rsid w:val="009838BC"/>
    <w:rsid w:val="009F4707"/>
    <w:rsid w:val="00A33DEF"/>
    <w:rsid w:val="00A45F4F"/>
    <w:rsid w:val="00A600A9"/>
    <w:rsid w:val="00A866AC"/>
    <w:rsid w:val="00A87AD7"/>
    <w:rsid w:val="00AA55B7"/>
    <w:rsid w:val="00AA5B9E"/>
    <w:rsid w:val="00AB2407"/>
    <w:rsid w:val="00AB53DF"/>
    <w:rsid w:val="00B07E5C"/>
    <w:rsid w:val="00B326E3"/>
    <w:rsid w:val="00B811F7"/>
    <w:rsid w:val="00BA5DC6"/>
    <w:rsid w:val="00BA6196"/>
    <w:rsid w:val="00BC6D8C"/>
    <w:rsid w:val="00BC6FF8"/>
    <w:rsid w:val="00C16AF2"/>
    <w:rsid w:val="00C34006"/>
    <w:rsid w:val="00C426B1"/>
    <w:rsid w:val="00C44D42"/>
    <w:rsid w:val="00C82B6B"/>
    <w:rsid w:val="00C90D6A"/>
    <w:rsid w:val="00CB4ECB"/>
    <w:rsid w:val="00CC72B6"/>
    <w:rsid w:val="00CE236E"/>
    <w:rsid w:val="00D0218D"/>
    <w:rsid w:val="00D122B6"/>
    <w:rsid w:val="00D216CD"/>
    <w:rsid w:val="00D33A4F"/>
    <w:rsid w:val="00D60A9B"/>
    <w:rsid w:val="00D96D70"/>
    <w:rsid w:val="00DA2529"/>
    <w:rsid w:val="00DB130A"/>
    <w:rsid w:val="00DC10A1"/>
    <w:rsid w:val="00DC655F"/>
    <w:rsid w:val="00DD7EBD"/>
    <w:rsid w:val="00DF62B6"/>
    <w:rsid w:val="00E01DE2"/>
    <w:rsid w:val="00E07225"/>
    <w:rsid w:val="00E155B7"/>
    <w:rsid w:val="00E36F87"/>
    <w:rsid w:val="00E5409F"/>
    <w:rsid w:val="00EC0185"/>
    <w:rsid w:val="00F021FA"/>
    <w:rsid w:val="00F57ACA"/>
    <w:rsid w:val="00F62E97"/>
    <w:rsid w:val="00F64209"/>
    <w:rsid w:val="00F93BF5"/>
    <w:rsid w:val="00F963C2"/>
    <w:rsid w:val="00F96F63"/>
    <w:rsid w:val="00FE707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B6143B9-FB31-4FDB-9294-F83613CF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1AC"/>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Footnote Text Char Char Char Char,Footnote Text Char1,Footnote Text Char2 Char Char2 Char2 Char Char,Footnote Text Char4 Char Char1 Char Char,Footnote Text Char5 Char Char,fn,fn Char"/>
    <w:link w:val="FootnoteTextChar2"/>
    <w:uiPriority w:val="99"/>
    <w:rsid w:val="000E3D42"/>
    <w:pPr>
      <w:spacing w:after="120"/>
    </w:pPr>
  </w:style>
  <w:style w:type="character" w:styleId="FootnoteReference">
    <w:name w:val="footnote reference"/>
    <w:aliases w:val="(NECG) Footnote Reference,Appel note de bas de p,FR,Footnote Reference/,Style 12,Style 124,Style 13,Style 17,Style 3,Style 34,Style 4,Style 6,Style 7,Style 9,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ParaNumChar1">
    <w:name w:val="ParaNum Char1"/>
    <w:link w:val="ParaNum"/>
    <w:uiPriority w:val="99"/>
    <w:rsid w:val="003E31AC"/>
    <w:rPr>
      <w:snapToGrid w:val="0"/>
      <w:kern w:val="28"/>
      <w:sz w:val="22"/>
    </w:rPr>
  </w:style>
  <w:style w:type="character" w:customStyle="1" w:styleId="FootnoteTextChar2">
    <w:name w:val="Footnote Text Char2"/>
    <w:aliases w:val="ALTS FOOTNOTE Char,Footnote Text Char Char Char,Footnote Text Char Char Char Char Char,Footnote Text Char Char1,Footnote Text Char1 Char,Footnote Text Char4 Char Char1 Char Char Char,Footnote Text Char5 Char Char Char,fn Char Char"/>
    <w:link w:val="FootnoteText"/>
    <w:uiPriority w:val="99"/>
    <w:locked/>
    <w:rsid w:val="003E31AC"/>
  </w:style>
  <w:style w:type="paragraph" w:styleId="HTMLPreformatted">
    <w:name w:val="HTML Preformatted"/>
    <w:basedOn w:val="Normal"/>
    <w:link w:val="HTMLPreformattedChar"/>
    <w:uiPriority w:val="99"/>
    <w:unhideWhenUsed/>
    <w:rsid w:val="003E31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character" w:customStyle="1" w:styleId="HTMLPreformattedChar">
    <w:name w:val="HTML Preformatted Char"/>
    <w:basedOn w:val="DefaultParagraphFont"/>
    <w:link w:val="HTMLPreformatted"/>
    <w:uiPriority w:val="99"/>
    <w:rsid w:val="003E31AC"/>
    <w:rPr>
      <w:rFonts w:ascii="Courier New" w:hAnsi="Courier New" w:cs="Courier New"/>
    </w:rPr>
  </w:style>
  <w:style w:type="character" w:styleId="CommentReference">
    <w:name w:val="annotation reference"/>
    <w:uiPriority w:val="99"/>
    <w:semiHidden/>
    <w:unhideWhenUsed/>
    <w:rsid w:val="003E31A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auction/903" TargetMode="External" /><Relationship Id="rId11" Type="http://schemas.openxmlformats.org/officeDocument/2006/relationships/hyperlink" Target="http://www.fcc.gov/encyclopedia/urban-rate-survey-data" TargetMode="External" /><Relationship Id="rId12" Type="http://schemas.openxmlformats.org/officeDocument/2006/relationships/hyperlink" Target="mailto:suzanne.yelen@fcc.gov"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cisco.com/c/en/us/solutions/collateral/service-provider/visual-networking-index-vni/complete-white-paper-c11-481360.html"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