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D3BD7" w:rsidRPr="003C73D8" w:rsidP="00ED3BD7" w14:paraId="313FEE9F" w14:textId="77777777">
      <w:pPr>
        <w:jc w:val="center"/>
        <w:rPr>
          <w:b/>
          <w:szCs w:val="22"/>
        </w:rPr>
      </w:pPr>
      <w:bookmarkStart w:id="0" w:name="_GoBack"/>
      <w:bookmarkEnd w:id="0"/>
      <w:r w:rsidRPr="003C73D8">
        <w:rPr>
          <w:b/>
          <w:kern w:val="0"/>
          <w:szCs w:val="22"/>
        </w:rPr>
        <w:t>Before</w:t>
      </w:r>
      <w:r w:rsidRPr="003C73D8">
        <w:rPr>
          <w:b/>
          <w:szCs w:val="22"/>
        </w:rPr>
        <w:t xml:space="preserve"> the</w:t>
      </w:r>
    </w:p>
    <w:p w:rsidR="00ED3BD7" w:rsidRPr="003C73D8" w:rsidP="00ED3BD7" w14:paraId="313FEEA0" w14:textId="77777777">
      <w:pPr>
        <w:pStyle w:val="StyleBoldCentered"/>
        <w:rPr>
          <w:rFonts w:ascii="Times New Roman" w:hAnsi="Times New Roman"/>
        </w:rPr>
      </w:pPr>
      <w:r w:rsidRPr="003C73D8">
        <w:rPr>
          <w:rFonts w:ascii="Times New Roman" w:hAnsi="Times New Roman"/>
        </w:rPr>
        <w:t>F</w:t>
      </w:r>
      <w:r w:rsidRPr="003C73D8">
        <w:rPr>
          <w:rFonts w:ascii="Times New Roman" w:hAnsi="Times New Roman"/>
          <w:caps w:val="0"/>
        </w:rPr>
        <w:t>ederal Communications Commission</w:t>
      </w:r>
    </w:p>
    <w:p w:rsidR="00ED3BD7" w:rsidRPr="00ED3BD7" w:rsidP="00ED3BD7" w14:paraId="313FEEA1" w14:textId="77777777">
      <w:pPr>
        <w:pStyle w:val="StyleBoldCentered"/>
        <w:rPr>
          <w:rFonts w:ascii="Times New Roman" w:hAnsi="Times New Roman"/>
        </w:rPr>
      </w:pPr>
      <w:r w:rsidRPr="003C73D8">
        <w:rPr>
          <w:rFonts w:ascii="Times New Roman" w:hAnsi="Times New Roman"/>
          <w:caps w:val="0"/>
        </w:rPr>
        <w:t>Washington, D.C. 20554</w:t>
      </w:r>
    </w:p>
    <w:p w:rsidR="00ED3BD7" w:rsidRPr="003C73D8" w:rsidP="00ED3BD7" w14:paraId="313FEEA2" w14:textId="77777777">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13FEEB1" w14:textId="77777777" w:rsidTr="00F55394">
        <w:tblPrEx>
          <w:tblW w:w="0" w:type="auto"/>
          <w:tblInd w:w="0" w:type="dxa"/>
          <w:tblLayout w:type="fixed"/>
          <w:tblCellMar>
            <w:top w:w="0" w:type="dxa"/>
            <w:left w:w="108" w:type="dxa"/>
            <w:bottom w:w="0" w:type="dxa"/>
            <w:right w:w="108" w:type="dxa"/>
          </w:tblCellMar>
          <w:tblLook w:val="0000"/>
        </w:tblPrEx>
        <w:tc>
          <w:tcPr>
            <w:tcW w:w="4698" w:type="dxa"/>
          </w:tcPr>
          <w:p w:rsidR="00ED3BD7" w:rsidRPr="003C73D8" w:rsidP="00F55394" w14:paraId="313FEEA3" w14:textId="77777777">
            <w:pPr>
              <w:widowControl w:val="0"/>
              <w:tabs>
                <w:tab w:val="center" w:pos="4680"/>
              </w:tabs>
              <w:suppressAutoHyphens/>
              <w:rPr>
                <w:rStyle w:val="DefaultParagraphFont"/>
                <w:snapToGrid w:val="0"/>
                <w:spacing w:val="-2"/>
                <w:kern w:val="28"/>
                <w:sz w:val="22"/>
                <w:szCs w:val="22"/>
                <w:lang w:val="en-US" w:eastAsia="en-US" w:bidi="ar-SA"/>
              </w:rPr>
            </w:pPr>
            <w:r w:rsidRPr="003C73D8">
              <w:rPr>
                <w:snapToGrid w:val="0"/>
                <w:spacing w:val="-2"/>
                <w:kern w:val="28"/>
                <w:sz w:val="22"/>
                <w:szCs w:val="22"/>
                <w:lang w:val="en-US" w:eastAsia="en-US" w:bidi="ar-SA"/>
              </w:rPr>
              <w:t>In the Matter of</w:t>
            </w:r>
          </w:p>
          <w:p w:rsidR="00ED3BD7" w:rsidRPr="003C73D8" w:rsidP="00F55394" w14:paraId="313FEEA4" w14:textId="77777777">
            <w:pPr>
              <w:widowControl w:val="0"/>
              <w:tabs>
                <w:tab w:val="center" w:pos="4680"/>
              </w:tabs>
              <w:suppressAutoHyphens/>
              <w:rPr>
                <w:rStyle w:val="DefaultParagraphFont"/>
                <w:snapToGrid w:val="0"/>
                <w:spacing w:val="-2"/>
                <w:kern w:val="28"/>
                <w:sz w:val="22"/>
                <w:szCs w:val="22"/>
                <w:lang w:val="en-US" w:eastAsia="en-US" w:bidi="ar-SA"/>
              </w:rPr>
            </w:pPr>
          </w:p>
          <w:p w:rsidR="00ED3BD7" w:rsidRPr="003C73D8" w:rsidP="00F55394" w14:paraId="313FEEA5" w14:textId="77777777">
            <w:pPr>
              <w:widowControl w:val="0"/>
              <w:tabs>
                <w:tab w:val="center" w:pos="4680"/>
              </w:tabs>
              <w:suppressAutoHyphens/>
              <w:rPr>
                <w:rStyle w:val="DefaultParagraphFont"/>
                <w:snapToGrid w:val="0"/>
                <w:spacing w:val="-2"/>
                <w:kern w:val="28"/>
                <w:sz w:val="22"/>
                <w:szCs w:val="22"/>
                <w:lang w:val="en-US" w:eastAsia="en-US" w:bidi="ar-SA"/>
              </w:rPr>
            </w:pPr>
            <w:r w:rsidRPr="003C73D8">
              <w:rPr>
                <w:snapToGrid w:val="0"/>
                <w:spacing w:val="-2"/>
                <w:kern w:val="28"/>
                <w:sz w:val="22"/>
                <w:szCs w:val="22"/>
                <w:lang w:val="en-US" w:eastAsia="en-US" w:bidi="ar-SA"/>
              </w:rPr>
              <w:t>Lifeline and Link Up Reform and Modernization</w:t>
            </w:r>
          </w:p>
          <w:p w:rsidR="00ED3BD7" w:rsidRPr="003C73D8" w:rsidP="00F55394" w14:paraId="313FEEA6" w14:textId="77777777">
            <w:pPr>
              <w:widowControl w:val="0"/>
              <w:tabs>
                <w:tab w:val="center" w:pos="4680"/>
              </w:tabs>
              <w:suppressAutoHyphens/>
              <w:rPr>
                <w:rStyle w:val="DefaultParagraphFont"/>
                <w:snapToGrid w:val="0"/>
                <w:spacing w:val="-2"/>
                <w:kern w:val="28"/>
                <w:sz w:val="22"/>
                <w:szCs w:val="22"/>
                <w:lang w:val="en-US" w:eastAsia="en-US" w:bidi="ar-SA"/>
              </w:rPr>
            </w:pPr>
          </w:p>
          <w:p w:rsidR="00ED3BD7" w:rsidRPr="003C73D8" w:rsidP="00F55394" w14:paraId="313FEEA7" w14:textId="77777777">
            <w:pPr>
              <w:widowControl w:val="0"/>
              <w:tabs>
                <w:tab w:val="center" w:pos="4680"/>
              </w:tabs>
              <w:suppressAutoHyphens/>
              <w:rPr>
                <w:rStyle w:val="DefaultParagraphFont"/>
                <w:snapToGrid w:val="0"/>
                <w:spacing w:val="-2"/>
                <w:kern w:val="28"/>
                <w:sz w:val="22"/>
                <w:szCs w:val="22"/>
                <w:lang w:val="en-US" w:eastAsia="en-US" w:bidi="ar-SA"/>
              </w:rPr>
            </w:pPr>
          </w:p>
        </w:tc>
        <w:tc>
          <w:tcPr>
            <w:tcW w:w="630" w:type="dxa"/>
          </w:tcPr>
          <w:p w:rsidR="00ED3BD7" w:rsidRPr="003C73D8" w:rsidP="00F55394" w14:paraId="313FEEA8" w14:textId="77777777">
            <w:pPr>
              <w:widowControl w:val="0"/>
              <w:tabs>
                <w:tab w:val="center" w:pos="4680"/>
              </w:tabs>
              <w:suppressAutoHyphens/>
              <w:rPr>
                <w:rStyle w:val="DefaultParagraphFont"/>
                <w:b/>
                <w:snapToGrid w:val="0"/>
                <w:spacing w:val="-2"/>
                <w:kern w:val="28"/>
                <w:sz w:val="22"/>
                <w:szCs w:val="22"/>
                <w:lang w:val="en-US" w:eastAsia="en-US" w:bidi="ar-SA"/>
              </w:rPr>
            </w:pPr>
            <w:r w:rsidRPr="003C73D8">
              <w:rPr>
                <w:b/>
                <w:snapToGrid w:val="0"/>
                <w:spacing w:val="-2"/>
                <w:kern w:val="28"/>
                <w:sz w:val="22"/>
                <w:szCs w:val="22"/>
                <w:lang w:val="en-US" w:eastAsia="en-US" w:bidi="ar-SA"/>
              </w:rPr>
              <w:t>)</w:t>
            </w:r>
          </w:p>
          <w:p w:rsidR="00ED3BD7" w:rsidRPr="003C73D8" w:rsidP="00F55394" w14:paraId="313FEEA9" w14:textId="77777777">
            <w:pPr>
              <w:widowControl w:val="0"/>
              <w:tabs>
                <w:tab w:val="center" w:pos="4680"/>
              </w:tabs>
              <w:suppressAutoHyphens/>
              <w:rPr>
                <w:rStyle w:val="DefaultParagraphFont"/>
                <w:b/>
                <w:snapToGrid w:val="0"/>
                <w:spacing w:val="-2"/>
                <w:kern w:val="28"/>
                <w:sz w:val="22"/>
                <w:szCs w:val="22"/>
                <w:lang w:val="en-US" w:eastAsia="en-US" w:bidi="ar-SA"/>
              </w:rPr>
            </w:pPr>
            <w:r w:rsidRPr="003C73D8">
              <w:rPr>
                <w:b/>
                <w:snapToGrid w:val="0"/>
                <w:spacing w:val="-2"/>
                <w:kern w:val="28"/>
                <w:sz w:val="22"/>
                <w:szCs w:val="22"/>
                <w:lang w:val="en-US" w:eastAsia="en-US" w:bidi="ar-SA"/>
              </w:rPr>
              <w:t>)</w:t>
            </w:r>
          </w:p>
          <w:p w:rsidR="00ED3BD7" w:rsidRPr="003C73D8" w:rsidP="00F55394" w14:paraId="313FEEAA" w14:textId="77777777">
            <w:pPr>
              <w:widowControl w:val="0"/>
              <w:tabs>
                <w:tab w:val="center" w:pos="4680"/>
              </w:tabs>
              <w:suppressAutoHyphens/>
              <w:rPr>
                <w:rStyle w:val="DefaultParagraphFont"/>
                <w:b/>
                <w:snapToGrid w:val="0"/>
                <w:spacing w:val="-2"/>
                <w:kern w:val="28"/>
                <w:sz w:val="22"/>
                <w:szCs w:val="22"/>
                <w:lang w:val="en-US" w:eastAsia="en-US" w:bidi="ar-SA"/>
              </w:rPr>
            </w:pPr>
            <w:r w:rsidRPr="003C73D8">
              <w:rPr>
                <w:b/>
                <w:snapToGrid w:val="0"/>
                <w:spacing w:val="-2"/>
                <w:kern w:val="28"/>
                <w:sz w:val="22"/>
                <w:szCs w:val="22"/>
                <w:lang w:val="en-US" w:eastAsia="en-US" w:bidi="ar-SA"/>
              </w:rPr>
              <w:t>)</w:t>
            </w:r>
          </w:p>
          <w:p w:rsidR="00ED3BD7" w:rsidRPr="003C73D8" w:rsidP="00F55394" w14:paraId="313FEEAB" w14:textId="77777777">
            <w:pPr>
              <w:widowControl w:val="0"/>
              <w:tabs>
                <w:tab w:val="center" w:pos="4680"/>
              </w:tabs>
              <w:suppressAutoHyphens/>
              <w:rPr>
                <w:rStyle w:val="DefaultParagraphFont"/>
                <w:snapToGrid w:val="0"/>
                <w:spacing w:val="-2"/>
                <w:kern w:val="28"/>
                <w:sz w:val="22"/>
                <w:szCs w:val="22"/>
                <w:lang w:val="en-US" w:eastAsia="en-US" w:bidi="ar-SA"/>
              </w:rPr>
            </w:pPr>
            <w:r w:rsidRPr="003C73D8">
              <w:rPr>
                <w:b/>
                <w:snapToGrid w:val="0"/>
                <w:spacing w:val="-2"/>
                <w:kern w:val="28"/>
                <w:sz w:val="22"/>
                <w:szCs w:val="22"/>
                <w:lang w:val="en-US" w:eastAsia="en-US" w:bidi="ar-SA"/>
              </w:rPr>
              <w:t>)</w:t>
            </w:r>
          </w:p>
        </w:tc>
        <w:tc>
          <w:tcPr>
            <w:tcW w:w="4248" w:type="dxa"/>
          </w:tcPr>
          <w:p w:rsidR="00ED3BD7" w:rsidRPr="003C73D8" w:rsidP="00F55394" w14:paraId="313FEEAC" w14:textId="77777777">
            <w:pPr>
              <w:widowControl w:val="0"/>
              <w:tabs>
                <w:tab w:val="center" w:pos="4680"/>
              </w:tabs>
              <w:suppressAutoHyphens/>
              <w:rPr>
                <w:rStyle w:val="DefaultParagraphFont"/>
                <w:snapToGrid w:val="0"/>
                <w:spacing w:val="-2"/>
                <w:kern w:val="28"/>
                <w:sz w:val="22"/>
                <w:szCs w:val="22"/>
                <w:lang w:val="en-US" w:eastAsia="en-US" w:bidi="ar-SA"/>
              </w:rPr>
            </w:pPr>
          </w:p>
          <w:p w:rsidR="00ED3BD7" w:rsidRPr="003C73D8" w:rsidP="00F55394" w14:paraId="313FEEAD" w14:textId="77777777">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ED3BD7" w:rsidRPr="003C73D8" w:rsidP="00F55394" w14:paraId="313FEEAE" w14:textId="77777777">
            <w:pPr>
              <w:widowControl w:val="0"/>
              <w:tabs>
                <w:tab w:val="center" w:pos="4680"/>
              </w:tabs>
              <w:suppressAutoHyphens/>
              <w:rPr>
                <w:rStyle w:val="DefaultParagraphFont"/>
                <w:snapToGrid w:val="0"/>
                <w:spacing w:val="-2"/>
                <w:kern w:val="28"/>
                <w:sz w:val="22"/>
                <w:szCs w:val="22"/>
                <w:lang w:val="en-US" w:eastAsia="en-US" w:bidi="ar-SA"/>
              </w:rPr>
            </w:pPr>
            <w:r w:rsidRPr="003C73D8">
              <w:rPr>
                <w:snapToGrid w:val="0"/>
                <w:spacing w:val="-2"/>
                <w:kern w:val="28"/>
                <w:sz w:val="22"/>
                <w:szCs w:val="22"/>
                <w:lang w:val="en-US" w:eastAsia="en-US" w:bidi="ar-SA"/>
              </w:rPr>
              <w:t>WC Docket No. 11-42</w:t>
            </w:r>
          </w:p>
          <w:p w:rsidR="00ED3BD7" w:rsidRPr="003C73D8" w:rsidP="00F55394" w14:paraId="313FEEAF" w14:textId="77777777">
            <w:pPr>
              <w:widowControl w:val="0"/>
              <w:tabs>
                <w:tab w:val="center" w:pos="4680"/>
              </w:tabs>
              <w:suppressAutoHyphens/>
              <w:rPr>
                <w:rStyle w:val="DefaultParagraphFont"/>
                <w:snapToGrid w:val="0"/>
                <w:spacing w:val="-2"/>
                <w:kern w:val="28"/>
                <w:sz w:val="22"/>
                <w:szCs w:val="22"/>
                <w:lang w:val="en-US" w:eastAsia="en-US" w:bidi="ar-SA"/>
              </w:rPr>
            </w:pPr>
          </w:p>
          <w:p w:rsidR="00ED3BD7" w:rsidRPr="003C73D8" w:rsidP="00F55394" w14:paraId="313FEEB0" w14:textId="77777777">
            <w:pPr>
              <w:widowControl w:val="0"/>
              <w:tabs>
                <w:tab w:val="center" w:pos="4680"/>
              </w:tabs>
              <w:suppressAutoHyphens/>
              <w:rPr>
                <w:rStyle w:val="DefaultParagraphFont"/>
                <w:snapToGrid w:val="0"/>
                <w:spacing w:val="-2"/>
                <w:kern w:val="28"/>
                <w:sz w:val="22"/>
                <w:szCs w:val="22"/>
                <w:lang w:val="en-US" w:eastAsia="en-US" w:bidi="ar-SA"/>
              </w:rPr>
            </w:pPr>
          </w:p>
        </w:tc>
      </w:tr>
    </w:tbl>
    <w:p w:rsidR="00ED3BD7" w:rsidRPr="003C73D8" w:rsidP="00ED3BD7" w14:paraId="313FEEB2" w14:textId="77777777">
      <w:pPr>
        <w:rPr>
          <w:szCs w:val="22"/>
        </w:rPr>
      </w:pPr>
    </w:p>
    <w:p w:rsidR="00ED3BD7" w:rsidRPr="003C73D8" w:rsidP="00ED3BD7" w14:paraId="313FEEB3" w14:textId="77777777">
      <w:pPr>
        <w:pStyle w:val="StyleBoldCentered"/>
        <w:rPr>
          <w:rFonts w:ascii="Times New Roman" w:hAnsi="Times New Roman"/>
        </w:rPr>
      </w:pPr>
      <w:r w:rsidRPr="003C73D8">
        <w:rPr>
          <w:rFonts w:ascii="Times New Roman" w:hAnsi="Times New Roman"/>
        </w:rPr>
        <w:t>ORDER</w:t>
      </w:r>
    </w:p>
    <w:p w:rsidR="00ED3BD7" w:rsidRPr="003C73D8" w:rsidP="00ED3BD7" w14:paraId="313FEEB4" w14:textId="77777777">
      <w:pPr>
        <w:tabs>
          <w:tab w:val="left" w:pos="-720"/>
        </w:tabs>
        <w:suppressAutoHyphens/>
        <w:spacing w:line="227" w:lineRule="auto"/>
        <w:rPr>
          <w:spacing w:val="-2"/>
          <w:szCs w:val="22"/>
        </w:rPr>
      </w:pPr>
    </w:p>
    <w:p w:rsidR="00ED3BD7" w:rsidRPr="003C73D8" w:rsidP="00ED3BD7" w14:paraId="313FEEB5" w14:textId="017F7165">
      <w:pPr>
        <w:tabs>
          <w:tab w:val="left" w:pos="720"/>
          <w:tab w:val="right" w:pos="9360"/>
        </w:tabs>
        <w:suppressAutoHyphens/>
        <w:spacing w:line="227" w:lineRule="auto"/>
        <w:rPr>
          <w:spacing w:val="-2"/>
          <w:szCs w:val="22"/>
        </w:rPr>
      </w:pPr>
      <w:r w:rsidRPr="003C73D8">
        <w:rPr>
          <w:b/>
          <w:spacing w:val="-2"/>
          <w:szCs w:val="22"/>
        </w:rPr>
        <w:t xml:space="preserve">Adopted:  February </w:t>
      </w:r>
      <w:r w:rsidR="00011A19">
        <w:rPr>
          <w:b/>
          <w:spacing w:val="-2"/>
          <w:szCs w:val="22"/>
        </w:rPr>
        <w:t>9</w:t>
      </w:r>
      <w:r w:rsidRPr="003C73D8">
        <w:rPr>
          <w:b/>
          <w:spacing w:val="-2"/>
          <w:szCs w:val="22"/>
        </w:rPr>
        <w:t>, 2018</w:t>
      </w:r>
      <w:r w:rsidRPr="003C73D8">
        <w:rPr>
          <w:b/>
          <w:spacing w:val="-2"/>
          <w:szCs w:val="22"/>
        </w:rPr>
        <w:tab/>
        <w:t xml:space="preserve">Released:  February </w:t>
      </w:r>
      <w:r w:rsidR="00011A19">
        <w:rPr>
          <w:b/>
          <w:spacing w:val="-2"/>
          <w:szCs w:val="22"/>
        </w:rPr>
        <w:t>9</w:t>
      </w:r>
      <w:r w:rsidRPr="00BD4F9A">
        <w:rPr>
          <w:b/>
          <w:spacing w:val="-2"/>
          <w:szCs w:val="22"/>
        </w:rPr>
        <w:t>,</w:t>
      </w:r>
      <w:r w:rsidRPr="003C73D8">
        <w:rPr>
          <w:b/>
          <w:spacing w:val="-2"/>
          <w:szCs w:val="22"/>
        </w:rPr>
        <w:t xml:space="preserve"> 2018</w:t>
      </w:r>
    </w:p>
    <w:p w:rsidR="00ED3BD7" w:rsidRPr="003C73D8" w:rsidP="00ED3BD7" w14:paraId="313FEEB6" w14:textId="77777777">
      <w:pPr>
        <w:rPr>
          <w:szCs w:val="22"/>
        </w:rPr>
      </w:pPr>
    </w:p>
    <w:p w:rsidR="00ED3BD7" w:rsidRPr="003C73D8" w:rsidP="00ED3BD7" w14:paraId="313FEEB7" w14:textId="77777777">
      <w:pPr>
        <w:rPr>
          <w:spacing w:val="-2"/>
          <w:szCs w:val="22"/>
        </w:rPr>
      </w:pPr>
      <w:r w:rsidRPr="003C73D8">
        <w:rPr>
          <w:szCs w:val="22"/>
        </w:rPr>
        <w:t xml:space="preserve">By the </w:t>
      </w:r>
      <w:r w:rsidRPr="003C73D8">
        <w:rPr>
          <w:spacing w:val="-2"/>
          <w:szCs w:val="22"/>
        </w:rPr>
        <w:t>Chief, Wireline Competition Bureau:</w:t>
      </w:r>
    </w:p>
    <w:p w:rsidR="00ED3BD7" w:rsidRPr="003C73D8" w:rsidP="00ED3BD7" w14:paraId="313FEEB8" w14:textId="77777777">
      <w:pPr>
        <w:rPr>
          <w:spacing w:val="-2"/>
          <w:szCs w:val="22"/>
        </w:rPr>
      </w:pPr>
    </w:p>
    <w:p w:rsidR="00ED3BD7" w:rsidRPr="003C73D8" w:rsidP="00ED3BD7" w14:paraId="313FEEB9" w14:textId="77777777">
      <w:pPr>
        <w:pStyle w:val="Heading1"/>
        <w:rPr>
          <w:rFonts w:ascii="Times New Roman" w:hAnsi="Times New Roman"/>
          <w:szCs w:val="22"/>
        </w:rPr>
      </w:pPr>
      <w:r w:rsidRPr="003C73D8">
        <w:rPr>
          <w:rFonts w:ascii="Times New Roman" w:hAnsi="Times New Roman"/>
          <w:szCs w:val="22"/>
        </w:rPr>
        <w:t>introduction</w:t>
      </w:r>
    </w:p>
    <w:p w:rsidR="00ED3BD7" w:rsidP="00ED3BD7" w14:paraId="313FEEBA" w14:textId="77777777">
      <w:pPr>
        <w:pStyle w:val="ParaNum"/>
        <w:tabs>
          <w:tab w:val="num" w:pos="1080"/>
          <w:tab w:val="clear" w:pos="1440"/>
        </w:tabs>
        <w:rPr>
          <w:szCs w:val="22"/>
        </w:rPr>
      </w:pPr>
      <w:r w:rsidRPr="003C73D8">
        <w:rPr>
          <w:szCs w:val="22"/>
        </w:rPr>
        <w:t xml:space="preserve">In this Order, the Wireline Competition Bureau (Bureau) grants in part the California Public Utilities Commission’s (CPUC) two petitions requesting temporary waivers of the Lifeline program’s non-usage </w:t>
      </w:r>
      <w:r>
        <w:rPr>
          <w:szCs w:val="22"/>
        </w:rPr>
        <w:t xml:space="preserve">and </w:t>
      </w:r>
      <w:r w:rsidRPr="003C73D8">
        <w:rPr>
          <w:szCs w:val="22"/>
        </w:rPr>
        <w:t>recertification rules for subscribers in thirteen counties affected by the California wildfires that occurred in October and December 2017.</w:t>
      </w:r>
      <w:r>
        <w:rPr>
          <w:rStyle w:val="FootnoteReference"/>
          <w:sz w:val="22"/>
          <w:szCs w:val="22"/>
        </w:rPr>
        <w:footnoteReference w:id="3"/>
      </w:r>
      <w:r w:rsidRPr="003C73D8">
        <w:rPr>
          <w:szCs w:val="22"/>
        </w:rPr>
        <w:t xml:space="preserve">  Based on the record before us, we find that good cause exists to temporarily waive the</w:t>
      </w:r>
      <w:r>
        <w:rPr>
          <w:szCs w:val="22"/>
        </w:rPr>
        <w:t>se</w:t>
      </w:r>
      <w:r w:rsidRPr="003C73D8">
        <w:rPr>
          <w:szCs w:val="22"/>
        </w:rPr>
        <w:t xml:space="preserve"> rules and deadlines, as provided herein, to assist Lifeline program participants in the areas affected by the recent California wildfires.</w:t>
      </w:r>
      <w:r>
        <w:rPr>
          <w:rStyle w:val="FootnoteReference"/>
          <w:sz w:val="22"/>
          <w:szCs w:val="22"/>
        </w:rPr>
        <w:footnoteReference w:id="4"/>
      </w:r>
      <w:r w:rsidRPr="003C73D8">
        <w:rPr>
          <w:szCs w:val="22"/>
        </w:rPr>
        <w:t xml:space="preserve">  </w:t>
      </w:r>
    </w:p>
    <w:p w:rsidR="00ED3BD7" w:rsidRPr="00C53A02" w:rsidP="00ED3BD7" w14:paraId="313FEEBB" w14:textId="77777777">
      <w:pPr>
        <w:pStyle w:val="Heading1"/>
        <w:rPr>
          <w:rFonts w:ascii="Times New Roman" w:hAnsi="Times New Roman"/>
          <w:szCs w:val="22"/>
        </w:rPr>
      </w:pPr>
      <w:r>
        <w:rPr>
          <w:rFonts w:ascii="Times New Roman" w:hAnsi="Times New Roman"/>
          <w:szCs w:val="22"/>
        </w:rPr>
        <w:t>BACKGROUND</w:t>
      </w:r>
    </w:p>
    <w:p w:rsidR="00ED3BD7" w:rsidRPr="003C73D8" w:rsidP="00ED3BD7" w14:paraId="313FEEBC" w14:textId="77777777">
      <w:pPr>
        <w:pStyle w:val="ParaNum"/>
        <w:tabs>
          <w:tab w:val="num" w:pos="1080"/>
          <w:tab w:val="clear" w:pos="1440"/>
        </w:tabs>
        <w:rPr>
          <w:szCs w:val="22"/>
        </w:rPr>
      </w:pPr>
      <w:r w:rsidRPr="003C73D8">
        <w:rPr>
          <w:szCs w:val="22"/>
        </w:rPr>
        <w:t xml:space="preserve">In October 2017, multiple wildfires broke out in </w:t>
      </w:r>
      <w:r>
        <w:rPr>
          <w:szCs w:val="22"/>
        </w:rPr>
        <w:t xml:space="preserve">Northern </w:t>
      </w:r>
      <w:r w:rsidRPr="003C73D8">
        <w:rPr>
          <w:szCs w:val="22"/>
        </w:rPr>
        <w:t>California throughout Butte, Mendocino, Napa, Nevada, Solano, Sonoma, Lake, Orange, and Yuba counties.  These fires caused 42 deaths, damaged or destroyed 8,700 structures, and burned 227,000 acres.</w:t>
      </w:r>
      <w:r>
        <w:rPr>
          <w:rStyle w:val="FootnoteReference"/>
          <w:sz w:val="22"/>
          <w:szCs w:val="22"/>
        </w:rPr>
        <w:footnoteReference w:id="5"/>
      </w:r>
      <w:r w:rsidRPr="003C73D8">
        <w:rPr>
          <w:szCs w:val="22"/>
        </w:rPr>
        <w:t xml:space="preserve">  In its Petition, the CPUC states that the fires also caused power outages and damage to communications services.</w:t>
      </w:r>
      <w:r>
        <w:rPr>
          <w:rStyle w:val="FootnoteReference"/>
          <w:sz w:val="22"/>
          <w:szCs w:val="22"/>
        </w:rPr>
        <w:footnoteReference w:id="6"/>
      </w:r>
      <w:r w:rsidRPr="003C73D8">
        <w:rPr>
          <w:szCs w:val="22"/>
        </w:rPr>
        <w:t xml:space="preserve">  The Governor of California declared a state of emergency in the aforementioned counties and shortly thereafter</w:t>
      </w:r>
      <w:r>
        <w:rPr>
          <w:szCs w:val="22"/>
        </w:rPr>
        <w:t xml:space="preserve">, </w:t>
      </w:r>
      <w:r w:rsidRPr="003C73D8">
        <w:rPr>
          <w:szCs w:val="22"/>
        </w:rPr>
        <w:t>on October 10</w:t>
      </w:r>
      <w:r>
        <w:rPr>
          <w:szCs w:val="22"/>
        </w:rPr>
        <w:t>,</w:t>
      </w:r>
      <w:r w:rsidRPr="003C73D8">
        <w:rPr>
          <w:szCs w:val="22"/>
        </w:rPr>
        <w:t xml:space="preserve"> the Federal Emergency Management Agency (FEMA) declared these counties as major disaster areas.</w:t>
      </w:r>
      <w:r>
        <w:rPr>
          <w:rStyle w:val="FootnoteReference"/>
          <w:sz w:val="22"/>
          <w:szCs w:val="22"/>
        </w:rPr>
        <w:footnoteReference w:id="7"/>
      </w:r>
      <w:r w:rsidRPr="003C73D8">
        <w:rPr>
          <w:szCs w:val="22"/>
        </w:rPr>
        <w:t xml:space="preserve"> </w:t>
      </w:r>
    </w:p>
    <w:p w:rsidR="00ED3BD7" w:rsidP="00ED3BD7" w14:paraId="313FEEBD" w14:textId="77777777">
      <w:pPr>
        <w:pStyle w:val="ParaNum"/>
        <w:tabs>
          <w:tab w:val="num" w:pos="1080"/>
          <w:tab w:val="clear" w:pos="1440"/>
        </w:tabs>
        <w:rPr>
          <w:szCs w:val="22"/>
        </w:rPr>
      </w:pPr>
      <w:r w:rsidRPr="003C73D8">
        <w:rPr>
          <w:szCs w:val="22"/>
        </w:rPr>
        <w:t xml:space="preserve"> With respect to these fires, </w:t>
      </w:r>
      <w:r>
        <w:rPr>
          <w:szCs w:val="22"/>
        </w:rPr>
        <w:t xml:space="preserve">the </w:t>
      </w:r>
      <w:r w:rsidRPr="003C73D8">
        <w:rPr>
          <w:szCs w:val="22"/>
        </w:rPr>
        <w:t xml:space="preserve">CPUC requests a four-month suspension of the Commission’s non-usage rules for Lifeline subscribers residing in the affected counties.  </w:t>
      </w:r>
      <w:r>
        <w:rPr>
          <w:szCs w:val="22"/>
        </w:rPr>
        <w:t>The CPUC contends that a</w:t>
      </w:r>
      <w:r w:rsidRPr="003C73D8">
        <w:rPr>
          <w:szCs w:val="22"/>
        </w:rPr>
        <w:t xml:space="preserve"> </w:t>
      </w:r>
      <w:r w:rsidRPr="003C73D8">
        <w:rPr>
          <w:szCs w:val="22"/>
        </w:rPr>
        <w:t xml:space="preserve">temporary waiver would </w:t>
      </w:r>
      <w:r>
        <w:rPr>
          <w:szCs w:val="22"/>
        </w:rPr>
        <w:t>enable continued communications service</w:t>
      </w:r>
      <w:r w:rsidRPr="003C73D8">
        <w:rPr>
          <w:szCs w:val="22"/>
        </w:rPr>
        <w:t xml:space="preserve"> for those who may need to replace mobile devices lost or destroyed in the fires o</w:t>
      </w:r>
      <w:r>
        <w:rPr>
          <w:szCs w:val="22"/>
        </w:rPr>
        <w:t>r to re-establish communications services.</w:t>
      </w:r>
      <w:r>
        <w:rPr>
          <w:rStyle w:val="FootnoteReference"/>
          <w:sz w:val="22"/>
          <w:szCs w:val="22"/>
        </w:rPr>
        <w:footnoteReference w:id="8"/>
      </w:r>
    </w:p>
    <w:p w:rsidR="00ED3BD7" w:rsidRPr="003C73D8" w:rsidP="00ED3BD7" w14:paraId="313FEEBE" w14:textId="77777777">
      <w:pPr>
        <w:pStyle w:val="ParaNum"/>
        <w:tabs>
          <w:tab w:val="num" w:pos="1080"/>
          <w:tab w:val="clear" w:pos="1440"/>
        </w:tabs>
        <w:rPr>
          <w:szCs w:val="22"/>
        </w:rPr>
      </w:pPr>
      <w:r w:rsidRPr="003C73D8">
        <w:rPr>
          <w:szCs w:val="22"/>
        </w:rPr>
        <w:t xml:space="preserve">CPUC also requests a temporary waiver of the Commission’s Lifeline recertification requirements for </w:t>
      </w:r>
      <w:r>
        <w:rPr>
          <w:szCs w:val="22"/>
        </w:rPr>
        <w:t>Lifeline subscribers residing</w:t>
      </w:r>
      <w:r w:rsidRPr="003C73D8">
        <w:rPr>
          <w:szCs w:val="22"/>
        </w:rPr>
        <w:t xml:space="preserve"> in the affected counties.</w:t>
      </w:r>
      <w:r>
        <w:rPr>
          <w:rStyle w:val="FootnoteReference"/>
          <w:sz w:val="22"/>
          <w:szCs w:val="22"/>
        </w:rPr>
        <w:footnoteReference w:id="9"/>
      </w:r>
      <w:r w:rsidRPr="003C73D8">
        <w:rPr>
          <w:szCs w:val="22"/>
        </w:rPr>
        <w:t xml:space="preserve">  California Lifeline Program recertification forms are typically delivered by mail to the subscriber’s original service address.</w:t>
      </w:r>
      <w:r>
        <w:rPr>
          <w:rStyle w:val="FootnoteReference"/>
          <w:szCs w:val="22"/>
        </w:rPr>
        <w:footnoteReference w:id="10"/>
      </w:r>
      <w:r w:rsidRPr="003C73D8">
        <w:rPr>
          <w:szCs w:val="22"/>
        </w:rPr>
        <w:t xml:space="preserve">  </w:t>
      </w:r>
      <w:r>
        <w:rPr>
          <w:szCs w:val="22"/>
        </w:rPr>
        <w:t xml:space="preserve">The </w:t>
      </w:r>
      <w:r w:rsidRPr="003C73D8">
        <w:rPr>
          <w:szCs w:val="22"/>
        </w:rPr>
        <w:t xml:space="preserve">CPUC argues that if a subscriber had to relocate if his or her house was </w:t>
      </w:r>
      <w:r>
        <w:rPr>
          <w:szCs w:val="22"/>
        </w:rPr>
        <w:t xml:space="preserve">damaged or </w:t>
      </w:r>
      <w:r w:rsidRPr="003C73D8">
        <w:rPr>
          <w:szCs w:val="22"/>
        </w:rPr>
        <w:t>destroyed</w:t>
      </w:r>
      <w:r>
        <w:rPr>
          <w:szCs w:val="22"/>
        </w:rPr>
        <w:t xml:space="preserve"> in the fires</w:t>
      </w:r>
      <w:r w:rsidRPr="003C73D8">
        <w:rPr>
          <w:szCs w:val="22"/>
        </w:rPr>
        <w:t xml:space="preserve">, </w:t>
      </w:r>
      <w:r>
        <w:rPr>
          <w:szCs w:val="22"/>
        </w:rPr>
        <w:t>the subscriber would have no way to</w:t>
      </w:r>
      <w:r w:rsidRPr="003C73D8">
        <w:rPr>
          <w:szCs w:val="22"/>
        </w:rPr>
        <w:t xml:space="preserve"> receive the recertification forms.</w:t>
      </w:r>
      <w:r>
        <w:rPr>
          <w:rStyle w:val="FootnoteReference"/>
          <w:szCs w:val="22"/>
        </w:rPr>
        <w:footnoteReference w:id="11"/>
      </w:r>
      <w:r w:rsidRPr="003C73D8">
        <w:rPr>
          <w:szCs w:val="22"/>
        </w:rPr>
        <w:t xml:space="preserve">  Moreover, recertification forms already delivered to subscribers </w:t>
      </w:r>
      <w:r>
        <w:rPr>
          <w:szCs w:val="22"/>
        </w:rPr>
        <w:t xml:space="preserve">during the requested waiver period </w:t>
      </w:r>
      <w:r w:rsidRPr="003C73D8">
        <w:rPr>
          <w:szCs w:val="22"/>
        </w:rPr>
        <w:t xml:space="preserve">could have been </w:t>
      </w:r>
      <w:r>
        <w:rPr>
          <w:szCs w:val="22"/>
        </w:rPr>
        <w:t xml:space="preserve">lost or </w:t>
      </w:r>
      <w:r w:rsidRPr="003C73D8">
        <w:rPr>
          <w:szCs w:val="22"/>
        </w:rPr>
        <w:t xml:space="preserve">destroyed in the fires before the subscriber had an opportunity to </w:t>
      </w:r>
      <w:r>
        <w:rPr>
          <w:szCs w:val="22"/>
        </w:rPr>
        <w:t>return</w:t>
      </w:r>
      <w:r w:rsidRPr="003C73D8">
        <w:rPr>
          <w:szCs w:val="22"/>
        </w:rPr>
        <w:t xml:space="preserve"> them.</w:t>
      </w:r>
      <w:r>
        <w:rPr>
          <w:rStyle w:val="FootnoteReference"/>
          <w:sz w:val="22"/>
          <w:szCs w:val="22"/>
        </w:rPr>
        <w:footnoteReference w:id="12"/>
      </w:r>
      <w:r w:rsidRPr="003C73D8">
        <w:rPr>
          <w:szCs w:val="22"/>
        </w:rPr>
        <w:t xml:space="preserve">  Accordingly, the CPUC requests that the Commission’s renewal and recertification rules be </w:t>
      </w:r>
      <w:r>
        <w:rPr>
          <w:szCs w:val="22"/>
        </w:rPr>
        <w:t>temporarily waived</w:t>
      </w:r>
      <w:r w:rsidRPr="003C73D8">
        <w:rPr>
          <w:szCs w:val="22"/>
        </w:rPr>
        <w:t xml:space="preserve"> for subscribers living in </w:t>
      </w:r>
      <w:r>
        <w:rPr>
          <w:szCs w:val="22"/>
        </w:rPr>
        <w:t>counties impacted by the October 2017 wildfires</w:t>
      </w:r>
      <w:r w:rsidRPr="003C73D8">
        <w:rPr>
          <w:szCs w:val="22"/>
        </w:rPr>
        <w:t xml:space="preserve"> and whose service anniversary dates fall between October 1, 2017 and January 31, 2018.</w:t>
      </w:r>
      <w:r>
        <w:rPr>
          <w:rStyle w:val="FootnoteReference"/>
          <w:sz w:val="22"/>
          <w:szCs w:val="22"/>
        </w:rPr>
        <w:footnoteReference w:id="13"/>
      </w:r>
      <w:r w:rsidRPr="003C73D8">
        <w:rPr>
          <w:szCs w:val="22"/>
        </w:rPr>
        <w:t xml:space="preserve">  </w:t>
      </w:r>
      <w:r>
        <w:rPr>
          <w:szCs w:val="22"/>
        </w:rPr>
        <w:t xml:space="preserve">The </w:t>
      </w:r>
      <w:r w:rsidRPr="003C73D8">
        <w:rPr>
          <w:szCs w:val="22"/>
        </w:rPr>
        <w:t xml:space="preserve">CPUC </w:t>
      </w:r>
      <w:r>
        <w:rPr>
          <w:szCs w:val="22"/>
        </w:rPr>
        <w:t>requests that those subscribers receiving a waiver be permitted to begin their recertification process again on February 1, 2018</w:t>
      </w:r>
      <w:r w:rsidRPr="003C73D8">
        <w:rPr>
          <w:szCs w:val="22"/>
        </w:rPr>
        <w:t>.</w:t>
      </w:r>
      <w:r>
        <w:rPr>
          <w:rStyle w:val="FootnoteReference"/>
          <w:szCs w:val="22"/>
        </w:rPr>
        <w:footnoteReference w:id="14"/>
      </w:r>
    </w:p>
    <w:p w:rsidR="00ED3BD7" w:rsidP="00ED3BD7" w14:paraId="313FEEBF" w14:textId="77777777">
      <w:pPr>
        <w:pStyle w:val="ParaNum"/>
        <w:tabs>
          <w:tab w:val="num" w:pos="1080"/>
          <w:tab w:val="clear" w:pos="1440"/>
        </w:tabs>
        <w:rPr>
          <w:szCs w:val="22"/>
        </w:rPr>
      </w:pPr>
      <w:r w:rsidRPr="003C73D8">
        <w:rPr>
          <w:szCs w:val="22"/>
        </w:rPr>
        <w:t>In December 2017, several counties in Southern California – Los Angeles, Santa Barbara, San Diego, and Ventura – were also affected by wildfires, which caused power outages, disruptions to communications services, and destroyed thousands of structures.</w:t>
      </w:r>
      <w:r>
        <w:rPr>
          <w:rStyle w:val="FootnoteReference"/>
          <w:sz w:val="22"/>
          <w:szCs w:val="22"/>
        </w:rPr>
        <w:footnoteReference w:id="15"/>
      </w:r>
      <w:r w:rsidRPr="003C73D8">
        <w:rPr>
          <w:szCs w:val="22"/>
        </w:rPr>
        <w:t xml:space="preserve"> </w:t>
      </w:r>
      <w:r>
        <w:rPr>
          <w:szCs w:val="22"/>
        </w:rPr>
        <w:t xml:space="preserve"> T</w:t>
      </w:r>
      <w:r w:rsidRPr="003C73D8">
        <w:rPr>
          <w:szCs w:val="22"/>
        </w:rPr>
        <w:t>he Governor of California declared a state of emergency for these four counties and FEMA issued an emergency declaration for the area on December 8, 2017.</w:t>
      </w:r>
      <w:r>
        <w:rPr>
          <w:rStyle w:val="FootnoteReference"/>
          <w:sz w:val="22"/>
          <w:szCs w:val="22"/>
        </w:rPr>
        <w:footnoteReference w:id="16"/>
      </w:r>
      <w:r w:rsidRPr="003C73D8">
        <w:rPr>
          <w:szCs w:val="22"/>
        </w:rPr>
        <w:t xml:space="preserve">  </w:t>
      </w:r>
      <w:r>
        <w:rPr>
          <w:szCs w:val="22"/>
        </w:rPr>
        <w:t xml:space="preserve">Similar to its initial Petition, the </w:t>
      </w:r>
      <w:r w:rsidRPr="003C73D8">
        <w:rPr>
          <w:szCs w:val="22"/>
        </w:rPr>
        <w:t>CPUC</w:t>
      </w:r>
      <w:r>
        <w:rPr>
          <w:szCs w:val="22"/>
        </w:rPr>
        <w:t>’s Supplemental Petition</w:t>
      </w:r>
      <w:r w:rsidRPr="003C73D8">
        <w:rPr>
          <w:szCs w:val="22"/>
        </w:rPr>
        <w:t xml:space="preserve"> seeks a waiver of the Commission’s non-usage and recertification rules until March 31, 2018 for the four additional counties, citing the destruction that the December 2017 fires caused in </w:t>
      </w:r>
      <w:r>
        <w:rPr>
          <w:szCs w:val="22"/>
        </w:rPr>
        <w:t>those areas</w:t>
      </w:r>
      <w:r w:rsidRPr="003C73D8">
        <w:rPr>
          <w:szCs w:val="22"/>
        </w:rPr>
        <w:t>.</w:t>
      </w:r>
      <w:r>
        <w:rPr>
          <w:rStyle w:val="FootnoteReference"/>
          <w:sz w:val="22"/>
          <w:szCs w:val="22"/>
        </w:rPr>
        <w:footnoteReference w:id="17"/>
      </w:r>
      <w:r w:rsidRPr="003C73D8">
        <w:rPr>
          <w:szCs w:val="22"/>
        </w:rPr>
        <w:t xml:space="preserve"> </w:t>
      </w:r>
    </w:p>
    <w:p w:rsidR="00ED3BD7" w:rsidRPr="00FF690C" w:rsidP="00ED3BD7" w14:paraId="313FEEC0" w14:textId="77777777">
      <w:pPr>
        <w:pStyle w:val="Heading1"/>
        <w:rPr>
          <w:rFonts w:ascii="Times New Roman" w:hAnsi="Times New Roman"/>
          <w:szCs w:val="22"/>
        </w:rPr>
      </w:pPr>
      <w:r>
        <w:rPr>
          <w:rFonts w:ascii="Times New Roman" w:hAnsi="Times New Roman"/>
          <w:szCs w:val="22"/>
        </w:rPr>
        <w:t>DISCUSSION</w:t>
      </w:r>
    </w:p>
    <w:p w:rsidR="00ED3BD7" w:rsidRPr="003C73D8" w:rsidP="00ED3BD7" w14:paraId="313FEEC1" w14:textId="77777777">
      <w:pPr>
        <w:pStyle w:val="ParaNum"/>
        <w:tabs>
          <w:tab w:val="num" w:pos="1080"/>
          <w:tab w:val="clear" w:pos="1440"/>
        </w:tabs>
        <w:rPr>
          <w:szCs w:val="22"/>
        </w:rPr>
      </w:pPr>
      <w:r w:rsidRPr="003C73D8">
        <w:rPr>
          <w:szCs w:val="22"/>
        </w:rPr>
        <w:t xml:space="preserve"> Generally, the Commission’s rules may be waived for good cause shown.</w:t>
      </w:r>
      <w:r>
        <w:rPr>
          <w:rStyle w:val="FootnoteReference"/>
          <w:sz w:val="22"/>
          <w:szCs w:val="22"/>
        </w:rPr>
        <w:footnoteReference w:id="18"/>
      </w:r>
      <w:r w:rsidRPr="003C73D8">
        <w:rPr>
          <w:szCs w:val="22"/>
        </w:rPr>
        <w:t xml:space="preserve"> </w:t>
      </w:r>
      <w:r>
        <w:rPr>
          <w:szCs w:val="22"/>
        </w:rPr>
        <w:t xml:space="preserve"> </w:t>
      </w:r>
      <w:r w:rsidRPr="003C73D8">
        <w:rPr>
          <w:szCs w:val="22"/>
        </w:rPr>
        <w:t>The Commission may exercise its discretion to waive a rule where the particular facts make strict compliance inconsistent with the public interest.</w:t>
      </w:r>
      <w:r>
        <w:rPr>
          <w:rStyle w:val="FootnoteReference"/>
          <w:sz w:val="22"/>
          <w:szCs w:val="22"/>
        </w:rPr>
        <w:footnoteReference w:id="19"/>
      </w:r>
      <w:r w:rsidRPr="003C73D8">
        <w:rPr>
          <w:szCs w:val="22"/>
        </w:rPr>
        <w:t xml:space="preserve">  In addition, the Commission may take into account considerations of hardship, equity, or more effective implementation of overall policy on an overall basis.</w:t>
      </w:r>
      <w:r>
        <w:rPr>
          <w:rStyle w:val="FootnoteReference"/>
          <w:sz w:val="22"/>
          <w:szCs w:val="22"/>
        </w:rPr>
        <w:footnoteReference w:id="20"/>
      </w:r>
      <w:r w:rsidRPr="003C73D8">
        <w:rPr>
          <w:szCs w:val="22"/>
        </w:rPr>
        <w:t xml:space="preserve">  We grant in part the petitions for waiver of the Commission’s non-usage and recertification rules</w:t>
      </w:r>
      <w:r>
        <w:rPr>
          <w:szCs w:val="22"/>
        </w:rPr>
        <w:t xml:space="preserve"> and target our relief to areas most likely to have sustained damage from the wildfires</w:t>
      </w:r>
      <w:r w:rsidRPr="003C73D8">
        <w:rPr>
          <w:szCs w:val="22"/>
        </w:rPr>
        <w:t xml:space="preserve">.  </w:t>
      </w:r>
    </w:p>
    <w:p w:rsidR="00ED3BD7" w:rsidP="00ED3BD7" w14:paraId="313FEEC2" w14:textId="77777777">
      <w:pPr>
        <w:pStyle w:val="ParaNum"/>
        <w:tabs>
          <w:tab w:val="num" w:pos="1080"/>
          <w:tab w:val="clear" w:pos="1440"/>
        </w:tabs>
        <w:rPr>
          <w:szCs w:val="22"/>
        </w:rPr>
      </w:pPr>
      <w:r>
        <w:rPr>
          <w:szCs w:val="22"/>
        </w:rPr>
        <w:t>Together, the</w:t>
      </w:r>
      <w:r w:rsidRPr="003C73D8">
        <w:rPr>
          <w:szCs w:val="22"/>
        </w:rPr>
        <w:t xml:space="preserve"> petitions request a four-month-waiver of the Commission’s Lifeline program’s </w:t>
      </w:r>
      <w:r>
        <w:rPr>
          <w:szCs w:val="22"/>
        </w:rPr>
        <w:t>non-</w:t>
      </w:r>
      <w:r w:rsidRPr="003C73D8">
        <w:rPr>
          <w:szCs w:val="22"/>
        </w:rPr>
        <w:t xml:space="preserve">usage and recertification rules for </w:t>
      </w:r>
      <w:r>
        <w:rPr>
          <w:szCs w:val="22"/>
        </w:rPr>
        <w:t>thirteen</w:t>
      </w:r>
      <w:r w:rsidRPr="003C73D8">
        <w:rPr>
          <w:szCs w:val="22"/>
        </w:rPr>
        <w:t xml:space="preserve"> counties affected by the October and December 2017 </w:t>
      </w:r>
      <w:r w:rsidRPr="003C73D8">
        <w:rPr>
          <w:szCs w:val="22"/>
        </w:rPr>
        <w:t>wildfires in California.</w:t>
      </w:r>
      <w:r>
        <w:rPr>
          <w:rStyle w:val="FootnoteReference"/>
          <w:sz w:val="22"/>
          <w:szCs w:val="22"/>
        </w:rPr>
        <w:footnoteReference w:id="21"/>
      </w:r>
      <w:r w:rsidRPr="003C73D8">
        <w:rPr>
          <w:szCs w:val="22"/>
        </w:rPr>
        <w:t xml:space="preserve">  Based on the record before us, we find that good cause exists to waive through </w:t>
      </w:r>
      <w:r>
        <w:rPr>
          <w:szCs w:val="22"/>
        </w:rPr>
        <w:t>February 15</w:t>
      </w:r>
      <w:r w:rsidRPr="003C73D8">
        <w:rPr>
          <w:szCs w:val="22"/>
        </w:rPr>
        <w:t xml:space="preserve">, 2018 sections 54.405(e)(3), 54.405(e)(4), 54.407(c)(2), and 54.410(f) of the Commission’s rules for </w:t>
      </w:r>
      <w:r>
        <w:rPr>
          <w:szCs w:val="22"/>
        </w:rPr>
        <w:t xml:space="preserve">all </w:t>
      </w:r>
      <w:r w:rsidRPr="003C73D8">
        <w:rPr>
          <w:szCs w:val="22"/>
        </w:rPr>
        <w:t xml:space="preserve">ETCs serving Lifeline subscribers residing in the Census tracts identified as </w:t>
      </w:r>
      <w:r>
        <w:rPr>
          <w:szCs w:val="22"/>
        </w:rPr>
        <w:t>affected by the October</w:t>
      </w:r>
      <w:r w:rsidRPr="003C73D8">
        <w:rPr>
          <w:szCs w:val="22"/>
        </w:rPr>
        <w:t xml:space="preserve"> 2017 wildfires that are the subject of the Petition</w:t>
      </w:r>
      <w:r>
        <w:rPr>
          <w:szCs w:val="22"/>
        </w:rPr>
        <w:t>, as listed in Appendix B to this Order</w:t>
      </w:r>
      <w:r w:rsidRPr="003C73D8">
        <w:rPr>
          <w:szCs w:val="22"/>
        </w:rPr>
        <w:t>.</w:t>
      </w:r>
      <w:r>
        <w:rPr>
          <w:rStyle w:val="FootnoteReference"/>
          <w:szCs w:val="22"/>
        </w:rPr>
        <w:footnoteReference w:id="22"/>
      </w:r>
      <w:r w:rsidRPr="003C73D8">
        <w:rPr>
          <w:szCs w:val="22"/>
        </w:rPr>
        <w:t xml:space="preserve">  </w:t>
      </w:r>
      <w:r>
        <w:rPr>
          <w:szCs w:val="22"/>
        </w:rPr>
        <w:t>W</w:t>
      </w:r>
      <w:r w:rsidRPr="003C73D8">
        <w:rPr>
          <w:szCs w:val="22"/>
        </w:rPr>
        <w:t xml:space="preserve">e also waive through March 31, 2018 sections 54.405(e)(3), 54.405(e)(4), 54.407(c)(2), and 54.410(f) of the Commission’s rules for </w:t>
      </w:r>
      <w:r>
        <w:rPr>
          <w:szCs w:val="22"/>
        </w:rPr>
        <w:t xml:space="preserve">all </w:t>
      </w:r>
      <w:r w:rsidRPr="003C73D8">
        <w:rPr>
          <w:szCs w:val="22"/>
        </w:rPr>
        <w:t>ETCs serving Lifeline subscribers residing in in the Census tracts identified as affected by the December 2017 wildfires that are the subject of the Supplemental Petition</w:t>
      </w:r>
      <w:r>
        <w:rPr>
          <w:szCs w:val="22"/>
        </w:rPr>
        <w:t>, as listed in Appendix C to this Order</w:t>
      </w:r>
      <w:r w:rsidRPr="003C73D8">
        <w:rPr>
          <w:szCs w:val="22"/>
        </w:rPr>
        <w:t>.</w:t>
      </w:r>
      <w:r>
        <w:rPr>
          <w:szCs w:val="22"/>
        </w:rPr>
        <w:t xml:space="preserve">  </w:t>
      </w:r>
    </w:p>
    <w:p w:rsidR="00ED3BD7" w:rsidP="00ED3BD7" w14:paraId="313FEEC3" w14:textId="77777777">
      <w:pPr>
        <w:pStyle w:val="ParaNum"/>
        <w:tabs>
          <w:tab w:val="num" w:pos="1080"/>
          <w:tab w:val="clear" w:pos="1440"/>
        </w:tabs>
        <w:rPr>
          <w:szCs w:val="22"/>
        </w:rPr>
      </w:pPr>
      <w:r>
        <w:rPr>
          <w:szCs w:val="22"/>
        </w:rPr>
        <w:t xml:space="preserve">These Census tracts coincide with the areas identified by </w:t>
      </w:r>
      <w:r>
        <w:t xml:space="preserve">the California Department of Forestry and Fire Protection (CAL FIRE) </w:t>
      </w:r>
      <w:r>
        <w:rPr>
          <w:szCs w:val="22"/>
        </w:rPr>
        <w:t>as impacted by the October and December 2017 California wildfires and the counties requested by the CPUC.</w:t>
      </w:r>
      <w:r>
        <w:rPr>
          <w:rStyle w:val="FootnoteReference"/>
          <w:szCs w:val="22"/>
        </w:rPr>
        <w:footnoteReference w:id="23"/>
      </w:r>
      <w:r>
        <w:rPr>
          <w:szCs w:val="22"/>
        </w:rPr>
        <w:t xml:space="preserve">  CAL FIRE tracks all major incidents where resources are deployed and identifies coordinating local and federal administrative units.  Based on its analysis of the CAL FIRE maps, the Bureau estimates that approximately 12,000 Lifeline subscribers reside in these areas.</w:t>
      </w:r>
      <w:r w:rsidRPr="003C73D8">
        <w:rPr>
          <w:szCs w:val="22"/>
        </w:rPr>
        <w:t xml:space="preserve"> Given the extraordinary damage caused by these wildfires, strict compliance with these rules would be impracticable and would risk de-enrollment of Lifeline subscribers during the recovery efforts to rebuild in the aftermath of the fires.</w:t>
      </w:r>
    </w:p>
    <w:p w:rsidR="00ED3BD7" w:rsidRPr="003C73D8" w:rsidP="00ED3BD7" w14:paraId="313FEEC4" w14:textId="77777777">
      <w:pPr>
        <w:pStyle w:val="ParaNum"/>
        <w:tabs>
          <w:tab w:val="num" w:pos="1080"/>
          <w:tab w:val="clear" w:pos="1440"/>
        </w:tabs>
        <w:rPr>
          <w:szCs w:val="22"/>
        </w:rPr>
      </w:pPr>
      <w:r w:rsidRPr="003C73D8">
        <w:rPr>
          <w:szCs w:val="22"/>
        </w:rPr>
        <w:t xml:space="preserve">To promote the maintenance and rebuilding of communities affected by the wildfires and to facilitate continued access to telecommunications services for disaster victims, we find </w:t>
      </w:r>
      <w:r>
        <w:rPr>
          <w:szCs w:val="22"/>
        </w:rPr>
        <w:t>good cause</w:t>
      </w:r>
      <w:r w:rsidRPr="003C73D8">
        <w:rPr>
          <w:szCs w:val="22"/>
        </w:rPr>
        <w:t xml:space="preserve"> to </w:t>
      </w:r>
      <w:r>
        <w:rPr>
          <w:szCs w:val="22"/>
        </w:rPr>
        <w:t>temporarily waive</w:t>
      </w:r>
      <w:r w:rsidRPr="003C73D8">
        <w:rPr>
          <w:szCs w:val="22"/>
        </w:rPr>
        <w:t xml:space="preserve"> </w:t>
      </w:r>
      <w:r>
        <w:rPr>
          <w:szCs w:val="22"/>
        </w:rPr>
        <w:t xml:space="preserve">the usage requirements in </w:t>
      </w:r>
      <w:r w:rsidRPr="003C73D8">
        <w:rPr>
          <w:szCs w:val="22"/>
        </w:rPr>
        <w:t>sections 54.405(e)(3) and 54.407(c)(2) of the Commission’s rules</w:t>
      </w:r>
      <w:r>
        <w:rPr>
          <w:szCs w:val="22"/>
        </w:rPr>
        <w:t xml:space="preserve"> for ETCs with subscribers in the Census tracts identified in Appendix B and Appendix C of this Order</w:t>
      </w:r>
      <w:r w:rsidRPr="003C73D8">
        <w:rPr>
          <w:szCs w:val="22"/>
        </w:rPr>
        <w:t>.  Under these rules, ETCs must de-enroll Lifeline subscribers who do not pay a monthly fee for their Lifeline-supported service and do not use that service for 30 consecutive days.</w:t>
      </w:r>
      <w:r>
        <w:rPr>
          <w:rStyle w:val="FootnoteReference"/>
          <w:sz w:val="22"/>
          <w:szCs w:val="22"/>
        </w:rPr>
        <w:footnoteReference w:id="24"/>
      </w:r>
      <w:r w:rsidRPr="003C73D8">
        <w:rPr>
          <w:szCs w:val="22"/>
        </w:rPr>
        <w:t xml:space="preserve">  </w:t>
      </w:r>
      <w:r>
        <w:rPr>
          <w:szCs w:val="22"/>
        </w:rPr>
        <w:t>A temporary waiver</w:t>
      </w:r>
      <w:r w:rsidRPr="003C73D8">
        <w:rPr>
          <w:szCs w:val="22"/>
        </w:rPr>
        <w:t xml:space="preserve"> of these rules will help </w:t>
      </w:r>
      <w:r>
        <w:rPr>
          <w:szCs w:val="22"/>
        </w:rPr>
        <w:t>Lifeline-supported consumers</w:t>
      </w:r>
      <w:r w:rsidRPr="003C73D8">
        <w:rPr>
          <w:szCs w:val="22"/>
        </w:rPr>
        <w:t xml:space="preserve"> retain access to emergency communications services during this disaster, and allow</w:t>
      </w:r>
      <w:r>
        <w:rPr>
          <w:szCs w:val="22"/>
        </w:rPr>
        <w:t>s</w:t>
      </w:r>
      <w:r w:rsidRPr="003C73D8">
        <w:rPr>
          <w:szCs w:val="22"/>
        </w:rPr>
        <w:t xml:space="preserve"> ETCs to continue providing Lifeline service to disaster victims in the affected areas without requiring those subscribers to de-enroll and re-enroll in the program as they continue to rebuild from the devastation of these wildfires</w:t>
      </w:r>
      <w:r>
        <w:rPr>
          <w:szCs w:val="22"/>
        </w:rPr>
        <w:t>.  After</w:t>
      </w:r>
      <w:r w:rsidRPr="003C73D8">
        <w:rPr>
          <w:szCs w:val="22"/>
        </w:rPr>
        <w:t xml:space="preserve"> the expiration of the waiver periods </w:t>
      </w:r>
      <w:r>
        <w:rPr>
          <w:szCs w:val="22"/>
        </w:rPr>
        <w:t xml:space="preserve">specified in Appendix A of this Order, </w:t>
      </w:r>
      <w:r w:rsidRPr="003C73D8">
        <w:rPr>
          <w:szCs w:val="22"/>
        </w:rPr>
        <w:t>Lifeline subscribers who are subject to the non-usage rule will have 30 days to use their Lifeline service for the purposes of section 54.405(e)(3) of the Commission’s rules</w:t>
      </w:r>
      <w:r>
        <w:rPr>
          <w:szCs w:val="22"/>
        </w:rPr>
        <w:t xml:space="preserve"> before being subject to de-enrollment from the program</w:t>
      </w:r>
      <w:r w:rsidRPr="003C73D8">
        <w:rPr>
          <w:szCs w:val="22"/>
        </w:rPr>
        <w:t>.</w:t>
      </w:r>
      <w:r>
        <w:rPr>
          <w:szCs w:val="22"/>
        </w:rPr>
        <w:t xml:space="preserve">  To the extent that subscribers were de-enrolled or not claimed for support during the relevant waiver period, ETCs may claim federal Lifeline support for qualifying service provided during the waiver period and continue providing Lifeline-supported service to impacted subscribers.</w:t>
      </w:r>
    </w:p>
    <w:p w:rsidR="00ED3BD7" w:rsidRPr="001019B7" w:rsidP="00ED3BD7" w14:paraId="313FEEC5" w14:textId="77777777">
      <w:pPr>
        <w:pStyle w:val="ParaNum"/>
        <w:tabs>
          <w:tab w:val="num" w:pos="1080"/>
          <w:tab w:val="clear" w:pos="1440"/>
        </w:tabs>
        <w:rPr>
          <w:szCs w:val="22"/>
        </w:rPr>
      </w:pPr>
      <w:r w:rsidRPr="003C73D8">
        <w:rPr>
          <w:szCs w:val="22"/>
        </w:rPr>
        <w:t xml:space="preserve">We </w:t>
      </w:r>
      <w:r>
        <w:rPr>
          <w:szCs w:val="22"/>
        </w:rPr>
        <w:t>also find good cause</w:t>
      </w:r>
      <w:r w:rsidRPr="003C73D8">
        <w:rPr>
          <w:szCs w:val="22"/>
        </w:rPr>
        <w:t xml:space="preserve"> to </w:t>
      </w:r>
      <w:r>
        <w:rPr>
          <w:szCs w:val="22"/>
        </w:rPr>
        <w:t>temporarily waive</w:t>
      </w:r>
      <w:r w:rsidRPr="003C73D8">
        <w:rPr>
          <w:szCs w:val="22"/>
        </w:rPr>
        <w:t xml:space="preserve"> </w:t>
      </w:r>
      <w:r>
        <w:rPr>
          <w:szCs w:val="22"/>
        </w:rPr>
        <w:t xml:space="preserve">the recertification requirements in </w:t>
      </w:r>
      <w:r w:rsidRPr="003C73D8">
        <w:rPr>
          <w:szCs w:val="22"/>
        </w:rPr>
        <w:t xml:space="preserve">sections 54.405(e)(4) and 54.410(f) of the Commission’s rules for ETCs with subscribers in the </w:t>
      </w:r>
      <w:r>
        <w:rPr>
          <w:szCs w:val="22"/>
        </w:rPr>
        <w:t>Census tracts identified in Appendix B of this Order</w:t>
      </w:r>
      <w:r w:rsidRPr="003C73D8">
        <w:rPr>
          <w:szCs w:val="22"/>
        </w:rPr>
        <w:t xml:space="preserve"> whose service anniversary dates fall on or between October 1, 2017 and January 31, 2018; </w:t>
      </w:r>
      <w:r>
        <w:rPr>
          <w:szCs w:val="22"/>
        </w:rPr>
        <w:t xml:space="preserve">and </w:t>
      </w:r>
      <w:r w:rsidRPr="003C73D8">
        <w:rPr>
          <w:szCs w:val="22"/>
        </w:rPr>
        <w:t xml:space="preserve">subscribers in the </w:t>
      </w:r>
      <w:r>
        <w:rPr>
          <w:szCs w:val="22"/>
        </w:rPr>
        <w:t>Census tracts identified in Appendix C of this Order</w:t>
      </w:r>
      <w:r w:rsidRPr="003C73D8">
        <w:rPr>
          <w:szCs w:val="22"/>
        </w:rPr>
        <w:t xml:space="preserve"> whose service anniversary dates fall on or between </w:t>
      </w:r>
      <w:r>
        <w:rPr>
          <w:szCs w:val="22"/>
        </w:rPr>
        <w:t>December</w:t>
      </w:r>
      <w:r w:rsidRPr="003C73D8">
        <w:rPr>
          <w:szCs w:val="22"/>
        </w:rPr>
        <w:t xml:space="preserve"> 1, 2017 and </w:t>
      </w:r>
      <w:r>
        <w:rPr>
          <w:szCs w:val="22"/>
        </w:rPr>
        <w:t>March</w:t>
      </w:r>
      <w:r w:rsidRPr="003C73D8">
        <w:rPr>
          <w:szCs w:val="22"/>
        </w:rPr>
        <w:t xml:space="preserve"> 31, 2018</w:t>
      </w:r>
      <w:r w:rsidRPr="001019B7">
        <w:rPr>
          <w:szCs w:val="22"/>
        </w:rPr>
        <w:t>.</w:t>
      </w:r>
      <w:r>
        <w:rPr>
          <w:rStyle w:val="FootnoteReference"/>
          <w:sz w:val="22"/>
          <w:szCs w:val="22"/>
        </w:rPr>
        <w:footnoteReference w:id="25"/>
      </w:r>
      <w:r w:rsidRPr="001019B7">
        <w:rPr>
          <w:szCs w:val="22"/>
        </w:rPr>
        <w:t xml:space="preserve">  Waiver of these rules will allow ETCs serving Lifeline subscribers </w:t>
      </w:r>
      <w:r>
        <w:rPr>
          <w:szCs w:val="22"/>
        </w:rPr>
        <w:t>in these areas</w:t>
      </w:r>
      <w:r w:rsidRPr="001019B7">
        <w:rPr>
          <w:szCs w:val="22"/>
        </w:rPr>
        <w:t xml:space="preserve"> additional time to complete the recertification process for those subscribers </w:t>
      </w:r>
      <w:r>
        <w:rPr>
          <w:szCs w:val="22"/>
        </w:rPr>
        <w:t>most likely to have been impacted by the wildfires</w:t>
      </w:r>
      <w:r w:rsidRPr="001019B7">
        <w:rPr>
          <w:szCs w:val="22"/>
        </w:rPr>
        <w:t>.  D</w:t>
      </w:r>
      <w:r>
        <w:rPr>
          <w:szCs w:val="22"/>
        </w:rPr>
        <w:t>amage to residential buildings and infrastructure</w:t>
      </w:r>
      <w:r w:rsidRPr="001019B7">
        <w:rPr>
          <w:szCs w:val="22"/>
        </w:rPr>
        <w:t xml:space="preserve"> resulting from the wildfires will make it difficult, if not impossible, for Lifeline subscribers to receive and respond to </w:t>
      </w:r>
      <w:r>
        <w:rPr>
          <w:szCs w:val="22"/>
        </w:rPr>
        <w:t xml:space="preserve">mailed </w:t>
      </w:r>
      <w:r w:rsidRPr="001019B7">
        <w:rPr>
          <w:szCs w:val="22"/>
        </w:rPr>
        <w:t>recertification forms from the California LifeLine Program.</w:t>
      </w:r>
      <w:r>
        <w:rPr>
          <w:rStyle w:val="FootnoteReference"/>
          <w:sz w:val="22"/>
          <w:szCs w:val="22"/>
        </w:rPr>
        <w:footnoteReference w:id="26"/>
      </w:r>
      <w:r w:rsidRPr="001019B7">
        <w:rPr>
          <w:szCs w:val="22"/>
        </w:rPr>
        <w:t xml:space="preserve">  At the expiration of the waiver period, </w:t>
      </w:r>
      <w:r>
        <w:rPr>
          <w:szCs w:val="22"/>
        </w:rPr>
        <w:t>we expect that the California LifeLine administrator</w:t>
      </w:r>
      <w:r w:rsidRPr="001019B7">
        <w:rPr>
          <w:szCs w:val="22"/>
        </w:rPr>
        <w:t xml:space="preserve"> </w:t>
      </w:r>
      <w:r>
        <w:rPr>
          <w:szCs w:val="22"/>
        </w:rPr>
        <w:t>will</w:t>
      </w:r>
      <w:r w:rsidRPr="001019B7">
        <w:rPr>
          <w:szCs w:val="22"/>
        </w:rPr>
        <w:t xml:space="preserve"> begin recertification efforts promptly</w:t>
      </w:r>
      <w:r>
        <w:rPr>
          <w:szCs w:val="22"/>
        </w:rPr>
        <w:t>, as described in the Petition and Supplemental Petition</w:t>
      </w:r>
      <w:r w:rsidRPr="001019B7">
        <w:rPr>
          <w:szCs w:val="22"/>
        </w:rPr>
        <w:t xml:space="preserve">.  Any subscriber whose anniversary date falls within the waiver period but has already recertified their eligibility is not required to undergo an additional recertification at the end of the </w:t>
      </w:r>
      <w:r>
        <w:rPr>
          <w:szCs w:val="22"/>
        </w:rPr>
        <w:t>waiver period</w:t>
      </w:r>
      <w:r w:rsidRPr="001019B7">
        <w:rPr>
          <w:szCs w:val="22"/>
        </w:rPr>
        <w:t xml:space="preserve">.  </w:t>
      </w:r>
    </w:p>
    <w:p w:rsidR="00ED3BD7" w:rsidRPr="003C73D8" w:rsidP="00ED3BD7" w14:paraId="313FEEC6" w14:textId="77777777">
      <w:pPr>
        <w:pStyle w:val="ParaNum"/>
        <w:tabs>
          <w:tab w:val="num" w:pos="1080"/>
          <w:tab w:val="clear" w:pos="1440"/>
        </w:tabs>
        <w:rPr>
          <w:szCs w:val="22"/>
        </w:rPr>
      </w:pPr>
      <w:r>
        <w:rPr>
          <w:szCs w:val="22"/>
        </w:rPr>
        <w:t>W</w:t>
      </w:r>
      <w:r w:rsidRPr="003C73D8">
        <w:rPr>
          <w:szCs w:val="22"/>
        </w:rPr>
        <w:t xml:space="preserve">hile the Bureau acknowledges the magnitude of the October and December 2017 California wildfires, the Bureau finds that </w:t>
      </w:r>
      <w:r>
        <w:rPr>
          <w:szCs w:val="22"/>
        </w:rPr>
        <w:t xml:space="preserve">the </w:t>
      </w:r>
      <w:r w:rsidRPr="003C73D8">
        <w:rPr>
          <w:szCs w:val="22"/>
        </w:rPr>
        <w:t xml:space="preserve">CPUC’s request </w:t>
      </w:r>
      <w:r>
        <w:rPr>
          <w:szCs w:val="22"/>
        </w:rPr>
        <w:t>for waivers</w:t>
      </w:r>
      <w:r w:rsidRPr="003C73D8">
        <w:rPr>
          <w:szCs w:val="22"/>
        </w:rPr>
        <w:t xml:space="preserve"> on a countywide basis is </w:t>
      </w:r>
      <w:r>
        <w:rPr>
          <w:szCs w:val="22"/>
        </w:rPr>
        <w:t>overly</w:t>
      </w:r>
      <w:r w:rsidRPr="003C73D8">
        <w:rPr>
          <w:szCs w:val="22"/>
        </w:rPr>
        <w:t xml:space="preserve"> broad and would likely </w:t>
      </w:r>
      <w:r>
        <w:rPr>
          <w:szCs w:val="22"/>
        </w:rPr>
        <w:t>encompass hundreds of thousands of Lifeline</w:t>
      </w:r>
      <w:r w:rsidRPr="003C73D8">
        <w:rPr>
          <w:szCs w:val="22"/>
        </w:rPr>
        <w:t xml:space="preserve"> subscribers </w:t>
      </w:r>
      <w:r>
        <w:rPr>
          <w:szCs w:val="22"/>
        </w:rPr>
        <w:t>who</w:t>
      </w:r>
      <w:r w:rsidRPr="003C73D8">
        <w:rPr>
          <w:szCs w:val="22"/>
        </w:rPr>
        <w:t xml:space="preserve"> were not personally impacted by the wildfires.</w:t>
      </w:r>
      <w:r>
        <w:rPr>
          <w:szCs w:val="22"/>
        </w:rPr>
        <w:t xml:space="preserve">  By the CPUC’s own estimation, granting the requested waivers on a countywide basis would </w:t>
      </w:r>
      <w:r>
        <w:t>encompass a total of 1.54 million Lifeline subscribers,</w:t>
      </w:r>
      <w:r>
        <w:rPr>
          <w:rStyle w:val="FootnoteReference"/>
          <w:szCs w:val="22"/>
        </w:rPr>
        <w:footnoteReference w:id="27"/>
      </w:r>
      <w:r>
        <w:t xml:space="preserve"> but neither the CPUC’s submissions nor external sources indicate that that number of consumers have been evacuated, lost communications services, or otherwise have been impacted by the wildfires so significantly as to justify a waiver of the rules.</w:t>
      </w:r>
      <w:r w:rsidRPr="003C73D8">
        <w:rPr>
          <w:szCs w:val="22"/>
        </w:rPr>
        <w:t xml:space="preserve">  The Bureau finds that limiting relief to subscribers in the Census tracts </w:t>
      </w:r>
      <w:r>
        <w:rPr>
          <w:szCs w:val="22"/>
        </w:rPr>
        <w:t>corresponding to the areas identified</w:t>
      </w:r>
      <w:r w:rsidRPr="003C73D8">
        <w:rPr>
          <w:szCs w:val="22"/>
        </w:rPr>
        <w:t xml:space="preserve"> by CAL </w:t>
      </w:r>
      <w:r>
        <w:rPr>
          <w:szCs w:val="22"/>
        </w:rPr>
        <w:t>FIRE</w:t>
      </w:r>
      <w:r w:rsidRPr="003C73D8">
        <w:rPr>
          <w:szCs w:val="22"/>
        </w:rPr>
        <w:t xml:space="preserve"> as being at least partially impacted by the wildfire</w:t>
      </w:r>
      <w:r>
        <w:rPr>
          <w:szCs w:val="22"/>
        </w:rPr>
        <w:t>s</w:t>
      </w:r>
      <w:r w:rsidRPr="003C73D8">
        <w:rPr>
          <w:szCs w:val="22"/>
        </w:rPr>
        <w:t xml:space="preserve"> would target relief to those who were </w:t>
      </w:r>
      <w:r>
        <w:rPr>
          <w:szCs w:val="22"/>
        </w:rPr>
        <w:t>most</w:t>
      </w:r>
      <w:r w:rsidRPr="003C73D8">
        <w:rPr>
          <w:szCs w:val="22"/>
        </w:rPr>
        <w:t xml:space="preserve"> likely to be impacted by the wildfires and for whom </w:t>
      </w:r>
      <w:r>
        <w:rPr>
          <w:szCs w:val="22"/>
        </w:rPr>
        <w:t>relief would be needed.</w:t>
      </w:r>
    </w:p>
    <w:p w:rsidR="00ED3BD7" w:rsidRPr="00FC4832" w:rsidP="00ED3BD7" w14:paraId="313FEEC7" w14:textId="77777777">
      <w:pPr>
        <w:pStyle w:val="ParaNum"/>
        <w:tabs>
          <w:tab w:val="num" w:pos="1080"/>
          <w:tab w:val="clear" w:pos="1440"/>
        </w:tabs>
      </w:pPr>
      <w:r>
        <w:rPr>
          <w:i/>
        </w:rPr>
        <w:t xml:space="preserve">Preventing Waste, Fraud, and </w:t>
      </w:r>
      <w:r w:rsidRPr="00A270FF">
        <w:rPr>
          <w:i/>
        </w:rPr>
        <w:t>Abuse</w:t>
      </w:r>
      <w:r>
        <w:t>.  W</w:t>
      </w:r>
      <w:r w:rsidRPr="006E1205">
        <w:rPr>
          <w:snapToGrid/>
        </w:rPr>
        <w:t>e are committed to guarding against waste, fraud, and abuse</w:t>
      </w:r>
      <w:r>
        <w:rPr>
          <w:snapToGrid/>
        </w:rPr>
        <w:t xml:space="preserve"> in the Universal Service Fund (USF) programs</w:t>
      </w:r>
      <w:r w:rsidRPr="006E1205">
        <w:rPr>
          <w:snapToGrid/>
        </w:rPr>
        <w:t xml:space="preserve">.  Although we grant the limited waivers described herein, </w:t>
      </w:r>
      <w:r>
        <w:rPr>
          <w:snapToGrid/>
        </w:rPr>
        <w:t>service providers</w:t>
      </w:r>
      <w:r w:rsidRPr="006E1205">
        <w:rPr>
          <w:snapToGrid/>
        </w:rPr>
        <w:t xml:space="preserve"> remain </w:t>
      </w:r>
      <w:r>
        <w:rPr>
          <w:snapToGrid/>
        </w:rPr>
        <w:t xml:space="preserve">otherwise </w:t>
      </w:r>
      <w:r w:rsidRPr="006E1205">
        <w:rPr>
          <w:snapToGrid/>
        </w:rPr>
        <w:t xml:space="preserve">subject to audits and investigations to determine compliance with </w:t>
      </w:r>
      <w:r>
        <w:rPr>
          <w:bCs/>
          <w:snapToGrid/>
        </w:rPr>
        <w:t>USF P</w:t>
      </w:r>
      <w:r w:rsidRPr="006E1205">
        <w:rPr>
          <w:snapToGrid/>
        </w:rPr>
        <w:t xml:space="preserve">rogram rules and requirements.  We will require </w:t>
      </w:r>
      <w:r>
        <w:rPr>
          <w:snapToGrid/>
        </w:rPr>
        <w:t>the Universal Service Administrative Company (</w:t>
      </w:r>
      <w:r w:rsidRPr="006E1205">
        <w:rPr>
          <w:snapToGrid/>
        </w:rPr>
        <w:t>USAC</w:t>
      </w:r>
      <w:r>
        <w:rPr>
          <w:snapToGrid/>
        </w:rPr>
        <w:t>)</w:t>
      </w:r>
      <w:r w:rsidRPr="006E1205">
        <w:rPr>
          <w:snapToGrid/>
        </w:rPr>
        <w:t xml:space="preserve"> to recover funds that we discover were not used properly through its normal processes.  We emphasize that we retain the discretion to evaluate the uses of monies disbursed through the </w:t>
      </w:r>
      <w:r>
        <w:rPr>
          <w:snapToGrid/>
        </w:rPr>
        <w:t>USF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Pr>
          <w:snapToGrid/>
        </w:rPr>
        <w:t>Additionally, in the event we discover any improper activity resulting from our action today, we will subject the offending party to all available penalties at our disposal, and will direct</w:t>
      </w:r>
      <w:r w:rsidRPr="006E1205">
        <w:rPr>
          <w:snapToGrid/>
        </w:rPr>
        <w:t xml:space="preserve"> USAC to recover funds</w:t>
      </w:r>
      <w:r>
        <w:rPr>
          <w:snapToGrid/>
        </w:rPr>
        <w:t xml:space="preserve">, assess retroactive fees and/or interest, or both.  </w:t>
      </w:r>
      <w:r w:rsidRPr="006E1205">
        <w:rPr>
          <w:snapToGrid/>
        </w:rPr>
        <w:t>We remain committed to</w:t>
      </w:r>
      <w:r>
        <w:rPr>
          <w:snapToGrid/>
        </w:rPr>
        <w:t xml:space="preserve"> ensuring the integrity of the Lifeline p</w:t>
      </w:r>
      <w:r w:rsidRPr="006E1205">
        <w:rPr>
          <w:snapToGrid/>
        </w:rPr>
        <w:t>rogram</w:t>
      </w:r>
      <w:r>
        <w:rPr>
          <w:snapToGrid/>
        </w:rPr>
        <w:t xml:space="preserve"> </w:t>
      </w:r>
      <w:r w:rsidRPr="006E1205">
        <w:rPr>
          <w:snapToGrid/>
        </w:rPr>
        <w:t>and will continue to aggressively purs</w:t>
      </w:r>
      <w:r>
        <w:rPr>
          <w:snapToGrid/>
        </w:rPr>
        <w:t>ue instances of waste, fraud, or</w:t>
      </w:r>
      <w:r w:rsidRPr="006E1205">
        <w:rPr>
          <w:snapToGrid/>
        </w:rPr>
        <w:t xml:space="preserve"> abuse under our own procedures and in cooperation with law enforcement agencies.</w:t>
      </w:r>
    </w:p>
    <w:p w:rsidR="00ED3BD7" w:rsidRPr="003C73D8" w:rsidP="00ED3BD7" w14:paraId="313FEEC8" w14:textId="77777777">
      <w:pPr>
        <w:pStyle w:val="Heading1"/>
        <w:rPr>
          <w:rFonts w:ascii="Times New Roman" w:hAnsi="Times New Roman"/>
          <w:szCs w:val="22"/>
        </w:rPr>
      </w:pPr>
      <w:r w:rsidRPr="003C73D8">
        <w:rPr>
          <w:rFonts w:ascii="Times New Roman" w:hAnsi="Times New Roman"/>
          <w:szCs w:val="22"/>
        </w:rPr>
        <w:t>ordering clauses</w:t>
      </w:r>
    </w:p>
    <w:p w:rsidR="00ED3BD7" w:rsidRPr="003C73D8" w:rsidP="00ED3BD7" w14:paraId="313FEEC9" w14:textId="77777777">
      <w:pPr>
        <w:pStyle w:val="ParaNum"/>
        <w:tabs>
          <w:tab w:val="num" w:pos="1080"/>
          <w:tab w:val="clear" w:pos="1440"/>
        </w:tabs>
        <w:rPr>
          <w:szCs w:val="22"/>
        </w:rPr>
      </w:pPr>
      <w:r w:rsidRPr="003C73D8">
        <w:rPr>
          <w:szCs w:val="22"/>
        </w:rP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szCs w:val="22"/>
        </w:rPr>
        <w:t xml:space="preserve">§§ </w:t>
      </w:r>
      <w:r w:rsidRPr="003C73D8">
        <w:rPr>
          <w:szCs w:val="22"/>
        </w:rPr>
        <w:t xml:space="preserve">54.405(e)(3), 54.405(e)(4), 54.407(c)(2), and 54.410(f), of the Commission’s rules are waived to the limited extent provided herein.  </w:t>
      </w:r>
    </w:p>
    <w:p w:rsidR="00ED3BD7" w:rsidP="00ED3BD7" w14:paraId="313FEECA" w14:textId="77777777">
      <w:pPr>
        <w:pStyle w:val="ParaNum"/>
        <w:tabs>
          <w:tab w:val="num" w:pos="1080"/>
          <w:tab w:val="clear" w:pos="1440"/>
        </w:tabs>
        <w:rPr>
          <w:szCs w:val="22"/>
        </w:rPr>
      </w:pPr>
      <w:r w:rsidRPr="003C73D8">
        <w:rPr>
          <w:szCs w:val="22"/>
        </w:rPr>
        <w:t>IT IS FURTHER ORDERED, that pursuant to the authority contained in sections 1-4 and 254 of the Communications Act of 1934, as amended, 47 USC §§ 151-154 and 254, and sections 0.91, 0.291, and 1.3 of the Commission’s rules, 47 CFR §§ 0.91, 0.291, and 1.3, that the request for waiver filed by the California Public Utility Commission IS GRANTED IN PART AND DENIED IN PART to the extent provided herein.</w:t>
      </w:r>
    </w:p>
    <w:p w:rsidR="00ED3BD7" w:rsidP="00ED3BD7" w14:paraId="313FEECB" w14:textId="77777777">
      <w:pPr>
        <w:pStyle w:val="ParaNum"/>
        <w:numPr>
          <w:ilvl w:val="0"/>
          <w:numId w:val="0"/>
        </w:numPr>
        <w:rPr>
          <w:szCs w:val="22"/>
        </w:rPr>
      </w:pPr>
    </w:p>
    <w:p w:rsidR="00ED3BD7" w:rsidP="00ED3BD7" w14:paraId="313FEECC" w14:textId="77777777">
      <w:pPr>
        <w:pStyle w:val="ParaNum"/>
        <w:numPr>
          <w:ilvl w:val="0"/>
          <w:numId w:val="0"/>
        </w:numPr>
        <w:rPr>
          <w:szCs w:val="22"/>
        </w:rPr>
      </w:pPr>
    </w:p>
    <w:p w:rsidR="00ED3BD7" w:rsidRPr="003C73D8" w:rsidP="00ED3BD7" w14:paraId="313FEECD" w14:textId="77777777">
      <w:pPr>
        <w:pStyle w:val="ParaNum"/>
        <w:numPr>
          <w:ilvl w:val="0"/>
          <w:numId w:val="0"/>
        </w:numPr>
        <w:rPr>
          <w:szCs w:val="22"/>
        </w:rPr>
      </w:pPr>
    </w:p>
    <w:p w:rsidR="00ED3BD7" w:rsidRPr="003C73D8" w:rsidP="00ED3BD7" w14:paraId="313FEECE" w14:textId="77777777">
      <w:pPr>
        <w:pStyle w:val="ParaNum"/>
        <w:tabs>
          <w:tab w:val="num" w:pos="1080"/>
          <w:tab w:val="clear" w:pos="1440"/>
        </w:tabs>
        <w:rPr>
          <w:szCs w:val="22"/>
        </w:rPr>
      </w:pPr>
      <w:bookmarkStart w:id="1" w:name="_Hlk495052368"/>
      <w:r w:rsidRPr="003C73D8">
        <w:rPr>
          <w:szCs w:val="22"/>
        </w:rPr>
        <w:t xml:space="preserve">IT IS FURTHER ORDERED, that pursuant to section 1.102(b)(1) of the Commission’s rules, 47 CFR § 1.102(b)(1), this Order SHALL BE EFFECTIVE upon release.  </w:t>
      </w:r>
    </w:p>
    <w:p w:rsidR="00ED3BD7" w:rsidRPr="003C73D8" w:rsidP="00ED3BD7" w14:paraId="313FEECF" w14:textId="77777777">
      <w:pPr>
        <w:pStyle w:val="ParaNum"/>
        <w:numPr>
          <w:ilvl w:val="0"/>
          <w:numId w:val="0"/>
        </w:numPr>
        <w:ind w:firstLine="720"/>
        <w:rPr>
          <w:szCs w:val="22"/>
        </w:rPr>
      </w:pPr>
      <w:bookmarkEnd w:id="1"/>
    </w:p>
    <w:p w:rsidR="00ED3BD7" w:rsidRPr="003C73D8" w:rsidP="00ED3BD7" w14:paraId="313FEED0" w14:textId="77777777">
      <w:pPr>
        <w:pStyle w:val="ParaNum"/>
        <w:numPr>
          <w:ilvl w:val="0"/>
          <w:numId w:val="0"/>
        </w:numPr>
        <w:ind w:left="4320"/>
        <w:rPr>
          <w:szCs w:val="22"/>
        </w:rPr>
      </w:pPr>
      <w:r w:rsidRPr="003C73D8">
        <w:rPr>
          <w:szCs w:val="22"/>
        </w:rPr>
        <w:t>FEDERAL COMMUNICATIONS COMMISSION</w:t>
      </w:r>
    </w:p>
    <w:p w:rsidR="00ED3BD7" w:rsidRPr="003C73D8" w:rsidP="00ED3BD7" w14:paraId="313FEED1" w14:textId="77777777">
      <w:pPr>
        <w:pStyle w:val="ParaNum"/>
        <w:numPr>
          <w:ilvl w:val="0"/>
          <w:numId w:val="0"/>
        </w:numPr>
        <w:ind w:left="4320"/>
        <w:rPr>
          <w:szCs w:val="22"/>
        </w:rPr>
      </w:pPr>
    </w:p>
    <w:p w:rsidR="00ED3BD7" w:rsidRPr="003C73D8" w:rsidP="00ED3BD7" w14:paraId="313FEED2" w14:textId="77777777">
      <w:pPr>
        <w:pStyle w:val="ParaNum"/>
        <w:numPr>
          <w:ilvl w:val="0"/>
          <w:numId w:val="0"/>
        </w:numPr>
        <w:ind w:left="4320"/>
        <w:rPr>
          <w:szCs w:val="22"/>
        </w:rPr>
      </w:pPr>
    </w:p>
    <w:p w:rsidR="00ED3BD7" w:rsidRPr="003C73D8" w:rsidP="00ED3BD7" w14:paraId="313FEED3" w14:textId="77777777">
      <w:pPr>
        <w:pStyle w:val="ParaNum"/>
        <w:numPr>
          <w:ilvl w:val="0"/>
          <w:numId w:val="0"/>
        </w:numPr>
        <w:spacing w:after="0"/>
        <w:ind w:left="4320"/>
        <w:rPr>
          <w:szCs w:val="22"/>
        </w:rPr>
      </w:pPr>
      <w:r w:rsidRPr="003C73D8">
        <w:rPr>
          <w:szCs w:val="22"/>
        </w:rPr>
        <w:t>Kris Anne Monteith</w:t>
      </w:r>
    </w:p>
    <w:p w:rsidR="00ED3BD7" w:rsidRPr="003C73D8" w:rsidP="00ED3BD7" w14:paraId="313FEED4" w14:textId="77777777">
      <w:pPr>
        <w:pStyle w:val="ParaNum"/>
        <w:numPr>
          <w:ilvl w:val="0"/>
          <w:numId w:val="0"/>
        </w:numPr>
        <w:spacing w:after="0"/>
        <w:ind w:left="4320"/>
        <w:rPr>
          <w:szCs w:val="22"/>
        </w:rPr>
      </w:pPr>
      <w:r w:rsidRPr="003C73D8">
        <w:rPr>
          <w:szCs w:val="22"/>
        </w:rPr>
        <w:t>Chief</w:t>
      </w:r>
    </w:p>
    <w:p w:rsidR="00905231" w:rsidRPr="00905231" w:rsidP="005A1E0E" w14:paraId="313FEED5" w14:textId="77777777">
      <w:pPr>
        <w:pStyle w:val="ParaNum"/>
        <w:numPr>
          <w:ilvl w:val="0"/>
          <w:numId w:val="0"/>
        </w:numPr>
        <w:spacing w:after="0"/>
        <w:ind w:left="4320"/>
        <w:rPr>
          <w:szCs w:val="22"/>
        </w:rPr>
      </w:pPr>
      <w:r w:rsidRPr="003C73D8">
        <w:rPr>
          <w:szCs w:val="22"/>
        </w:rPr>
        <w:t>Wireline Competition Bureau</w:t>
      </w:r>
    </w:p>
    <w:p w:rsidR="00905231" w:rsidRPr="00905231" w:rsidP="00905231" w14:paraId="313FEED6" w14:textId="77777777">
      <w:pPr>
        <w:widowControl/>
        <w:rPr>
          <w:szCs w:val="22"/>
        </w:rPr>
      </w:pPr>
    </w:p>
    <w:p w:rsidR="00905231" w:rsidRPr="00905231" w:rsidP="00905231" w14:paraId="313FEED7" w14:textId="77777777">
      <w:pPr>
        <w:widowControl/>
        <w:rPr>
          <w:b/>
          <w:szCs w:val="22"/>
        </w:rPr>
      </w:pPr>
      <w:r w:rsidRPr="00905231">
        <w:rPr>
          <w:b/>
          <w:szCs w:val="22"/>
        </w:rPr>
        <w:br w:type="page"/>
      </w:r>
    </w:p>
    <w:p w:rsidR="00905231" w:rsidRPr="00905231" w:rsidP="00905231" w14:paraId="313FEED8" w14:textId="77777777">
      <w:pPr>
        <w:spacing w:after="120"/>
        <w:rPr>
          <w:b/>
          <w:szCs w:val="22"/>
        </w:rPr>
      </w:pPr>
    </w:p>
    <w:p w:rsidR="00905231" w:rsidRPr="00905231" w:rsidP="00905231" w14:paraId="313FEED9" w14:textId="77777777">
      <w:pPr>
        <w:spacing w:after="120"/>
        <w:jc w:val="center"/>
        <w:rPr>
          <w:b/>
          <w:szCs w:val="22"/>
        </w:rPr>
      </w:pPr>
      <w:r w:rsidRPr="00905231">
        <w:rPr>
          <w:b/>
          <w:szCs w:val="22"/>
        </w:rPr>
        <w:t>APPENDIX A</w:t>
      </w:r>
    </w:p>
    <w:p w:rsidR="00905231" w:rsidRPr="00905231" w:rsidP="00905231" w14:paraId="313FEEDA" w14:textId="77777777">
      <w:pPr>
        <w:spacing w:after="120"/>
        <w:jc w:val="center"/>
        <w:rPr>
          <w:b/>
          <w:szCs w:val="22"/>
        </w:rPr>
      </w:pPr>
    </w:p>
    <w:p w:rsidR="00905231" w:rsidRPr="00905231" w:rsidP="00905231" w14:paraId="313FEEDB" w14:textId="77777777">
      <w:pPr>
        <w:spacing w:after="120"/>
        <w:jc w:val="center"/>
        <w:rPr>
          <w:b/>
          <w:szCs w:val="22"/>
        </w:rPr>
      </w:pPr>
      <w:r w:rsidRPr="00905231">
        <w:rPr>
          <w:b/>
          <w:szCs w:val="22"/>
        </w:rPr>
        <w:t>Application of Temporary Waiver of Non-Usage Rules</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675"/>
        <w:gridCol w:w="4675"/>
      </w:tblGrid>
      <w:tr w14:paraId="313FEEDE" w14:textId="77777777" w:rsidTr="0090523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500" w:type="pct"/>
            <w:shd w:val="clear" w:color="auto" w:fill="auto"/>
          </w:tcPr>
          <w:p w:rsidR="00905231" w:rsidRPr="00905231" w:rsidP="00905231" w14:paraId="313FEEDC"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Geographic Area</w:t>
            </w:r>
          </w:p>
        </w:tc>
        <w:tc>
          <w:tcPr>
            <w:tcW w:w="2500" w:type="pct"/>
            <w:shd w:val="clear" w:color="auto" w:fill="auto"/>
          </w:tcPr>
          <w:p w:rsidR="00905231" w:rsidRPr="00905231" w:rsidP="00905231" w14:paraId="313FEEDD"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Non-Usage Waiver Period</w:t>
            </w:r>
          </w:p>
        </w:tc>
      </w:tr>
      <w:tr w14:paraId="313FEEE1" w14:textId="77777777" w:rsidTr="00905231">
        <w:tblPrEx>
          <w:tblW w:w="5000" w:type="pct"/>
          <w:tblInd w:w="0" w:type="dxa"/>
          <w:tblCellMar>
            <w:top w:w="0" w:type="dxa"/>
            <w:left w:w="108" w:type="dxa"/>
            <w:bottom w:w="0" w:type="dxa"/>
            <w:right w:w="108" w:type="dxa"/>
          </w:tblCellMar>
          <w:tblLook w:val="04A0"/>
        </w:tblPrEx>
        <w:tc>
          <w:tcPr>
            <w:tcW w:w="2500" w:type="pct"/>
            <w:shd w:val="clear" w:color="auto" w:fill="auto"/>
          </w:tcPr>
          <w:p w:rsidR="00905231" w:rsidRPr="00905231" w:rsidP="00905231" w14:paraId="313FEEDF"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Appendix B Census tracts</w:t>
            </w:r>
          </w:p>
        </w:tc>
        <w:tc>
          <w:tcPr>
            <w:tcW w:w="2500" w:type="pct"/>
            <w:shd w:val="clear" w:color="auto" w:fill="auto"/>
          </w:tcPr>
          <w:p w:rsidR="00905231" w:rsidRPr="00905231" w:rsidP="00905231" w14:paraId="313FEEE0"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October 1, 2017 – February 15, 2018</w:t>
            </w:r>
          </w:p>
        </w:tc>
      </w:tr>
      <w:tr w14:paraId="313FEEE4" w14:textId="77777777" w:rsidTr="00905231">
        <w:tblPrEx>
          <w:tblW w:w="5000" w:type="pct"/>
          <w:tblInd w:w="0" w:type="dxa"/>
          <w:tblCellMar>
            <w:top w:w="0" w:type="dxa"/>
            <w:left w:w="108" w:type="dxa"/>
            <w:bottom w:w="0" w:type="dxa"/>
            <w:right w:w="108" w:type="dxa"/>
          </w:tblCellMar>
          <w:tblLook w:val="04A0"/>
        </w:tblPrEx>
        <w:tc>
          <w:tcPr>
            <w:tcW w:w="2500" w:type="pct"/>
            <w:shd w:val="clear" w:color="auto" w:fill="auto"/>
          </w:tcPr>
          <w:p w:rsidR="00905231" w:rsidRPr="00905231" w:rsidP="00905231" w14:paraId="313FEEE2"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Appendix C Census tracts</w:t>
            </w:r>
          </w:p>
        </w:tc>
        <w:tc>
          <w:tcPr>
            <w:tcW w:w="2500" w:type="pct"/>
            <w:shd w:val="clear" w:color="auto" w:fill="auto"/>
          </w:tcPr>
          <w:p w:rsidR="00905231" w:rsidRPr="00905231" w:rsidP="00905231" w14:paraId="313FEEE3"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December 1, 2017 – March 31, 2018</w:t>
            </w:r>
          </w:p>
        </w:tc>
      </w:tr>
    </w:tbl>
    <w:p w:rsidR="00905231" w:rsidRPr="00905231" w:rsidP="00905231" w14:paraId="313FEEE5" w14:textId="77777777">
      <w:pPr>
        <w:spacing w:after="120"/>
        <w:rPr>
          <w:szCs w:val="22"/>
        </w:rPr>
      </w:pPr>
    </w:p>
    <w:p w:rsidR="00905231" w:rsidRPr="00905231" w:rsidP="00905231" w14:paraId="313FEEE6" w14:textId="77777777">
      <w:pPr>
        <w:spacing w:after="120"/>
        <w:rPr>
          <w:szCs w:val="22"/>
        </w:rPr>
      </w:pPr>
    </w:p>
    <w:p w:rsidR="00905231" w:rsidRPr="00905231" w:rsidP="00905231" w14:paraId="313FEEE7" w14:textId="77777777">
      <w:pPr>
        <w:spacing w:after="120"/>
        <w:jc w:val="center"/>
        <w:rPr>
          <w:b/>
          <w:szCs w:val="22"/>
        </w:rPr>
      </w:pPr>
      <w:r w:rsidRPr="00905231">
        <w:rPr>
          <w:b/>
          <w:szCs w:val="22"/>
        </w:rPr>
        <w:t>Application of Temporary Waiver of Recertification Rules</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786"/>
        <w:gridCol w:w="3509"/>
        <w:gridCol w:w="3055"/>
      </w:tblGrid>
      <w:tr w14:paraId="313FEEEB" w14:textId="77777777" w:rsidTr="0090523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89" w:type="pct"/>
            <w:shd w:val="clear" w:color="auto" w:fill="auto"/>
          </w:tcPr>
          <w:p w:rsidR="00905231" w:rsidRPr="00905231" w:rsidP="00905231" w14:paraId="313FEEE8"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Geographic Area</w:t>
            </w:r>
          </w:p>
        </w:tc>
        <w:tc>
          <w:tcPr>
            <w:tcW w:w="1876" w:type="pct"/>
            <w:shd w:val="clear" w:color="auto" w:fill="auto"/>
          </w:tcPr>
          <w:p w:rsidR="00905231" w:rsidRPr="00905231" w:rsidP="00905231" w14:paraId="313FEEE9"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Subscriber Anniversary Date</w:t>
            </w:r>
          </w:p>
        </w:tc>
        <w:tc>
          <w:tcPr>
            <w:tcW w:w="1634" w:type="pct"/>
            <w:shd w:val="clear" w:color="auto" w:fill="auto"/>
          </w:tcPr>
          <w:p w:rsidR="00905231" w:rsidRPr="00905231" w:rsidP="00905231" w14:paraId="313FEEEA"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Recertification Process Begins</w:t>
            </w:r>
          </w:p>
        </w:tc>
      </w:tr>
      <w:tr w14:paraId="313FEEEF" w14:textId="77777777" w:rsidTr="00905231">
        <w:tblPrEx>
          <w:tblW w:w="5000" w:type="pct"/>
          <w:tblInd w:w="0" w:type="dxa"/>
          <w:tblCellMar>
            <w:top w:w="0" w:type="dxa"/>
            <w:left w:w="108" w:type="dxa"/>
            <w:bottom w:w="0" w:type="dxa"/>
            <w:right w:w="108" w:type="dxa"/>
          </w:tblCellMar>
          <w:tblLook w:val="04A0"/>
        </w:tblPrEx>
        <w:tc>
          <w:tcPr>
            <w:tcW w:w="1489" w:type="pct"/>
            <w:shd w:val="clear" w:color="auto" w:fill="auto"/>
          </w:tcPr>
          <w:p w:rsidR="00905231" w:rsidRPr="00905231" w:rsidP="00905231" w14:paraId="313FEEEC"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Appendix B Census tracts</w:t>
            </w:r>
          </w:p>
        </w:tc>
        <w:tc>
          <w:tcPr>
            <w:tcW w:w="1876" w:type="pct"/>
            <w:shd w:val="clear" w:color="auto" w:fill="auto"/>
          </w:tcPr>
          <w:p w:rsidR="00905231" w:rsidRPr="00905231" w:rsidP="00905231" w14:paraId="313FEEED"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October 1, 2017 – January 31, 2018</w:t>
            </w:r>
          </w:p>
        </w:tc>
        <w:tc>
          <w:tcPr>
            <w:tcW w:w="1634" w:type="pct"/>
            <w:shd w:val="clear" w:color="auto" w:fill="auto"/>
          </w:tcPr>
          <w:p w:rsidR="00905231" w:rsidRPr="00905231" w:rsidP="00905231" w14:paraId="313FEEEE"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February 15, 2018</w:t>
            </w:r>
          </w:p>
        </w:tc>
      </w:tr>
      <w:tr w14:paraId="313FEEF3" w14:textId="77777777" w:rsidTr="00905231">
        <w:tblPrEx>
          <w:tblW w:w="5000" w:type="pct"/>
          <w:tblInd w:w="0" w:type="dxa"/>
          <w:tblCellMar>
            <w:top w:w="0" w:type="dxa"/>
            <w:left w:w="108" w:type="dxa"/>
            <w:bottom w:w="0" w:type="dxa"/>
            <w:right w:w="108" w:type="dxa"/>
          </w:tblCellMar>
          <w:tblLook w:val="04A0"/>
        </w:tblPrEx>
        <w:tc>
          <w:tcPr>
            <w:tcW w:w="1489" w:type="pct"/>
            <w:shd w:val="clear" w:color="auto" w:fill="auto"/>
          </w:tcPr>
          <w:p w:rsidR="00905231" w:rsidRPr="00905231" w:rsidP="00905231" w14:paraId="313FEEF0"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Appendix C Census tracts</w:t>
            </w:r>
          </w:p>
        </w:tc>
        <w:tc>
          <w:tcPr>
            <w:tcW w:w="1876" w:type="pct"/>
            <w:shd w:val="clear" w:color="auto" w:fill="auto"/>
          </w:tcPr>
          <w:p w:rsidR="00905231" w:rsidRPr="00905231" w:rsidP="00905231" w14:paraId="313FEEF1"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December 1, 2017 – March 31, 2018</w:t>
            </w:r>
          </w:p>
        </w:tc>
        <w:tc>
          <w:tcPr>
            <w:tcW w:w="1634" w:type="pct"/>
            <w:shd w:val="clear" w:color="auto" w:fill="auto"/>
          </w:tcPr>
          <w:p w:rsidR="00905231" w:rsidRPr="00905231" w:rsidP="00905231" w14:paraId="313FEEF2" w14:textId="77777777">
            <w:pPr>
              <w:widowControl w:val="0"/>
              <w:spacing w:after="120"/>
              <w:jc w:val="center"/>
              <w:rPr>
                <w:rStyle w:val="DefaultParagraphFont"/>
                <w:snapToGrid w:val="0"/>
                <w:kern w:val="28"/>
                <w:sz w:val="22"/>
                <w:szCs w:val="22"/>
                <w:lang w:val="en-US" w:eastAsia="en-US" w:bidi="ar-SA"/>
              </w:rPr>
            </w:pPr>
            <w:r w:rsidRPr="00905231">
              <w:rPr>
                <w:snapToGrid w:val="0"/>
                <w:kern w:val="28"/>
                <w:sz w:val="22"/>
                <w:szCs w:val="22"/>
                <w:lang w:val="en-US" w:eastAsia="en-US" w:bidi="ar-SA"/>
              </w:rPr>
              <w:t>April 1, 2018</w:t>
            </w:r>
          </w:p>
        </w:tc>
      </w:tr>
    </w:tbl>
    <w:p w:rsidR="00905231" w:rsidRPr="00905231" w:rsidP="00905231" w14:paraId="313FEEF4" w14:textId="77777777">
      <w:pPr>
        <w:spacing w:after="120"/>
        <w:rPr>
          <w:szCs w:val="22"/>
        </w:rPr>
      </w:pPr>
    </w:p>
    <w:p w:rsidR="00905231" w:rsidRPr="00905231" w:rsidP="00905231" w14:paraId="313FEEF5" w14:textId="77777777">
      <w:pPr>
        <w:widowControl/>
        <w:rPr>
          <w:b/>
          <w:szCs w:val="22"/>
        </w:rPr>
      </w:pPr>
      <w:r w:rsidRPr="00905231">
        <w:rPr>
          <w:b/>
          <w:szCs w:val="22"/>
        </w:rPr>
        <w:br w:type="page"/>
      </w:r>
    </w:p>
    <w:p w:rsidR="00905231" w:rsidRPr="00905231" w:rsidP="00905231" w14:paraId="313FEEF6" w14:textId="77777777">
      <w:pPr>
        <w:spacing w:after="120"/>
        <w:jc w:val="center"/>
        <w:rPr>
          <w:b/>
          <w:szCs w:val="22"/>
        </w:rPr>
      </w:pPr>
    </w:p>
    <w:p w:rsidR="00905231" w:rsidRPr="00905231" w:rsidP="00905231" w14:paraId="313FEEF7" w14:textId="77777777">
      <w:pPr>
        <w:spacing w:after="120"/>
        <w:jc w:val="center"/>
        <w:rPr>
          <w:b/>
          <w:szCs w:val="22"/>
        </w:rPr>
      </w:pPr>
      <w:r w:rsidRPr="00905231">
        <w:rPr>
          <w:b/>
          <w:szCs w:val="22"/>
        </w:rPr>
        <w:t>APPENDIX B</w:t>
      </w:r>
    </w:p>
    <w:p w:rsidR="00905231" w:rsidRPr="00905231" w:rsidP="00905231" w14:paraId="313FEEF8" w14:textId="77777777">
      <w:pPr>
        <w:spacing w:after="120"/>
        <w:jc w:val="center"/>
        <w:rPr>
          <w:b/>
          <w:szCs w:val="22"/>
        </w:rPr>
      </w:pPr>
    </w:p>
    <w:p w:rsidR="00905231" w:rsidRPr="00905231" w:rsidP="00905231" w14:paraId="313FEEF9" w14:textId="77777777">
      <w:pPr>
        <w:spacing w:after="120"/>
        <w:jc w:val="center"/>
        <w:rPr>
          <w:b/>
          <w:szCs w:val="22"/>
        </w:rPr>
      </w:pPr>
      <w:r w:rsidRPr="00905231">
        <w:rPr>
          <w:b/>
          <w:szCs w:val="22"/>
        </w:rPr>
        <w:t>Census Tracts for October 2017 Wildfires Waiver Period</w:t>
      </w:r>
    </w:p>
    <w:p w:rsidR="00905231" w:rsidRPr="00905231" w:rsidP="00905231" w14:paraId="313FEEFA" w14:textId="77777777">
      <w:pPr>
        <w:spacing w:after="120"/>
        <w:jc w:val="center"/>
        <w:rPr>
          <w:szCs w:val="2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45"/>
        <w:gridCol w:w="1980"/>
        <w:gridCol w:w="1050"/>
        <w:gridCol w:w="2100"/>
        <w:gridCol w:w="1975"/>
      </w:tblGrid>
      <w:tr w14:paraId="313FEF00" w14:textId="77777777" w:rsidTr="0090523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245" w:type="dxa"/>
            <w:shd w:val="clear" w:color="auto" w:fill="auto"/>
          </w:tcPr>
          <w:p w:rsidR="00905231" w:rsidRPr="00905231" w:rsidP="00905231" w14:paraId="313FEEFB"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Census Tract</w:t>
            </w:r>
          </w:p>
        </w:tc>
        <w:tc>
          <w:tcPr>
            <w:tcW w:w="1980" w:type="dxa"/>
            <w:tcBorders>
              <w:right w:val="single" w:sz="4" w:space="0" w:color="auto"/>
            </w:tcBorders>
            <w:shd w:val="clear" w:color="auto" w:fill="auto"/>
          </w:tcPr>
          <w:p w:rsidR="00905231" w:rsidRPr="00905231" w:rsidP="00905231" w14:paraId="313FEEFC"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County</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EFD" w14:textId="77777777">
            <w:pPr>
              <w:widowControl w:val="0"/>
              <w:spacing w:after="120"/>
              <w:jc w:val="center"/>
              <w:rPr>
                <w:rStyle w:val="DefaultParagraphFont"/>
                <w:b/>
                <w:snapToGrid w:val="0"/>
                <w:kern w:val="28"/>
                <w:sz w:val="22"/>
                <w:szCs w:val="22"/>
                <w:lang w:val="en-US" w:eastAsia="en-US" w:bidi="ar-SA"/>
              </w:rPr>
            </w:pPr>
          </w:p>
        </w:tc>
        <w:tc>
          <w:tcPr>
            <w:tcW w:w="2100" w:type="dxa"/>
            <w:tcBorders>
              <w:left w:val="single" w:sz="4" w:space="0" w:color="auto"/>
              <w:right w:val="single" w:sz="4" w:space="0" w:color="auto"/>
            </w:tcBorders>
            <w:shd w:val="clear" w:color="auto" w:fill="auto"/>
          </w:tcPr>
          <w:p w:rsidR="00905231" w:rsidRPr="00905231" w:rsidP="00905231" w14:paraId="313FEEFE"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Census Tract</w:t>
            </w:r>
          </w:p>
        </w:tc>
        <w:tc>
          <w:tcPr>
            <w:tcW w:w="1975" w:type="dxa"/>
            <w:tcBorders>
              <w:right w:val="single" w:sz="4" w:space="0" w:color="auto"/>
            </w:tcBorders>
            <w:shd w:val="clear" w:color="auto" w:fill="auto"/>
          </w:tcPr>
          <w:p w:rsidR="00905231" w:rsidRPr="00905231" w:rsidP="00905231" w14:paraId="313FEEFF"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County</w:t>
            </w:r>
          </w:p>
        </w:tc>
      </w:tr>
      <w:tr w14:paraId="313FEF0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0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06007001600</w:t>
            </w:r>
          </w:p>
        </w:tc>
        <w:tc>
          <w:tcPr>
            <w:tcW w:w="1980" w:type="dxa"/>
            <w:tcBorders>
              <w:right w:val="single" w:sz="4" w:space="0" w:color="auto"/>
            </w:tcBorders>
            <w:shd w:val="clear" w:color="auto" w:fill="auto"/>
            <w:noWrap/>
            <w:hideMark/>
          </w:tcPr>
          <w:p w:rsidR="00905231" w:rsidRPr="00905231" w:rsidP="00905231" w14:paraId="313FEF0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Butte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03"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0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06059052419</w:t>
            </w:r>
          </w:p>
        </w:tc>
        <w:tc>
          <w:tcPr>
            <w:tcW w:w="1975" w:type="dxa"/>
            <w:shd w:val="clear" w:color="auto" w:fill="auto"/>
          </w:tcPr>
          <w:p w:rsidR="00905231" w:rsidRPr="00905231" w:rsidP="00905231" w14:paraId="313FEF0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r>
      <w:tr w14:paraId="313FEF0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0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06007002100</w:t>
            </w:r>
          </w:p>
        </w:tc>
        <w:tc>
          <w:tcPr>
            <w:tcW w:w="1980" w:type="dxa"/>
            <w:tcBorders>
              <w:right w:val="single" w:sz="4" w:space="0" w:color="auto"/>
            </w:tcBorders>
            <w:shd w:val="clear" w:color="auto" w:fill="auto"/>
            <w:noWrap/>
            <w:hideMark/>
          </w:tcPr>
          <w:p w:rsidR="00905231" w:rsidRPr="00905231" w:rsidP="00905231" w14:paraId="313FEF0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Butte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09"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0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06059052420</w:t>
            </w:r>
          </w:p>
        </w:tc>
        <w:tc>
          <w:tcPr>
            <w:tcW w:w="1975" w:type="dxa"/>
            <w:shd w:val="clear" w:color="auto" w:fill="auto"/>
          </w:tcPr>
          <w:p w:rsidR="00905231" w:rsidRPr="00905231" w:rsidP="00905231" w14:paraId="313FEF0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r>
      <w:tr w14:paraId="313FEF1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0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06007002200</w:t>
            </w:r>
          </w:p>
        </w:tc>
        <w:tc>
          <w:tcPr>
            <w:tcW w:w="1980" w:type="dxa"/>
            <w:tcBorders>
              <w:right w:val="single" w:sz="4" w:space="0" w:color="auto"/>
            </w:tcBorders>
            <w:shd w:val="clear" w:color="auto" w:fill="auto"/>
            <w:noWrap/>
            <w:hideMark/>
          </w:tcPr>
          <w:p w:rsidR="00905231" w:rsidRPr="00905231" w:rsidP="00905231" w14:paraId="313FEF0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Butte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0F"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1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06059075605</w:t>
            </w:r>
          </w:p>
        </w:tc>
        <w:tc>
          <w:tcPr>
            <w:tcW w:w="1975" w:type="dxa"/>
            <w:shd w:val="clear" w:color="auto" w:fill="auto"/>
          </w:tcPr>
          <w:p w:rsidR="00905231" w:rsidRPr="00905231" w:rsidP="00905231" w14:paraId="313FEF1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r>
      <w:tr w14:paraId="313FEF1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1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06007002500</w:t>
            </w:r>
          </w:p>
        </w:tc>
        <w:tc>
          <w:tcPr>
            <w:tcW w:w="1980" w:type="dxa"/>
            <w:tcBorders>
              <w:right w:val="single" w:sz="4" w:space="0" w:color="auto"/>
            </w:tcBorders>
            <w:shd w:val="clear" w:color="auto" w:fill="auto"/>
            <w:noWrap/>
            <w:hideMark/>
          </w:tcPr>
          <w:p w:rsidR="00905231" w:rsidRPr="00905231" w:rsidP="00905231" w14:paraId="313FEF1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Butte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15"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1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06095252201</w:t>
            </w:r>
          </w:p>
        </w:tc>
        <w:tc>
          <w:tcPr>
            <w:tcW w:w="1975" w:type="dxa"/>
            <w:shd w:val="clear" w:color="auto" w:fill="auto"/>
          </w:tcPr>
          <w:p w:rsidR="00905231" w:rsidRPr="00905231" w:rsidP="00905231" w14:paraId="313FEF1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Solano</w:t>
            </w:r>
          </w:p>
        </w:tc>
      </w:tr>
      <w:tr w14:paraId="313FEF1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1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06007003300</w:t>
            </w:r>
          </w:p>
        </w:tc>
        <w:tc>
          <w:tcPr>
            <w:tcW w:w="1980" w:type="dxa"/>
            <w:tcBorders>
              <w:right w:val="single" w:sz="4" w:space="0" w:color="auto"/>
            </w:tcBorders>
            <w:shd w:val="clear" w:color="auto" w:fill="auto"/>
            <w:noWrap/>
            <w:hideMark/>
          </w:tcPr>
          <w:p w:rsidR="00905231" w:rsidRPr="00905231" w:rsidP="00905231" w14:paraId="313FEF1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Butte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1B"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1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06095252310</w:t>
            </w:r>
          </w:p>
        </w:tc>
        <w:tc>
          <w:tcPr>
            <w:tcW w:w="1975" w:type="dxa"/>
            <w:shd w:val="clear" w:color="auto" w:fill="auto"/>
          </w:tcPr>
          <w:p w:rsidR="00905231" w:rsidRPr="00905231" w:rsidP="00905231" w14:paraId="313FEF1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Solano</w:t>
            </w:r>
          </w:p>
        </w:tc>
      </w:tr>
      <w:tr w14:paraId="313FEF2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1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06007003700</w:t>
            </w:r>
          </w:p>
        </w:tc>
        <w:tc>
          <w:tcPr>
            <w:tcW w:w="1980" w:type="dxa"/>
            <w:tcBorders>
              <w:right w:val="single" w:sz="4" w:space="0" w:color="auto"/>
            </w:tcBorders>
            <w:shd w:val="clear" w:color="auto" w:fill="auto"/>
            <w:noWrap/>
            <w:hideMark/>
          </w:tcPr>
          <w:p w:rsidR="00905231" w:rsidRPr="00905231" w:rsidP="00905231" w14:paraId="313FEF2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Butte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21"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2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06095252903</w:t>
            </w:r>
          </w:p>
        </w:tc>
        <w:tc>
          <w:tcPr>
            <w:tcW w:w="1975" w:type="dxa"/>
            <w:shd w:val="clear" w:color="auto" w:fill="auto"/>
          </w:tcPr>
          <w:p w:rsidR="00905231" w:rsidRPr="00905231" w:rsidP="00905231" w14:paraId="313FEF2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Solano</w:t>
            </w:r>
          </w:p>
        </w:tc>
      </w:tr>
      <w:tr w14:paraId="313FEF2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2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06033000600</w:t>
            </w:r>
          </w:p>
        </w:tc>
        <w:tc>
          <w:tcPr>
            <w:tcW w:w="1980" w:type="dxa"/>
            <w:tcBorders>
              <w:right w:val="single" w:sz="4" w:space="0" w:color="auto"/>
            </w:tcBorders>
            <w:shd w:val="clear" w:color="auto" w:fill="auto"/>
            <w:noWrap/>
          </w:tcPr>
          <w:p w:rsidR="00905231" w:rsidRPr="00905231" w:rsidP="00905231" w14:paraId="313FEF2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Lake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27"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2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06095252904</w:t>
            </w:r>
          </w:p>
        </w:tc>
        <w:tc>
          <w:tcPr>
            <w:tcW w:w="1975" w:type="dxa"/>
            <w:shd w:val="clear" w:color="auto" w:fill="auto"/>
          </w:tcPr>
          <w:p w:rsidR="00905231" w:rsidRPr="00905231" w:rsidP="00905231" w14:paraId="313FEF2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Solano</w:t>
            </w:r>
          </w:p>
        </w:tc>
      </w:tr>
      <w:tr w14:paraId="313FEF3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2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06033000701</w:t>
            </w:r>
          </w:p>
        </w:tc>
        <w:tc>
          <w:tcPr>
            <w:tcW w:w="1980" w:type="dxa"/>
            <w:tcBorders>
              <w:right w:val="single" w:sz="4" w:space="0" w:color="auto"/>
            </w:tcBorders>
            <w:shd w:val="clear" w:color="auto" w:fill="auto"/>
            <w:noWrap/>
          </w:tcPr>
          <w:p w:rsidR="00905231" w:rsidRPr="00905231" w:rsidP="00905231" w14:paraId="313FEF2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Lake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2D"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2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06097150100</w:t>
            </w:r>
          </w:p>
        </w:tc>
        <w:tc>
          <w:tcPr>
            <w:tcW w:w="1975" w:type="dxa"/>
            <w:shd w:val="clear" w:color="auto" w:fill="auto"/>
          </w:tcPr>
          <w:p w:rsidR="00905231" w:rsidRPr="00905231" w:rsidP="00905231" w14:paraId="313FEF2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3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3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06033000702</w:t>
            </w:r>
          </w:p>
        </w:tc>
        <w:tc>
          <w:tcPr>
            <w:tcW w:w="1980" w:type="dxa"/>
            <w:tcBorders>
              <w:right w:val="single" w:sz="4" w:space="0" w:color="auto"/>
            </w:tcBorders>
            <w:shd w:val="clear" w:color="auto" w:fill="auto"/>
            <w:noWrap/>
          </w:tcPr>
          <w:p w:rsidR="00905231" w:rsidRPr="00905231" w:rsidP="00905231" w14:paraId="313FEF3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Lake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33"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3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06097150202</w:t>
            </w:r>
          </w:p>
        </w:tc>
        <w:tc>
          <w:tcPr>
            <w:tcW w:w="1975" w:type="dxa"/>
            <w:shd w:val="clear" w:color="auto" w:fill="auto"/>
          </w:tcPr>
          <w:p w:rsidR="00905231" w:rsidRPr="00905231" w:rsidP="00905231" w14:paraId="313FEF3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3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3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06045010600</w:t>
            </w:r>
          </w:p>
        </w:tc>
        <w:tc>
          <w:tcPr>
            <w:tcW w:w="1980" w:type="dxa"/>
            <w:tcBorders>
              <w:right w:val="single" w:sz="4" w:space="0" w:color="auto"/>
            </w:tcBorders>
            <w:shd w:val="clear" w:color="auto" w:fill="auto"/>
            <w:noWrap/>
          </w:tcPr>
          <w:p w:rsidR="00905231" w:rsidRPr="00905231" w:rsidP="00905231" w14:paraId="313FEF3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Mendocino</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39"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3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06097150303</w:t>
            </w:r>
          </w:p>
        </w:tc>
        <w:tc>
          <w:tcPr>
            <w:tcW w:w="1975" w:type="dxa"/>
            <w:shd w:val="clear" w:color="auto" w:fill="auto"/>
          </w:tcPr>
          <w:p w:rsidR="00905231" w:rsidRPr="00905231" w:rsidP="00905231" w14:paraId="313FEF3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4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3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06045010801</w:t>
            </w:r>
          </w:p>
        </w:tc>
        <w:tc>
          <w:tcPr>
            <w:tcW w:w="1980" w:type="dxa"/>
            <w:tcBorders>
              <w:right w:val="single" w:sz="4" w:space="0" w:color="auto"/>
            </w:tcBorders>
            <w:shd w:val="clear" w:color="auto" w:fill="auto"/>
            <w:noWrap/>
          </w:tcPr>
          <w:p w:rsidR="00905231" w:rsidRPr="00905231" w:rsidP="00905231" w14:paraId="313FEF3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Mendocino</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3F"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4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06097150306</w:t>
            </w:r>
          </w:p>
        </w:tc>
        <w:tc>
          <w:tcPr>
            <w:tcW w:w="1975" w:type="dxa"/>
            <w:shd w:val="clear" w:color="auto" w:fill="auto"/>
          </w:tcPr>
          <w:p w:rsidR="00905231" w:rsidRPr="00905231" w:rsidP="00905231" w14:paraId="313FEF4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4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4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06045010802</w:t>
            </w:r>
          </w:p>
        </w:tc>
        <w:tc>
          <w:tcPr>
            <w:tcW w:w="1980" w:type="dxa"/>
            <w:tcBorders>
              <w:right w:val="single" w:sz="4" w:space="0" w:color="auto"/>
            </w:tcBorders>
            <w:shd w:val="clear" w:color="auto" w:fill="auto"/>
            <w:noWrap/>
          </w:tcPr>
          <w:p w:rsidR="00905231" w:rsidRPr="00905231" w:rsidP="00905231" w14:paraId="313FEF4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Mendocino</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45"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4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06097150500</w:t>
            </w:r>
          </w:p>
        </w:tc>
        <w:tc>
          <w:tcPr>
            <w:tcW w:w="1975" w:type="dxa"/>
            <w:shd w:val="clear" w:color="auto" w:fill="auto"/>
          </w:tcPr>
          <w:p w:rsidR="00905231" w:rsidRPr="00905231" w:rsidP="00905231" w14:paraId="313FEF4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4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4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06045010900</w:t>
            </w:r>
          </w:p>
        </w:tc>
        <w:tc>
          <w:tcPr>
            <w:tcW w:w="1980" w:type="dxa"/>
            <w:tcBorders>
              <w:right w:val="single" w:sz="4" w:space="0" w:color="auto"/>
            </w:tcBorders>
            <w:shd w:val="clear" w:color="auto" w:fill="auto"/>
            <w:noWrap/>
          </w:tcPr>
          <w:p w:rsidR="00905231" w:rsidRPr="00905231" w:rsidP="00905231" w14:paraId="313FEF4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Mendocino</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4B"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4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06097150612</w:t>
            </w:r>
          </w:p>
        </w:tc>
        <w:tc>
          <w:tcPr>
            <w:tcW w:w="1975" w:type="dxa"/>
            <w:shd w:val="clear" w:color="auto" w:fill="auto"/>
          </w:tcPr>
          <w:p w:rsidR="00905231" w:rsidRPr="00905231" w:rsidP="00905231" w14:paraId="313FEF4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5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4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06055200900</w:t>
            </w:r>
          </w:p>
        </w:tc>
        <w:tc>
          <w:tcPr>
            <w:tcW w:w="1980" w:type="dxa"/>
            <w:tcBorders>
              <w:right w:val="single" w:sz="4" w:space="0" w:color="auto"/>
            </w:tcBorders>
            <w:shd w:val="clear" w:color="auto" w:fill="auto"/>
            <w:noWrap/>
          </w:tcPr>
          <w:p w:rsidR="00905231" w:rsidRPr="00905231" w:rsidP="00905231" w14:paraId="313FEF5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51"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5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06097151309</w:t>
            </w:r>
          </w:p>
        </w:tc>
        <w:tc>
          <w:tcPr>
            <w:tcW w:w="1975" w:type="dxa"/>
            <w:shd w:val="clear" w:color="auto" w:fill="auto"/>
          </w:tcPr>
          <w:p w:rsidR="00905231" w:rsidRPr="00905231" w:rsidP="00905231" w14:paraId="313FEF5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5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5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06055201003</w:t>
            </w:r>
          </w:p>
        </w:tc>
        <w:tc>
          <w:tcPr>
            <w:tcW w:w="1980" w:type="dxa"/>
            <w:tcBorders>
              <w:right w:val="single" w:sz="4" w:space="0" w:color="auto"/>
            </w:tcBorders>
            <w:shd w:val="clear" w:color="auto" w:fill="auto"/>
            <w:noWrap/>
          </w:tcPr>
          <w:p w:rsidR="00905231" w:rsidRPr="00905231" w:rsidP="00905231" w14:paraId="313FEF5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57"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5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06097151502</w:t>
            </w:r>
          </w:p>
        </w:tc>
        <w:tc>
          <w:tcPr>
            <w:tcW w:w="1975" w:type="dxa"/>
            <w:shd w:val="clear" w:color="auto" w:fill="auto"/>
          </w:tcPr>
          <w:p w:rsidR="00905231" w:rsidRPr="00905231" w:rsidP="00905231" w14:paraId="313FEF5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6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5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06055201102</w:t>
            </w:r>
          </w:p>
        </w:tc>
        <w:tc>
          <w:tcPr>
            <w:tcW w:w="1980" w:type="dxa"/>
            <w:tcBorders>
              <w:right w:val="single" w:sz="4" w:space="0" w:color="auto"/>
            </w:tcBorders>
            <w:shd w:val="clear" w:color="auto" w:fill="auto"/>
            <w:noWrap/>
          </w:tcPr>
          <w:p w:rsidR="00905231" w:rsidRPr="00905231" w:rsidP="00905231" w14:paraId="313FEF5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5D"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5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06097151503</w:t>
            </w:r>
          </w:p>
        </w:tc>
        <w:tc>
          <w:tcPr>
            <w:tcW w:w="1975" w:type="dxa"/>
            <w:shd w:val="clear" w:color="auto" w:fill="auto"/>
          </w:tcPr>
          <w:p w:rsidR="00905231" w:rsidRPr="00905231" w:rsidP="00905231" w14:paraId="313FEF5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6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6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06055201200</w:t>
            </w:r>
          </w:p>
        </w:tc>
        <w:tc>
          <w:tcPr>
            <w:tcW w:w="1980" w:type="dxa"/>
            <w:tcBorders>
              <w:right w:val="single" w:sz="4" w:space="0" w:color="auto"/>
            </w:tcBorders>
            <w:shd w:val="clear" w:color="auto" w:fill="auto"/>
            <w:noWrap/>
          </w:tcPr>
          <w:p w:rsidR="00905231" w:rsidRPr="00905231" w:rsidP="00905231" w14:paraId="313FEF6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63"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6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06097151601</w:t>
            </w:r>
          </w:p>
        </w:tc>
        <w:tc>
          <w:tcPr>
            <w:tcW w:w="1975" w:type="dxa"/>
            <w:shd w:val="clear" w:color="auto" w:fill="auto"/>
          </w:tcPr>
          <w:p w:rsidR="00905231" w:rsidRPr="00905231" w:rsidP="00905231" w14:paraId="313FEF6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6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6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06055201401</w:t>
            </w:r>
          </w:p>
        </w:tc>
        <w:tc>
          <w:tcPr>
            <w:tcW w:w="1980" w:type="dxa"/>
            <w:tcBorders>
              <w:right w:val="single" w:sz="4" w:space="0" w:color="auto"/>
            </w:tcBorders>
            <w:shd w:val="clear" w:color="auto" w:fill="auto"/>
            <w:noWrap/>
          </w:tcPr>
          <w:p w:rsidR="00905231" w:rsidRPr="00905231" w:rsidP="00905231" w14:paraId="313FEF6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69"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6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06097151602</w:t>
            </w:r>
          </w:p>
        </w:tc>
        <w:tc>
          <w:tcPr>
            <w:tcW w:w="1975" w:type="dxa"/>
            <w:shd w:val="clear" w:color="auto" w:fill="auto"/>
          </w:tcPr>
          <w:p w:rsidR="00905231" w:rsidRPr="00905231" w:rsidP="00905231" w14:paraId="313FEF6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7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6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06055201402</w:t>
            </w:r>
          </w:p>
        </w:tc>
        <w:tc>
          <w:tcPr>
            <w:tcW w:w="1980" w:type="dxa"/>
            <w:tcBorders>
              <w:right w:val="single" w:sz="4" w:space="0" w:color="auto"/>
            </w:tcBorders>
            <w:shd w:val="clear" w:color="auto" w:fill="auto"/>
            <w:noWrap/>
          </w:tcPr>
          <w:p w:rsidR="00905231" w:rsidRPr="00905231" w:rsidP="00905231" w14:paraId="313FEF6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6F"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7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06097152100</w:t>
            </w:r>
          </w:p>
        </w:tc>
        <w:tc>
          <w:tcPr>
            <w:tcW w:w="1975" w:type="dxa"/>
            <w:shd w:val="clear" w:color="auto" w:fill="auto"/>
          </w:tcPr>
          <w:p w:rsidR="00905231" w:rsidRPr="00905231" w:rsidP="00905231" w14:paraId="313FEF7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7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7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06055201403</w:t>
            </w:r>
          </w:p>
        </w:tc>
        <w:tc>
          <w:tcPr>
            <w:tcW w:w="1980" w:type="dxa"/>
            <w:tcBorders>
              <w:right w:val="single" w:sz="4" w:space="0" w:color="auto"/>
            </w:tcBorders>
            <w:shd w:val="clear" w:color="auto" w:fill="auto"/>
            <w:noWrap/>
          </w:tcPr>
          <w:p w:rsidR="00905231" w:rsidRPr="00905231" w:rsidP="00905231" w14:paraId="313FEF7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75"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7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06097152400</w:t>
            </w:r>
          </w:p>
        </w:tc>
        <w:tc>
          <w:tcPr>
            <w:tcW w:w="1975" w:type="dxa"/>
            <w:shd w:val="clear" w:color="auto" w:fill="auto"/>
          </w:tcPr>
          <w:p w:rsidR="00905231" w:rsidRPr="00905231" w:rsidP="00905231" w14:paraId="313FEF7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7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7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06055201500</w:t>
            </w:r>
          </w:p>
        </w:tc>
        <w:tc>
          <w:tcPr>
            <w:tcW w:w="1980" w:type="dxa"/>
            <w:tcBorders>
              <w:right w:val="single" w:sz="4" w:space="0" w:color="auto"/>
            </w:tcBorders>
            <w:shd w:val="clear" w:color="auto" w:fill="auto"/>
            <w:noWrap/>
          </w:tcPr>
          <w:p w:rsidR="00905231" w:rsidRPr="00905231" w:rsidP="00905231" w14:paraId="313FEF7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7B"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7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06097152502</w:t>
            </w:r>
          </w:p>
        </w:tc>
        <w:tc>
          <w:tcPr>
            <w:tcW w:w="1975" w:type="dxa"/>
            <w:shd w:val="clear" w:color="auto" w:fill="auto"/>
          </w:tcPr>
          <w:p w:rsidR="00905231" w:rsidRPr="00905231" w:rsidP="00905231" w14:paraId="313FEF7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8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7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06055201800</w:t>
            </w:r>
          </w:p>
        </w:tc>
        <w:tc>
          <w:tcPr>
            <w:tcW w:w="1980" w:type="dxa"/>
            <w:tcBorders>
              <w:right w:val="single" w:sz="4" w:space="0" w:color="auto"/>
            </w:tcBorders>
            <w:shd w:val="clear" w:color="auto" w:fill="auto"/>
            <w:noWrap/>
          </w:tcPr>
          <w:p w:rsidR="00905231" w:rsidRPr="00905231" w:rsidP="00905231" w14:paraId="313FEF8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81"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8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06097152600</w:t>
            </w:r>
          </w:p>
        </w:tc>
        <w:tc>
          <w:tcPr>
            <w:tcW w:w="1975" w:type="dxa"/>
            <w:shd w:val="clear" w:color="auto" w:fill="auto"/>
          </w:tcPr>
          <w:p w:rsidR="00905231" w:rsidRPr="00905231" w:rsidP="00905231" w14:paraId="313FEF8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8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8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06055201900</w:t>
            </w:r>
          </w:p>
        </w:tc>
        <w:tc>
          <w:tcPr>
            <w:tcW w:w="1980" w:type="dxa"/>
            <w:tcBorders>
              <w:right w:val="single" w:sz="4" w:space="0" w:color="auto"/>
            </w:tcBorders>
            <w:shd w:val="clear" w:color="auto" w:fill="auto"/>
            <w:noWrap/>
          </w:tcPr>
          <w:p w:rsidR="00905231" w:rsidRPr="00905231" w:rsidP="00905231" w14:paraId="313FEF8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Napa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87"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8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06097152701</w:t>
            </w:r>
          </w:p>
        </w:tc>
        <w:tc>
          <w:tcPr>
            <w:tcW w:w="1975" w:type="dxa"/>
            <w:shd w:val="clear" w:color="auto" w:fill="auto"/>
          </w:tcPr>
          <w:p w:rsidR="00905231" w:rsidRPr="00905231" w:rsidP="00905231" w14:paraId="313FEF8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9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8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06057000200</w:t>
            </w:r>
          </w:p>
        </w:tc>
        <w:tc>
          <w:tcPr>
            <w:tcW w:w="1980" w:type="dxa"/>
            <w:tcBorders>
              <w:right w:val="single" w:sz="4" w:space="0" w:color="auto"/>
            </w:tcBorders>
            <w:shd w:val="clear" w:color="auto" w:fill="auto"/>
            <w:noWrap/>
          </w:tcPr>
          <w:p w:rsidR="00905231" w:rsidRPr="00905231" w:rsidP="00905231" w14:paraId="313FEF8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Nevada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8D"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8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06097152702</w:t>
            </w:r>
          </w:p>
        </w:tc>
        <w:tc>
          <w:tcPr>
            <w:tcW w:w="1975" w:type="dxa"/>
            <w:shd w:val="clear" w:color="auto" w:fill="auto"/>
          </w:tcPr>
          <w:p w:rsidR="00905231" w:rsidRPr="00905231" w:rsidP="00905231" w14:paraId="313FEF8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9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9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06057000300</w:t>
            </w:r>
          </w:p>
        </w:tc>
        <w:tc>
          <w:tcPr>
            <w:tcW w:w="1980" w:type="dxa"/>
            <w:tcBorders>
              <w:right w:val="single" w:sz="4" w:space="0" w:color="auto"/>
            </w:tcBorders>
            <w:shd w:val="clear" w:color="auto" w:fill="auto"/>
            <w:noWrap/>
          </w:tcPr>
          <w:p w:rsidR="00905231" w:rsidRPr="00905231" w:rsidP="00905231" w14:paraId="313FEF9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Nevada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93"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9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06097152801</w:t>
            </w:r>
          </w:p>
        </w:tc>
        <w:tc>
          <w:tcPr>
            <w:tcW w:w="1975" w:type="dxa"/>
            <w:shd w:val="clear" w:color="auto" w:fill="auto"/>
          </w:tcPr>
          <w:p w:rsidR="00905231" w:rsidRPr="00905231" w:rsidP="00905231" w14:paraId="313FEF9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9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9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06057000401</w:t>
            </w:r>
          </w:p>
        </w:tc>
        <w:tc>
          <w:tcPr>
            <w:tcW w:w="1980" w:type="dxa"/>
            <w:tcBorders>
              <w:right w:val="single" w:sz="4" w:space="0" w:color="auto"/>
            </w:tcBorders>
            <w:shd w:val="clear" w:color="auto" w:fill="auto"/>
            <w:noWrap/>
          </w:tcPr>
          <w:p w:rsidR="00905231" w:rsidRPr="00905231" w:rsidP="00905231" w14:paraId="313FEF9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Nevada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99"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9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06097152802</w:t>
            </w:r>
          </w:p>
        </w:tc>
        <w:tc>
          <w:tcPr>
            <w:tcW w:w="1975" w:type="dxa"/>
            <w:shd w:val="clear" w:color="auto" w:fill="auto"/>
          </w:tcPr>
          <w:p w:rsidR="00905231" w:rsidRPr="00905231" w:rsidP="00905231" w14:paraId="313FEF9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A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9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06057000402</w:t>
            </w:r>
          </w:p>
        </w:tc>
        <w:tc>
          <w:tcPr>
            <w:tcW w:w="1980" w:type="dxa"/>
            <w:tcBorders>
              <w:right w:val="single" w:sz="4" w:space="0" w:color="auto"/>
            </w:tcBorders>
            <w:shd w:val="clear" w:color="auto" w:fill="auto"/>
            <w:noWrap/>
          </w:tcPr>
          <w:p w:rsidR="00905231" w:rsidRPr="00905231" w:rsidP="00905231" w14:paraId="313FEF9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Nevada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9F"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A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06097152905</w:t>
            </w:r>
          </w:p>
        </w:tc>
        <w:tc>
          <w:tcPr>
            <w:tcW w:w="1975" w:type="dxa"/>
            <w:shd w:val="clear" w:color="auto" w:fill="auto"/>
          </w:tcPr>
          <w:p w:rsidR="00905231" w:rsidRPr="00905231" w:rsidP="00905231" w14:paraId="313FEFA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A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A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06057000502</w:t>
            </w:r>
          </w:p>
        </w:tc>
        <w:tc>
          <w:tcPr>
            <w:tcW w:w="1980" w:type="dxa"/>
            <w:tcBorders>
              <w:right w:val="single" w:sz="4" w:space="0" w:color="auto"/>
            </w:tcBorders>
            <w:shd w:val="clear" w:color="auto" w:fill="auto"/>
            <w:noWrap/>
          </w:tcPr>
          <w:p w:rsidR="00905231" w:rsidRPr="00905231" w:rsidP="00905231" w14:paraId="313FEFA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Nevada</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A5"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A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06097152906</w:t>
            </w:r>
          </w:p>
        </w:tc>
        <w:tc>
          <w:tcPr>
            <w:tcW w:w="1975" w:type="dxa"/>
            <w:shd w:val="clear" w:color="auto" w:fill="auto"/>
          </w:tcPr>
          <w:p w:rsidR="00905231" w:rsidRPr="00905231" w:rsidP="00905231" w14:paraId="313FEFA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A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A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06059021826</w:t>
            </w:r>
          </w:p>
        </w:tc>
        <w:tc>
          <w:tcPr>
            <w:tcW w:w="1980" w:type="dxa"/>
            <w:tcBorders>
              <w:right w:val="single" w:sz="4" w:space="0" w:color="auto"/>
            </w:tcBorders>
            <w:shd w:val="clear" w:color="auto" w:fill="auto"/>
            <w:noWrap/>
          </w:tcPr>
          <w:p w:rsidR="00905231" w:rsidRPr="00905231" w:rsidP="00905231" w14:paraId="313FEFA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AB"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A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06097153807</w:t>
            </w:r>
          </w:p>
        </w:tc>
        <w:tc>
          <w:tcPr>
            <w:tcW w:w="1975" w:type="dxa"/>
            <w:shd w:val="clear" w:color="auto" w:fill="auto"/>
          </w:tcPr>
          <w:p w:rsidR="00905231" w:rsidRPr="00905231" w:rsidP="00905231" w14:paraId="313FEFA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B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A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06059021912</w:t>
            </w:r>
          </w:p>
        </w:tc>
        <w:tc>
          <w:tcPr>
            <w:tcW w:w="1980" w:type="dxa"/>
            <w:tcBorders>
              <w:right w:val="single" w:sz="4" w:space="0" w:color="auto"/>
            </w:tcBorders>
            <w:shd w:val="clear" w:color="auto" w:fill="auto"/>
            <w:noWrap/>
          </w:tcPr>
          <w:p w:rsidR="00905231" w:rsidRPr="00905231" w:rsidP="00905231" w14:paraId="313FEFB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B1"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B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06097154100</w:t>
            </w:r>
          </w:p>
        </w:tc>
        <w:tc>
          <w:tcPr>
            <w:tcW w:w="1975" w:type="dxa"/>
            <w:shd w:val="clear" w:color="auto" w:fill="auto"/>
          </w:tcPr>
          <w:p w:rsidR="00905231" w:rsidRPr="00905231" w:rsidP="00905231" w14:paraId="313FEFB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B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B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06059021917</w:t>
            </w:r>
          </w:p>
        </w:tc>
        <w:tc>
          <w:tcPr>
            <w:tcW w:w="1980" w:type="dxa"/>
            <w:tcBorders>
              <w:right w:val="single" w:sz="4" w:space="0" w:color="auto"/>
            </w:tcBorders>
            <w:shd w:val="clear" w:color="auto" w:fill="auto"/>
            <w:noWrap/>
          </w:tcPr>
          <w:p w:rsidR="00905231" w:rsidRPr="00905231" w:rsidP="00905231" w14:paraId="313FEFB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B7"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B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06097154303</w:t>
            </w:r>
          </w:p>
        </w:tc>
        <w:tc>
          <w:tcPr>
            <w:tcW w:w="1975" w:type="dxa"/>
            <w:shd w:val="clear" w:color="auto" w:fill="auto"/>
          </w:tcPr>
          <w:p w:rsidR="00905231" w:rsidRPr="00905231" w:rsidP="00905231" w14:paraId="313FEFB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Sonoma</w:t>
            </w:r>
          </w:p>
        </w:tc>
      </w:tr>
      <w:tr w14:paraId="313FEFC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tcPr>
          <w:p w:rsidR="00905231" w:rsidRPr="00905231" w:rsidP="00905231" w14:paraId="313FEFB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06059021923</w:t>
            </w:r>
          </w:p>
        </w:tc>
        <w:tc>
          <w:tcPr>
            <w:tcW w:w="1980" w:type="dxa"/>
            <w:tcBorders>
              <w:right w:val="single" w:sz="4" w:space="0" w:color="auto"/>
            </w:tcBorders>
            <w:shd w:val="clear" w:color="auto" w:fill="auto"/>
            <w:noWrap/>
          </w:tcPr>
          <w:p w:rsidR="00905231" w:rsidRPr="00905231" w:rsidP="00905231" w14:paraId="313FEFB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Orange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BD" w14:textId="77777777">
            <w:pPr>
              <w:widowControl/>
              <w:jc w:val="center"/>
              <w:rPr>
                <w:rStyle w:val="DefaultParagraphFont"/>
                <w:snapToGrid/>
                <w:color w:val="000000"/>
                <w:kern w:val="0"/>
                <w:sz w:val="22"/>
                <w:szCs w:val="22"/>
                <w:lang w:val="en-US" w:eastAsia="en-US" w:bidi="ar-SA"/>
              </w:rPr>
            </w:pPr>
          </w:p>
        </w:tc>
        <w:tc>
          <w:tcPr>
            <w:tcW w:w="2100" w:type="dxa"/>
            <w:tcBorders>
              <w:left w:val="single" w:sz="4" w:space="0" w:color="auto"/>
            </w:tcBorders>
            <w:shd w:val="clear" w:color="auto" w:fill="auto"/>
          </w:tcPr>
          <w:p w:rsidR="00905231" w:rsidRPr="00905231" w:rsidP="00905231" w14:paraId="313FEFB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06115041000</w:t>
            </w:r>
          </w:p>
        </w:tc>
        <w:tc>
          <w:tcPr>
            <w:tcW w:w="1975" w:type="dxa"/>
            <w:shd w:val="clear" w:color="auto" w:fill="auto"/>
          </w:tcPr>
          <w:p w:rsidR="00905231" w:rsidRPr="00905231" w:rsidP="00905231" w14:paraId="313FEFB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Yuba</w:t>
            </w:r>
          </w:p>
        </w:tc>
      </w:tr>
      <w:tr w14:paraId="313FEFC6" w14:textId="77777777" w:rsidTr="00905231">
        <w:tblPrEx>
          <w:tblW w:w="0" w:type="auto"/>
          <w:tblInd w:w="0" w:type="dxa"/>
          <w:tblCellMar>
            <w:top w:w="0" w:type="dxa"/>
            <w:left w:w="108" w:type="dxa"/>
            <w:bottom w:w="0" w:type="dxa"/>
            <w:right w:w="108" w:type="dxa"/>
          </w:tblCellMar>
          <w:tblLook w:val="04A0"/>
        </w:tblPrEx>
        <w:tc>
          <w:tcPr>
            <w:tcW w:w="2245" w:type="dxa"/>
            <w:shd w:val="clear" w:color="auto" w:fill="auto"/>
          </w:tcPr>
          <w:p w:rsidR="00905231" w:rsidRPr="00905231" w:rsidP="00905231" w14:paraId="313FEFC1" w14:textId="77777777">
            <w:pPr>
              <w:widowControl w:val="0"/>
              <w:spacing w:after="120"/>
              <w:jc w:val="center"/>
              <w:rPr>
                <w:rStyle w:val="DefaultParagraphFont"/>
                <w:snapToGrid w:val="0"/>
                <w:kern w:val="28"/>
                <w:sz w:val="22"/>
                <w:szCs w:val="22"/>
                <w:lang w:val="en-US" w:eastAsia="en-US" w:bidi="ar-SA"/>
              </w:rPr>
            </w:pPr>
            <w:r w:rsidRPr="00905231">
              <w:rPr>
                <w:snapToGrid/>
                <w:color w:val="000000"/>
                <w:kern w:val="0"/>
                <w:sz w:val="22"/>
                <w:szCs w:val="22"/>
                <w:lang w:val="en-US" w:eastAsia="en-US" w:bidi="ar-SA"/>
              </w:rPr>
              <w:t>06059021924</w:t>
            </w:r>
          </w:p>
        </w:tc>
        <w:tc>
          <w:tcPr>
            <w:tcW w:w="1980" w:type="dxa"/>
            <w:tcBorders>
              <w:right w:val="single" w:sz="4" w:space="0" w:color="auto"/>
            </w:tcBorders>
            <w:shd w:val="clear" w:color="auto" w:fill="auto"/>
          </w:tcPr>
          <w:p w:rsidR="00905231" w:rsidRPr="00905231" w:rsidP="00905231" w14:paraId="313FEFC2" w14:textId="77777777">
            <w:pPr>
              <w:widowControl w:val="0"/>
              <w:spacing w:after="120"/>
              <w:jc w:val="center"/>
              <w:rPr>
                <w:rStyle w:val="DefaultParagraphFont"/>
                <w:snapToGrid w:val="0"/>
                <w:kern w:val="28"/>
                <w:sz w:val="22"/>
                <w:szCs w:val="22"/>
                <w:lang w:val="en-US" w:eastAsia="en-US" w:bidi="ar-SA"/>
              </w:rPr>
            </w:pPr>
            <w:r w:rsidRPr="00905231">
              <w:rPr>
                <w:snapToGrid/>
                <w:color w:val="000000"/>
                <w:kern w:val="0"/>
                <w:sz w:val="22"/>
                <w:szCs w:val="22"/>
                <w:lang w:val="en-US" w:eastAsia="en-US" w:bidi="ar-SA"/>
              </w:rPr>
              <w:t>Orange</w:t>
            </w:r>
          </w:p>
        </w:tc>
        <w:tc>
          <w:tcPr>
            <w:tcW w:w="1050" w:type="dxa"/>
            <w:tcBorders>
              <w:top w:val="nil"/>
              <w:left w:val="single" w:sz="4" w:space="0" w:color="auto"/>
              <w:bottom w:val="nil"/>
              <w:right w:val="single" w:sz="4" w:space="0" w:color="auto"/>
            </w:tcBorders>
            <w:shd w:val="clear" w:color="auto" w:fill="auto"/>
          </w:tcPr>
          <w:p w:rsidR="00905231" w:rsidRPr="00905231" w:rsidP="00905231" w14:paraId="313FEFC3" w14:textId="77777777">
            <w:pPr>
              <w:widowControl w:val="0"/>
              <w:spacing w:after="120"/>
              <w:jc w:val="center"/>
              <w:rPr>
                <w:rStyle w:val="DefaultParagraphFont"/>
                <w:snapToGrid w:val="0"/>
                <w:kern w:val="28"/>
                <w:sz w:val="22"/>
                <w:szCs w:val="22"/>
                <w:lang w:val="en-US" w:eastAsia="en-US" w:bidi="ar-SA"/>
              </w:rPr>
            </w:pPr>
          </w:p>
        </w:tc>
        <w:tc>
          <w:tcPr>
            <w:tcW w:w="2100" w:type="dxa"/>
            <w:tcBorders>
              <w:left w:val="single" w:sz="4" w:space="0" w:color="auto"/>
              <w:right w:val="single" w:sz="4" w:space="0" w:color="auto"/>
            </w:tcBorders>
            <w:shd w:val="clear" w:color="auto" w:fill="auto"/>
          </w:tcPr>
          <w:p w:rsidR="00905231" w:rsidRPr="00905231" w:rsidP="00905231" w14:paraId="313FEFC4" w14:textId="77777777">
            <w:pPr>
              <w:widowControl w:val="0"/>
              <w:spacing w:after="120"/>
              <w:jc w:val="center"/>
              <w:rPr>
                <w:rStyle w:val="DefaultParagraphFont"/>
                <w:snapToGrid w:val="0"/>
                <w:kern w:val="28"/>
                <w:sz w:val="22"/>
                <w:szCs w:val="22"/>
                <w:lang w:val="en-US" w:eastAsia="en-US" w:bidi="ar-SA"/>
              </w:rPr>
            </w:pPr>
            <w:r w:rsidRPr="00905231">
              <w:rPr>
                <w:snapToGrid/>
                <w:color w:val="000000"/>
                <w:kern w:val="0"/>
                <w:sz w:val="22"/>
                <w:szCs w:val="22"/>
                <w:lang w:val="en-US" w:eastAsia="en-US" w:bidi="ar-SA"/>
              </w:rPr>
              <w:t>06115041100</w:t>
            </w:r>
          </w:p>
        </w:tc>
        <w:tc>
          <w:tcPr>
            <w:tcW w:w="1975" w:type="dxa"/>
            <w:tcBorders>
              <w:right w:val="single" w:sz="4" w:space="0" w:color="auto"/>
            </w:tcBorders>
            <w:shd w:val="clear" w:color="auto" w:fill="auto"/>
          </w:tcPr>
          <w:p w:rsidR="00905231" w:rsidRPr="00905231" w:rsidP="00905231" w14:paraId="313FEFC5" w14:textId="77777777">
            <w:pPr>
              <w:widowControl w:val="0"/>
              <w:spacing w:after="120"/>
              <w:jc w:val="center"/>
              <w:rPr>
                <w:rStyle w:val="DefaultParagraphFont"/>
                <w:snapToGrid w:val="0"/>
                <w:kern w:val="28"/>
                <w:sz w:val="22"/>
                <w:szCs w:val="22"/>
                <w:lang w:val="en-US" w:eastAsia="en-US" w:bidi="ar-SA"/>
              </w:rPr>
            </w:pPr>
            <w:r w:rsidRPr="00905231">
              <w:rPr>
                <w:snapToGrid/>
                <w:color w:val="000000"/>
                <w:kern w:val="0"/>
                <w:sz w:val="22"/>
                <w:szCs w:val="22"/>
                <w:lang w:val="en-US" w:eastAsia="en-US" w:bidi="ar-SA"/>
              </w:rPr>
              <w:t>Yuba</w:t>
            </w:r>
          </w:p>
        </w:tc>
      </w:tr>
    </w:tbl>
    <w:p w:rsidR="00905231" w:rsidRPr="00905231" w:rsidP="00905231" w14:paraId="313FEFC7" w14:textId="77777777">
      <w:pPr>
        <w:spacing w:after="120"/>
        <w:jc w:val="center"/>
        <w:rPr>
          <w:szCs w:val="22"/>
        </w:rPr>
      </w:pPr>
    </w:p>
    <w:p w:rsidR="00905231" w:rsidRPr="00905231" w:rsidP="00905231" w14:paraId="313FEFC8" w14:textId="77777777">
      <w:pPr>
        <w:widowControl/>
        <w:rPr>
          <w:b/>
          <w:szCs w:val="22"/>
        </w:rPr>
      </w:pPr>
      <w:r w:rsidRPr="00905231">
        <w:rPr>
          <w:b/>
          <w:szCs w:val="22"/>
        </w:rPr>
        <w:br w:type="page"/>
      </w:r>
    </w:p>
    <w:p w:rsidR="00905231" w:rsidRPr="00905231" w:rsidP="00905231" w14:paraId="313FEFC9" w14:textId="77777777">
      <w:pPr>
        <w:spacing w:after="120"/>
        <w:jc w:val="center"/>
        <w:rPr>
          <w:b/>
          <w:szCs w:val="22"/>
        </w:rPr>
      </w:pPr>
      <w:r w:rsidRPr="00905231">
        <w:rPr>
          <w:b/>
          <w:szCs w:val="22"/>
        </w:rPr>
        <w:t>APPENDIX C</w:t>
      </w:r>
    </w:p>
    <w:p w:rsidR="00905231" w:rsidRPr="00905231" w:rsidP="00905231" w14:paraId="313FEFCA" w14:textId="77777777">
      <w:pPr>
        <w:spacing w:after="120"/>
        <w:jc w:val="center"/>
        <w:rPr>
          <w:b/>
          <w:szCs w:val="22"/>
        </w:rPr>
      </w:pPr>
    </w:p>
    <w:p w:rsidR="00905231" w:rsidRPr="00905231" w:rsidP="00905231" w14:paraId="313FEFCB" w14:textId="77777777">
      <w:pPr>
        <w:spacing w:after="120"/>
        <w:jc w:val="center"/>
        <w:rPr>
          <w:b/>
          <w:szCs w:val="22"/>
        </w:rPr>
      </w:pPr>
      <w:r w:rsidRPr="00905231">
        <w:rPr>
          <w:b/>
          <w:szCs w:val="22"/>
        </w:rPr>
        <w:t>Census Tracts for December 2017 Wildfires Waiver Period</w:t>
      </w:r>
    </w:p>
    <w:p w:rsidR="00905231" w:rsidRPr="00905231" w:rsidP="00905231" w14:paraId="313FEFCC" w14:textId="77777777">
      <w:pPr>
        <w:spacing w:after="120"/>
        <w:jc w:val="center"/>
        <w:rPr>
          <w:b/>
          <w:szCs w:val="2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45"/>
        <w:gridCol w:w="1980"/>
        <w:gridCol w:w="1080"/>
        <w:gridCol w:w="2070"/>
        <w:gridCol w:w="1975"/>
      </w:tblGrid>
      <w:tr w14:paraId="313FEFD2" w14:textId="77777777" w:rsidTr="0090523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245" w:type="dxa"/>
            <w:shd w:val="clear" w:color="auto" w:fill="auto"/>
          </w:tcPr>
          <w:p w:rsidR="00905231" w:rsidRPr="00905231" w:rsidP="00905231" w14:paraId="313FEFCD"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Census Tract</w:t>
            </w:r>
          </w:p>
        </w:tc>
        <w:tc>
          <w:tcPr>
            <w:tcW w:w="1980" w:type="dxa"/>
            <w:tcBorders>
              <w:right w:val="single" w:sz="4" w:space="0" w:color="auto"/>
            </w:tcBorders>
            <w:shd w:val="clear" w:color="auto" w:fill="auto"/>
          </w:tcPr>
          <w:p w:rsidR="00905231" w:rsidRPr="00905231" w:rsidP="00905231" w14:paraId="313FEFCE"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County</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CF" w14:textId="77777777">
            <w:pPr>
              <w:widowControl w:val="0"/>
              <w:spacing w:after="120"/>
              <w:jc w:val="center"/>
              <w:rPr>
                <w:rStyle w:val="DefaultParagraphFont"/>
                <w:b/>
                <w:snapToGrid w:val="0"/>
                <w:kern w:val="28"/>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D0"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Census Tract</w:t>
            </w:r>
          </w:p>
        </w:tc>
        <w:tc>
          <w:tcPr>
            <w:tcW w:w="1975" w:type="dxa"/>
            <w:shd w:val="clear" w:color="auto" w:fill="auto"/>
          </w:tcPr>
          <w:p w:rsidR="00905231" w:rsidRPr="00905231" w:rsidP="00905231" w14:paraId="313FEFD1" w14:textId="77777777">
            <w:pPr>
              <w:widowControl w:val="0"/>
              <w:spacing w:after="120"/>
              <w:jc w:val="center"/>
              <w:rPr>
                <w:rStyle w:val="DefaultParagraphFont"/>
                <w:b/>
                <w:snapToGrid w:val="0"/>
                <w:kern w:val="28"/>
                <w:sz w:val="22"/>
                <w:szCs w:val="22"/>
                <w:lang w:val="en-US" w:eastAsia="en-US" w:bidi="ar-SA"/>
              </w:rPr>
            </w:pPr>
            <w:r w:rsidRPr="00905231">
              <w:rPr>
                <w:b/>
                <w:snapToGrid w:val="0"/>
                <w:kern w:val="28"/>
                <w:sz w:val="22"/>
                <w:szCs w:val="22"/>
                <w:lang w:val="en-US" w:eastAsia="en-US" w:bidi="ar-SA"/>
              </w:rPr>
              <w:t>County</w:t>
            </w:r>
          </w:p>
        </w:tc>
      </w:tr>
      <w:tr w14:paraId="313FEFD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D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06037103101</w:t>
            </w:r>
          </w:p>
        </w:tc>
        <w:tc>
          <w:tcPr>
            <w:tcW w:w="1980" w:type="dxa"/>
            <w:tcBorders>
              <w:right w:val="single" w:sz="4" w:space="0" w:color="auto"/>
            </w:tcBorders>
            <w:shd w:val="clear" w:color="auto" w:fill="auto"/>
            <w:noWrap/>
            <w:hideMark/>
          </w:tcPr>
          <w:p w:rsidR="00905231" w:rsidRPr="00905231" w:rsidP="00905231" w14:paraId="313FEFD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D5"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D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06083001500</w:t>
            </w:r>
          </w:p>
        </w:tc>
        <w:tc>
          <w:tcPr>
            <w:tcW w:w="1975" w:type="dxa"/>
            <w:shd w:val="clear" w:color="auto" w:fill="auto"/>
          </w:tcPr>
          <w:p w:rsidR="00905231" w:rsidRPr="00905231" w:rsidP="00905231" w14:paraId="313FEFD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EFD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D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06037103200</w:t>
            </w:r>
          </w:p>
        </w:tc>
        <w:tc>
          <w:tcPr>
            <w:tcW w:w="1980" w:type="dxa"/>
            <w:tcBorders>
              <w:right w:val="single" w:sz="4" w:space="0" w:color="auto"/>
            </w:tcBorders>
            <w:shd w:val="clear" w:color="auto" w:fill="auto"/>
            <w:noWrap/>
            <w:hideMark/>
          </w:tcPr>
          <w:p w:rsidR="00905231" w:rsidRPr="00905231" w:rsidP="00905231" w14:paraId="313FEFD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DB"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D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06083001706</w:t>
            </w:r>
          </w:p>
        </w:tc>
        <w:tc>
          <w:tcPr>
            <w:tcW w:w="1975" w:type="dxa"/>
            <w:shd w:val="clear" w:color="auto" w:fill="auto"/>
          </w:tcPr>
          <w:p w:rsidR="00905231" w:rsidRPr="00905231" w:rsidP="00905231" w14:paraId="313FEFD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EFE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D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06037103300</w:t>
            </w:r>
          </w:p>
        </w:tc>
        <w:tc>
          <w:tcPr>
            <w:tcW w:w="1980" w:type="dxa"/>
            <w:tcBorders>
              <w:right w:val="single" w:sz="4" w:space="0" w:color="auto"/>
            </w:tcBorders>
            <w:shd w:val="clear" w:color="auto" w:fill="auto"/>
            <w:noWrap/>
            <w:hideMark/>
          </w:tcPr>
          <w:p w:rsidR="00905231" w:rsidRPr="00905231" w:rsidP="00905231" w14:paraId="313FEFE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E1"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E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06083001800</w:t>
            </w:r>
          </w:p>
        </w:tc>
        <w:tc>
          <w:tcPr>
            <w:tcW w:w="1975" w:type="dxa"/>
            <w:shd w:val="clear" w:color="auto" w:fill="auto"/>
          </w:tcPr>
          <w:p w:rsidR="00905231" w:rsidRPr="00905231" w:rsidP="00905231" w14:paraId="313FEFE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EFE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E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06037104124</w:t>
            </w:r>
          </w:p>
        </w:tc>
        <w:tc>
          <w:tcPr>
            <w:tcW w:w="1980" w:type="dxa"/>
            <w:tcBorders>
              <w:right w:val="single" w:sz="4" w:space="0" w:color="auto"/>
            </w:tcBorders>
            <w:shd w:val="clear" w:color="auto" w:fill="auto"/>
            <w:noWrap/>
            <w:hideMark/>
          </w:tcPr>
          <w:p w:rsidR="00905231" w:rsidRPr="00905231" w:rsidP="00905231" w14:paraId="313FEFE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E7"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E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06083001901</w:t>
            </w:r>
          </w:p>
        </w:tc>
        <w:tc>
          <w:tcPr>
            <w:tcW w:w="1975" w:type="dxa"/>
            <w:shd w:val="clear" w:color="auto" w:fill="auto"/>
          </w:tcPr>
          <w:p w:rsidR="00905231" w:rsidRPr="00905231" w:rsidP="00905231" w14:paraId="313FEFE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EFF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E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06037104204</w:t>
            </w:r>
          </w:p>
        </w:tc>
        <w:tc>
          <w:tcPr>
            <w:tcW w:w="1980" w:type="dxa"/>
            <w:tcBorders>
              <w:right w:val="single" w:sz="4" w:space="0" w:color="auto"/>
            </w:tcBorders>
            <w:shd w:val="clear" w:color="auto" w:fill="auto"/>
            <w:noWrap/>
            <w:hideMark/>
          </w:tcPr>
          <w:p w:rsidR="00905231" w:rsidRPr="00905231" w:rsidP="00905231" w14:paraId="313FEFE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ED"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E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06083001906</w:t>
            </w:r>
          </w:p>
        </w:tc>
        <w:tc>
          <w:tcPr>
            <w:tcW w:w="1975" w:type="dxa"/>
            <w:shd w:val="clear" w:color="auto" w:fill="auto"/>
          </w:tcPr>
          <w:p w:rsidR="00905231" w:rsidRPr="00905231" w:rsidP="00905231" w14:paraId="313FEFE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EFF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F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06037106111</w:t>
            </w:r>
          </w:p>
        </w:tc>
        <w:tc>
          <w:tcPr>
            <w:tcW w:w="1980" w:type="dxa"/>
            <w:tcBorders>
              <w:right w:val="single" w:sz="4" w:space="0" w:color="auto"/>
            </w:tcBorders>
            <w:shd w:val="clear" w:color="auto" w:fill="auto"/>
            <w:noWrap/>
            <w:hideMark/>
          </w:tcPr>
          <w:p w:rsidR="00905231" w:rsidRPr="00905231" w:rsidP="00905231" w14:paraId="313FEFF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F3"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F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06083002809</w:t>
            </w:r>
          </w:p>
        </w:tc>
        <w:tc>
          <w:tcPr>
            <w:tcW w:w="1975" w:type="dxa"/>
            <w:shd w:val="clear" w:color="auto" w:fill="auto"/>
          </w:tcPr>
          <w:p w:rsidR="00905231" w:rsidRPr="00905231" w:rsidP="00905231" w14:paraId="313FEFF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EFF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F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06037106112</w:t>
            </w:r>
          </w:p>
        </w:tc>
        <w:tc>
          <w:tcPr>
            <w:tcW w:w="1980" w:type="dxa"/>
            <w:tcBorders>
              <w:right w:val="single" w:sz="4" w:space="0" w:color="auto"/>
            </w:tcBorders>
            <w:shd w:val="clear" w:color="auto" w:fill="auto"/>
            <w:noWrap/>
            <w:hideMark/>
          </w:tcPr>
          <w:p w:rsidR="00905231" w:rsidRPr="00905231" w:rsidP="00905231" w14:paraId="313FEFF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F9"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EFF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06083002932</w:t>
            </w:r>
          </w:p>
        </w:tc>
        <w:tc>
          <w:tcPr>
            <w:tcW w:w="1975" w:type="dxa"/>
            <w:shd w:val="clear" w:color="auto" w:fill="auto"/>
          </w:tcPr>
          <w:p w:rsidR="00905231" w:rsidRPr="00905231" w:rsidP="00905231" w14:paraId="313FEFF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F00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EFF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06037121102</w:t>
            </w:r>
          </w:p>
        </w:tc>
        <w:tc>
          <w:tcPr>
            <w:tcW w:w="1980" w:type="dxa"/>
            <w:tcBorders>
              <w:right w:val="single" w:sz="4" w:space="0" w:color="auto"/>
            </w:tcBorders>
            <w:shd w:val="clear" w:color="auto" w:fill="auto"/>
            <w:noWrap/>
            <w:hideMark/>
          </w:tcPr>
          <w:p w:rsidR="00905231" w:rsidRPr="00905231" w:rsidP="00905231" w14:paraId="313FEFF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EFFF"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0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06083003102</w:t>
            </w:r>
          </w:p>
        </w:tc>
        <w:tc>
          <w:tcPr>
            <w:tcW w:w="1975" w:type="dxa"/>
            <w:shd w:val="clear" w:color="auto" w:fill="auto"/>
          </w:tcPr>
          <w:p w:rsidR="00905231" w:rsidRPr="00905231" w:rsidP="00905231" w14:paraId="313FF00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r>
      <w:tr w14:paraId="313FF00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0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06037262200</w:t>
            </w:r>
          </w:p>
        </w:tc>
        <w:tc>
          <w:tcPr>
            <w:tcW w:w="1980" w:type="dxa"/>
            <w:tcBorders>
              <w:right w:val="single" w:sz="4" w:space="0" w:color="auto"/>
            </w:tcBorders>
            <w:shd w:val="clear" w:color="auto" w:fill="auto"/>
            <w:noWrap/>
            <w:hideMark/>
          </w:tcPr>
          <w:p w:rsidR="00905231" w:rsidRPr="00905231" w:rsidP="00905231" w14:paraId="313FF00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05"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0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06111000100</w:t>
            </w:r>
          </w:p>
        </w:tc>
        <w:tc>
          <w:tcPr>
            <w:tcW w:w="1975" w:type="dxa"/>
            <w:shd w:val="clear" w:color="auto" w:fill="auto"/>
          </w:tcPr>
          <w:p w:rsidR="00905231" w:rsidRPr="00905231" w:rsidP="00905231" w14:paraId="313FF00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0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0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06037262301</w:t>
            </w:r>
          </w:p>
        </w:tc>
        <w:tc>
          <w:tcPr>
            <w:tcW w:w="1980" w:type="dxa"/>
            <w:tcBorders>
              <w:right w:val="single" w:sz="4" w:space="0" w:color="auto"/>
            </w:tcBorders>
            <w:shd w:val="clear" w:color="auto" w:fill="auto"/>
            <w:noWrap/>
            <w:hideMark/>
          </w:tcPr>
          <w:p w:rsidR="00905231" w:rsidRPr="00905231" w:rsidP="00905231" w14:paraId="313FF00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0B"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0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06111000200</w:t>
            </w:r>
          </w:p>
        </w:tc>
        <w:tc>
          <w:tcPr>
            <w:tcW w:w="1975" w:type="dxa"/>
            <w:shd w:val="clear" w:color="auto" w:fill="auto"/>
          </w:tcPr>
          <w:p w:rsidR="00905231" w:rsidRPr="00905231" w:rsidP="00905231" w14:paraId="313FF00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1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0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06037920106</w:t>
            </w:r>
          </w:p>
        </w:tc>
        <w:tc>
          <w:tcPr>
            <w:tcW w:w="1980" w:type="dxa"/>
            <w:tcBorders>
              <w:right w:val="single" w:sz="4" w:space="0" w:color="auto"/>
            </w:tcBorders>
            <w:shd w:val="clear" w:color="auto" w:fill="auto"/>
            <w:noWrap/>
            <w:hideMark/>
          </w:tcPr>
          <w:p w:rsidR="00905231" w:rsidRPr="00905231" w:rsidP="00905231" w14:paraId="313FF01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11"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1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06111000304</w:t>
            </w:r>
          </w:p>
        </w:tc>
        <w:tc>
          <w:tcPr>
            <w:tcW w:w="1975" w:type="dxa"/>
            <w:shd w:val="clear" w:color="auto" w:fill="auto"/>
          </w:tcPr>
          <w:p w:rsidR="00905231" w:rsidRPr="00905231" w:rsidP="00905231" w14:paraId="313FF01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1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1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06037920107</w:t>
            </w:r>
          </w:p>
        </w:tc>
        <w:tc>
          <w:tcPr>
            <w:tcW w:w="1980" w:type="dxa"/>
            <w:tcBorders>
              <w:right w:val="single" w:sz="4" w:space="0" w:color="auto"/>
            </w:tcBorders>
            <w:shd w:val="clear" w:color="auto" w:fill="auto"/>
            <w:noWrap/>
            <w:hideMark/>
          </w:tcPr>
          <w:p w:rsidR="00905231" w:rsidRPr="00905231" w:rsidP="00905231" w14:paraId="313FF01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17"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1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06111000400</w:t>
            </w:r>
          </w:p>
        </w:tc>
        <w:tc>
          <w:tcPr>
            <w:tcW w:w="1975" w:type="dxa"/>
            <w:shd w:val="clear" w:color="auto" w:fill="auto"/>
          </w:tcPr>
          <w:p w:rsidR="00905231" w:rsidRPr="00905231" w:rsidP="00905231" w14:paraId="313FF01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2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1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06037920200</w:t>
            </w:r>
          </w:p>
        </w:tc>
        <w:tc>
          <w:tcPr>
            <w:tcW w:w="1980" w:type="dxa"/>
            <w:tcBorders>
              <w:right w:val="single" w:sz="4" w:space="0" w:color="auto"/>
            </w:tcBorders>
            <w:shd w:val="clear" w:color="auto" w:fill="auto"/>
            <w:noWrap/>
            <w:hideMark/>
          </w:tcPr>
          <w:p w:rsidR="00905231" w:rsidRPr="00905231" w:rsidP="00905231" w14:paraId="313FF01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1D"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1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06111000800</w:t>
            </w:r>
          </w:p>
        </w:tc>
        <w:tc>
          <w:tcPr>
            <w:tcW w:w="1975" w:type="dxa"/>
            <w:shd w:val="clear" w:color="auto" w:fill="auto"/>
          </w:tcPr>
          <w:p w:rsidR="00905231" w:rsidRPr="00905231" w:rsidP="00905231" w14:paraId="313FF01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2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2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06037920326</w:t>
            </w:r>
          </w:p>
        </w:tc>
        <w:tc>
          <w:tcPr>
            <w:tcW w:w="1980" w:type="dxa"/>
            <w:tcBorders>
              <w:right w:val="single" w:sz="4" w:space="0" w:color="auto"/>
            </w:tcBorders>
            <w:shd w:val="clear" w:color="auto" w:fill="auto"/>
            <w:noWrap/>
            <w:hideMark/>
          </w:tcPr>
          <w:p w:rsidR="00905231" w:rsidRPr="00905231" w:rsidP="00905231" w14:paraId="313FF02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23"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2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06111000901</w:t>
            </w:r>
          </w:p>
        </w:tc>
        <w:tc>
          <w:tcPr>
            <w:tcW w:w="1975" w:type="dxa"/>
            <w:shd w:val="clear" w:color="auto" w:fill="auto"/>
          </w:tcPr>
          <w:p w:rsidR="00905231" w:rsidRPr="00905231" w:rsidP="00905231" w14:paraId="313FF02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2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2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06037920339</w:t>
            </w:r>
          </w:p>
        </w:tc>
        <w:tc>
          <w:tcPr>
            <w:tcW w:w="1980" w:type="dxa"/>
            <w:tcBorders>
              <w:right w:val="single" w:sz="4" w:space="0" w:color="auto"/>
            </w:tcBorders>
            <w:shd w:val="clear" w:color="auto" w:fill="auto"/>
            <w:noWrap/>
            <w:hideMark/>
          </w:tcPr>
          <w:p w:rsidR="00905231" w:rsidRPr="00905231" w:rsidP="00905231" w14:paraId="313FF02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29"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2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06111000902</w:t>
            </w:r>
          </w:p>
        </w:tc>
        <w:tc>
          <w:tcPr>
            <w:tcW w:w="1975" w:type="dxa"/>
            <w:shd w:val="clear" w:color="auto" w:fill="auto"/>
          </w:tcPr>
          <w:p w:rsidR="00905231" w:rsidRPr="00905231" w:rsidP="00905231" w14:paraId="313FF02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3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2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06037930101</w:t>
            </w:r>
          </w:p>
        </w:tc>
        <w:tc>
          <w:tcPr>
            <w:tcW w:w="1980" w:type="dxa"/>
            <w:tcBorders>
              <w:right w:val="single" w:sz="4" w:space="0" w:color="auto"/>
            </w:tcBorders>
            <w:shd w:val="clear" w:color="auto" w:fill="auto"/>
            <w:noWrap/>
            <w:hideMark/>
          </w:tcPr>
          <w:p w:rsidR="00905231" w:rsidRPr="00905231" w:rsidP="00905231" w14:paraId="313FF02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2F"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3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06111000903</w:t>
            </w:r>
          </w:p>
        </w:tc>
        <w:tc>
          <w:tcPr>
            <w:tcW w:w="1975" w:type="dxa"/>
            <w:shd w:val="clear" w:color="auto" w:fill="auto"/>
          </w:tcPr>
          <w:p w:rsidR="00905231" w:rsidRPr="00905231" w:rsidP="00905231" w14:paraId="313FF03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3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3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06037930200</w:t>
            </w:r>
          </w:p>
        </w:tc>
        <w:tc>
          <w:tcPr>
            <w:tcW w:w="1980" w:type="dxa"/>
            <w:tcBorders>
              <w:right w:val="single" w:sz="4" w:space="0" w:color="auto"/>
            </w:tcBorders>
            <w:shd w:val="clear" w:color="auto" w:fill="auto"/>
            <w:noWrap/>
            <w:hideMark/>
          </w:tcPr>
          <w:p w:rsidR="00905231" w:rsidRPr="00905231" w:rsidP="00905231" w14:paraId="313FF03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35"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3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06111001001</w:t>
            </w:r>
          </w:p>
        </w:tc>
        <w:tc>
          <w:tcPr>
            <w:tcW w:w="1975" w:type="dxa"/>
            <w:shd w:val="clear" w:color="auto" w:fill="auto"/>
          </w:tcPr>
          <w:p w:rsidR="00905231" w:rsidRPr="00905231" w:rsidP="00905231" w14:paraId="313FF03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3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3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06037980021</w:t>
            </w:r>
          </w:p>
        </w:tc>
        <w:tc>
          <w:tcPr>
            <w:tcW w:w="1980" w:type="dxa"/>
            <w:tcBorders>
              <w:right w:val="single" w:sz="4" w:space="0" w:color="auto"/>
            </w:tcBorders>
            <w:shd w:val="clear" w:color="auto" w:fill="auto"/>
            <w:noWrap/>
            <w:hideMark/>
          </w:tcPr>
          <w:p w:rsidR="00905231" w:rsidRPr="00905231" w:rsidP="00905231" w14:paraId="313FF03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3B"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3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06111001002</w:t>
            </w:r>
          </w:p>
        </w:tc>
        <w:tc>
          <w:tcPr>
            <w:tcW w:w="1975" w:type="dxa"/>
            <w:shd w:val="clear" w:color="auto" w:fill="auto"/>
          </w:tcPr>
          <w:p w:rsidR="00905231" w:rsidRPr="00905231" w:rsidP="00905231" w14:paraId="313FF03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4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3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06037980026</w:t>
            </w:r>
          </w:p>
        </w:tc>
        <w:tc>
          <w:tcPr>
            <w:tcW w:w="1980" w:type="dxa"/>
            <w:tcBorders>
              <w:right w:val="single" w:sz="4" w:space="0" w:color="auto"/>
            </w:tcBorders>
            <w:shd w:val="clear" w:color="auto" w:fill="auto"/>
            <w:noWrap/>
            <w:hideMark/>
          </w:tcPr>
          <w:p w:rsidR="00905231" w:rsidRPr="00905231" w:rsidP="00905231" w14:paraId="313FF04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Los Angeles</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41"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4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06111001102</w:t>
            </w:r>
          </w:p>
        </w:tc>
        <w:tc>
          <w:tcPr>
            <w:tcW w:w="1975" w:type="dxa"/>
            <w:shd w:val="clear" w:color="auto" w:fill="auto"/>
          </w:tcPr>
          <w:p w:rsidR="00905231" w:rsidRPr="00905231" w:rsidP="00905231" w14:paraId="313FF04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4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4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06073018611</w:t>
            </w:r>
          </w:p>
        </w:tc>
        <w:tc>
          <w:tcPr>
            <w:tcW w:w="1980" w:type="dxa"/>
            <w:tcBorders>
              <w:right w:val="single" w:sz="4" w:space="0" w:color="auto"/>
            </w:tcBorders>
            <w:shd w:val="clear" w:color="auto" w:fill="auto"/>
            <w:noWrap/>
            <w:hideMark/>
          </w:tcPr>
          <w:p w:rsidR="00905231" w:rsidRPr="00905231" w:rsidP="00905231" w14:paraId="313FF04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47"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4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06111001204</w:t>
            </w:r>
          </w:p>
        </w:tc>
        <w:tc>
          <w:tcPr>
            <w:tcW w:w="1975" w:type="dxa"/>
            <w:shd w:val="clear" w:color="auto" w:fill="auto"/>
          </w:tcPr>
          <w:p w:rsidR="00905231" w:rsidRPr="00905231" w:rsidP="00905231" w14:paraId="313FF04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50"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4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06073018700</w:t>
            </w:r>
          </w:p>
        </w:tc>
        <w:tc>
          <w:tcPr>
            <w:tcW w:w="1980" w:type="dxa"/>
            <w:tcBorders>
              <w:right w:val="single" w:sz="4" w:space="0" w:color="auto"/>
            </w:tcBorders>
            <w:shd w:val="clear" w:color="auto" w:fill="auto"/>
            <w:noWrap/>
            <w:hideMark/>
          </w:tcPr>
          <w:p w:rsidR="00905231" w:rsidRPr="00905231" w:rsidP="00905231" w14:paraId="313FF04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4D"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4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06111001206</w:t>
            </w:r>
          </w:p>
        </w:tc>
        <w:tc>
          <w:tcPr>
            <w:tcW w:w="1975" w:type="dxa"/>
            <w:shd w:val="clear" w:color="auto" w:fill="auto"/>
          </w:tcPr>
          <w:p w:rsidR="00905231" w:rsidRPr="00905231" w:rsidP="00905231" w14:paraId="313FF04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56"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5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06073018802</w:t>
            </w:r>
          </w:p>
        </w:tc>
        <w:tc>
          <w:tcPr>
            <w:tcW w:w="1980" w:type="dxa"/>
            <w:tcBorders>
              <w:right w:val="single" w:sz="4" w:space="0" w:color="auto"/>
            </w:tcBorders>
            <w:shd w:val="clear" w:color="auto" w:fill="auto"/>
            <w:noWrap/>
            <w:hideMark/>
          </w:tcPr>
          <w:p w:rsidR="00905231" w:rsidRPr="00905231" w:rsidP="00905231" w14:paraId="313FF05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53"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5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06111001700</w:t>
            </w:r>
          </w:p>
        </w:tc>
        <w:tc>
          <w:tcPr>
            <w:tcW w:w="1975" w:type="dxa"/>
            <w:shd w:val="clear" w:color="auto" w:fill="auto"/>
          </w:tcPr>
          <w:p w:rsidR="00905231" w:rsidRPr="00905231" w:rsidP="00905231" w14:paraId="313FF05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5C"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5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06073018803</w:t>
            </w:r>
          </w:p>
        </w:tc>
        <w:tc>
          <w:tcPr>
            <w:tcW w:w="1980" w:type="dxa"/>
            <w:tcBorders>
              <w:right w:val="single" w:sz="4" w:space="0" w:color="auto"/>
            </w:tcBorders>
            <w:shd w:val="clear" w:color="auto" w:fill="auto"/>
            <w:noWrap/>
            <w:hideMark/>
          </w:tcPr>
          <w:p w:rsidR="00905231" w:rsidRPr="00905231" w:rsidP="00905231" w14:paraId="313FF05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59"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5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06111001800</w:t>
            </w:r>
          </w:p>
        </w:tc>
        <w:tc>
          <w:tcPr>
            <w:tcW w:w="1975" w:type="dxa"/>
            <w:shd w:val="clear" w:color="auto" w:fill="auto"/>
          </w:tcPr>
          <w:p w:rsidR="00905231" w:rsidRPr="00905231" w:rsidP="00905231" w14:paraId="313FF05B"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62"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5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06073019101</w:t>
            </w:r>
          </w:p>
        </w:tc>
        <w:tc>
          <w:tcPr>
            <w:tcW w:w="1980" w:type="dxa"/>
            <w:tcBorders>
              <w:right w:val="single" w:sz="4" w:space="0" w:color="auto"/>
            </w:tcBorders>
            <w:shd w:val="clear" w:color="auto" w:fill="auto"/>
            <w:noWrap/>
            <w:hideMark/>
          </w:tcPr>
          <w:p w:rsidR="00905231" w:rsidRPr="00905231" w:rsidP="00905231" w14:paraId="313FF05E"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5F"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6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06111001900</w:t>
            </w:r>
          </w:p>
        </w:tc>
        <w:tc>
          <w:tcPr>
            <w:tcW w:w="1975" w:type="dxa"/>
            <w:shd w:val="clear" w:color="auto" w:fill="auto"/>
          </w:tcPr>
          <w:p w:rsidR="00905231" w:rsidRPr="00905231" w:rsidP="00905231" w14:paraId="313FF061"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68"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6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06073020903</w:t>
            </w:r>
          </w:p>
        </w:tc>
        <w:tc>
          <w:tcPr>
            <w:tcW w:w="1980" w:type="dxa"/>
            <w:tcBorders>
              <w:right w:val="single" w:sz="4" w:space="0" w:color="auto"/>
            </w:tcBorders>
            <w:shd w:val="clear" w:color="auto" w:fill="auto"/>
            <w:noWrap/>
            <w:hideMark/>
          </w:tcPr>
          <w:p w:rsidR="00905231" w:rsidRPr="00905231" w:rsidP="00905231" w14:paraId="313FF064"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65"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6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06111002000</w:t>
            </w:r>
          </w:p>
        </w:tc>
        <w:tc>
          <w:tcPr>
            <w:tcW w:w="1975" w:type="dxa"/>
            <w:shd w:val="clear" w:color="auto" w:fill="auto"/>
          </w:tcPr>
          <w:p w:rsidR="00905231" w:rsidRPr="00905231" w:rsidP="00905231" w14:paraId="313FF067"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6E"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6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06073021100</w:t>
            </w:r>
          </w:p>
        </w:tc>
        <w:tc>
          <w:tcPr>
            <w:tcW w:w="1980" w:type="dxa"/>
            <w:tcBorders>
              <w:right w:val="single" w:sz="4" w:space="0" w:color="auto"/>
            </w:tcBorders>
            <w:shd w:val="clear" w:color="auto" w:fill="auto"/>
            <w:noWrap/>
            <w:hideMark/>
          </w:tcPr>
          <w:p w:rsidR="00905231" w:rsidRPr="00905231" w:rsidP="00905231" w14:paraId="313FF06A"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 Diego</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6B"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6C"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06111002102</w:t>
            </w:r>
          </w:p>
        </w:tc>
        <w:tc>
          <w:tcPr>
            <w:tcW w:w="1975" w:type="dxa"/>
            <w:shd w:val="clear" w:color="auto" w:fill="auto"/>
          </w:tcPr>
          <w:p w:rsidR="00905231" w:rsidRPr="00905231" w:rsidP="00905231" w14:paraId="313FF06D"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74"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6F"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06083000501</w:t>
            </w:r>
          </w:p>
        </w:tc>
        <w:tc>
          <w:tcPr>
            <w:tcW w:w="1980" w:type="dxa"/>
            <w:tcBorders>
              <w:right w:val="single" w:sz="4" w:space="0" w:color="auto"/>
            </w:tcBorders>
            <w:shd w:val="clear" w:color="auto" w:fill="auto"/>
            <w:noWrap/>
            <w:hideMark/>
          </w:tcPr>
          <w:p w:rsidR="00905231" w:rsidRPr="00905231" w:rsidP="00905231" w14:paraId="313FF070"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71"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72"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06111002200</w:t>
            </w:r>
          </w:p>
        </w:tc>
        <w:tc>
          <w:tcPr>
            <w:tcW w:w="1975" w:type="dxa"/>
            <w:shd w:val="clear" w:color="auto" w:fill="auto"/>
          </w:tcPr>
          <w:p w:rsidR="00905231" w:rsidRPr="00905231" w:rsidP="00905231" w14:paraId="313FF073"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r w14:paraId="313FF07A" w14:textId="77777777" w:rsidTr="00905231">
        <w:tblPrEx>
          <w:tblW w:w="0" w:type="auto"/>
          <w:tblInd w:w="0" w:type="dxa"/>
          <w:tblCellMar>
            <w:top w:w="0" w:type="dxa"/>
            <w:left w:w="108" w:type="dxa"/>
            <w:bottom w:w="0" w:type="dxa"/>
            <w:right w:w="108" w:type="dxa"/>
          </w:tblCellMar>
          <w:tblLook w:val="04A0"/>
        </w:tblPrEx>
        <w:trPr>
          <w:trHeight w:val="300"/>
        </w:trPr>
        <w:tc>
          <w:tcPr>
            <w:tcW w:w="2245" w:type="dxa"/>
            <w:shd w:val="clear" w:color="auto" w:fill="auto"/>
            <w:noWrap/>
            <w:hideMark/>
          </w:tcPr>
          <w:p w:rsidR="00905231" w:rsidRPr="00905231" w:rsidP="00905231" w14:paraId="313FF075"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06083000700</w:t>
            </w:r>
          </w:p>
        </w:tc>
        <w:tc>
          <w:tcPr>
            <w:tcW w:w="1980" w:type="dxa"/>
            <w:tcBorders>
              <w:right w:val="single" w:sz="4" w:space="0" w:color="auto"/>
            </w:tcBorders>
            <w:shd w:val="clear" w:color="auto" w:fill="auto"/>
            <w:noWrap/>
            <w:hideMark/>
          </w:tcPr>
          <w:p w:rsidR="00905231" w:rsidRPr="00905231" w:rsidP="00905231" w14:paraId="313FF076"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Santa Barbara</w:t>
            </w:r>
          </w:p>
        </w:tc>
        <w:tc>
          <w:tcPr>
            <w:tcW w:w="1080" w:type="dxa"/>
            <w:tcBorders>
              <w:top w:val="nil"/>
              <w:left w:val="single" w:sz="4" w:space="0" w:color="auto"/>
              <w:bottom w:val="nil"/>
              <w:right w:val="single" w:sz="4" w:space="0" w:color="auto"/>
            </w:tcBorders>
            <w:shd w:val="clear" w:color="auto" w:fill="auto"/>
          </w:tcPr>
          <w:p w:rsidR="00905231" w:rsidRPr="00905231" w:rsidP="00905231" w14:paraId="313FF077" w14:textId="77777777">
            <w:pPr>
              <w:widowControl/>
              <w:jc w:val="center"/>
              <w:rPr>
                <w:rStyle w:val="DefaultParagraphFont"/>
                <w:snapToGrid/>
                <w:color w:val="000000"/>
                <w:kern w:val="0"/>
                <w:sz w:val="22"/>
                <w:szCs w:val="22"/>
                <w:lang w:val="en-US" w:eastAsia="en-US" w:bidi="ar-SA"/>
              </w:rPr>
            </w:pPr>
          </w:p>
        </w:tc>
        <w:tc>
          <w:tcPr>
            <w:tcW w:w="2070" w:type="dxa"/>
            <w:tcBorders>
              <w:left w:val="single" w:sz="4" w:space="0" w:color="auto"/>
            </w:tcBorders>
            <w:shd w:val="clear" w:color="auto" w:fill="auto"/>
          </w:tcPr>
          <w:p w:rsidR="00905231" w:rsidRPr="00905231" w:rsidP="00905231" w14:paraId="313FF078"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06111002300</w:t>
            </w:r>
          </w:p>
        </w:tc>
        <w:tc>
          <w:tcPr>
            <w:tcW w:w="1975" w:type="dxa"/>
            <w:shd w:val="clear" w:color="auto" w:fill="auto"/>
          </w:tcPr>
          <w:p w:rsidR="00905231" w:rsidRPr="00905231" w:rsidP="00905231" w14:paraId="313FF079" w14:textId="77777777">
            <w:pPr>
              <w:widowControl/>
              <w:jc w:val="center"/>
              <w:rPr>
                <w:rStyle w:val="DefaultParagraphFont"/>
                <w:snapToGrid/>
                <w:color w:val="000000"/>
                <w:kern w:val="0"/>
                <w:sz w:val="22"/>
                <w:szCs w:val="22"/>
                <w:lang w:val="en-US" w:eastAsia="en-US" w:bidi="ar-SA"/>
              </w:rPr>
            </w:pPr>
            <w:r w:rsidRPr="00905231">
              <w:rPr>
                <w:snapToGrid/>
                <w:color w:val="000000"/>
                <w:kern w:val="0"/>
                <w:sz w:val="22"/>
                <w:szCs w:val="22"/>
                <w:lang w:val="en-US" w:eastAsia="en-US" w:bidi="ar-SA"/>
              </w:rPr>
              <w:t>Ventura</w:t>
            </w:r>
          </w:p>
        </w:tc>
      </w:tr>
    </w:tbl>
    <w:p w:rsidR="00905231" w:rsidRPr="00905231" w:rsidP="00905231" w14:paraId="313FF07B" w14:textId="77777777">
      <w:pPr>
        <w:spacing w:after="120"/>
        <w:rPr>
          <w:szCs w:val="22"/>
        </w:rPr>
      </w:pPr>
    </w:p>
    <w:p w:rsidR="00ED3BD7" w:rsidRPr="003C73D8" w:rsidP="00ED3BD7" w14:paraId="313FF07C" w14:textId="77777777">
      <w:pPr>
        <w:pStyle w:val="ParaNum"/>
        <w:numPr>
          <w:ilvl w:val="0"/>
          <w:numId w:val="0"/>
        </w:numPr>
        <w:spacing w:after="0"/>
        <w:ind w:left="4320"/>
        <w:rPr>
          <w:szCs w:val="22"/>
        </w:rPr>
      </w:pPr>
    </w:p>
    <w:p w:rsidR="002C00E8" w:rsidRPr="00ED3BD7" w:rsidP="00ED3BD7" w14:paraId="313FF07D" w14:textId="77777777">
      <w:pPr>
        <w:widowControl/>
        <w:rPr>
          <w:b/>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3FF0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3FF0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3FF088" w14:textId="0362ADB5">
    <w:pPr>
      <w:pStyle w:val="Footer"/>
      <w:framePr w:wrap="around" w:vAnchor="text" w:hAnchor="margin" w:xAlign="center" w:y="1"/>
    </w:pPr>
    <w:r>
      <w:fldChar w:fldCharType="begin"/>
    </w:r>
    <w:r>
      <w:instrText xml:space="preserve">PAGE  </w:instrText>
    </w:r>
    <w:r>
      <w:fldChar w:fldCharType="separate"/>
    </w:r>
    <w:r w:rsidR="00897501">
      <w:rPr>
        <w:noProof/>
      </w:rPr>
      <w:t>2</w:t>
    </w:r>
    <w:r>
      <w:fldChar w:fldCharType="end"/>
    </w:r>
  </w:p>
  <w:p w:rsidR="00D25FB5" w14:paraId="313FF08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3FF0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6924" w14:paraId="5B771366" w14:textId="77777777">
      <w:r>
        <w:separator/>
      </w:r>
    </w:p>
  </w:footnote>
  <w:footnote w:type="continuationSeparator" w:id="1">
    <w:p w:rsidR="00B86924" w:rsidP="00C721AC" w14:paraId="0A682BCE" w14:textId="77777777">
      <w:pPr>
        <w:spacing w:before="120"/>
        <w:rPr>
          <w:sz w:val="20"/>
        </w:rPr>
      </w:pPr>
      <w:r>
        <w:rPr>
          <w:sz w:val="20"/>
        </w:rPr>
        <w:t xml:space="preserve">(Continued from previous page)  </w:t>
      </w:r>
      <w:r>
        <w:rPr>
          <w:sz w:val="20"/>
        </w:rPr>
        <w:separator/>
      </w:r>
    </w:p>
  </w:footnote>
  <w:footnote w:type="continuationNotice" w:id="2">
    <w:p w:rsidR="00B86924" w:rsidP="00C721AC" w14:paraId="18476812" w14:textId="77777777">
      <w:pPr>
        <w:jc w:val="right"/>
        <w:rPr>
          <w:sz w:val="20"/>
        </w:rPr>
      </w:pPr>
      <w:r>
        <w:rPr>
          <w:sz w:val="20"/>
        </w:rPr>
        <w:t>(continued….)</w:t>
      </w:r>
    </w:p>
  </w:footnote>
  <w:footnote w:id="3">
    <w:p w:rsidR="00ED3BD7" w:rsidRPr="00BF0D5B" w:rsidP="00ED3BD7" w14:paraId="313FF08E" w14:textId="77777777">
      <w:pPr>
        <w:pStyle w:val="FootnoteText"/>
      </w:pPr>
      <w:r>
        <w:rPr>
          <w:rStyle w:val="FootnoteReference"/>
        </w:rPr>
        <w:footnoteRef/>
      </w:r>
      <w:r>
        <w:t xml:space="preserve"> </w:t>
      </w:r>
      <w:r>
        <w:rPr>
          <w:i/>
        </w:rPr>
        <w:t>See</w:t>
      </w:r>
      <w:r>
        <w:t xml:space="preserve"> Petition of the California Public Utilities Commission for Temporary Waiver, WC Docket No. 11-42, at 1 (filed Nov. 8, 2017) (Petition) (listing Butte, Mendocino, Napa, Nevada, Solano, Sonoma, Lake, Orange, and Yuba counties as the affected counties); and Supplement to Petition of the California Public Utilities Commission for Temporary Waiver, WC Docket No. 11-42, at 1 (filed Dec. 21, 2017) (Supplemental Petition) (listing Los Angeles, Santa Barbara, San Diego, and Ventura counties as additional affected counties).  </w:t>
      </w:r>
      <w:r>
        <w:rPr>
          <w:i/>
        </w:rPr>
        <w:t>See generally</w:t>
      </w:r>
      <w:r>
        <w:t xml:space="preserve"> Jennifer Medina, Scenes of Devastation from California’s Latest Wildfire, </w:t>
      </w:r>
      <w:r>
        <w:rPr>
          <w:i/>
        </w:rPr>
        <w:t>New York Times</w:t>
      </w:r>
      <w:r>
        <w:t xml:space="preserve"> (Dec. 5, 2017), </w:t>
      </w:r>
      <w:r>
        <w:fldChar w:fldCharType="begin"/>
      </w:r>
      <w:r>
        <w:instrText xml:space="preserve"> HYPERLINK "https://www.nytimes.com/2017/12/05/us/california-wildfire-ventura.html" </w:instrText>
      </w:r>
      <w:r>
        <w:fldChar w:fldCharType="separate"/>
      </w:r>
      <w:r w:rsidRPr="00510E49">
        <w:rPr>
          <w:rStyle w:val="Hyperlink"/>
        </w:rPr>
        <w:t>https://www.nytimes.com/2017/12/05/us/california-wildfire-ventura.html</w:t>
      </w:r>
      <w:r>
        <w:fldChar w:fldCharType="end"/>
      </w:r>
      <w:r>
        <w:t xml:space="preserve"> </w:t>
      </w:r>
    </w:p>
  </w:footnote>
  <w:footnote w:id="4">
    <w:p w:rsidR="00ED3BD7" w:rsidRPr="0096185F" w:rsidP="00ED3BD7" w14:paraId="313FF08F" w14:textId="77777777">
      <w:pPr>
        <w:pStyle w:val="FootnoteText"/>
      </w:pPr>
      <w:r>
        <w:rPr>
          <w:rStyle w:val="FootnoteReference"/>
        </w:rPr>
        <w:footnoteRef/>
      </w:r>
      <w:r>
        <w:t xml:space="preserve"> </w:t>
      </w:r>
      <w:r>
        <w:rPr>
          <w:i/>
        </w:rPr>
        <w:t xml:space="preserve">See </w:t>
      </w:r>
      <w:r>
        <w:t xml:space="preserve">47 CFR §§ 54.405(e)(3), 54.405(e)(4), 54.407(c)(2), and 54.410(f).  </w:t>
      </w:r>
    </w:p>
  </w:footnote>
  <w:footnote w:id="5">
    <w:p w:rsidR="00ED3BD7" w:rsidP="00ED3BD7" w14:paraId="313FF090" w14:textId="77777777">
      <w:pPr>
        <w:pStyle w:val="FootnoteText"/>
      </w:pPr>
      <w:r>
        <w:rPr>
          <w:rStyle w:val="FootnoteReference"/>
        </w:rPr>
        <w:footnoteRef/>
      </w:r>
      <w:r>
        <w:t xml:space="preserve"> Petition at 1-2; </w:t>
      </w:r>
      <w:r>
        <w:rPr>
          <w:i/>
        </w:rPr>
        <w:t xml:space="preserve">see also </w:t>
      </w:r>
      <w:r>
        <w:t xml:space="preserve">CAL FIRE, California Statewide Fire Summary (Oct. 30, 2017), </w:t>
      </w:r>
      <w:r>
        <w:fldChar w:fldCharType="begin"/>
      </w:r>
      <w:r>
        <w:instrText xml:space="preserve"> HYPERLINK "http://calfire.ca.gov/communications/communications_StatewideFireSummary" </w:instrText>
      </w:r>
      <w:r>
        <w:fldChar w:fldCharType="separate"/>
      </w:r>
      <w:r w:rsidRPr="00510E49">
        <w:rPr>
          <w:rStyle w:val="Hyperlink"/>
        </w:rPr>
        <w:t>http://calfire.ca.gov/communications/communications_StatewideFireSummary</w:t>
      </w:r>
      <w:r>
        <w:fldChar w:fldCharType="end"/>
      </w:r>
    </w:p>
  </w:footnote>
  <w:footnote w:id="6">
    <w:p w:rsidR="00ED3BD7" w:rsidP="00ED3BD7" w14:paraId="313FF091" w14:textId="77777777">
      <w:pPr>
        <w:pStyle w:val="FootnoteText"/>
      </w:pPr>
      <w:r>
        <w:rPr>
          <w:rStyle w:val="FootnoteReference"/>
        </w:rPr>
        <w:footnoteRef/>
      </w:r>
      <w:r>
        <w:t xml:space="preserve"> Petition at 1-2.</w:t>
      </w:r>
    </w:p>
  </w:footnote>
  <w:footnote w:id="7">
    <w:p w:rsidR="00ED3BD7" w:rsidRPr="00171041" w:rsidP="00ED3BD7" w14:paraId="313FF092" w14:textId="77777777">
      <w:pPr>
        <w:pStyle w:val="FootnoteText"/>
      </w:pPr>
      <w:r>
        <w:rPr>
          <w:rStyle w:val="FootnoteReference"/>
        </w:rPr>
        <w:footnoteRef/>
      </w:r>
      <w:r>
        <w:t xml:space="preserve"> </w:t>
      </w:r>
      <w:r>
        <w:rPr>
          <w:i/>
        </w:rPr>
        <w:t>Id.</w:t>
      </w:r>
      <w:r>
        <w:t xml:space="preserve"> at 2 (citing Office of Governor, </w:t>
      </w:r>
      <w:r w:rsidRPr="00171041">
        <w:rPr>
          <w:i/>
        </w:rPr>
        <w:t>Governor Brown Issues Executive Order to Help Cut Red Tape, Expedite Recovery Efforts in Communities Impacted by Wildfires</w:t>
      </w:r>
      <w:r>
        <w:t xml:space="preserve"> (Oct. 18, 2017), </w:t>
      </w:r>
      <w:r>
        <w:fldChar w:fldCharType="begin"/>
      </w:r>
      <w:r>
        <w:instrText xml:space="preserve"> HYPERLINK "https://www.gov.ca.gov/2017/10/18/news20035/" </w:instrText>
      </w:r>
      <w:r>
        <w:fldChar w:fldCharType="separate"/>
      </w:r>
      <w:r w:rsidRPr="006B3699">
        <w:rPr>
          <w:rStyle w:val="Hyperlink"/>
        </w:rPr>
        <w:t>https://www.gov.ca.gov/2017/10/18/news20035/</w:t>
      </w:r>
      <w:r>
        <w:fldChar w:fldCharType="end"/>
      </w:r>
      <w:r>
        <w:rPr>
          <w:rStyle w:val="Hyperlink"/>
        </w:rPr>
        <w:t>)</w:t>
      </w:r>
      <w:r>
        <w:t xml:space="preserve">; </w:t>
      </w:r>
      <w:r>
        <w:rPr>
          <w:i/>
        </w:rPr>
        <w:t>see also</w:t>
      </w:r>
      <w:r>
        <w:t xml:space="preserve"> FEMA, California Wildfires (DR-4344), </w:t>
      </w:r>
      <w:r>
        <w:fldChar w:fldCharType="begin"/>
      </w:r>
      <w:r>
        <w:instrText xml:space="preserve"> HYPERLINK "https://www.fema.gov/disaster/4344" </w:instrText>
      </w:r>
      <w:r>
        <w:fldChar w:fldCharType="separate"/>
      </w:r>
      <w:r w:rsidRPr="006B3699">
        <w:rPr>
          <w:rStyle w:val="Hyperlink"/>
        </w:rPr>
        <w:t>https://www.fema.gov/disaster/4344</w:t>
      </w:r>
      <w:r>
        <w:fldChar w:fldCharType="end"/>
      </w:r>
      <w:r>
        <w:t xml:space="preserve"> (last visited Feb. 1, 2018).</w:t>
      </w:r>
    </w:p>
  </w:footnote>
  <w:footnote w:id="8">
    <w:p w:rsidR="00ED3BD7" w:rsidP="00ED3BD7" w14:paraId="313FF093" w14:textId="77777777">
      <w:pPr>
        <w:pStyle w:val="FootnoteText"/>
      </w:pPr>
      <w:r>
        <w:rPr>
          <w:rStyle w:val="FootnoteReference"/>
        </w:rPr>
        <w:footnoteRef/>
      </w:r>
      <w:r>
        <w:t xml:space="preserve"> Petition at 2-3.  </w:t>
      </w:r>
    </w:p>
  </w:footnote>
  <w:footnote w:id="9">
    <w:p w:rsidR="00ED3BD7" w:rsidRPr="007F4200" w:rsidP="00ED3BD7" w14:paraId="313FF094" w14:textId="77777777">
      <w:pPr>
        <w:pStyle w:val="FootnoteText"/>
      </w:pPr>
      <w:r>
        <w:rPr>
          <w:rStyle w:val="FootnoteReference"/>
        </w:rPr>
        <w:footnoteRef/>
      </w:r>
      <w:r>
        <w:t xml:space="preserve"> </w:t>
      </w:r>
      <w:r>
        <w:rPr>
          <w:i/>
        </w:rPr>
        <w:t xml:space="preserve">See </w:t>
      </w:r>
      <w:r>
        <w:t>47 CFR §§ 54.405(e)(4) and 54.410(f).</w:t>
      </w:r>
    </w:p>
  </w:footnote>
  <w:footnote w:id="10">
    <w:p w:rsidR="00ED3BD7" w:rsidP="00ED3BD7" w14:paraId="313FF095" w14:textId="77777777">
      <w:pPr>
        <w:pStyle w:val="FootnoteText"/>
      </w:pPr>
      <w:r>
        <w:rPr>
          <w:rStyle w:val="FootnoteReference"/>
        </w:rPr>
        <w:footnoteRef/>
      </w:r>
      <w:r>
        <w:t xml:space="preserve"> Petition at 3.</w:t>
      </w:r>
    </w:p>
  </w:footnote>
  <w:footnote w:id="11">
    <w:p w:rsidR="00ED3BD7" w:rsidRPr="00FE6942" w:rsidP="00ED3BD7" w14:paraId="313FF096" w14:textId="77777777">
      <w:pPr>
        <w:pStyle w:val="FootnoteText"/>
      </w:pPr>
      <w:r>
        <w:rPr>
          <w:rStyle w:val="FootnoteReference"/>
        </w:rPr>
        <w:footnoteRef/>
      </w:r>
      <w:r>
        <w:t xml:space="preserve"> </w:t>
      </w:r>
      <w:r>
        <w:rPr>
          <w:i/>
        </w:rPr>
        <w:t>Id.</w:t>
      </w:r>
    </w:p>
  </w:footnote>
  <w:footnote w:id="12">
    <w:p w:rsidR="00ED3BD7" w:rsidP="00ED3BD7" w14:paraId="313FF097" w14:textId="77777777">
      <w:pPr>
        <w:pStyle w:val="FootnoteText"/>
      </w:pPr>
      <w:r>
        <w:rPr>
          <w:rStyle w:val="FootnoteReference"/>
        </w:rPr>
        <w:footnoteRef/>
      </w:r>
      <w:r>
        <w:t xml:space="preserve"> </w:t>
      </w:r>
      <w:r>
        <w:rPr>
          <w:i/>
        </w:rPr>
        <w:t>Id.</w:t>
      </w:r>
      <w:r>
        <w:t xml:space="preserve"> </w:t>
      </w:r>
    </w:p>
  </w:footnote>
  <w:footnote w:id="13">
    <w:p w:rsidR="00ED3BD7" w:rsidP="00ED3BD7" w14:paraId="313FF098" w14:textId="77777777">
      <w:pPr>
        <w:pStyle w:val="FootnoteText"/>
      </w:pPr>
      <w:r>
        <w:rPr>
          <w:rStyle w:val="FootnoteReference"/>
        </w:rPr>
        <w:footnoteRef/>
      </w:r>
      <w:r>
        <w:t xml:space="preserve"> </w:t>
      </w:r>
      <w:r>
        <w:rPr>
          <w:i/>
        </w:rPr>
        <w:t>Id.</w:t>
      </w:r>
      <w:r>
        <w:t xml:space="preserve"> at 2-3.  </w:t>
      </w:r>
    </w:p>
  </w:footnote>
  <w:footnote w:id="14">
    <w:p w:rsidR="00ED3BD7" w:rsidRPr="00682D16" w:rsidP="00ED3BD7" w14:paraId="313FF099" w14:textId="77777777">
      <w:pPr>
        <w:pStyle w:val="FootnoteText"/>
      </w:pPr>
      <w:r>
        <w:rPr>
          <w:rStyle w:val="FootnoteReference"/>
        </w:rPr>
        <w:footnoteRef/>
      </w:r>
      <w:r>
        <w:t xml:space="preserve"> </w:t>
      </w:r>
      <w:r>
        <w:rPr>
          <w:i/>
        </w:rPr>
        <w:t xml:space="preserve">Id. </w:t>
      </w:r>
      <w:r>
        <w:t>at 4.</w:t>
      </w:r>
    </w:p>
  </w:footnote>
  <w:footnote w:id="15">
    <w:p w:rsidR="00ED3BD7" w:rsidP="00ED3BD7" w14:paraId="313FF09A" w14:textId="77777777">
      <w:pPr>
        <w:pStyle w:val="FootnoteText"/>
      </w:pPr>
      <w:r>
        <w:rPr>
          <w:rStyle w:val="FootnoteReference"/>
        </w:rPr>
        <w:footnoteRef/>
      </w:r>
      <w:r>
        <w:t xml:space="preserve"> Supplemental Petition at 1-2.</w:t>
      </w:r>
    </w:p>
  </w:footnote>
  <w:footnote w:id="16">
    <w:p w:rsidR="00ED3BD7" w:rsidRPr="00BA211F" w:rsidP="00ED3BD7" w14:paraId="313FF09B" w14:textId="77777777">
      <w:pPr>
        <w:pStyle w:val="FootnoteText"/>
      </w:pPr>
      <w:r>
        <w:rPr>
          <w:rStyle w:val="FootnoteReference"/>
        </w:rPr>
        <w:footnoteRef/>
      </w:r>
      <w:r>
        <w:t xml:space="preserve"> </w:t>
      </w:r>
      <w:r>
        <w:rPr>
          <w:i/>
        </w:rPr>
        <w:t>Id.</w:t>
      </w:r>
      <w:r>
        <w:t xml:space="preserve"> (</w:t>
      </w:r>
      <w:r w:rsidRPr="00171041">
        <w:t>citing</w:t>
      </w:r>
      <w:r>
        <w:rPr>
          <w:i/>
        </w:rPr>
        <w:t xml:space="preserve"> </w:t>
      </w:r>
      <w:r>
        <w:t xml:space="preserve">FEMA, California Wildfires (EM-3396), </w:t>
      </w:r>
      <w:r>
        <w:fldChar w:fldCharType="begin"/>
      </w:r>
      <w:r>
        <w:instrText xml:space="preserve"> HYPERLINK "https://www.fema.gov/disaster/3396" </w:instrText>
      </w:r>
      <w:r>
        <w:fldChar w:fldCharType="separate"/>
      </w:r>
      <w:r w:rsidRPr="008C4228">
        <w:rPr>
          <w:rStyle w:val="Hyperlink"/>
        </w:rPr>
        <w:t>https://www.fema.gov/disaster/3396</w:t>
      </w:r>
      <w:r>
        <w:fldChar w:fldCharType="end"/>
      </w:r>
      <w:r>
        <w:t xml:space="preserve"> (last visited Feb. 1, 2018)).</w:t>
      </w:r>
    </w:p>
  </w:footnote>
  <w:footnote w:id="17">
    <w:p w:rsidR="00ED3BD7" w:rsidP="00ED3BD7" w14:paraId="313FF09C" w14:textId="77777777">
      <w:pPr>
        <w:pStyle w:val="FootnoteText"/>
      </w:pPr>
      <w:r>
        <w:rPr>
          <w:rStyle w:val="FootnoteReference"/>
        </w:rPr>
        <w:footnoteRef/>
      </w:r>
      <w:r>
        <w:t xml:space="preserve"> </w:t>
      </w:r>
      <w:r>
        <w:rPr>
          <w:i/>
        </w:rPr>
        <w:t>Id.</w:t>
      </w:r>
      <w:r>
        <w:t xml:space="preserve">  </w:t>
      </w:r>
    </w:p>
  </w:footnote>
  <w:footnote w:id="18">
    <w:p w:rsidR="00ED3BD7" w:rsidP="00ED3BD7" w14:paraId="313FF09D" w14:textId="77777777">
      <w:pPr>
        <w:pStyle w:val="FootnoteText"/>
      </w:pPr>
      <w:r>
        <w:rPr>
          <w:rStyle w:val="FootnoteReference"/>
        </w:rPr>
        <w:footnoteRef/>
      </w:r>
      <w:r>
        <w:t xml:space="preserve"> </w:t>
      </w:r>
      <w:r w:rsidRPr="00E91516">
        <w:t xml:space="preserve">47 CFR § 1.3.  </w:t>
      </w:r>
    </w:p>
  </w:footnote>
  <w:footnote w:id="19">
    <w:p w:rsidR="00ED3BD7" w:rsidP="00ED3BD7" w14:paraId="313FF09E" w14:textId="77777777">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20">
    <w:p w:rsidR="00ED3BD7" w:rsidP="00ED3BD7" w14:paraId="313FF09F" w14:textId="77777777">
      <w:pPr>
        <w:pStyle w:val="FootnoteText"/>
      </w:pPr>
      <w:r>
        <w:rPr>
          <w:rStyle w:val="FootnoteReference"/>
        </w:rPr>
        <w:footnoteRef/>
      </w:r>
      <w:r>
        <w:t xml:space="preserve"> </w:t>
      </w:r>
      <w:r w:rsidRPr="00D954AA">
        <w:rPr>
          <w:i/>
        </w:rPr>
        <w:t>WAIT Radio v. FCC</w:t>
      </w:r>
      <w:r>
        <w:t xml:space="preserve">, 418 F.2d 1153, 1159 (D.C. Cir. 1969); </w:t>
      </w:r>
      <w:r w:rsidRPr="00E91516">
        <w:rPr>
          <w:i/>
        </w:rPr>
        <w:t>Northeast Cellular</w:t>
      </w:r>
      <w:r w:rsidRPr="00E91516">
        <w:t>, 897 F.2d at 1166.</w:t>
      </w:r>
    </w:p>
  </w:footnote>
  <w:footnote w:id="21">
    <w:p w:rsidR="00ED3BD7" w:rsidP="00ED3BD7" w14:paraId="313FF0A0" w14:textId="77777777">
      <w:pPr>
        <w:pStyle w:val="FootnoteText"/>
      </w:pPr>
      <w:r>
        <w:rPr>
          <w:rStyle w:val="FootnoteReference"/>
        </w:rPr>
        <w:footnoteRef/>
      </w:r>
      <w:r>
        <w:t xml:space="preserve"> Petition at 1; Supplemental Petition at 1-2.</w:t>
      </w:r>
    </w:p>
  </w:footnote>
  <w:footnote w:id="22">
    <w:p w:rsidR="00ED3BD7" w:rsidP="00ED3BD7" w14:paraId="313FF0A1" w14:textId="77777777">
      <w:pPr>
        <w:pStyle w:val="FootnoteText"/>
      </w:pPr>
      <w:r>
        <w:rPr>
          <w:rStyle w:val="FootnoteReference"/>
        </w:rPr>
        <w:footnoteRef/>
      </w:r>
      <w:r>
        <w:t xml:space="preserve"> We grant this temporary waiver for two additional weeks beyond the time period requested in the Petition to allow the CPUC to update its procedures and give any necessary guidance to impacted ETCs. </w:t>
      </w:r>
    </w:p>
  </w:footnote>
  <w:footnote w:id="23">
    <w:p w:rsidR="00ED3BD7" w:rsidP="00ED3BD7" w14:paraId="313FF0A2" w14:textId="77777777">
      <w:pPr>
        <w:pStyle w:val="FootnoteText"/>
      </w:pPr>
      <w:r>
        <w:rPr>
          <w:rStyle w:val="FootnoteReference"/>
        </w:rPr>
        <w:footnoteRef/>
      </w:r>
      <w:r>
        <w:t xml:space="preserve"> </w:t>
      </w:r>
      <w:r>
        <w:rPr>
          <w:szCs w:val="22"/>
        </w:rPr>
        <w:t xml:space="preserve">CAL FIRE, a California state agency, releases maps identifying the areas in the state that were impacted by wildfires based on its incident information database.  </w:t>
      </w:r>
      <w:r>
        <w:rPr>
          <w:i/>
          <w:szCs w:val="22"/>
        </w:rPr>
        <w:t xml:space="preserve">See </w:t>
      </w:r>
      <w:r w:rsidRPr="008D07F2">
        <w:rPr>
          <w:szCs w:val="22"/>
        </w:rPr>
        <w:t>CAL FIRE, California Statewide Fire Map</w:t>
      </w:r>
      <w:r>
        <w:rPr>
          <w:i/>
          <w:szCs w:val="22"/>
        </w:rPr>
        <w:t xml:space="preserve">, </w:t>
      </w:r>
      <w:r>
        <w:fldChar w:fldCharType="begin"/>
      </w:r>
      <w:r>
        <w:instrText xml:space="preserve"> HYPERLINK "http://www.calfire.ca.gov/general/firemaps" </w:instrText>
      </w:r>
      <w:r>
        <w:fldChar w:fldCharType="separate"/>
      </w:r>
      <w:r w:rsidRPr="00510E49">
        <w:rPr>
          <w:rStyle w:val="Hyperlink"/>
          <w:szCs w:val="22"/>
        </w:rPr>
        <w:t>http://www.calfire.ca.gov/general/firemaps</w:t>
      </w:r>
      <w:r>
        <w:fldChar w:fldCharType="end"/>
      </w:r>
      <w:r>
        <w:rPr>
          <w:szCs w:val="22"/>
        </w:rPr>
        <w:t xml:space="preserve">(last visited Feb. 5, 2018); CAL FIRE, Incident Information, </w:t>
      </w:r>
      <w:r>
        <w:fldChar w:fldCharType="begin"/>
      </w:r>
      <w:r>
        <w:instrText xml:space="preserve"> HYPERLINK "http://cdfdata.fire.ca.gov/incidents/incidents_archived" </w:instrText>
      </w:r>
      <w:r>
        <w:fldChar w:fldCharType="separate"/>
      </w:r>
      <w:r w:rsidRPr="00510E49">
        <w:rPr>
          <w:rStyle w:val="Hyperlink"/>
          <w:szCs w:val="22"/>
        </w:rPr>
        <w:t>http://cdfdata.fire.ca.gov/incidents/incidents_archived</w:t>
      </w:r>
      <w:r>
        <w:fldChar w:fldCharType="end"/>
      </w:r>
      <w:r>
        <w:rPr>
          <w:szCs w:val="22"/>
        </w:rPr>
        <w:t xml:space="preserve"> (last visited Feb. 5, 2018).</w:t>
      </w:r>
    </w:p>
  </w:footnote>
  <w:footnote w:id="24">
    <w:p w:rsidR="00ED3BD7" w:rsidRPr="00D758C7" w:rsidP="00ED3BD7" w14:paraId="313FF0A3" w14:textId="77777777">
      <w:pPr>
        <w:pStyle w:val="FootnoteText"/>
        <w:rPr>
          <w:i/>
        </w:rPr>
      </w:pPr>
      <w:r>
        <w:rPr>
          <w:rStyle w:val="FootnoteReference"/>
        </w:rPr>
        <w:footnoteRef/>
      </w:r>
      <w:r>
        <w:t xml:space="preserve"> </w:t>
      </w:r>
      <w:r w:rsidRPr="00DC50FE">
        <w:rPr>
          <w:i/>
        </w:rPr>
        <w:t>See</w:t>
      </w:r>
      <w:r>
        <w:t xml:space="preserve"> Petition at 1; Supplemental Petition at 1-2.</w:t>
      </w:r>
    </w:p>
  </w:footnote>
  <w:footnote w:id="25">
    <w:p w:rsidR="00ED3BD7" w:rsidRPr="001019B7" w:rsidP="00ED3BD7" w14:paraId="313FF0A4" w14:textId="77777777">
      <w:pPr>
        <w:pStyle w:val="FootnoteText"/>
      </w:pPr>
      <w:r>
        <w:rPr>
          <w:rStyle w:val="FootnoteReference"/>
        </w:rPr>
        <w:footnoteRef/>
      </w:r>
      <w:r>
        <w:t xml:space="preserve"> 47 CFR §§ 54.405(e)(4), 54.410(f).  </w:t>
      </w:r>
      <w:r>
        <w:rPr>
          <w:i/>
        </w:rPr>
        <w:t>See also</w:t>
      </w:r>
      <w:r>
        <w:t xml:space="preserve"> Appendix A.</w:t>
      </w:r>
    </w:p>
  </w:footnote>
  <w:footnote w:id="26">
    <w:p w:rsidR="00ED3BD7" w:rsidP="00ED3BD7" w14:paraId="313FF0A5" w14:textId="77777777">
      <w:pPr>
        <w:pStyle w:val="FootnoteText"/>
      </w:pPr>
      <w:r>
        <w:rPr>
          <w:rStyle w:val="FootnoteReference"/>
        </w:rPr>
        <w:footnoteRef/>
      </w:r>
      <w:r>
        <w:t xml:space="preserve"> </w:t>
      </w:r>
      <w:r>
        <w:rPr>
          <w:i/>
        </w:rPr>
        <w:t>See</w:t>
      </w:r>
      <w:r>
        <w:t xml:space="preserve"> Petition at 2-3; Supplemental Petition at 2.</w:t>
      </w:r>
    </w:p>
  </w:footnote>
  <w:footnote w:id="27">
    <w:p w:rsidR="00ED3BD7" w:rsidRPr="00D129E4" w:rsidP="00ED3BD7" w14:paraId="313FF0A6" w14:textId="77777777">
      <w:pPr>
        <w:pStyle w:val="FootnoteText"/>
      </w:pPr>
      <w:r>
        <w:rPr>
          <w:rStyle w:val="FootnoteReference"/>
        </w:rPr>
        <w:footnoteRef/>
      </w:r>
      <w:r>
        <w:t xml:space="preserve"> </w:t>
      </w:r>
      <w:r>
        <w:rPr>
          <w:i/>
        </w:rPr>
        <w:t>See</w:t>
      </w:r>
      <w:r>
        <w:t xml:space="preserve"> Petition at 1; Supplemental Petition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501" w14:paraId="26071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3FF083" w14:textId="77777777">
    <w:pPr>
      <w:pStyle w:val="Header"/>
      <w:rPr>
        <w:b w:val="0"/>
      </w:rPr>
    </w:pPr>
    <w:r>
      <w:tab/>
      <w:t>Federal Communications Commission</w:t>
    </w:r>
    <w:r>
      <w:tab/>
    </w:r>
    <w:r w:rsidR="00ED3BD7">
      <w:t>DA 18-</w:t>
    </w:r>
    <w:r>
      <w:t>123</w:t>
    </w:r>
  </w:p>
  <w:p w:rsidR="00D25FB5" w14:paraId="313FF084" w14:textId="1F3CF18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13FF08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3FF08A" w14:textId="0BAE2FC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F33233">
      <w:tab/>
      <w:t>Federal Communications Commission</w:t>
    </w:r>
    <w:r w:rsidR="00F33233">
      <w:tab/>
    </w:r>
    <w:r w:rsidR="00ED3BD7">
      <w:rPr>
        <w:spacing w:val="-2"/>
      </w:rPr>
      <w:t>DA 18-</w:t>
    </w:r>
    <w:r w:rsidR="00F33233">
      <w:rPr>
        <w:spacing w:val="-2"/>
      </w:rPr>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D7"/>
    <w:rsid w:val="00011A19"/>
    <w:rsid w:val="00036039"/>
    <w:rsid w:val="00037F90"/>
    <w:rsid w:val="000875BF"/>
    <w:rsid w:val="00096D8C"/>
    <w:rsid w:val="000A4E98"/>
    <w:rsid w:val="000C0B65"/>
    <w:rsid w:val="000E05FE"/>
    <w:rsid w:val="000E3D42"/>
    <w:rsid w:val="001019B7"/>
    <w:rsid w:val="00122BD5"/>
    <w:rsid w:val="00133F79"/>
    <w:rsid w:val="00171041"/>
    <w:rsid w:val="00194A66"/>
    <w:rsid w:val="001D6BCF"/>
    <w:rsid w:val="001E01CA"/>
    <w:rsid w:val="00275CF5"/>
    <w:rsid w:val="002775D1"/>
    <w:rsid w:val="0028301F"/>
    <w:rsid w:val="00285017"/>
    <w:rsid w:val="002A2D2E"/>
    <w:rsid w:val="002C00E8"/>
    <w:rsid w:val="00330281"/>
    <w:rsid w:val="00343749"/>
    <w:rsid w:val="003660ED"/>
    <w:rsid w:val="003B0550"/>
    <w:rsid w:val="003B694F"/>
    <w:rsid w:val="003C73D8"/>
    <w:rsid w:val="003F171C"/>
    <w:rsid w:val="00412FC5"/>
    <w:rsid w:val="00422276"/>
    <w:rsid w:val="004242F1"/>
    <w:rsid w:val="00445A00"/>
    <w:rsid w:val="00451B0F"/>
    <w:rsid w:val="004C2EE3"/>
    <w:rsid w:val="004E4A22"/>
    <w:rsid w:val="00510E49"/>
    <w:rsid w:val="00511968"/>
    <w:rsid w:val="0055614C"/>
    <w:rsid w:val="005A1E0E"/>
    <w:rsid w:val="005E14C2"/>
    <w:rsid w:val="005F6367"/>
    <w:rsid w:val="00607BA5"/>
    <w:rsid w:val="0061180A"/>
    <w:rsid w:val="00626EB6"/>
    <w:rsid w:val="00655D03"/>
    <w:rsid w:val="00682D16"/>
    <w:rsid w:val="00683388"/>
    <w:rsid w:val="00683F84"/>
    <w:rsid w:val="006A6A81"/>
    <w:rsid w:val="006B3699"/>
    <w:rsid w:val="006E1205"/>
    <w:rsid w:val="006F7393"/>
    <w:rsid w:val="0070224F"/>
    <w:rsid w:val="007115F7"/>
    <w:rsid w:val="00785689"/>
    <w:rsid w:val="0079754B"/>
    <w:rsid w:val="007A1E6D"/>
    <w:rsid w:val="007B0EB2"/>
    <w:rsid w:val="007F4200"/>
    <w:rsid w:val="00810B6F"/>
    <w:rsid w:val="00822CE0"/>
    <w:rsid w:val="00841AB1"/>
    <w:rsid w:val="00897501"/>
    <w:rsid w:val="008C4228"/>
    <w:rsid w:val="008C68F1"/>
    <w:rsid w:val="008D07F2"/>
    <w:rsid w:val="00905231"/>
    <w:rsid w:val="00921803"/>
    <w:rsid w:val="009227D6"/>
    <w:rsid w:val="00926503"/>
    <w:rsid w:val="0096185F"/>
    <w:rsid w:val="00964855"/>
    <w:rsid w:val="009726D8"/>
    <w:rsid w:val="009F76DB"/>
    <w:rsid w:val="00A270FF"/>
    <w:rsid w:val="00A32C3B"/>
    <w:rsid w:val="00A45F4F"/>
    <w:rsid w:val="00A600A9"/>
    <w:rsid w:val="00AA55B7"/>
    <w:rsid w:val="00AA5B9E"/>
    <w:rsid w:val="00AB2407"/>
    <w:rsid w:val="00AB53DF"/>
    <w:rsid w:val="00B07E5C"/>
    <w:rsid w:val="00B811F7"/>
    <w:rsid w:val="00B86924"/>
    <w:rsid w:val="00BA211F"/>
    <w:rsid w:val="00BA5DC6"/>
    <w:rsid w:val="00BA6196"/>
    <w:rsid w:val="00BC6D8C"/>
    <w:rsid w:val="00BD2F65"/>
    <w:rsid w:val="00BD4F9A"/>
    <w:rsid w:val="00BF0D5B"/>
    <w:rsid w:val="00C34006"/>
    <w:rsid w:val="00C426B1"/>
    <w:rsid w:val="00C53A02"/>
    <w:rsid w:val="00C66160"/>
    <w:rsid w:val="00C721AC"/>
    <w:rsid w:val="00C90D6A"/>
    <w:rsid w:val="00CA247E"/>
    <w:rsid w:val="00CC72B6"/>
    <w:rsid w:val="00D0218D"/>
    <w:rsid w:val="00D129E4"/>
    <w:rsid w:val="00D25FB5"/>
    <w:rsid w:val="00D44223"/>
    <w:rsid w:val="00D758C7"/>
    <w:rsid w:val="00D954AA"/>
    <w:rsid w:val="00DA2529"/>
    <w:rsid w:val="00DB130A"/>
    <w:rsid w:val="00DB2EBB"/>
    <w:rsid w:val="00DC10A1"/>
    <w:rsid w:val="00DC50FE"/>
    <w:rsid w:val="00DC655F"/>
    <w:rsid w:val="00DD0B59"/>
    <w:rsid w:val="00DD7EBD"/>
    <w:rsid w:val="00DF62B6"/>
    <w:rsid w:val="00E07225"/>
    <w:rsid w:val="00E5409F"/>
    <w:rsid w:val="00E91516"/>
    <w:rsid w:val="00ED3BD7"/>
    <w:rsid w:val="00EE6488"/>
    <w:rsid w:val="00F021FA"/>
    <w:rsid w:val="00F33233"/>
    <w:rsid w:val="00F55394"/>
    <w:rsid w:val="00F62E97"/>
    <w:rsid w:val="00F64209"/>
    <w:rsid w:val="00F93BF5"/>
    <w:rsid w:val="00FC4832"/>
    <w:rsid w:val="00FE6942"/>
    <w:rsid w:val="00FF69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D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rsid w:val="00ED3BD7"/>
  </w:style>
  <w:style w:type="table" w:styleId="TableGrid">
    <w:name w:val="Table Grid"/>
    <w:basedOn w:val="TableNormal"/>
    <w:rsid w:val="0090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C813-5B8C-4F74-A472-7B24B6C6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2018-02-09T17:41:54Z</dcterms:created>
  <dcterms:modified xsi:type="dcterms:W3CDTF">2018-02-09T17:41:54Z</dcterms:modified>
</cp:coreProperties>
</file>