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65A50" w14:textId="77777777" w:rsidR="008E661E" w:rsidRDefault="008E661E" w:rsidP="008E661E">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3CA391D2" w14:textId="77777777" w:rsidR="008E661E" w:rsidRDefault="008E661E" w:rsidP="008E661E">
      <w:pPr>
        <w:pStyle w:val="StyleBoldCentered"/>
      </w:pPr>
      <w:r>
        <w:t>F</w:t>
      </w:r>
      <w:r>
        <w:rPr>
          <w:caps w:val="0"/>
        </w:rPr>
        <w:t>ederal Communications Commission</w:t>
      </w:r>
    </w:p>
    <w:p w14:paraId="6A1DE833" w14:textId="77777777" w:rsidR="008E661E" w:rsidRDefault="008E661E" w:rsidP="008E661E">
      <w:pPr>
        <w:pStyle w:val="StyleBoldCentered"/>
      </w:pPr>
      <w:r>
        <w:rPr>
          <w:caps w:val="0"/>
        </w:rPr>
        <w:t>Washington, D.C. 20554</w:t>
      </w:r>
    </w:p>
    <w:p w14:paraId="1861CE3D" w14:textId="77777777" w:rsidR="008E661E" w:rsidRDefault="008E661E" w:rsidP="008E661E"/>
    <w:p w14:paraId="7B31A83D" w14:textId="77777777" w:rsidR="008E661E" w:rsidRDefault="008E661E" w:rsidP="008E661E"/>
    <w:tbl>
      <w:tblPr>
        <w:tblW w:w="0" w:type="auto"/>
        <w:tblLayout w:type="fixed"/>
        <w:tblLook w:val="0000" w:firstRow="0" w:lastRow="0" w:firstColumn="0" w:lastColumn="0" w:noHBand="0" w:noVBand="0"/>
      </w:tblPr>
      <w:tblGrid>
        <w:gridCol w:w="4698"/>
        <w:gridCol w:w="630"/>
        <w:gridCol w:w="4248"/>
      </w:tblGrid>
      <w:tr w:rsidR="008E661E" w:rsidRPr="00C14C97" w14:paraId="0F08A414" w14:textId="77777777" w:rsidTr="000C039C">
        <w:tc>
          <w:tcPr>
            <w:tcW w:w="4698" w:type="dxa"/>
            <w:tcBorders>
              <w:top w:val="nil"/>
              <w:left w:val="nil"/>
              <w:bottom w:val="nil"/>
              <w:right w:val="nil"/>
            </w:tcBorders>
          </w:tcPr>
          <w:p w14:paraId="3B102133" w14:textId="77777777" w:rsidR="008E661E" w:rsidRPr="00C14C97" w:rsidRDefault="008E661E" w:rsidP="000C039C">
            <w:pPr>
              <w:widowControl/>
              <w:tabs>
                <w:tab w:val="center" w:pos="4680"/>
              </w:tabs>
              <w:suppressAutoHyphens/>
              <w:rPr>
                <w:snapToGrid/>
                <w:spacing w:val="-2"/>
                <w:szCs w:val="22"/>
              </w:rPr>
            </w:pPr>
            <w:r w:rsidRPr="00C14C97">
              <w:rPr>
                <w:spacing w:val="-2"/>
                <w:szCs w:val="22"/>
              </w:rPr>
              <w:t>In the Matter of</w:t>
            </w:r>
          </w:p>
          <w:p w14:paraId="74D670E0" w14:textId="77777777" w:rsidR="008E661E" w:rsidRPr="00C14C97" w:rsidRDefault="008E661E" w:rsidP="000C039C">
            <w:pPr>
              <w:widowControl/>
              <w:tabs>
                <w:tab w:val="center" w:pos="4680"/>
              </w:tabs>
              <w:suppressAutoHyphens/>
              <w:rPr>
                <w:snapToGrid/>
                <w:spacing w:val="-2"/>
                <w:szCs w:val="22"/>
              </w:rPr>
            </w:pPr>
          </w:p>
          <w:p w14:paraId="61B528ED" w14:textId="77777777" w:rsidR="008E661E" w:rsidRPr="00C14C97" w:rsidRDefault="008E661E" w:rsidP="000C039C">
            <w:pPr>
              <w:widowControl/>
              <w:tabs>
                <w:tab w:val="center" w:pos="4680"/>
              </w:tabs>
              <w:suppressAutoHyphens/>
              <w:rPr>
                <w:snapToGrid/>
                <w:spacing w:val="-2"/>
                <w:szCs w:val="22"/>
              </w:rPr>
            </w:pPr>
            <w:r w:rsidRPr="00C14C97">
              <w:rPr>
                <w:spacing w:val="-2"/>
                <w:szCs w:val="22"/>
              </w:rPr>
              <w:t xml:space="preserve">Modernizing the E-rate </w:t>
            </w:r>
          </w:p>
          <w:p w14:paraId="7DEFE722" w14:textId="77777777" w:rsidR="008E661E" w:rsidRDefault="008E661E" w:rsidP="000C039C">
            <w:pPr>
              <w:widowControl/>
              <w:tabs>
                <w:tab w:val="center" w:pos="4680"/>
              </w:tabs>
              <w:suppressAutoHyphens/>
              <w:rPr>
                <w:snapToGrid/>
                <w:spacing w:val="-2"/>
                <w:szCs w:val="22"/>
              </w:rPr>
            </w:pPr>
            <w:r w:rsidRPr="00C14C97">
              <w:rPr>
                <w:spacing w:val="-2"/>
                <w:szCs w:val="22"/>
              </w:rPr>
              <w:t>Program for Schools and Libraries</w:t>
            </w:r>
          </w:p>
          <w:p w14:paraId="7782F7C9" w14:textId="77777777" w:rsidR="008E661E" w:rsidRDefault="008E661E" w:rsidP="000C039C">
            <w:pPr>
              <w:widowControl/>
              <w:tabs>
                <w:tab w:val="center" w:pos="4680"/>
              </w:tabs>
              <w:suppressAutoHyphens/>
              <w:rPr>
                <w:snapToGrid/>
                <w:spacing w:val="-2"/>
                <w:szCs w:val="22"/>
              </w:rPr>
            </w:pPr>
          </w:p>
          <w:p w14:paraId="7668E4B5" w14:textId="77777777" w:rsidR="008E661E" w:rsidRPr="00AD774F" w:rsidRDefault="008E661E" w:rsidP="000C039C">
            <w:pPr>
              <w:widowControl/>
              <w:tabs>
                <w:tab w:val="center" w:pos="4680"/>
              </w:tabs>
              <w:suppressAutoHyphens/>
              <w:rPr>
                <w:spacing w:val="-2"/>
                <w:szCs w:val="22"/>
              </w:rPr>
            </w:pPr>
            <w:r w:rsidRPr="00AD774F">
              <w:rPr>
                <w:spacing w:val="-2"/>
                <w:szCs w:val="22"/>
              </w:rPr>
              <w:t>Schools and Libraries Universal Service</w:t>
            </w:r>
          </w:p>
          <w:p w14:paraId="311AFC59" w14:textId="77777777" w:rsidR="008E661E" w:rsidRPr="00C14C97" w:rsidRDefault="008E661E" w:rsidP="000C039C">
            <w:pPr>
              <w:widowControl/>
              <w:tabs>
                <w:tab w:val="center" w:pos="4680"/>
              </w:tabs>
              <w:suppressAutoHyphens/>
              <w:rPr>
                <w:snapToGrid/>
                <w:szCs w:val="22"/>
              </w:rPr>
            </w:pPr>
            <w:r w:rsidRPr="00AD774F">
              <w:rPr>
                <w:spacing w:val="-2"/>
                <w:szCs w:val="22"/>
              </w:rPr>
              <w:t>Support Mechanism</w:t>
            </w:r>
          </w:p>
        </w:tc>
        <w:tc>
          <w:tcPr>
            <w:tcW w:w="630" w:type="dxa"/>
            <w:tcBorders>
              <w:top w:val="nil"/>
              <w:left w:val="nil"/>
              <w:bottom w:val="nil"/>
              <w:right w:val="nil"/>
            </w:tcBorders>
          </w:tcPr>
          <w:p w14:paraId="734FC143" w14:textId="77777777" w:rsidR="008E661E" w:rsidRPr="00C14C97" w:rsidRDefault="008E661E" w:rsidP="000C039C">
            <w:pPr>
              <w:widowControl/>
              <w:tabs>
                <w:tab w:val="center" w:pos="4680"/>
              </w:tabs>
              <w:suppressAutoHyphens/>
              <w:rPr>
                <w:b/>
                <w:snapToGrid/>
                <w:spacing w:val="-2"/>
                <w:szCs w:val="22"/>
              </w:rPr>
            </w:pPr>
            <w:r w:rsidRPr="00C14C97">
              <w:rPr>
                <w:b/>
                <w:spacing w:val="-2"/>
                <w:szCs w:val="22"/>
              </w:rPr>
              <w:t>)</w:t>
            </w:r>
          </w:p>
          <w:p w14:paraId="55B62CDC" w14:textId="77777777" w:rsidR="008E661E" w:rsidRPr="00C14C97" w:rsidRDefault="008E661E" w:rsidP="000C039C">
            <w:pPr>
              <w:widowControl/>
              <w:tabs>
                <w:tab w:val="center" w:pos="4680"/>
              </w:tabs>
              <w:suppressAutoHyphens/>
              <w:rPr>
                <w:b/>
                <w:snapToGrid/>
                <w:spacing w:val="-2"/>
                <w:szCs w:val="22"/>
              </w:rPr>
            </w:pPr>
            <w:r w:rsidRPr="00C14C97">
              <w:rPr>
                <w:b/>
                <w:spacing w:val="-2"/>
                <w:szCs w:val="22"/>
              </w:rPr>
              <w:t>)</w:t>
            </w:r>
          </w:p>
          <w:p w14:paraId="48E3E823" w14:textId="77777777" w:rsidR="008E661E" w:rsidRPr="00C14C97" w:rsidRDefault="008E661E" w:rsidP="000C039C">
            <w:pPr>
              <w:widowControl/>
              <w:tabs>
                <w:tab w:val="center" w:pos="4680"/>
              </w:tabs>
              <w:suppressAutoHyphens/>
              <w:rPr>
                <w:b/>
                <w:snapToGrid/>
                <w:spacing w:val="-2"/>
                <w:szCs w:val="22"/>
              </w:rPr>
            </w:pPr>
            <w:r w:rsidRPr="00C14C97">
              <w:rPr>
                <w:b/>
                <w:spacing w:val="-2"/>
                <w:szCs w:val="22"/>
              </w:rPr>
              <w:t>)</w:t>
            </w:r>
          </w:p>
          <w:p w14:paraId="6A4D55FD" w14:textId="77777777" w:rsidR="008E661E" w:rsidRDefault="008E661E" w:rsidP="000C039C">
            <w:pPr>
              <w:widowControl/>
              <w:tabs>
                <w:tab w:val="center" w:pos="4680"/>
              </w:tabs>
              <w:suppressAutoHyphens/>
              <w:rPr>
                <w:b/>
                <w:snapToGrid/>
                <w:spacing w:val="-2"/>
                <w:szCs w:val="22"/>
              </w:rPr>
            </w:pPr>
            <w:r w:rsidRPr="00C14C97">
              <w:rPr>
                <w:b/>
                <w:spacing w:val="-2"/>
                <w:szCs w:val="22"/>
              </w:rPr>
              <w:t>)</w:t>
            </w:r>
          </w:p>
          <w:p w14:paraId="33E8AB7E" w14:textId="77777777" w:rsidR="008E661E" w:rsidRDefault="008E661E" w:rsidP="000C039C">
            <w:pPr>
              <w:widowControl/>
              <w:tabs>
                <w:tab w:val="center" w:pos="4680"/>
              </w:tabs>
              <w:suppressAutoHyphens/>
              <w:rPr>
                <w:b/>
                <w:snapToGrid/>
                <w:spacing w:val="-2"/>
                <w:szCs w:val="22"/>
              </w:rPr>
            </w:pPr>
            <w:r>
              <w:rPr>
                <w:b/>
                <w:spacing w:val="-2"/>
                <w:szCs w:val="22"/>
              </w:rPr>
              <w:t>)</w:t>
            </w:r>
          </w:p>
          <w:p w14:paraId="0007DFC9" w14:textId="77777777" w:rsidR="008E661E" w:rsidRDefault="008E661E" w:rsidP="000C039C">
            <w:pPr>
              <w:widowControl/>
              <w:tabs>
                <w:tab w:val="center" w:pos="4680"/>
              </w:tabs>
              <w:suppressAutoHyphens/>
              <w:rPr>
                <w:b/>
                <w:spacing w:val="-2"/>
                <w:szCs w:val="22"/>
              </w:rPr>
            </w:pPr>
            <w:r>
              <w:rPr>
                <w:b/>
                <w:spacing w:val="-2"/>
                <w:szCs w:val="22"/>
              </w:rPr>
              <w:t>)</w:t>
            </w:r>
          </w:p>
          <w:p w14:paraId="4920E1C9" w14:textId="77777777" w:rsidR="008E661E" w:rsidRPr="00C14C97" w:rsidRDefault="008E661E" w:rsidP="000C039C">
            <w:pPr>
              <w:widowControl/>
              <w:tabs>
                <w:tab w:val="center" w:pos="4680"/>
              </w:tabs>
              <w:suppressAutoHyphens/>
              <w:rPr>
                <w:b/>
                <w:snapToGrid/>
                <w:spacing w:val="-2"/>
                <w:szCs w:val="22"/>
              </w:rPr>
            </w:pPr>
            <w:r>
              <w:rPr>
                <w:b/>
                <w:spacing w:val="-2"/>
                <w:szCs w:val="22"/>
              </w:rPr>
              <w:t>)</w:t>
            </w:r>
          </w:p>
        </w:tc>
        <w:tc>
          <w:tcPr>
            <w:tcW w:w="4248" w:type="dxa"/>
            <w:tcBorders>
              <w:top w:val="nil"/>
              <w:left w:val="nil"/>
              <w:bottom w:val="nil"/>
              <w:right w:val="nil"/>
            </w:tcBorders>
          </w:tcPr>
          <w:p w14:paraId="0D82A59B" w14:textId="77777777" w:rsidR="008E661E" w:rsidRPr="00C14C97" w:rsidRDefault="008E661E" w:rsidP="000C039C">
            <w:pPr>
              <w:widowControl/>
              <w:tabs>
                <w:tab w:val="center" w:pos="4680"/>
              </w:tabs>
              <w:suppressAutoHyphens/>
              <w:rPr>
                <w:spacing w:val="-2"/>
                <w:szCs w:val="22"/>
              </w:rPr>
            </w:pPr>
          </w:p>
          <w:p w14:paraId="6817D44B" w14:textId="77777777" w:rsidR="008E661E" w:rsidRPr="00C14C97" w:rsidRDefault="008E661E" w:rsidP="000C039C">
            <w:pPr>
              <w:pStyle w:val="TOAHeading"/>
              <w:widowControl/>
              <w:tabs>
                <w:tab w:val="clear" w:pos="9360"/>
                <w:tab w:val="center" w:pos="4680"/>
              </w:tabs>
              <w:rPr>
                <w:spacing w:val="-2"/>
                <w:szCs w:val="22"/>
              </w:rPr>
            </w:pPr>
          </w:p>
          <w:p w14:paraId="753828CB" w14:textId="77777777" w:rsidR="008E661E" w:rsidRPr="00C14C97" w:rsidRDefault="008E661E" w:rsidP="000C039C">
            <w:pPr>
              <w:widowControl/>
              <w:tabs>
                <w:tab w:val="center" w:pos="4680"/>
              </w:tabs>
              <w:suppressAutoHyphens/>
              <w:rPr>
                <w:snapToGrid/>
                <w:spacing w:val="-2"/>
                <w:szCs w:val="22"/>
                <w:lang w:val="sv-SE"/>
              </w:rPr>
            </w:pPr>
            <w:r w:rsidRPr="00C14C97">
              <w:rPr>
                <w:spacing w:val="-2"/>
                <w:szCs w:val="22"/>
                <w:lang w:val="sv-SE"/>
              </w:rPr>
              <w:t>WC Docket No. 13-184</w:t>
            </w:r>
          </w:p>
          <w:p w14:paraId="0681F500" w14:textId="77777777" w:rsidR="008E661E" w:rsidRDefault="008E661E" w:rsidP="000C039C">
            <w:pPr>
              <w:widowControl/>
              <w:tabs>
                <w:tab w:val="center" w:pos="4680"/>
              </w:tabs>
              <w:suppressAutoHyphens/>
              <w:rPr>
                <w:snapToGrid/>
                <w:kern w:val="0"/>
                <w:szCs w:val="22"/>
              </w:rPr>
            </w:pPr>
          </w:p>
          <w:p w14:paraId="42A0C137" w14:textId="77777777" w:rsidR="008E661E" w:rsidRDefault="008E661E" w:rsidP="000C039C">
            <w:pPr>
              <w:widowControl/>
              <w:tabs>
                <w:tab w:val="center" w:pos="4680"/>
              </w:tabs>
              <w:suppressAutoHyphens/>
              <w:rPr>
                <w:snapToGrid/>
                <w:kern w:val="0"/>
                <w:szCs w:val="22"/>
              </w:rPr>
            </w:pPr>
          </w:p>
          <w:p w14:paraId="2C212802" w14:textId="77777777" w:rsidR="008E661E" w:rsidRPr="00C14C97" w:rsidRDefault="008E661E" w:rsidP="000C039C">
            <w:pPr>
              <w:widowControl/>
              <w:tabs>
                <w:tab w:val="center" w:pos="4680"/>
              </w:tabs>
              <w:suppressAutoHyphens/>
              <w:rPr>
                <w:snapToGrid/>
                <w:kern w:val="0"/>
                <w:szCs w:val="22"/>
              </w:rPr>
            </w:pPr>
            <w:r w:rsidRPr="00AD774F">
              <w:rPr>
                <w:kern w:val="0"/>
                <w:szCs w:val="22"/>
              </w:rPr>
              <w:t>CC Docket No. 02-6</w:t>
            </w:r>
          </w:p>
        </w:tc>
      </w:tr>
    </w:tbl>
    <w:p w14:paraId="598B5474" w14:textId="77777777" w:rsidR="008E661E" w:rsidRDefault="008E661E" w:rsidP="008E661E"/>
    <w:p w14:paraId="5133C107" w14:textId="77777777" w:rsidR="008E661E" w:rsidRDefault="008E661E" w:rsidP="008E661E">
      <w:pPr>
        <w:pStyle w:val="StyleBoldCentered"/>
      </w:pPr>
      <w:r>
        <w:t>report</w:t>
      </w:r>
    </w:p>
    <w:p w14:paraId="4981100B" w14:textId="77777777" w:rsidR="008E661E" w:rsidRDefault="008E661E" w:rsidP="008E661E">
      <w:pPr>
        <w:tabs>
          <w:tab w:val="left" w:pos="-720"/>
        </w:tabs>
        <w:suppressAutoHyphens/>
        <w:spacing w:line="227" w:lineRule="auto"/>
        <w:rPr>
          <w:spacing w:val="-2"/>
        </w:rPr>
      </w:pPr>
    </w:p>
    <w:p w14:paraId="7751626A" w14:textId="77777777" w:rsidR="008E661E" w:rsidRDefault="008E661E" w:rsidP="008E661E">
      <w:pPr>
        <w:tabs>
          <w:tab w:val="left" w:pos="720"/>
          <w:tab w:val="right" w:pos="9360"/>
        </w:tabs>
        <w:suppressAutoHyphens/>
        <w:spacing w:line="227" w:lineRule="auto"/>
        <w:rPr>
          <w:spacing w:val="-2"/>
        </w:rPr>
      </w:pPr>
      <w:r>
        <w:rPr>
          <w:b/>
          <w:spacing w:val="-2"/>
        </w:rPr>
        <w:t>Adopted:  October 2, 2017</w:t>
      </w:r>
      <w:r>
        <w:rPr>
          <w:b/>
          <w:spacing w:val="-2"/>
        </w:rPr>
        <w:tab/>
        <w:t>Released:  October 2, 2017</w:t>
      </w:r>
    </w:p>
    <w:p w14:paraId="08397658" w14:textId="77777777" w:rsidR="008E661E" w:rsidRDefault="008E661E" w:rsidP="008E661E"/>
    <w:p w14:paraId="1F7DCEEF" w14:textId="77777777" w:rsidR="008E661E" w:rsidRDefault="008E661E" w:rsidP="008E661E">
      <w:pPr>
        <w:rPr>
          <w:spacing w:val="-2"/>
        </w:rPr>
      </w:pPr>
      <w:r>
        <w:t xml:space="preserve">By the </w:t>
      </w:r>
      <w:r>
        <w:rPr>
          <w:spacing w:val="-2"/>
        </w:rPr>
        <w:t>Wireline Competition Bureau:</w:t>
      </w:r>
    </w:p>
    <w:p w14:paraId="38786CCF" w14:textId="77777777" w:rsidR="008E661E" w:rsidRDefault="008E661E" w:rsidP="008E661E"/>
    <w:p w14:paraId="7EF30DB3" w14:textId="77777777" w:rsidR="008E661E" w:rsidRDefault="008E661E" w:rsidP="008E661E">
      <w:pPr>
        <w:pStyle w:val="Heading1"/>
      </w:pPr>
      <w:r>
        <w:t>introduction</w:t>
      </w:r>
    </w:p>
    <w:p w14:paraId="4D617753" w14:textId="77777777" w:rsidR="008E661E" w:rsidRDefault="008E661E" w:rsidP="008E661E">
      <w:pPr>
        <w:pStyle w:val="ParaNum"/>
      </w:pPr>
      <w:r>
        <w:t xml:space="preserve">The Wireline Competition Bureau (Bureau) presents this report on voice services in the </w:t>
      </w:r>
      <w:r>
        <w:rPr>
          <w:szCs w:val="22"/>
        </w:rPr>
        <w:t xml:space="preserve">schools and libraries universal service support mechanism (more commonly known as the E-rate program), as directed by the Commission in its </w:t>
      </w:r>
      <w:r w:rsidRPr="000A583E">
        <w:rPr>
          <w:i/>
          <w:szCs w:val="22"/>
        </w:rPr>
        <w:t xml:space="preserve">2014 </w:t>
      </w:r>
      <w:r>
        <w:rPr>
          <w:i/>
          <w:szCs w:val="22"/>
        </w:rPr>
        <w:t>E-rate Order</w:t>
      </w:r>
      <w:r>
        <w:t>.</w:t>
      </w:r>
      <w:r>
        <w:rPr>
          <w:rStyle w:val="FootnoteReference"/>
        </w:rPr>
        <w:footnoteReference w:id="2"/>
      </w:r>
      <w:r>
        <w:t xml:space="preserve">  During the phasedown of voice services which began in funding year 2015, fewer applicants have applied for voice services, though most of the applicants who no longer apply for voice services continue to seek E-rate support for other services.  Further, the majority of the applicants who did not receive E-rate support for any service other than voice services in funding year 2014 now receive E-rate support for services other than voice.  </w:t>
      </w:r>
    </w:p>
    <w:p w14:paraId="2F2B8930" w14:textId="77777777" w:rsidR="008E661E" w:rsidRDefault="008E661E" w:rsidP="008E661E">
      <w:pPr>
        <w:pStyle w:val="Heading1"/>
      </w:pPr>
      <w:r>
        <w:t>Background</w:t>
      </w:r>
    </w:p>
    <w:p w14:paraId="343ACEB4" w14:textId="77777777" w:rsidR="008E661E" w:rsidRPr="00073518" w:rsidRDefault="008E661E" w:rsidP="008E661E">
      <w:pPr>
        <w:pStyle w:val="ParaNum"/>
      </w:pPr>
      <w:r w:rsidRPr="00536E29">
        <w:rPr>
          <w:snapToGrid/>
          <w:szCs w:val="22"/>
        </w:rPr>
        <w:t>Under the E-rate program, eligible schools, libraries, and consortia that include eligible schools and libraries may apply for discounts for eligible services</w:t>
      </w:r>
      <w:r>
        <w:rPr>
          <w:snapToGrid/>
          <w:szCs w:val="22"/>
        </w:rPr>
        <w:t>, which include telecommunications services, telecommunications, Internet access, internal connections, basic maintenance of internal connections, and managed internal broadband services</w:t>
      </w:r>
      <w:r w:rsidRPr="00536E29">
        <w:rPr>
          <w:snapToGrid/>
          <w:szCs w:val="22"/>
        </w:rPr>
        <w:t>.</w:t>
      </w:r>
      <w:r w:rsidRPr="00536E29">
        <w:rPr>
          <w:snapToGrid/>
          <w:szCs w:val="22"/>
          <w:vertAlign w:val="superscript"/>
        </w:rPr>
        <w:footnoteReference w:id="3"/>
      </w:r>
      <w:r w:rsidRPr="00536E29">
        <w:rPr>
          <w:snapToGrid/>
          <w:szCs w:val="22"/>
        </w:rPr>
        <w:t xml:space="preserve">  </w:t>
      </w:r>
      <w:r>
        <w:rPr>
          <w:szCs w:val="22"/>
        </w:rPr>
        <w:t xml:space="preserve">In the </w:t>
      </w:r>
      <w:r>
        <w:rPr>
          <w:i/>
          <w:szCs w:val="22"/>
        </w:rPr>
        <w:t xml:space="preserve">2014 E-rate </w:t>
      </w:r>
      <w:r w:rsidRPr="004D1A82">
        <w:rPr>
          <w:i/>
          <w:szCs w:val="22"/>
        </w:rPr>
        <w:t>Order</w:t>
      </w:r>
      <w:r>
        <w:rPr>
          <w:szCs w:val="22"/>
        </w:rPr>
        <w:t>, the Commission took steps to change the E-rate program by focusing support on broadband to and within schools and libraries.</w:t>
      </w:r>
      <w:r>
        <w:rPr>
          <w:rStyle w:val="FootnoteReference"/>
          <w:szCs w:val="22"/>
        </w:rPr>
        <w:footnoteReference w:id="4"/>
      </w:r>
      <w:r>
        <w:rPr>
          <w:szCs w:val="22"/>
        </w:rPr>
        <w:t xml:space="preserve">  In that </w:t>
      </w:r>
      <w:r w:rsidRPr="00DE182C">
        <w:rPr>
          <w:szCs w:val="22"/>
        </w:rPr>
        <w:t>Order</w:t>
      </w:r>
      <w:r>
        <w:rPr>
          <w:szCs w:val="22"/>
        </w:rPr>
        <w:t>, the Commission began a phasedown of voice services, which accounted for approximately one-third of all E-rate support in funding year 2013.</w:t>
      </w:r>
      <w:r>
        <w:rPr>
          <w:rStyle w:val="FootnoteReference"/>
          <w:szCs w:val="22"/>
        </w:rPr>
        <w:footnoteReference w:id="5"/>
      </w:r>
    </w:p>
    <w:p w14:paraId="4F18A82E" w14:textId="77777777" w:rsidR="008E661E" w:rsidRDefault="008E661E" w:rsidP="008E661E">
      <w:pPr>
        <w:pStyle w:val="ParaNum"/>
      </w:pPr>
      <w:r>
        <w:t>The Commission phased down support for voice services over a four-year period.</w:t>
      </w:r>
      <w:r>
        <w:rPr>
          <w:rStyle w:val="FootnoteReference"/>
          <w:szCs w:val="22"/>
        </w:rPr>
        <w:footnoteReference w:id="6"/>
      </w:r>
      <w:r>
        <w:t xml:space="preserve">  Beginning in funding year 2015, discount rates for voice services have decreased by twenty percentage </w:t>
      </w:r>
      <w:r>
        <w:lastRenderedPageBreak/>
        <w:t>points each year.</w:t>
      </w:r>
      <w:r w:rsidRPr="000C513A">
        <w:rPr>
          <w:vertAlign w:val="superscript"/>
        </w:rPr>
        <w:footnoteReference w:id="7"/>
      </w:r>
      <w:r>
        <w:t xml:space="preserve">  </w:t>
      </w:r>
      <w:r w:rsidRPr="006E69F6">
        <w:t xml:space="preserve">For example, a school district that is eligible for an 80 percent discount for </w:t>
      </w:r>
      <w:r>
        <w:t>non-voice c</w:t>
      </w:r>
      <w:r w:rsidRPr="006E69F6">
        <w:t xml:space="preserve">ategory </w:t>
      </w:r>
      <w:r>
        <w:t>o</w:t>
      </w:r>
      <w:r w:rsidRPr="006E69F6">
        <w:t xml:space="preserve">ne services was eligible for a 60 percent discount on voice services for funding year 2015 and </w:t>
      </w:r>
      <w:r>
        <w:t>was</w:t>
      </w:r>
      <w:r w:rsidRPr="006E69F6">
        <w:t xml:space="preserve"> eligible for a 40 percent discount on voice services for funding year 2016.  </w:t>
      </w:r>
      <w:r>
        <w:t>By funding year 2019, E-rate will no longer support voice services.</w:t>
      </w:r>
      <w:r w:rsidRPr="000D5C61">
        <w:t xml:space="preserve"> </w:t>
      </w:r>
      <w:r>
        <w:t xml:space="preserve"> The phasedown of support for voice services includes local phone service, long distance service, plain old telephone service (POTS), radio loop, 800 service, satellite telephone, shared telephone service, Centrex, wireless telephone service, and interconnected Voice over Internet Protocol (VoIP).</w:t>
      </w:r>
      <w:r>
        <w:rPr>
          <w:rStyle w:val="FootnoteReference"/>
          <w:szCs w:val="22"/>
        </w:rPr>
        <w:footnoteReference w:id="8"/>
      </w:r>
      <w:r>
        <w:t xml:space="preserve">  </w:t>
      </w:r>
    </w:p>
    <w:p w14:paraId="7FF8CFEA" w14:textId="77777777" w:rsidR="008E661E" w:rsidRPr="006E69F6" w:rsidRDefault="008E661E" w:rsidP="008E661E">
      <w:pPr>
        <w:pStyle w:val="ParaNum"/>
      </w:pPr>
      <w:r>
        <w:rPr>
          <w:szCs w:val="22"/>
        </w:rPr>
        <w:t xml:space="preserve">In the </w:t>
      </w:r>
      <w:r>
        <w:rPr>
          <w:i/>
          <w:szCs w:val="22"/>
        </w:rPr>
        <w:t>2014 E-rate Order</w:t>
      </w:r>
      <w:r>
        <w:rPr>
          <w:szCs w:val="22"/>
        </w:rPr>
        <w:t>, the Commission directed the Bureau to evaluate the impact of the voice services phasedown on applicants and issue a report to the Commission on its findings after the completion of funding year 2016 and prior to October 1, 2017.</w:t>
      </w:r>
      <w:r>
        <w:rPr>
          <w:rStyle w:val="FootnoteReference"/>
          <w:szCs w:val="22"/>
        </w:rPr>
        <w:footnoteReference w:id="9"/>
      </w:r>
      <w:r>
        <w:rPr>
          <w:szCs w:val="22"/>
        </w:rPr>
        <w:t xml:space="preserve">  If the Commission takes no further action after the Bureau issues this report, the phasedown will continue until no funding is available for voice services in funding year 2019.</w:t>
      </w:r>
      <w:r>
        <w:rPr>
          <w:rStyle w:val="FootnoteReference"/>
          <w:szCs w:val="22"/>
        </w:rPr>
        <w:footnoteReference w:id="10"/>
      </w:r>
      <w:r>
        <w:rPr>
          <w:szCs w:val="22"/>
        </w:rPr>
        <w:t xml:space="preserve">  </w:t>
      </w:r>
    </w:p>
    <w:p w14:paraId="074D30BC" w14:textId="77777777" w:rsidR="008E661E" w:rsidRDefault="008E661E" w:rsidP="008E661E">
      <w:pPr>
        <w:pStyle w:val="Heading1"/>
      </w:pPr>
      <w:r>
        <w:t>Discussion</w:t>
      </w:r>
    </w:p>
    <w:p w14:paraId="37533EFD" w14:textId="77777777" w:rsidR="008E661E" w:rsidRDefault="008E661E" w:rsidP="008E661E">
      <w:pPr>
        <w:pStyle w:val="ParaNum"/>
      </w:pPr>
      <w:r>
        <w:t xml:space="preserve">We present our findings on the impact of the voice phasedown for E-rate applicants as a whole and for </w:t>
      </w:r>
      <w:r w:rsidRPr="00061451">
        <w:t>those applicants who</w:t>
      </w:r>
      <w:r>
        <w:t>,</w:t>
      </w:r>
      <w:r w:rsidRPr="00061451">
        <w:t xml:space="preserve"> in 2014, the last year </w:t>
      </w:r>
      <w:r>
        <w:t>before</w:t>
      </w:r>
      <w:r w:rsidRPr="00061451">
        <w:t xml:space="preserve"> the phasedown, received support only for voice services</w:t>
      </w:r>
      <w:r>
        <w:t>.</w:t>
      </w:r>
      <w:r>
        <w:rPr>
          <w:rStyle w:val="FootnoteReference"/>
        </w:rPr>
        <w:footnoteReference w:id="11"/>
      </w:r>
      <w:r>
        <w:t xml:space="preserve">  Total E-rate funding commitments have increased, but the amount of E-rate funding supporting voice services for all applicants has dropped and fewer applicants have received support for voice services since the phasedown began.</w:t>
      </w:r>
      <w:r>
        <w:rPr>
          <w:rStyle w:val="FootnoteReference"/>
        </w:rPr>
        <w:footnoteReference w:id="12"/>
      </w:r>
      <w:r>
        <w:t xml:space="preserve">  Seventy-one percent of the applicants who in funding year 2014 received only voice services now seek E-rate support for other services.  Of the total applicants in funding year 2014, only twelve percent no longer apply for E-rate support.</w:t>
      </w:r>
    </w:p>
    <w:p w14:paraId="0FA44D93" w14:textId="77777777" w:rsidR="008E661E" w:rsidRDefault="008E661E" w:rsidP="008E661E">
      <w:pPr>
        <w:pStyle w:val="Heading2"/>
      </w:pPr>
      <w:r>
        <w:t>Change in Commitments for Voice Services</w:t>
      </w:r>
    </w:p>
    <w:p w14:paraId="2D40B5D4" w14:textId="77777777" w:rsidR="008E661E" w:rsidRDefault="008E661E" w:rsidP="008E661E">
      <w:pPr>
        <w:pStyle w:val="ParaNum"/>
      </w:pPr>
      <w:r>
        <w:t xml:space="preserve">In this section, we address how the phasedown changed E-rate support for applicants as a whole, applicants in different states, rural applicants, and applicants at various discount levels, as well as whether the phasedown caused E-rate applicants to switch from POTS to VoIP services.  </w:t>
      </w:r>
    </w:p>
    <w:p w14:paraId="268C4D0D" w14:textId="77777777" w:rsidR="008E661E" w:rsidRDefault="008E661E" w:rsidP="008E661E">
      <w:pPr>
        <w:pStyle w:val="Heading3"/>
      </w:pPr>
      <w:r>
        <w:t>Effect of Phasedown on Overall Trends</w:t>
      </w:r>
    </w:p>
    <w:p w14:paraId="6F74A6B0" w14:textId="77777777" w:rsidR="008E661E" w:rsidRDefault="008E661E" w:rsidP="008E661E">
      <w:pPr>
        <w:pStyle w:val="ParaNum"/>
      </w:pPr>
      <w:r>
        <w:t>The Commission instituted the voice phasedown to focus E-rate funding on high-speed broadband.</w:t>
      </w:r>
      <w:r>
        <w:rPr>
          <w:rStyle w:val="FootnoteReference"/>
        </w:rPr>
        <w:footnoteReference w:id="13"/>
      </w:r>
      <w:r>
        <w:t xml:space="preserve">  The total amount of funding committed for all E-rate supported services shifted from $2.</w:t>
      </w:r>
      <w:r w:rsidR="000C039C">
        <w:t>3</w:t>
      </w:r>
      <w:r>
        <w:t xml:space="preserve"> </w:t>
      </w:r>
      <w:r>
        <w:lastRenderedPageBreak/>
        <w:t>billion in funding year 2014, to $3.</w:t>
      </w:r>
      <w:r w:rsidR="000C039C">
        <w:t>3</w:t>
      </w:r>
      <w:r>
        <w:t xml:space="preserve"> billion in funding year 2015, to $2.</w:t>
      </w:r>
      <w:r w:rsidR="000C039C">
        <w:t>9</w:t>
      </w:r>
      <w:r>
        <w:t xml:space="preserve"> billion in funding year 2016.  Over the same time period, the funding committed for voice services dropped significantly and the number of applicants receiving commitments for voice services also declined.  Commitments for voice services decreased from a total of $708 million in funding year 2014, the final year before the phasedown, to $</w:t>
      </w:r>
      <w:r w:rsidR="000C039C">
        <w:t>275</w:t>
      </w:r>
      <w:r>
        <w:t xml:space="preserve"> million in funding year 2016 while the percentage of E-rate funding commitments for voice services declined from </w:t>
      </w:r>
      <w:r w:rsidR="000C039C">
        <w:t>31</w:t>
      </w:r>
      <w:r>
        <w:t xml:space="preserve"> percent in funding year 2014 to </w:t>
      </w:r>
      <w:r w:rsidR="000C039C">
        <w:t>9</w:t>
      </w:r>
      <w:r>
        <w:t xml:space="preserve"> percent in funding year 2016.</w:t>
      </w:r>
      <w:r>
        <w:rPr>
          <w:rStyle w:val="FootnoteReference"/>
        </w:rPr>
        <w:footnoteReference w:id="14"/>
      </w:r>
    </w:p>
    <w:p w14:paraId="692BAC44" w14:textId="77777777" w:rsidR="008E661E" w:rsidRPr="007A45CC" w:rsidRDefault="008E661E" w:rsidP="008E661E">
      <w:pPr>
        <w:pStyle w:val="ParaNum"/>
        <w:numPr>
          <w:ilvl w:val="0"/>
          <w:numId w:val="0"/>
        </w:numPr>
        <w:spacing w:after="0"/>
        <w:jc w:val="center"/>
        <w:rPr>
          <w:b/>
        </w:rPr>
      </w:pPr>
      <w:r>
        <w:t xml:space="preserve">  </w:t>
      </w:r>
      <w:r>
        <w:rPr>
          <w:b/>
        </w:rPr>
        <w:t>Figure</w:t>
      </w:r>
      <w:r w:rsidRPr="007A45CC">
        <w:rPr>
          <w:b/>
        </w:rPr>
        <w:t xml:space="preserve"> </w:t>
      </w:r>
      <w:r>
        <w:rPr>
          <w:b/>
        </w:rPr>
        <w:t>1</w:t>
      </w:r>
    </w:p>
    <w:p w14:paraId="4B7C9022" w14:textId="77777777" w:rsidR="008E661E" w:rsidRDefault="000C039C" w:rsidP="008E661E">
      <w:pPr>
        <w:pStyle w:val="ParaNum"/>
        <w:numPr>
          <w:ilvl w:val="0"/>
          <w:numId w:val="0"/>
        </w:numPr>
        <w:spacing w:after="0"/>
        <w:jc w:val="center"/>
        <w:rPr>
          <w:b/>
        </w:rPr>
      </w:pPr>
      <w:r>
        <w:rPr>
          <w:b/>
        </w:rPr>
        <w:t>E-rate Funding Commitments</w:t>
      </w:r>
    </w:p>
    <w:p w14:paraId="04B2439E" w14:textId="77777777" w:rsidR="008E661E" w:rsidRPr="007A45CC" w:rsidRDefault="000C039C" w:rsidP="008E661E">
      <w:pPr>
        <w:pStyle w:val="ParaNum"/>
        <w:numPr>
          <w:ilvl w:val="0"/>
          <w:numId w:val="0"/>
        </w:numPr>
        <w:spacing w:after="0"/>
        <w:jc w:val="center"/>
        <w:rPr>
          <w:b/>
        </w:rPr>
      </w:pPr>
      <w:r>
        <w:rPr>
          <w:b/>
        </w:rPr>
        <w:t>All Applicants</w:t>
      </w:r>
    </w:p>
    <w:p w14:paraId="45D8C104" w14:textId="77777777" w:rsidR="008E661E" w:rsidRDefault="008E661E" w:rsidP="008E661E">
      <w:pPr>
        <w:pStyle w:val="ParaNum"/>
        <w:numPr>
          <w:ilvl w:val="0"/>
          <w:numId w:val="0"/>
        </w:numPr>
        <w:jc w:val="center"/>
        <w:rPr>
          <w:b/>
        </w:rPr>
      </w:pPr>
      <w:r>
        <w:rPr>
          <w:b/>
        </w:rPr>
        <w:t>Funding Years 2014-16</w:t>
      </w:r>
    </w:p>
    <w:p w14:paraId="27718E45" w14:textId="77777777" w:rsidR="008E661E" w:rsidRDefault="000C039C" w:rsidP="008E661E">
      <w:pPr>
        <w:pStyle w:val="ParaNum"/>
        <w:numPr>
          <w:ilvl w:val="0"/>
          <w:numId w:val="0"/>
        </w:numPr>
        <w:jc w:val="center"/>
      </w:pPr>
      <w:r>
        <w:rPr>
          <w:noProof/>
          <w:snapToGrid/>
        </w:rPr>
        <w:drawing>
          <wp:inline distT="0" distB="0" distL="0" distR="0" wp14:anchorId="3532938E" wp14:editId="70536D86">
            <wp:extent cx="5162550" cy="2743200"/>
            <wp:effectExtent l="0" t="0" r="0" b="0"/>
            <wp:docPr id="10" name="Chart 10">
              <a:extLst xmlns:a="http://schemas.openxmlformats.org/drawingml/2006/main">
                <a:ext uri="{FF2B5EF4-FFF2-40B4-BE49-F238E27FC236}">
                  <a16:creationId xmlns:w15="http://schemas.microsoft.com/office/word/2012/wordml"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A6BC269" w14:textId="77777777" w:rsidR="008E661E" w:rsidRDefault="008E661E" w:rsidP="00F5394C">
      <w:pPr>
        <w:pStyle w:val="ParaNum"/>
      </w:pPr>
      <w:r>
        <w:t xml:space="preserve">Along with the decrease in funding for voice services from funding year 2014 to funding year 2016, the number of applicants </w:t>
      </w:r>
      <w:r w:rsidR="00241DB4">
        <w:t>receiving</w:t>
      </w:r>
      <w:r>
        <w:t xml:space="preserve"> support for voice services declined from 24,575 in funding year 2014 to 18,884 in funding year 2016. </w:t>
      </w:r>
    </w:p>
    <w:p w14:paraId="230E0BB7" w14:textId="77777777" w:rsidR="00F5394C" w:rsidRDefault="00F5394C" w:rsidP="00F5394C">
      <w:pPr>
        <w:pStyle w:val="ParaNum"/>
        <w:numPr>
          <w:ilvl w:val="0"/>
          <w:numId w:val="0"/>
        </w:numPr>
        <w:ind w:firstLine="720"/>
      </w:pPr>
    </w:p>
    <w:p w14:paraId="6CE42F96" w14:textId="77777777" w:rsidR="00F5394C" w:rsidRDefault="00F5394C" w:rsidP="00F5394C">
      <w:pPr>
        <w:pStyle w:val="ParaNum"/>
        <w:numPr>
          <w:ilvl w:val="0"/>
          <w:numId w:val="0"/>
        </w:numPr>
        <w:ind w:firstLine="720"/>
      </w:pPr>
    </w:p>
    <w:p w14:paraId="090291F8" w14:textId="77777777" w:rsidR="00F5394C" w:rsidRDefault="00F5394C" w:rsidP="00F5394C">
      <w:pPr>
        <w:pStyle w:val="ParaNum"/>
        <w:numPr>
          <w:ilvl w:val="0"/>
          <w:numId w:val="0"/>
        </w:numPr>
        <w:ind w:firstLine="720"/>
      </w:pPr>
    </w:p>
    <w:p w14:paraId="42A68FF7" w14:textId="77777777" w:rsidR="00F5394C" w:rsidRDefault="00F5394C" w:rsidP="00F5394C">
      <w:pPr>
        <w:pStyle w:val="ParaNum"/>
        <w:numPr>
          <w:ilvl w:val="0"/>
          <w:numId w:val="0"/>
        </w:numPr>
        <w:ind w:firstLine="720"/>
      </w:pPr>
    </w:p>
    <w:p w14:paraId="0AEDCB67" w14:textId="77777777" w:rsidR="00F5394C" w:rsidRDefault="00F5394C" w:rsidP="00F5394C">
      <w:pPr>
        <w:pStyle w:val="ParaNum"/>
        <w:numPr>
          <w:ilvl w:val="0"/>
          <w:numId w:val="0"/>
        </w:numPr>
        <w:ind w:firstLine="720"/>
      </w:pPr>
    </w:p>
    <w:p w14:paraId="5FA0EBA2" w14:textId="77777777" w:rsidR="00F5394C" w:rsidRDefault="00F5394C" w:rsidP="00F5394C">
      <w:pPr>
        <w:pStyle w:val="ParaNum"/>
        <w:numPr>
          <w:ilvl w:val="0"/>
          <w:numId w:val="0"/>
        </w:numPr>
        <w:ind w:firstLine="720"/>
      </w:pPr>
    </w:p>
    <w:p w14:paraId="3B7C8F0D" w14:textId="77777777" w:rsidR="00F5394C" w:rsidRDefault="00F5394C" w:rsidP="00F5394C">
      <w:pPr>
        <w:pStyle w:val="ParaNum"/>
        <w:numPr>
          <w:ilvl w:val="0"/>
          <w:numId w:val="0"/>
        </w:numPr>
        <w:ind w:firstLine="720"/>
      </w:pPr>
    </w:p>
    <w:p w14:paraId="3488C076" w14:textId="77777777" w:rsidR="00F5394C" w:rsidRDefault="00F5394C" w:rsidP="00F5394C">
      <w:pPr>
        <w:pStyle w:val="ParaNum"/>
        <w:numPr>
          <w:ilvl w:val="0"/>
          <w:numId w:val="0"/>
        </w:numPr>
        <w:ind w:firstLine="720"/>
      </w:pPr>
    </w:p>
    <w:p w14:paraId="7D4C476E" w14:textId="77777777" w:rsidR="00F5394C" w:rsidRDefault="00F5394C" w:rsidP="00F5394C">
      <w:pPr>
        <w:pStyle w:val="ParaNum"/>
        <w:numPr>
          <w:ilvl w:val="0"/>
          <w:numId w:val="0"/>
        </w:numPr>
        <w:ind w:firstLine="720"/>
      </w:pPr>
    </w:p>
    <w:p w14:paraId="725D3B9F" w14:textId="77777777" w:rsidR="00F5394C" w:rsidRDefault="00F5394C" w:rsidP="00F5394C">
      <w:pPr>
        <w:pStyle w:val="ParaNum"/>
        <w:numPr>
          <w:ilvl w:val="0"/>
          <w:numId w:val="0"/>
        </w:numPr>
        <w:ind w:firstLine="720"/>
      </w:pPr>
    </w:p>
    <w:p w14:paraId="7DC53BEB" w14:textId="77777777" w:rsidR="00F5394C" w:rsidRDefault="00F5394C" w:rsidP="00F5394C">
      <w:pPr>
        <w:pStyle w:val="ParaNum"/>
        <w:numPr>
          <w:ilvl w:val="0"/>
          <w:numId w:val="0"/>
        </w:numPr>
        <w:ind w:firstLine="720"/>
      </w:pPr>
    </w:p>
    <w:p w14:paraId="12989BA3" w14:textId="77777777" w:rsidR="008E661E" w:rsidRDefault="008E661E" w:rsidP="008E661E">
      <w:pPr>
        <w:pStyle w:val="ParaNum"/>
        <w:numPr>
          <w:ilvl w:val="0"/>
          <w:numId w:val="0"/>
        </w:numPr>
        <w:spacing w:after="0"/>
        <w:jc w:val="center"/>
      </w:pPr>
    </w:p>
    <w:p w14:paraId="03977A09" w14:textId="77777777" w:rsidR="00F5394C" w:rsidRDefault="00F5394C" w:rsidP="008E661E">
      <w:pPr>
        <w:pStyle w:val="ParaNum"/>
        <w:numPr>
          <w:ilvl w:val="0"/>
          <w:numId w:val="0"/>
        </w:numPr>
        <w:spacing w:after="0"/>
        <w:jc w:val="center"/>
        <w:rPr>
          <w:b/>
        </w:rPr>
      </w:pPr>
    </w:p>
    <w:p w14:paraId="65315920" w14:textId="77777777" w:rsidR="008E661E" w:rsidRPr="007A45CC" w:rsidRDefault="008E661E" w:rsidP="008E661E">
      <w:pPr>
        <w:pStyle w:val="ParaNum"/>
        <w:numPr>
          <w:ilvl w:val="0"/>
          <w:numId w:val="0"/>
        </w:numPr>
        <w:spacing w:after="0"/>
        <w:jc w:val="center"/>
        <w:rPr>
          <w:b/>
        </w:rPr>
      </w:pPr>
      <w:r>
        <w:rPr>
          <w:b/>
        </w:rPr>
        <w:t>Figure</w:t>
      </w:r>
      <w:r w:rsidRPr="007A45CC">
        <w:rPr>
          <w:b/>
        </w:rPr>
        <w:t xml:space="preserve"> </w:t>
      </w:r>
      <w:r>
        <w:rPr>
          <w:b/>
        </w:rPr>
        <w:t>2</w:t>
      </w:r>
    </w:p>
    <w:p w14:paraId="313500C2" w14:textId="77777777" w:rsidR="008E661E" w:rsidRPr="007A45CC" w:rsidRDefault="008E661E" w:rsidP="008E661E">
      <w:pPr>
        <w:pStyle w:val="ParaNum"/>
        <w:numPr>
          <w:ilvl w:val="0"/>
          <w:numId w:val="0"/>
        </w:numPr>
        <w:spacing w:after="0"/>
        <w:jc w:val="center"/>
        <w:rPr>
          <w:b/>
        </w:rPr>
      </w:pPr>
      <w:r>
        <w:rPr>
          <w:b/>
        </w:rPr>
        <w:t>Number of Applicants Receiving Voice Services</w:t>
      </w:r>
    </w:p>
    <w:p w14:paraId="596AEE0A" w14:textId="77777777" w:rsidR="008E661E" w:rsidRDefault="008E661E" w:rsidP="008E661E">
      <w:pPr>
        <w:pStyle w:val="ParaNum"/>
        <w:numPr>
          <w:ilvl w:val="0"/>
          <w:numId w:val="0"/>
        </w:numPr>
        <w:jc w:val="center"/>
        <w:rPr>
          <w:b/>
        </w:rPr>
      </w:pPr>
      <w:r>
        <w:rPr>
          <w:b/>
        </w:rPr>
        <w:t>Funding Years 2014-16</w:t>
      </w:r>
    </w:p>
    <w:p w14:paraId="763ACE1F" w14:textId="77777777" w:rsidR="008E661E" w:rsidRDefault="00A872D6" w:rsidP="008E661E">
      <w:pPr>
        <w:pStyle w:val="ParaNum"/>
        <w:numPr>
          <w:ilvl w:val="0"/>
          <w:numId w:val="0"/>
        </w:numPr>
        <w:jc w:val="center"/>
        <w:rPr>
          <w:b/>
        </w:rPr>
      </w:pPr>
      <w:r w:rsidRPr="008E661E">
        <w:rPr>
          <w:noProof/>
          <w:snapToGrid/>
        </w:rPr>
        <w:drawing>
          <wp:inline distT="0" distB="0" distL="0" distR="0" wp14:anchorId="4B9D9DB2" wp14:editId="78B7A4C8">
            <wp:extent cx="4600575" cy="2771775"/>
            <wp:effectExtent l="0" t="0" r="0" b="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8E661E" w:rsidDel="00AA2A57">
        <w:rPr>
          <w:noProof/>
          <w:snapToGrid/>
        </w:rPr>
        <w:t xml:space="preserve"> </w:t>
      </w:r>
    </w:p>
    <w:p w14:paraId="490268F5" w14:textId="77777777" w:rsidR="008E661E" w:rsidRDefault="008E661E" w:rsidP="008E661E">
      <w:pPr>
        <w:pStyle w:val="ParaNum"/>
        <w:numPr>
          <w:ilvl w:val="0"/>
          <w:numId w:val="0"/>
        </w:numPr>
        <w:jc w:val="center"/>
        <w:rPr>
          <w:b/>
        </w:rPr>
      </w:pPr>
    </w:p>
    <w:p w14:paraId="7C8155D8" w14:textId="77777777" w:rsidR="008E661E" w:rsidRDefault="008E661E" w:rsidP="008E661E">
      <w:pPr>
        <w:pStyle w:val="Heading3"/>
      </w:pPr>
      <w:r>
        <w:t>Effect of Phasedown by State</w:t>
      </w:r>
      <w:r>
        <w:rPr>
          <w:rStyle w:val="FootnoteReference"/>
        </w:rPr>
        <w:footnoteReference w:id="15"/>
      </w:r>
    </w:p>
    <w:p w14:paraId="08C72D51" w14:textId="77777777" w:rsidR="008E661E" w:rsidRDefault="008E661E" w:rsidP="008E661E">
      <w:pPr>
        <w:pStyle w:val="ParaNum"/>
      </w:pPr>
      <w:r>
        <w:t>Nationwide, total E-rate funding for voice services decreased by 61 percent from funding years 2014 to 2016.</w:t>
      </w:r>
      <w:r>
        <w:rPr>
          <w:rStyle w:val="FootnoteReference"/>
        </w:rPr>
        <w:footnoteReference w:id="16"/>
      </w:r>
      <w:r>
        <w:t xml:space="preserve">  The states with the smallest reductions in funding for voice services for that period are Alaska (45 percent), Ohio (45 percent), New Mexico (51 percent), Florida (53 percent), and South Dakota (53 percent).  The states with the largest reductions in funding for voice services are Utah (78 percent), Nebraska (73 percent), New Hampshire (71 percent), and Connecticut (71 percent).  Details of funding reductions for voice services for each state are shown in Appendix B.  </w:t>
      </w:r>
    </w:p>
    <w:p w14:paraId="5C223AFD" w14:textId="77777777" w:rsidR="008E661E" w:rsidRPr="00E2662E" w:rsidRDefault="008E661E" w:rsidP="008E661E">
      <w:pPr>
        <w:pStyle w:val="Heading3"/>
      </w:pPr>
      <w:r>
        <w:t>Effect of Phasedown on Rural Applicants</w:t>
      </w:r>
      <w:r>
        <w:rPr>
          <w:rStyle w:val="FootnoteReference"/>
        </w:rPr>
        <w:footnoteReference w:id="17"/>
      </w:r>
    </w:p>
    <w:p w14:paraId="283DEF74" w14:textId="77777777" w:rsidR="008E661E" w:rsidRDefault="008E661E" w:rsidP="008E661E">
      <w:pPr>
        <w:pStyle w:val="ParaNum"/>
      </w:pPr>
      <w:r>
        <w:t>The voice phasedown had a similar impact on urban and rural applicants.</w:t>
      </w:r>
      <w:r>
        <w:rPr>
          <w:rStyle w:val="FootnoteReference"/>
        </w:rPr>
        <w:footnoteReference w:id="18"/>
      </w:r>
      <w:r>
        <w:t xml:space="preserve">  We note that the FCC Form 471 for</w:t>
      </w:r>
      <w:r w:rsidRPr="00E414E5">
        <w:t xml:space="preserve"> funding year 2014 did not capture the urban/rural status of each site listed on an E-rate application</w:t>
      </w:r>
      <w:r>
        <w:t>, so it is not possible to determine which sites listed on an application were urban and rural in funding year 2014.  Subsequent FCC Forms 471 did ask applicants to report their status as urban or rural.  Urban and rural applicants that received a substantial proportion of voice support, which we define as applicants that received at least 25 percent of their total E-rate funding from voice support,</w:t>
      </w:r>
      <w:r>
        <w:rPr>
          <w:rStyle w:val="FootnoteReference"/>
        </w:rPr>
        <w:footnoteReference w:id="19"/>
      </w:r>
      <w:r>
        <w:t xml:space="preserve"> in funding year 2014 both saw a 43 percent reduction in support for voice services from funding year 2015 to funding year 2016.</w:t>
      </w:r>
      <w:r>
        <w:rPr>
          <w:rStyle w:val="FootnoteReference"/>
        </w:rPr>
        <w:footnoteReference w:id="20"/>
      </w:r>
      <w:r>
        <w:t xml:space="preserve">  These applicants experienced a lower reduction in overall commitments than their reduction in commitments for voice services.  Among applicants that received a substantial proportion of voice support in funding year 2014, urban applicants experienced a 20 percent reduction in overall funding commitments from funding year 2015 to 2016 while rural applicants experienced a 16 percent reduction.</w:t>
      </w:r>
    </w:p>
    <w:p w14:paraId="6B17EC10" w14:textId="77777777" w:rsidR="008E661E" w:rsidRDefault="008E661E" w:rsidP="008E661E">
      <w:pPr>
        <w:pStyle w:val="ParaNum"/>
        <w:numPr>
          <w:ilvl w:val="0"/>
          <w:numId w:val="0"/>
        </w:numPr>
        <w:ind w:firstLine="720"/>
      </w:pPr>
    </w:p>
    <w:p w14:paraId="0FC80120" w14:textId="77777777" w:rsidR="008E661E" w:rsidRPr="005F3D4F" w:rsidRDefault="008E661E" w:rsidP="008E661E">
      <w:pPr>
        <w:pStyle w:val="NoSpacing"/>
        <w:keepNext/>
        <w:keepLines/>
        <w:jc w:val="center"/>
        <w:rPr>
          <w:b/>
        </w:rPr>
      </w:pPr>
      <w:r w:rsidRPr="005F3D4F">
        <w:rPr>
          <w:b/>
        </w:rPr>
        <w:t xml:space="preserve">Figure </w:t>
      </w:r>
      <w:r>
        <w:rPr>
          <w:b/>
        </w:rPr>
        <w:t>3</w:t>
      </w:r>
    </w:p>
    <w:p w14:paraId="06DFDDE7" w14:textId="77777777" w:rsidR="008E661E" w:rsidRPr="00472EB0" w:rsidRDefault="008E661E" w:rsidP="008E661E">
      <w:pPr>
        <w:pStyle w:val="NoSpacing"/>
        <w:keepNext/>
        <w:keepLines/>
        <w:jc w:val="center"/>
        <w:rPr>
          <w:b/>
        </w:rPr>
      </w:pPr>
      <w:r w:rsidRPr="00472EB0">
        <w:rPr>
          <w:b/>
        </w:rPr>
        <w:t xml:space="preserve">Funding for Voice Services for Urban and </w:t>
      </w:r>
      <w:r>
        <w:rPr>
          <w:b/>
        </w:rPr>
        <w:t>Rural</w:t>
      </w:r>
      <w:r w:rsidRPr="00472EB0">
        <w:rPr>
          <w:b/>
        </w:rPr>
        <w:t xml:space="preserve"> </w:t>
      </w:r>
      <w:r>
        <w:rPr>
          <w:b/>
        </w:rPr>
        <w:t xml:space="preserve">Applicants </w:t>
      </w:r>
      <w:r>
        <w:rPr>
          <w:b/>
        </w:rPr>
        <w:br/>
        <w:t>Receiving Substantial Support for Voice Services</w:t>
      </w:r>
    </w:p>
    <w:p w14:paraId="5550A003" w14:textId="77777777" w:rsidR="008E661E" w:rsidRDefault="008E661E" w:rsidP="008E661E">
      <w:pPr>
        <w:pStyle w:val="NoSpacing"/>
        <w:keepNext/>
        <w:keepLines/>
        <w:jc w:val="center"/>
        <w:rPr>
          <w:b/>
        </w:rPr>
      </w:pPr>
      <w:r w:rsidRPr="00472EB0">
        <w:rPr>
          <w:b/>
        </w:rPr>
        <w:t>Funding Years 2015</w:t>
      </w:r>
      <w:r>
        <w:rPr>
          <w:b/>
        </w:rPr>
        <w:t>-</w:t>
      </w:r>
      <w:r w:rsidRPr="00472EB0">
        <w:rPr>
          <w:b/>
        </w:rPr>
        <w:t>2016</w:t>
      </w:r>
    </w:p>
    <w:p w14:paraId="11177CAB" w14:textId="77777777" w:rsidR="008E661E" w:rsidRDefault="008E661E" w:rsidP="00BB122E">
      <w:pPr>
        <w:pStyle w:val="ParaNum"/>
        <w:keepNext/>
        <w:keepLines/>
        <w:numPr>
          <w:ilvl w:val="0"/>
          <w:numId w:val="0"/>
        </w:numPr>
      </w:pPr>
      <w:r w:rsidDel="009C6C79">
        <w:rPr>
          <w:noProof/>
          <w:snapToGrid/>
        </w:rPr>
        <w:t xml:space="preserve"> </w:t>
      </w:r>
    </w:p>
    <w:p w14:paraId="4D165CF9" w14:textId="77777777" w:rsidR="008E661E" w:rsidRDefault="00BB122E" w:rsidP="00312910">
      <w:pPr>
        <w:pStyle w:val="ParaNum"/>
        <w:keepNext/>
        <w:keepLines/>
        <w:numPr>
          <w:ilvl w:val="0"/>
          <w:numId w:val="0"/>
        </w:numPr>
        <w:jc w:val="center"/>
      </w:pPr>
      <w:r>
        <w:rPr>
          <w:noProof/>
          <w:snapToGrid/>
        </w:rPr>
        <w:drawing>
          <wp:inline distT="0" distB="0" distL="0" distR="0" wp14:anchorId="383974CF" wp14:editId="0F42EF43">
            <wp:extent cx="4410075" cy="2743200"/>
            <wp:effectExtent l="0" t="0" r="9525" b="0"/>
            <wp:docPr id="13" name="Chart 13">
              <a:extLst xmlns:a="http://schemas.openxmlformats.org/drawingml/2006/main">
                <a:ext uri="{FF2B5EF4-FFF2-40B4-BE49-F238E27FC236}">
                  <a16:creationId xmlns:w15="http://schemas.microsoft.com/office/word/2012/wordml"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DF9A6C7" w14:textId="77777777" w:rsidR="008E661E" w:rsidRDefault="008E661E" w:rsidP="008E661E">
      <w:pPr>
        <w:pStyle w:val="Heading3"/>
      </w:pPr>
      <w:r>
        <w:t>Effect of Phasedown by Discount Rate</w:t>
      </w:r>
    </w:p>
    <w:p w14:paraId="1D8016D5" w14:textId="77777777" w:rsidR="008E661E" w:rsidRDefault="008E661E" w:rsidP="008E661E">
      <w:pPr>
        <w:pStyle w:val="ParaNum"/>
      </w:pPr>
      <w:r>
        <w:t>For applicants that received voice services as a substantial proportion of their E-rate support in funding year 2014, applicants with high discount rates</w:t>
      </w:r>
      <w:r>
        <w:rPr>
          <w:rStyle w:val="FootnoteReference"/>
        </w:rPr>
        <w:footnoteReference w:id="21"/>
      </w:r>
      <w:r>
        <w:t xml:space="preserve"> received six percent less </w:t>
      </w:r>
      <w:r w:rsidRPr="00106091">
        <w:t>total</w:t>
      </w:r>
      <w:r>
        <w:t xml:space="preserve"> E-rate support in funding year 2016 than in funding year 2014, while applicants with moderate discount rates experienced a 46 percent increase in overall E-rate support, and applicants with low discount rates experienced a 33 percent increase over the same period.</w:t>
      </w:r>
    </w:p>
    <w:p w14:paraId="55F8AAA4" w14:textId="77777777" w:rsidR="008E661E" w:rsidRPr="005F3D4F" w:rsidRDefault="008E661E" w:rsidP="008E661E">
      <w:pPr>
        <w:pStyle w:val="ParaNum"/>
        <w:numPr>
          <w:ilvl w:val="0"/>
          <w:numId w:val="0"/>
        </w:numPr>
        <w:ind w:firstLine="720"/>
      </w:pPr>
    </w:p>
    <w:p w14:paraId="3FB7376F" w14:textId="77777777" w:rsidR="008E661E" w:rsidRDefault="008E661E" w:rsidP="008E661E">
      <w:pPr>
        <w:pStyle w:val="NoSpacing"/>
        <w:keepNext/>
        <w:keepLines/>
        <w:jc w:val="center"/>
        <w:rPr>
          <w:b/>
        </w:rPr>
      </w:pPr>
      <w:r>
        <w:rPr>
          <w:b/>
        </w:rPr>
        <w:t>Figure 4</w:t>
      </w:r>
    </w:p>
    <w:p w14:paraId="72D67FB4" w14:textId="77777777" w:rsidR="008E661E" w:rsidRDefault="008E661E" w:rsidP="008E661E">
      <w:pPr>
        <w:pStyle w:val="NoSpacing"/>
        <w:keepNext/>
        <w:keepLines/>
        <w:jc w:val="center"/>
        <w:rPr>
          <w:b/>
        </w:rPr>
      </w:pPr>
      <w:r w:rsidRPr="00A51079">
        <w:rPr>
          <w:b/>
        </w:rPr>
        <w:t>Total Funding for Applicants Receiving Substantial Voice Support in FY 2014</w:t>
      </w:r>
    </w:p>
    <w:p w14:paraId="29EE0930" w14:textId="77777777" w:rsidR="008E661E" w:rsidRDefault="008E661E" w:rsidP="008E661E">
      <w:pPr>
        <w:pStyle w:val="NoSpacing"/>
        <w:keepNext/>
        <w:keepLines/>
        <w:jc w:val="center"/>
        <w:rPr>
          <w:b/>
        </w:rPr>
      </w:pPr>
      <w:r>
        <w:rPr>
          <w:b/>
        </w:rPr>
        <w:t>By Discount Rate</w:t>
      </w:r>
    </w:p>
    <w:p w14:paraId="2BE34663" w14:textId="77777777" w:rsidR="008E661E" w:rsidRDefault="008E661E" w:rsidP="008E661E">
      <w:pPr>
        <w:pStyle w:val="NoSpacing"/>
        <w:keepNext/>
        <w:keepLines/>
        <w:jc w:val="center"/>
        <w:rPr>
          <w:b/>
        </w:rPr>
      </w:pPr>
      <w:r w:rsidRPr="00A51079">
        <w:rPr>
          <w:b/>
        </w:rPr>
        <w:t>Funding Years 2014-16</w:t>
      </w:r>
    </w:p>
    <w:p w14:paraId="49101689" w14:textId="77777777" w:rsidR="008E661E" w:rsidRDefault="008E661E" w:rsidP="008E661E">
      <w:pPr>
        <w:pStyle w:val="NoSpacing"/>
        <w:keepNext/>
        <w:keepLines/>
        <w:jc w:val="center"/>
        <w:rPr>
          <w:b/>
        </w:rPr>
      </w:pPr>
    </w:p>
    <w:p w14:paraId="093D660E" w14:textId="77777777" w:rsidR="008E661E" w:rsidRDefault="00A872D6" w:rsidP="008E661E">
      <w:pPr>
        <w:pStyle w:val="NoSpacing"/>
        <w:keepNext/>
        <w:keepLines/>
        <w:jc w:val="center"/>
      </w:pPr>
      <w:r w:rsidRPr="008E661E">
        <w:rPr>
          <w:noProof/>
          <w:snapToGrid/>
        </w:rPr>
        <w:drawing>
          <wp:inline distT="0" distB="0" distL="0" distR="0" wp14:anchorId="15E18A73" wp14:editId="08891E98">
            <wp:extent cx="4314825" cy="2552700"/>
            <wp:effectExtent l="0" t="0" r="0" b="0"/>
            <wp:docPr id="4"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8E661E" w:rsidDel="00384103">
        <w:rPr>
          <w:noProof/>
          <w:snapToGrid/>
        </w:rPr>
        <w:t xml:space="preserve"> </w:t>
      </w:r>
    </w:p>
    <w:p w14:paraId="1380EA3A" w14:textId="77777777" w:rsidR="008E661E" w:rsidRDefault="008E661E" w:rsidP="008E661E">
      <w:pPr>
        <w:pStyle w:val="ParaNum"/>
        <w:keepNext/>
        <w:keepLines/>
        <w:numPr>
          <w:ilvl w:val="0"/>
          <w:numId w:val="0"/>
        </w:numPr>
      </w:pPr>
    </w:p>
    <w:p w14:paraId="53A65CF4" w14:textId="77777777" w:rsidR="008E661E" w:rsidRDefault="008E661E" w:rsidP="008E661E">
      <w:pPr>
        <w:pStyle w:val="Heading3"/>
      </w:pPr>
      <w:r>
        <w:t>Effect of Phasedown on Funding Requests for VoIP</w:t>
      </w:r>
    </w:p>
    <w:p w14:paraId="3048EB16" w14:textId="77777777" w:rsidR="008E661E" w:rsidRDefault="008E661E" w:rsidP="008E661E">
      <w:pPr>
        <w:pStyle w:val="ParaNum"/>
      </w:pPr>
      <w:r>
        <w:t>Even though fewer applicants have received support for voice services overall since the voice phasedown began, more applicants are using VoIP services now than before the phasedown began.  From funding year 2014 to funding year 2016,</w:t>
      </w:r>
      <w:r>
        <w:rPr>
          <w:rStyle w:val="FootnoteReference"/>
        </w:rPr>
        <w:footnoteReference w:id="22"/>
      </w:r>
      <w:r>
        <w:t xml:space="preserve"> the number of applicants seeking support for VoIP services increased 82 percent, while the number of applicants seeking support for POTS decreased </w:t>
      </w:r>
      <w:r w:rsidR="00F5394C">
        <w:t>17</w:t>
      </w:r>
      <w:r>
        <w:t xml:space="preserve"> percent.</w:t>
      </w:r>
      <w:r>
        <w:rPr>
          <w:rStyle w:val="FootnoteReference"/>
        </w:rPr>
        <w:footnoteReference w:id="23"/>
      </w:r>
      <w:r>
        <w:t xml:space="preserve">  </w:t>
      </w:r>
    </w:p>
    <w:p w14:paraId="786F7ACA" w14:textId="77777777" w:rsidR="008E661E" w:rsidRPr="00027E76" w:rsidRDefault="008E661E" w:rsidP="008E661E">
      <w:pPr>
        <w:pStyle w:val="NoSpacing"/>
        <w:keepNext/>
        <w:keepLines/>
        <w:jc w:val="center"/>
        <w:rPr>
          <w:b/>
        </w:rPr>
      </w:pPr>
      <w:r w:rsidRPr="00027E76">
        <w:rPr>
          <w:b/>
        </w:rPr>
        <w:t xml:space="preserve">Figure </w:t>
      </w:r>
      <w:r>
        <w:rPr>
          <w:b/>
        </w:rPr>
        <w:t>5</w:t>
      </w:r>
    </w:p>
    <w:p w14:paraId="67C68261" w14:textId="77777777" w:rsidR="008E661E" w:rsidRPr="00027E76" w:rsidRDefault="008E661E" w:rsidP="008E661E">
      <w:pPr>
        <w:pStyle w:val="NoSpacing"/>
        <w:keepNext/>
        <w:keepLines/>
        <w:jc w:val="center"/>
        <w:rPr>
          <w:b/>
        </w:rPr>
      </w:pPr>
      <w:r w:rsidRPr="00027E76">
        <w:rPr>
          <w:b/>
        </w:rPr>
        <w:t xml:space="preserve">Comparison of </w:t>
      </w:r>
      <w:r>
        <w:rPr>
          <w:b/>
        </w:rPr>
        <w:t>Applicants Receiving</w:t>
      </w:r>
      <w:r w:rsidRPr="00027E76">
        <w:rPr>
          <w:b/>
        </w:rPr>
        <w:t xml:space="preserve"> VoIP Services and POTS</w:t>
      </w:r>
    </w:p>
    <w:p w14:paraId="4584ABC3" w14:textId="77777777" w:rsidR="008E661E" w:rsidRDefault="008E661E" w:rsidP="008E661E">
      <w:pPr>
        <w:pStyle w:val="NoSpacing"/>
        <w:keepNext/>
        <w:keepLines/>
        <w:jc w:val="center"/>
        <w:rPr>
          <w:b/>
        </w:rPr>
      </w:pPr>
      <w:r>
        <w:rPr>
          <w:b/>
        </w:rPr>
        <w:t>Funding Years 2014, 2016</w:t>
      </w:r>
    </w:p>
    <w:p w14:paraId="0DBE4098" w14:textId="77777777" w:rsidR="008E661E" w:rsidRDefault="00A872D6" w:rsidP="008E661E">
      <w:pPr>
        <w:pStyle w:val="ParaNum"/>
        <w:keepNext/>
        <w:keepLines/>
        <w:numPr>
          <w:ilvl w:val="0"/>
          <w:numId w:val="0"/>
        </w:numPr>
        <w:jc w:val="center"/>
        <w:rPr>
          <w:noProof/>
          <w:snapToGrid/>
        </w:rPr>
      </w:pPr>
      <w:r w:rsidRPr="008E661E">
        <w:rPr>
          <w:noProof/>
          <w:snapToGrid/>
        </w:rPr>
        <w:drawing>
          <wp:inline distT="0" distB="0" distL="0" distR="0" wp14:anchorId="0F676545" wp14:editId="0CA4B673">
            <wp:extent cx="4600575" cy="2771775"/>
            <wp:effectExtent l="0" t="0" r="0" b="0"/>
            <wp:docPr id="5"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8E661E" w:rsidDel="00B143E8">
        <w:rPr>
          <w:noProof/>
          <w:snapToGrid/>
        </w:rPr>
        <w:t xml:space="preserve"> </w:t>
      </w:r>
    </w:p>
    <w:p w14:paraId="56C0B825" w14:textId="77777777" w:rsidR="008E661E" w:rsidRPr="00A51079" w:rsidRDefault="008E661E" w:rsidP="008E661E">
      <w:pPr>
        <w:pStyle w:val="ParaNum"/>
        <w:keepNext/>
        <w:keepLines/>
        <w:numPr>
          <w:ilvl w:val="0"/>
          <w:numId w:val="0"/>
        </w:numPr>
        <w:jc w:val="center"/>
      </w:pPr>
    </w:p>
    <w:p w14:paraId="3A6554BC" w14:textId="77777777" w:rsidR="008E661E" w:rsidRDefault="008E661E" w:rsidP="008E661E">
      <w:pPr>
        <w:pStyle w:val="Heading2"/>
      </w:pPr>
      <w:r>
        <w:t xml:space="preserve">Effect of Phasedown on Applicants Previously Receiving Only Voice Services </w:t>
      </w:r>
    </w:p>
    <w:p w14:paraId="5C707C59" w14:textId="77777777" w:rsidR="008E661E" w:rsidRDefault="008E661E" w:rsidP="008E661E">
      <w:pPr>
        <w:pStyle w:val="ParaNum"/>
      </w:pPr>
      <w:r>
        <w:t>In this section, we address how the voice phasedown affected applicants who received E</w:t>
      </w:r>
      <w:r>
        <w:noBreakHyphen/>
        <w:t>rate support in funding year 2014 only for voice services, the last funding year before the phasedown began.  Most E-rate applicants that received support for voice services in funding year 2014 still receive voice support. Of the applicants who stopped receiving support for voice services, a significant proportion no longer receive any support.  Some applicants who received support only for voice services in funding year 2014 have opted out of the program.</w:t>
      </w:r>
    </w:p>
    <w:p w14:paraId="625F4A2E" w14:textId="77777777" w:rsidR="008E661E" w:rsidRDefault="008E661E" w:rsidP="008E661E">
      <w:pPr>
        <w:pStyle w:val="Heading3"/>
      </w:pPr>
      <w:r>
        <w:t>Applicants Continuing or Dropping Support for Voice Services</w:t>
      </w:r>
    </w:p>
    <w:p w14:paraId="7CADBD78" w14:textId="77777777" w:rsidR="008E661E" w:rsidRDefault="008E661E" w:rsidP="008E661E">
      <w:pPr>
        <w:pStyle w:val="ParaNum"/>
      </w:pPr>
      <w:r>
        <w:t xml:space="preserve">Forty-four percent of E-rate applicants who stopped receiving voice support in funding year 2015 continued receiving support for other services and 58 percent of applicants who stopped receiving voice support in funding year 2016 continued receiving support for other services.  A significant proportion of applicants, however, continued to receive support for voice services in both funding years 2015 and 2016. </w:t>
      </w:r>
    </w:p>
    <w:p w14:paraId="304AA0FA" w14:textId="77777777" w:rsidR="008E661E" w:rsidRDefault="008E661E" w:rsidP="008E661E">
      <w:pPr>
        <w:pStyle w:val="ParaNum"/>
        <w:numPr>
          <w:ilvl w:val="0"/>
          <w:numId w:val="0"/>
        </w:numPr>
        <w:spacing w:after="0"/>
        <w:rPr>
          <w:b/>
        </w:rPr>
      </w:pPr>
    </w:p>
    <w:p w14:paraId="3A0E5E61" w14:textId="77777777" w:rsidR="008E661E" w:rsidRPr="00D424D8" w:rsidRDefault="008E661E" w:rsidP="008E661E">
      <w:pPr>
        <w:pStyle w:val="ParaNum"/>
        <w:numPr>
          <w:ilvl w:val="0"/>
          <w:numId w:val="0"/>
        </w:numPr>
        <w:spacing w:after="0"/>
        <w:jc w:val="center"/>
        <w:rPr>
          <w:b/>
        </w:rPr>
      </w:pPr>
      <w:r w:rsidRPr="00D424D8">
        <w:rPr>
          <w:b/>
        </w:rPr>
        <w:t xml:space="preserve">Figure </w:t>
      </w:r>
      <w:r>
        <w:rPr>
          <w:b/>
        </w:rPr>
        <w:t>6</w:t>
      </w:r>
    </w:p>
    <w:p w14:paraId="5447749F" w14:textId="77777777" w:rsidR="008E661E" w:rsidRPr="00D424D8" w:rsidRDefault="008E661E" w:rsidP="008E661E">
      <w:pPr>
        <w:pStyle w:val="ParaNum"/>
        <w:numPr>
          <w:ilvl w:val="0"/>
          <w:numId w:val="0"/>
        </w:numPr>
        <w:spacing w:after="0"/>
        <w:jc w:val="center"/>
        <w:rPr>
          <w:b/>
        </w:rPr>
      </w:pPr>
      <w:r w:rsidRPr="00D424D8">
        <w:rPr>
          <w:b/>
        </w:rPr>
        <w:t>Comparison in E-rate Participation</w:t>
      </w:r>
      <w:r>
        <w:rPr>
          <w:b/>
        </w:rPr>
        <w:t xml:space="preserve"> for Applicants that Received Voice Support in FY 2014</w:t>
      </w:r>
    </w:p>
    <w:p w14:paraId="5451D93E" w14:textId="77777777" w:rsidR="008E661E" w:rsidRPr="00D424D8" w:rsidRDefault="008E661E" w:rsidP="008E661E">
      <w:pPr>
        <w:pStyle w:val="ParaNum"/>
        <w:numPr>
          <w:ilvl w:val="0"/>
          <w:numId w:val="0"/>
        </w:numPr>
        <w:spacing w:after="0"/>
        <w:jc w:val="center"/>
        <w:rPr>
          <w:b/>
        </w:rPr>
      </w:pPr>
      <w:r w:rsidRPr="00D424D8">
        <w:rPr>
          <w:b/>
        </w:rPr>
        <w:t>Applicants Who Continued Voice Support and Applicants Dropped Voice</w:t>
      </w:r>
      <w:r>
        <w:rPr>
          <w:b/>
        </w:rPr>
        <w:t xml:space="preserve"> Support</w:t>
      </w:r>
    </w:p>
    <w:p w14:paraId="6308056D" w14:textId="77777777" w:rsidR="008E661E" w:rsidRPr="008A5BEA" w:rsidRDefault="008E661E" w:rsidP="008E661E">
      <w:pPr>
        <w:pStyle w:val="ParaNum"/>
        <w:numPr>
          <w:ilvl w:val="0"/>
          <w:numId w:val="0"/>
        </w:numPr>
        <w:spacing w:after="0"/>
        <w:jc w:val="center"/>
        <w:rPr>
          <w:b/>
        </w:rPr>
      </w:pPr>
      <w:r w:rsidRPr="00D424D8">
        <w:rPr>
          <w:b/>
        </w:rPr>
        <w:t>F</w:t>
      </w:r>
      <w:r>
        <w:rPr>
          <w:b/>
        </w:rPr>
        <w:t xml:space="preserve">unding </w:t>
      </w:r>
      <w:r w:rsidRPr="00D424D8">
        <w:rPr>
          <w:b/>
        </w:rPr>
        <w:t>Y</w:t>
      </w:r>
      <w:r>
        <w:rPr>
          <w:b/>
        </w:rPr>
        <w:t>ear</w:t>
      </w:r>
      <w:r w:rsidRPr="00D424D8">
        <w:rPr>
          <w:b/>
        </w:rPr>
        <w:t>s 2015-16</w:t>
      </w: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6475"/>
        <w:gridCol w:w="1440"/>
        <w:gridCol w:w="1435"/>
      </w:tblGrid>
      <w:tr w:rsidR="008E661E" w:rsidRPr="002C5E16" w14:paraId="6C72C108" w14:textId="77777777" w:rsidTr="000C039C">
        <w:tc>
          <w:tcPr>
            <w:tcW w:w="6475" w:type="dxa"/>
            <w:tcBorders>
              <w:top w:val="single" w:sz="4" w:space="0" w:color="4472C4"/>
              <w:left w:val="single" w:sz="4" w:space="0" w:color="4472C4"/>
              <w:bottom w:val="single" w:sz="4" w:space="0" w:color="4472C4"/>
              <w:right w:val="nil"/>
            </w:tcBorders>
            <w:shd w:val="clear" w:color="auto" w:fill="4472C4"/>
          </w:tcPr>
          <w:p w14:paraId="45C501A3" w14:textId="77777777" w:rsidR="008E661E" w:rsidRPr="00236A55" w:rsidRDefault="008E661E" w:rsidP="000C039C">
            <w:pPr>
              <w:pStyle w:val="ParaNum"/>
              <w:numPr>
                <w:ilvl w:val="0"/>
                <w:numId w:val="0"/>
              </w:numPr>
              <w:spacing w:after="0"/>
              <w:rPr>
                <w:rFonts w:ascii="Calibri" w:hAnsi="Calibri"/>
                <w:bCs/>
                <w:color w:val="FFFFFF"/>
              </w:rPr>
            </w:pPr>
            <w:r w:rsidRPr="00236A55">
              <w:rPr>
                <w:rFonts w:ascii="Calibri" w:hAnsi="Calibri"/>
                <w:b/>
                <w:bCs/>
                <w:color w:val="FFFFFF"/>
              </w:rPr>
              <w:t>Funding Year</w:t>
            </w:r>
          </w:p>
        </w:tc>
        <w:tc>
          <w:tcPr>
            <w:tcW w:w="1440" w:type="dxa"/>
            <w:tcBorders>
              <w:top w:val="single" w:sz="4" w:space="0" w:color="4472C4"/>
              <w:left w:val="nil"/>
              <w:bottom w:val="single" w:sz="4" w:space="0" w:color="4472C4"/>
              <w:right w:val="nil"/>
            </w:tcBorders>
            <w:shd w:val="clear" w:color="auto" w:fill="4472C4"/>
          </w:tcPr>
          <w:p w14:paraId="31DC984B" w14:textId="77777777" w:rsidR="008E661E" w:rsidRPr="00236A55" w:rsidRDefault="008E661E" w:rsidP="000C039C">
            <w:pPr>
              <w:pStyle w:val="ParaNum"/>
              <w:numPr>
                <w:ilvl w:val="0"/>
                <w:numId w:val="0"/>
              </w:numPr>
              <w:spacing w:after="0"/>
              <w:rPr>
                <w:rFonts w:ascii="Calibri" w:hAnsi="Calibri"/>
                <w:bCs/>
                <w:color w:val="FFFFFF"/>
              </w:rPr>
            </w:pPr>
            <w:r w:rsidRPr="00236A55">
              <w:rPr>
                <w:rFonts w:ascii="Calibri" w:hAnsi="Calibri"/>
                <w:b/>
                <w:bCs/>
                <w:color w:val="FFFFFF"/>
              </w:rPr>
              <w:t>2015</w:t>
            </w:r>
          </w:p>
        </w:tc>
        <w:tc>
          <w:tcPr>
            <w:tcW w:w="1435" w:type="dxa"/>
            <w:tcBorders>
              <w:top w:val="single" w:sz="4" w:space="0" w:color="4472C4"/>
              <w:left w:val="nil"/>
              <w:bottom w:val="single" w:sz="4" w:space="0" w:color="4472C4"/>
              <w:right w:val="single" w:sz="4" w:space="0" w:color="4472C4"/>
            </w:tcBorders>
            <w:shd w:val="clear" w:color="auto" w:fill="4472C4"/>
          </w:tcPr>
          <w:p w14:paraId="76CB330F" w14:textId="77777777" w:rsidR="008E661E" w:rsidRPr="00236A55" w:rsidRDefault="008E661E" w:rsidP="000C039C">
            <w:pPr>
              <w:pStyle w:val="ParaNum"/>
              <w:numPr>
                <w:ilvl w:val="0"/>
                <w:numId w:val="0"/>
              </w:numPr>
              <w:spacing w:after="0"/>
              <w:rPr>
                <w:rFonts w:ascii="Calibri" w:hAnsi="Calibri"/>
                <w:bCs/>
                <w:color w:val="FFFFFF"/>
              </w:rPr>
            </w:pPr>
            <w:r w:rsidRPr="00236A55">
              <w:rPr>
                <w:rFonts w:ascii="Calibri" w:hAnsi="Calibri"/>
                <w:b/>
                <w:bCs/>
                <w:color w:val="FFFFFF"/>
              </w:rPr>
              <w:t>2016</w:t>
            </w:r>
          </w:p>
        </w:tc>
      </w:tr>
      <w:tr w:rsidR="008E661E" w:rsidRPr="002C5E16" w14:paraId="257CFF41" w14:textId="77777777" w:rsidTr="000C039C">
        <w:tc>
          <w:tcPr>
            <w:tcW w:w="6475" w:type="dxa"/>
            <w:shd w:val="clear" w:color="auto" w:fill="D9E2F3"/>
          </w:tcPr>
          <w:p w14:paraId="0964300B" w14:textId="77777777" w:rsidR="008E661E" w:rsidRPr="00236A55" w:rsidRDefault="008E661E" w:rsidP="000C039C">
            <w:pPr>
              <w:pStyle w:val="ParaNum"/>
              <w:numPr>
                <w:ilvl w:val="0"/>
                <w:numId w:val="0"/>
              </w:numPr>
              <w:spacing w:after="0"/>
              <w:rPr>
                <w:rFonts w:ascii="Calibri" w:hAnsi="Calibri"/>
                <w:bCs/>
              </w:rPr>
            </w:pPr>
            <w:r w:rsidRPr="00236A55">
              <w:rPr>
                <w:rFonts w:ascii="Calibri" w:hAnsi="Calibri"/>
                <w:bCs/>
              </w:rPr>
              <w:t>Applicants Who Received Voice Support</w:t>
            </w:r>
          </w:p>
        </w:tc>
        <w:tc>
          <w:tcPr>
            <w:tcW w:w="1440" w:type="dxa"/>
            <w:shd w:val="clear" w:color="auto" w:fill="D9E2F3"/>
          </w:tcPr>
          <w:p w14:paraId="6393CB45" w14:textId="77777777" w:rsidR="008E661E" w:rsidRPr="00236A55" w:rsidRDefault="008E661E" w:rsidP="000C039C">
            <w:pPr>
              <w:pStyle w:val="ParaNum"/>
              <w:numPr>
                <w:ilvl w:val="0"/>
                <w:numId w:val="0"/>
              </w:numPr>
              <w:spacing w:after="0"/>
              <w:jc w:val="right"/>
              <w:rPr>
                <w:rFonts w:ascii="Calibri" w:hAnsi="Calibri"/>
                <w:bCs/>
              </w:rPr>
            </w:pPr>
            <w:r w:rsidRPr="00236A55">
              <w:rPr>
                <w:rFonts w:ascii="Calibri" w:hAnsi="Calibri"/>
                <w:bCs/>
              </w:rPr>
              <w:t xml:space="preserve"> 22,608 </w:t>
            </w:r>
          </w:p>
        </w:tc>
        <w:tc>
          <w:tcPr>
            <w:tcW w:w="1435" w:type="dxa"/>
            <w:shd w:val="clear" w:color="auto" w:fill="D9E2F3"/>
          </w:tcPr>
          <w:p w14:paraId="37E9F587" w14:textId="77777777" w:rsidR="008E661E" w:rsidRPr="00236A55" w:rsidRDefault="008E661E" w:rsidP="000C039C">
            <w:pPr>
              <w:pStyle w:val="ParaNum"/>
              <w:numPr>
                <w:ilvl w:val="0"/>
                <w:numId w:val="0"/>
              </w:numPr>
              <w:spacing w:after="0"/>
              <w:jc w:val="right"/>
              <w:rPr>
                <w:rFonts w:ascii="Calibri" w:hAnsi="Calibri"/>
                <w:bCs/>
              </w:rPr>
            </w:pPr>
            <w:r w:rsidRPr="00236A55">
              <w:rPr>
                <w:rFonts w:ascii="Calibri" w:hAnsi="Calibri"/>
                <w:bCs/>
              </w:rPr>
              <w:t xml:space="preserve"> 18,041 </w:t>
            </w:r>
          </w:p>
        </w:tc>
      </w:tr>
      <w:tr w:rsidR="008E661E" w:rsidRPr="002C5E16" w14:paraId="1AC308C6" w14:textId="77777777" w:rsidTr="000C039C">
        <w:tc>
          <w:tcPr>
            <w:tcW w:w="6475" w:type="dxa"/>
            <w:shd w:val="clear" w:color="auto" w:fill="auto"/>
          </w:tcPr>
          <w:p w14:paraId="475937D4" w14:textId="77777777" w:rsidR="008E661E" w:rsidRPr="00236A55" w:rsidRDefault="008E661E" w:rsidP="000C039C">
            <w:pPr>
              <w:pStyle w:val="ParaNum"/>
              <w:numPr>
                <w:ilvl w:val="0"/>
                <w:numId w:val="0"/>
              </w:numPr>
              <w:spacing w:after="0"/>
              <w:rPr>
                <w:rFonts w:ascii="Calibri" w:hAnsi="Calibri"/>
                <w:bCs/>
              </w:rPr>
            </w:pPr>
            <w:r w:rsidRPr="00236A55">
              <w:rPr>
                <w:rFonts w:ascii="Calibri" w:hAnsi="Calibri"/>
                <w:bCs/>
              </w:rPr>
              <w:t xml:space="preserve">Applicants Who Stopped Receiving Voice Support </w:t>
            </w:r>
          </w:p>
        </w:tc>
        <w:tc>
          <w:tcPr>
            <w:tcW w:w="1440" w:type="dxa"/>
            <w:shd w:val="clear" w:color="auto" w:fill="auto"/>
          </w:tcPr>
          <w:p w14:paraId="44BFAA57" w14:textId="77777777" w:rsidR="008E661E" w:rsidRPr="00236A55" w:rsidRDefault="008E661E" w:rsidP="000C039C">
            <w:pPr>
              <w:pStyle w:val="ParaNum"/>
              <w:numPr>
                <w:ilvl w:val="0"/>
                <w:numId w:val="0"/>
              </w:numPr>
              <w:spacing w:after="0"/>
              <w:jc w:val="right"/>
              <w:rPr>
                <w:rFonts w:ascii="Calibri" w:hAnsi="Calibri"/>
                <w:bCs/>
              </w:rPr>
            </w:pPr>
            <w:r w:rsidRPr="00236A55">
              <w:rPr>
                <w:rFonts w:ascii="Calibri" w:hAnsi="Calibri"/>
                <w:bCs/>
              </w:rPr>
              <w:t xml:space="preserve"> 1,967 </w:t>
            </w:r>
          </w:p>
        </w:tc>
        <w:tc>
          <w:tcPr>
            <w:tcW w:w="1435" w:type="dxa"/>
            <w:shd w:val="clear" w:color="auto" w:fill="auto"/>
          </w:tcPr>
          <w:p w14:paraId="07F69BC8" w14:textId="77777777" w:rsidR="008E661E" w:rsidRPr="00236A55" w:rsidRDefault="008E661E" w:rsidP="000C039C">
            <w:pPr>
              <w:pStyle w:val="ParaNum"/>
              <w:numPr>
                <w:ilvl w:val="0"/>
                <w:numId w:val="0"/>
              </w:numPr>
              <w:spacing w:after="0"/>
              <w:jc w:val="right"/>
              <w:rPr>
                <w:rFonts w:ascii="Calibri" w:hAnsi="Calibri"/>
                <w:bCs/>
              </w:rPr>
            </w:pPr>
            <w:r w:rsidRPr="00236A55">
              <w:rPr>
                <w:rFonts w:ascii="Calibri" w:hAnsi="Calibri"/>
                <w:bCs/>
              </w:rPr>
              <w:t xml:space="preserve"> 4,959 </w:t>
            </w:r>
          </w:p>
        </w:tc>
      </w:tr>
      <w:tr w:rsidR="008E661E" w:rsidRPr="002C5E16" w14:paraId="4827209D" w14:textId="77777777" w:rsidTr="000C039C">
        <w:tc>
          <w:tcPr>
            <w:tcW w:w="6475" w:type="dxa"/>
            <w:shd w:val="clear" w:color="auto" w:fill="D9E2F3"/>
          </w:tcPr>
          <w:p w14:paraId="4734417C" w14:textId="77777777" w:rsidR="008E661E" w:rsidRPr="00236A55" w:rsidRDefault="008E661E" w:rsidP="008E661E">
            <w:pPr>
              <w:pStyle w:val="ParaNum"/>
              <w:numPr>
                <w:ilvl w:val="0"/>
                <w:numId w:val="7"/>
              </w:numPr>
              <w:spacing w:after="0"/>
              <w:rPr>
                <w:rFonts w:ascii="Calibri" w:hAnsi="Calibri"/>
                <w:bCs/>
              </w:rPr>
            </w:pPr>
            <w:r w:rsidRPr="00236A55">
              <w:rPr>
                <w:rFonts w:ascii="Calibri" w:hAnsi="Calibri"/>
                <w:bCs/>
              </w:rPr>
              <w:t>Subset Receiving E-rate Support for Other Services</w:t>
            </w:r>
          </w:p>
        </w:tc>
        <w:tc>
          <w:tcPr>
            <w:tcW w:w="1440" w:type="dxa"/>
            <w:shd w:val="clear" w:color="auto" w:fill="D9E2F3"/>
          </w:tcPr>
          <w:p w14:paraId="3AC11CAC" w14:textId="77777777" w:rsidR="008E661E" w:rsidRPr="00236A55" w:rsidRDefault="008E661E" w:rsidP="000C039C">
            <w:pPr>
              <w:pStyle w:val="ParaNum"/>
              <w:numPr>
                <w:ilvl w:val="0"/>
                <w:numId w:val="0"/>
              </w:numPr>
              <w:spacing w:after="0"/>
              <w:jc w:val="right"/>
              <w:rPr>
                <w:rFonts w:ascii="Calibri" w:hAnsi="Calibri"/>
                <w:bCs/>
              </w:rPr>
            </w:pPr>
            <w:r w:rsidRPr="00236A55">
              <w:rPr>
                <w:rFonts w:ascii="Calibri" w:hAnsi="Calibri"/>
                <w:bCs/>
              </w:rPr>
              <w:t xml:space="preserve"> 858 (44%) </w:t>
            </w:r>
          </w:p>
        </w:tc>
        <w:tc>
          <w:tcPr>
            <w:tcW w:w="1435" w:type="dxa"/>
            <w:shd w:val="clear" w:color="auto" w:fill="D9E2F3"/>
          </w:tcPr>
          <w:p w14:paraId="1D75B82C" w14:textId="77777777" w:rsidR="008E661E" w:rsidRPr="00236A55" w:rsidRDefault="008E661E" w:rsidP="000C039C">
            <w:pPr>
              <w:pStyle w:val="ParaNum"/>
              <w:numPr>
                <w:ilvl w:val="0"/>
                <w:numId w:val="0"/>
              </w:numPr>
              <w:spacing w:after="0"/>
              <w:jc w:val="right"/>
              <w:rPr>
                <w:rFonts w:ascii="Calibri" w:hAnsi="Calibri"/>
                <w:bCs/>
              </w:rPr>
            </w:pPr>
            <w:r w:rsidRPr="00236A55">
              <w:rPr>
                <w:rFonts w:ascii="Calibri" w:hAnsi="Calibri"/>
                <w:bCs/>
              </w:rPr>
              <w:t xml:space="preserve"> 2,899 (58%) </w:t>
            </w:r>
          </w:p>
        </w:tc>
      </w:tr>
      <w:tr w:rsidR="008E661E" w:rsidRPr="002C5E16" w14:paraId="056CC404" w14:textId="77777777" w:rsidTr="000C039C">
        <w:tc>
          <w:tcPr>
            <w:tcW w:w="6475" w:type="dxa"/>
            <w:shd w:val="clear" w:color="auto" w:fill="auto"/>
          </w:tcPr>
          <w:p w14:paraId="201AFC75" w14:textId="77777777" w:rsidR="008E661E" w:rsidRPr="00236A55" w:rsidRDefault="008E661E" w:rsidP="008E661E">
            <w:pPr>
              <w:pStyle w:val="ParaNum"/>
              <w:numPr>
                <w:ilvl w:val="0"/>
                <w:numId w:val="7"/>
              </w:numPr>
              <w:spacing w:after="0"/>
              <w:rPr>
                <w:rFonts w:ascii="Calibri" w:hAnsi="Calibri"/>
                <w:bCs/>
              </w:rPr>
            </w:pPr>
            <w:r w:rsidRPr="00236A55">
              <w:rPr>
                <w:rFonts w:ascii="Calibri" w:hAnsi="Calibri"/>
                <w:bCs/>
              </w:rPr>
              <w:t>Subset Receiving No E-rate Support</w:t>
            </w:r>
          </w:p>
        </w:tc>
        <w:tc>
          <w:tcPr>
            <w:tcW w:w="1440" w:type="dxa"/>
            <w:shd w:val="clear" w:color="auto" w:fill="auto"/>
          </w:tcPr>
          <w:p w14:paraId="4653CAAD" w14:textId="77777777" w:rsidR="008E661E" w:rsidRPr="00236A55" w:rsidRDefault="008E661E" w:rsidP="000C039C">
            <w:pPr>
              <w:pStyle w:val="ParaNum"/>
              <w:numPr>
                <w:ilvl w:val="0"/>
                <w:numId w:val="0"/>
              </w:numPr>
              <w:spacing w:after="0"/>
              <w:jc w:val="right"/>
              <w:rPr>
                <w:rFonts w:ascii="Calibri" w:hAnsi="Calibri"/>
                <w:bCs/>
              </w:rPr>
            </w:pPr>
            <w:r w:rsidRPr="00236A55">
              <w:rPr>
                <w:rFonts w:ascii="Calibri" w:hAnsi="Calibri"/>
                <w:bCs/>
              </w:rPr>
              <w:t xml:space="preserve"> 1,109 (56%) </w:t>
            </w:r>
          </w:p>
        </w:tc>
        <w:tc>
          <w:tcPr>
            <w:tcW w:w="1435" w:type="dxa"/>
            <w:shd w:val="clear" w:color="auto" w:fill="auto"/>
          </w:tcPr>
          <w:p w14:paraId="17933534" w14:textId="77777777" w:rsidR="008E661E" w:rsidRPr="00236A55" w:rsidRDefault="008E661E" w:rsidP="000C039C">
            <w:pPr>
              <w:pStyle w:val="ParaNum"/>
              <w:numPr>
                <w:ilvl w:val="0"/>
                <w:numId w:val="0"/>
              </w:numPr>
              <w:spacing w:after="0"/>
              <w:jc w:val="right"/>
              <w:rPr>
                <w:rFonts w:ascii="Calibri" w:hAnsi="Calibri"/>
                <w:bCs/>
              </w:rPr>
            </w:pPr>
            <w:r w:rsidRPr="00236A55">
              <w:rPr>
                <w:rFonts w:ascii="Calibri" w:hAnsi="Calibri"/>
                <w:bCs/>
              </w:rPr>
              <w:t xml:space="preserve"> 2,060 (42%) </w:t>
            </w:r>
          </w:p>
        </w:tc>
      </w:tr>
    </w:tbl>
    <w:p w14:paraId="38A882CE" w14:textId="77777777" w:rsidR="008E661E" w:rsidRDefault="008E661E" w:rsidP="008E661E">
      <w:pPr>
        <w:pStyle w:val="ParaNum"/>
        <w:numPr>
          <w:ilvl w:val="0"/>
          <w:numId w:val="0"/>
        </w:numPr>
      </w:pPr>
    </w:p>
    <w:p w14:paraId="33AED8E7" w14:textId="77777777" w:rsidR="008E661E" w:rsidRDefault="008E661E" w:rsidP="008E661E">
      <w:pPr>
        <w:pStyle w:val="ParaNum"/>
      </w:pPr>
      <w:r>
        <w:t xml:space="preserve">Of the E-rate applicants that received support for voice services in funding year 2014, 3,169 did not participate in the E-rate program in funding years 2015 and 2016 (1,109 in funding year 2015 and 2,060 in funding year 2016), representing 12 percent of the total 26,242 E-rate applicants in funding year 2014.  The median discount rate for the 3,169 applicants that opted to no longer participate in the E-rate program was 70% (before the phasedown).     </w:t>
      </w:r>
    </w:p>
    <w:p w14:paraId="55C3D502" w14:textId="77777777" w:rsidR="008E661E" w:rsidRDefault="008E661E" w:rsidP="008E661E">
      <w:pPr>
        <w:pStyle w:val="Heading3"/>
      </w:pPr>
      <w:r>
        <w:t>Impact on Applicants that Received Support Only for</w:t>
      </w:r>
      <w:r w:rsidDel="00843B34">
        <w:rPr>
          <w:rStyle w:val="CommentReference"/>
          <w:b w:val="0"/>
        </w:rPr>
        <w:t xml:space="preserve"> </w:t>
      </w:r>
      <w:r>
        <w:t>Voice in Funding Year 2014</w:t>
      </w:r>
    </w:p>
    <w:p w14:paraId="54CF8551" w14:textId="77777777" w:rsidR="008E661E" w:rsidRDefault="008E661E" w:rsidP="008E661E">
      <w:pPr>
        <w:pStyle w:val="ParaNum"/>
      </w:pPr>
      <w:r>
        <w:t xml:space="preserve">Most of the applicants that received support in funding year 2014 only for voice services continue to participate in the E-rate program.  Seventy-one percent of the applicants that received only voice services in funding year 2014 continued to participate in the E-rate program in funding year 2017 and </w:t>
      </w:r>
      <w:r w:rsidR="009750F2">
        <w:t>sought</w:t>
      </w:r>
      <w:r>
        <w:t xml:space="preserve"> support for voice, other services, or both.</w:t>
      </w:r>
      <w:r>
        <w:rPr>
          <w:rStyle w:val="FootnoteReference"/>
        </w:rPr>
        <w:footnoteReference w:id="24"/>
      </w:r>
      <w:r>
        <w:t xml:space="preserve"> </w:t>
      </w:r>
    </w:p>
    <w:p w14:paraId="383A5B3A" w14:textId="77777777" w:rsidR="008E661E" w:rsidRPr="007F4C26" w:rsidRDefault="008E661E" w:rsidP="008E661E">
      <w:pPr>
        <w:widowControl/>
        <w:jc w:val="center"/>
        <w:rPr>
          <w:b/>
        </w:rPr>
      </w:pPr>
      <w:r>
        <w:rPr>
          <w:b/>
        </w:rPr>
        <w:t>F</w:t>
      </w:r>
      <w:r w:rsidRPr="007F4C26">
        <w:rPr>
          <w:b/>
        </w:rPr>
        <w:t xml:space="preserve">igure </w:t>
      </w:r>
      <w:r>
        <w:rPr>
          <w:b/>
        </w:rPr>
        <w:t>7</w:t>
      </w:r>
    </w:p>
    <w:p w14:paraId="31CAA201" w14:textId="77777777" w:rsidR="008E661E" w:rsidRPr="007F4C26" w:rsidRDefault="008E661E" w:rsidP="008E661E">
      <w:pPr>
        <w:pStyle w:val="NoSpacing"/>
        <w:jc w:val="center"/>
        <w:rPr>
          <w:b/>
        </w:rPr>
      </w:pPr>
      <w:r w:rsidRPr="007F4C26">
        <w:rPr>
          <w:b/>
        </w:rPr>
        <w:t xml:space="preserve">Applicants Receiving Only Voice </w:t>
      </w:r>
      <w:r>
        <w:rPr>
          <w:b/>
        </w:rPr>
        <w:t>S</w:t>
      </w:r>
      <w:r w:rsidRPr="007F4C26">
        <w:rPr>
          <w:b/>
        </w:rPr>
        <w:t>upport in F</w:t>
      </w:r>
      <w:r>
        <w:rPr>
          <w:b/>
        </w:rPr>
        <w:t xml:space="preserve">unding </w:t>
      </w:r>
      <w:r w:rsidRPr="007F4C26">
        <w:rPr>
          <w:b/>
        </w:rPr>
        <w:t>Y</w:t>
      </w:r>
      <w:r>
        <w:rPr>
          <w:b/>
        </w:rPr>
        <w:t>ear</w:t>
      </w:r>
      <w:r w:rsidRPr="007F4C26">
        <w:rPr>
          <w:b/>
        </w:rPr>
        <w:t xml:space="preserve"> 2014</w:t>
      </w:r>
    </w:p>
    <w:p w14:paraId="45B5C359" w14:textId="77777777" w:rsidR="008E661E" w:rsidRPr="00FF3786" w:rsidRDefault="008E661E" w:rsidP="008E661E">
      <w:pPr>
        <w:pStyle w:val="NoSpacing"/>
        <w:jc w:val="center"/>
        <w:rPr>
          <w:b/>
        </w:rPr>
      </w:pPr>
      <w:r>
        <w:rPr>
          <w:b/>
        </w:rPr>
        <w:t xml:space="preserve"> Participation in </w:t>
      </w:r>
      <w:r w:rsidRPr="007F4C26">
        <w:rPr>
          <w:b/>
        </w:rPr>
        <w:t>F</w:t>
      </w:r>
      <w:r>
        <w:rPr>
          <w:b/>
        </w:rPr>
        <w:t xml:space="preserve">unding </w:t>
      </w:r>
      <w:r w:rsidRPr="007F4C26">
        <w:rPr>
          <w:b/>
        </w:rPr>
        <w:t>Y</w:t>
      </w:r>
      <w:r>
        <w:rPr>
          <w:b/>
        </w:rPr>
        <w:t>ear</w:t>
      </w:r>
      <w:r w:rsidRPr="007F4C26">
        <w:rPr>
          <w:b/>
        </w:rPr>
        <w:t xml:space="preserve"> 2017</w:t>
      </w:r>
    </w:p>
    <w:p w14:paraId="69141601" w14:textId="77777777" w:rsidR="008E661E" w:rsidRPr="00843B34" w:rsidRDefault="008E661E" w:rsidP="008E661E">
      <w:pPr>
        <w:pStyle w:val="NoSpacing"/>
        <w:jc w:val="center"/>
        <w:rPr>
          <w:b/>
        </w:rPr>
      </w:pPr>
    </w:p>
    <w:p w14:paraId="429D1B0D" w14:textId="77777777" w:rsidR="008E661E" w:rsidRPr="00843B34" w:rsidRDefault="00A872D6" w:rsidP="008E661E">
      <w:pPr>
        <w:pStyle w:val="NoSpacing"/>
        <w:jc w:val="center"/>
        <w:rPr>
          <w:b/>
        </w:rPr>
      </w:pPr>
      <w:r w:rsidRPr="008E661E">
        <w:rPr>
          <w:noProof/>
          <w:snapToGrid/>
        </w:rPr>
        <w:drawing>
          <wp:inline distT="0" distB="0" distL="0" distR="0" wp14:anchorId="25F81DF7" wp14:editId="3AA24B72">
            <wp:extent cx="3971925" cy="2076450"/>
            <wp:effectExtent l="0" t="0" r="0" b="0"/>
            <wp:docPr id="6"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02390C6" w14:textId="77777777" w:rsidR="008E661E" w:rsidRPr="00843B34" w:rsidRDefault="008E661E" w:rsidP="008E661E">
      <w:pPr>
        <w:pStyle w:val="NoSpacing"/>
        <w:rPr>
          <w:b/>
        </w:rPr>
      </w:pPr>
    </w:p>
    <w:p w14:paraId="0F75C79C" w14:textId="77777777" w:rsidR="008E661E" w:rsidRDefault="008E661E" w:rsidP="008E661E">
      <w:pPr>
        <w:pStyle w:val="ParaNum"/>
      </w:pPr>
      <w:r>
        <w:t xml:space="preserve">Of the applicants that continue to </w:t>
      </w:r>
      <w:r w:rsidR="009750F2">
        <w:t>seek</w:t>
      </w:r>
      <w:r>
        <w:t xml:space="preserve"> some form of E-rate support, 18 percent of individual-filer applicants </w:t>
      </w:r>
      <w:r w:rsidR="009750F2">
        <w:t>sought</w:t>
      </w:r>
      <w:r>
        <w:t xml:space="preserve"> only voice services, 39 percent </w:t>
      </w:r>
      <w:r w:rsidR="009750F2">
        <w:t>sought</w:t>
      </w:r>
      <w:r>
        <w:t xml:space="preserve"> only non-voice services, and 43 percent </w:t>
      </w:r>
      <w:r w:rsidR="009750F2">
        <w:t>sought</w:t>
      </w:r>
      <w:r>
        <w:t xml:space="preserve"> both voice and non-voice services.  </w:t>
      </w:r>
    </w:p>
    <w:p w14:paraId="347770AF" w14:textId="77777777" w:rsidR="008E661E" w:rsidRPr="007F4C26" w:rsidRDefault="008E661E" w:rsidP="008E661E">
      <w:pPr>
        <w:keepNext/>
        <w:keepLines/>
        <w:widowControl/>
        <w:jc w:val="center"/>
        <w:rPr>
          <w:b/>
        </w:rPr>
      </w:pPr>
      <w:r>
        <w:rPr>
          <w:b/>
        </w:rPr>
        <w:t>F</w:t>
      </w:r>
      <w:r w:rsidRPr="007F4C26">
        <w:rPr>
          <w:b/>
        </w:rPr>
        <w:t xml:space="preserve">igure </w:t>
      </w:r>
      <w:r>
        <w:rPr>
          <w:b/>
        </w:rPr>
        <w:t>8</w:t>
      </w:r>
    </w:p>
    <w:p w14:paraId="652AA836" w14:textId="77777777" w:rsidR="008E661E" w:rsidRDefault="008E661E" w:rsidP="008E661E">
      <w:pPr>
        <w:pStyle w:val="NoSpacing"/>
        <w:keepNext/>
        <w:keepLines/>
        <w:jc w:val="center"/>
        <w:rPr>
          <w:b/>
        </w:rPr>
      </w:pPr>
      <w:r>
        <w:rPr>
          <w:b/>
        </w:rPr>
        <w:t xml:space="preserve">Services Sought in FY 2017 by </w:t>
      </w:r>
      <w:r w:rsidRPr="007F4C26">
        <w:rPr>
          <w:b/>
        </w:rPr>
        <w:t xml:space="preserve">Applicants </w:t>
      </w:r>
      <w:r>
        <w:rPr>
          <w:b/>
        </w:rPr>
        <w:t>Who Received</w:t>
      </w:r>
      <w:r w:rsidRPr="007F4C26">
        <w:rPr>
          <w:b/>
        </w:rPr>
        <w:t xml:space="preserve"> Only Voice </w:t>
      </w:r>
      <w:r>
        <w:rPr>
          <w:b/>
        </w:rPr>
        <w:t>S</w:t>
      </w:r>
      <w:r w:rsidRPr="007F4C26">
        <w:rPr>
          <w:b/>
        </w:rPr>
        <w:t>upport</w:t>
      </w:r>
    </w:p>
    <w:p w14:paraId="30841A20" w14:textId="77777777" w:rsidR="008E661E" w:rsidRPr="007F4C26" w:rsidRDefault="008E661E" w:rsidP="008E661E">
      <w:pPr>
        <w:pStyle w:val="NoSpacing"/>
        <w:keepNext/>
        <w:keepLines/>
        <w:jc w:val="center"/>
        <w:rPr>
          <w:b/>
        </w:rPr>
      </w:pPr>
      <w:r w:rsidRPr="007F4C26">
        <w:rPr>
          <w:b/>
        </w:rPr>
        <w:t>in F</w:t>
      </w:r>
      <w:r>
        <w:rPr>
          <w:b/>
        </w:rPr>
        <w:t xml:space="preserve">unding </w:t>
      </w:r>
      <w:r w:rsidRPr="007F4C26">
        <w:rPr>
          <w:b/>
        </w:rPr>
        <w:t>Y</w:t>
      </w:r>
      <w:r>
        <w:rPr>
          <w:b/>
        </w:rPr>
        <w:t>ear</w:t>
      </w:r>
      <w:r w:rsidRPr="007F4C26">
        <w:rPr>
          <w:b/>
        </w:rPr>
        <w:t xml:space="preserve"> 2014</w:t>
      </w:r>
    </w:p>
    <w:p w14:paraId="56EB16CA" w14:textId="77777777" w:rsidR="008E661E" w:rsidRPr="00FF3786" w:rsidRDefault="0033512C" w:rsidP="008E661E">
      <w:pPr>
        <w:pStyle w:val="ParaNum"/>
        <w:keepNext/>
        <w:keepLines/>
        <w:numPr>
          <w:ilvl w:val="0"/>
          <w:numId w:val="0"/>
        </w:numPr>
        <w:jc w:val="center"/>
      </w:pPr>
      <w:r>
        <w:rPr>
          <w:noProof/>
          <w:snapToGrid/>
        </w:rPr>
        <w:drawing>
          <wp:inline distT="0" distB="0" distL="0" distR="0" wp14:anchorId="7F352F86" wp14:editId="366D2316">
            <wp:extent cx="3857625" cy="2381250"/>
            <wp:effectExtent l="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3D62312" w14:textId="77777777" w:rsidR="008E661E" w:rsidRDefault="008E661E" w:rsidP="008E661E">
      <w:pPr>
        <w:widowControl/>
      </w:pPr>
      <w:r>
        <w:br w:type="page"/>
      </w:r>
    </w:p>
    <w:p w14:paraId="190C1B4B" w14:textId="77777777" w:rsidR="008E661E" w:rsidRPr="00E01B21" w:rsidRDefault="008E661E" w:rsidP="008E661E">
      <w:pPr>
        <w:pStyle w:val="NoSpacing"/>
        <w:jc w:val="center"/>
        <w:rPr>
          <w:b/>
        </w:rPr>
      </w:pPr>
      <w:r w:rsidRPr="00E01B21">
        <w:rPr>
          <w:b/>
        </w:rPr>
        <w:t>APPENDIX A</w:t>
      </w:r>
    </w:p>
    <w:p w14:paraId="007FD71B" w14:textId="77777777" w:rsidR="008E661E" w:rsidRPr="00E01B21" w:rsidRDefault="008E661E" w:rsidP="008E661E">
      <w:pPr>
        <w:pStyle w:val="NoSpacing"/>
        <w:jc w:val="center"/>
      </w:pPr>
      <w:r w:rsidRPr="00E01B21">
        <w:t>E-rate Funding Commitments</w:t>
      </w:r>
    </w:p>
    <w:p w14:paraId="436BC588" w14:textId="77777777" w:rsidR="008E661E" w:rsidRPr="00E01B21" w:rsidRDefault="008E661E" w:rsidP="008E661E">
      <w:pPr>
        <w:pStyle w:val="NoSpacing"/>
        <w:jc w:val="center"/>
      </w:pPr>
      <w:r w:rsidRPr="00E01B21">
        <w:t>All Applicants</w:t>
      </w:r>
    </w:p>
    <w:p w14:paraId="1885B805" w14:textId="77777777" w:rsidR="008E661E" w:rsidRPr="00E01B21" w:rsidRDefault="008E661E" w:rsidP="008E661E">
      <w:pPr>
        <w:pStyle w:val="NoSpacing"/>
        <w:jc w:val="center"/>
      </w:pPr>
      <w:r w:rsidRPr="00E01B21">
        <w:t>Funding Years 2014-16</w:t>
      </w:r>
    </w:p>
    <w:p w14:paraId="5CF14CF0" w14:textId="77777777" w:rsidR="008E661E" w:rsidRDefault="008E661E" w:rsidP="008E661E">
      <w:pPr>
        <w:pStyle w:val="ParaNum"/>
        <w:numPr>
          <w:ilvl w:val="0"/>
          <w:numId w:val="0"/>
        </w:numPr>
      </w:pPr>
    </w:p>
    <w:tbl>
      <w:tblPr>
        <w:tblW w:w="908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950"/>
        <w:gridCol w:w="1513"/>
        <w:gridCol w:w="1666"/>
        <w:gridCol w:w="1610"/>
        <w:gridCol w:w="1610"/>
        <w:gridCol w:w="1736"/>
      </w:tblGrid>
      <w:tr w:rsidR="008E661E" w:rsidRPr="00AB5684" w14:paraId="0BD05BDF" w14:textId="77777777" w:rsidTr="000C039C">
        <w:trPr>
          <w:trHeight w:val="300"/>
        </w:trPr>
        <w:tc>
          <w:tcPr>
            <w:tcW w:w="950" w:type="dxa"/>
            <w:tcBorders>
              <w:top w:val="single" w:sz="4" w:space="0" w:color="4472C4"/>
              <w:left w:val="single" w:sz="4" w:space="0" w:color="4472C4"/>
              <w:bottom w:val="single" w:sz="4" w:space="0" w:color="4472C4"/>
              <w:right w:val="nil"/>
            </w:tcBorders>
            <w:shd w:val="clear" w:color="auto" w:fill="4472C4"/>
            <w:noWrap/>
            <w:hideMark/>
          </w:tcPr>
          <w:p w14:paraId="30218B13" w14:textId="77777777" w:rsidR="008E661E" w:rsidRPr="00236A55" w:rsidRDefault="008E661E" w:rsidP="000C039C">
            <w:pPr>
              <w:widowControl/>
              <w:rPr>
                <w:rFonts w:ascii="Calibri" w:hAnsi="Calibri"/>
                <w:b/>
                <w:bCs/>
                <w:snapToGrid/>
                <w:color w:val="FFFFFF"/>
                <w:kern w:val="0"/>
                <w:szCs w:val="22"/>
              </w:rPr>
            </w:pPr>
            <w:r w:rsidRPr="00236A55">
              <w:rPr>
                <w:rFonts w:ascii="Calibri" w:hAnsi="Calibri"/>
                <w:b/>
                <w:bCs/>
                <w:color w:val="FFFFFF"/>
                <w:kern w:val="0"/>
              </w:rPr>
              <w:t>Funding Year</w:t>
            </w:r>
          </w:p>
        </w:tc>
        <w:tc>
          <w:tcPr>
            <w:tcW w:w="1513" w:type="dxa"/>
            <w:tcBorders>
              <w:top w:val="single" w:sz="4" w:space="0" w:color="4472C4"/>
              <w:left w:val="nil"/>
              <w:bottom w:val="single" w:sz="4" w:space="0" w:color="4472C4"/>
              <w:right w:val="nil"/>
            </w:tcBorders>
            <w:shd w:val="clear" w:color="auto" w:fill="4472C4"/>
            <w:noWrap/>
            <w:hideMark/>
          </w:tcPr>
          <w:p w14:paraId="11E1235C" w14:textId="77777777" w:rsidR="008E661E" w:rsidRPr="00236A55" w:rsidRDefault="008E661E" w:rsidP="000C039C">
            <w:pPr>
              <w:widowControl/>
              <w:rPr>
                <w:rFonts w:ascii="Calibri" w:hAnsi="Calibri"/>
                <w:b/>
                <w:bCs/>
                <w:snapToGrid/>
                <w:color w:val="FFFFFF"/>
                <w:kern w:val="0"/>
                <w:szCs w:val="22"/>
              </w:rPr>
            </w:pPr>
            <w:r w:rsidRPr="00236A55">
              <w:rPr>
                <w:rFonts w:ascii="Calibri" w:hAnsi="Calibri"/>
                <w:b/>
                <w:bCs/>
                <w:color w:val="FFFFFF"/>
                <w:kern w:val="0"/>
              </w:rPr>
              <w:t>Voice Commitments</w:t>
            </w:r>
          </w:p>
        </w:tc>
        <w:tc>
          <w:tcPr>
            <w:tcW w:w="1666" w:type="dxa"/>
            <w:tcBorders>
              <w:top w:val="single" w:sz="4" w:space="0" w:color="4472C4"/>
              <w:left w:val="nil"/>
              <w:bottom w:val="single" w:sz="4" w:space="0" w:color="4472C4"/>
              <w:right w:val="nil"/>
            </w:tcBorders>
            <w:shd w:val="clear" w:color="auto" w:fill="4472C4"/>
            <w:noWrap/>
            <w:hideMark/>
          </w:tcPr>
          <w:p w14:paraId="05163088" w14:textId="77777777" w:rsidR="008E661E" w:rsidRPr="00236A55" w:rsidRDefault="008E661E" w:rsidP="000C039C">
            <w:pPr>
              <w:widowControl/>
              <w:rPr>
                <w:rFonts w:ascii="Calibri" w:hAnsi="Calibri"/>
                <w:b/>
                <w:bCs/>
                <w:snapToGrid/>
                <w:color w:val="FFFFFF"/>
                <w:kern w:val="0"/>
                <w:szCs w:val="22"/>
              </w:rPr>
            </w:pPr>
            <w:r w:rsidRPr="00236A55">
              <w:rPr>
                <w:rFonts w:ascii="Calibri" w:hAnsi="Calibri"/>
                <w:b/>
                <w:bCs/>
                <w:color w:val="FFFFFF"/>
                <w:kern w:val="0"/>
              </w:rPr>
              <w:t>C1 Non-Voice Commitments</w:t>
            </w:r>
          </w:p>
        </w:tc>
        <w:tc>
          <w:tcPr>
            <w:tcW w:w="1610" w:type="dxa"/>
            <w:tcBorders>
              <w:top w:val="single" w:sz="4" w:space="0" w:color="4472C4"/>
              <w:left w:val="nil"/>
              <w:bottom w:val="single" w:sz="4" w:space="0" w:color="4472C4"/>
              <w:right w:val="nil"/>
            </w:tcBorders>
            <w:shd w:val="clear" w:color="auto" w:fill="4472C4"/>
            <w:noWrap/>
            <w:hideMark/>
          </w:tcPr>
          <w:p w14:paraId="3F50760C" w14:textId="77777777" w:rsidR="008E661E" w:rsidRPr="00236A55" w:rsidRDefault="008E661E" w:rsidP="000C039C">
            <w:pPr>
              <w:widowControl/>
              <w:rPr>
                <w:rFonts w:ascii="Calibri" w:hAnsi="Calibri"/>
                <w:b/>
                <w:bCs/>
                <w:snapToGrid/>
                <w:color w:val="FFFFFF"/>
                <w:kern w:val="0"/>
                <w:szCs w:val="22"/>
              </w:rPr>
            </w:pPr>
            <w:r w:rsidRPr="00236A55">
              <w:rPr>
                <w:rFonts w:ascii="Calibri" w:hAnsi="Calibri"/>
                <w:b/>
                <w:bCs/>
                <w:color w:val="FFFFFF"/>
                <w:kern w:val="0"/>
              </w:rPr>
              <w:t>C2 Commitments</w:t>
            </w:r>
          </w:p>
        </w:tc>
        <w:tc>
          <w:tcPr>
            <w:tcW w:w="1610" w:type="dxa"/>
            <w:tcBorders>
              <w:top w:val="single" w:sz="4" w:space="0" w:color="4472C4"/>
              <w:left w:val="nil"/>
              <w:bottom w:val="single" w:sz="4" w:space="0" w:color="4472C4"/>
              <w:right w:val="nil"/>
            </w:tcBorders>
            <w:shd w:val="clear" w:color="auto" w:fill="4472C4"/>
            <w:noWrap/>
            <w:hideMark/>
          </w:tcPr>
          <w:p w14:paraId="0CCD7D62" w14:textId="77777777" w:rsidR="008E661E" w:rsidRPr="00236A55" w:rsidRDefault="008E661E" w:rsidP="000C039C">
            <w:pPr>
              <w:widowControl/>
              <w:rPr>
                <w:rFonts w:ascii="Calibri" w:hAnsi="Calibri"/>
                <w:b/>
                <w:bCs/>
                <w:snapToGrid/>
                <w:color w:val="FFFFFF"/>
                <w:kern w:val="0"/>
                <w:szCs w:val="22"/>
              </w:rPr>
            </w:pPr>
            <w:r w:rsidRPr="00236A55">
              <w:rPr>
                <w:rFonts w:ascii="Calibri" w:hAnsi="Calibri"/>
                <w:b/>
                <w:bCs/>
                <w:color w:val="FFFFFF"/>
                <w:kern w:val="0"/>
              </w:rPr>
              <w:t>Total</w:t>
            </w:r>
          </w:p>
        </w:tc>
        <w:tc>
          <w:tcPr>
            <w:tcW w:w="1736" w:type="dxa"/>
            <w:tcBorders>
              <w:top w:val="single" w:sz="4" w:space="0" w:color="4472C4"/>
              <w:left w:val="nil"/>
              <w:bottom w:val="single" w:sz="4" w:space="0" w:color="4472C4"/>
              <w:right w:val="single" w:sz="4" w:space="0" w:color="4472C4"/>
            </w:tcBorders>
            <w:shd w:val="clear" w:color="auto" w:fill="4472C4"/>
            <w:noWrap/>
            <w:hideMark/>
          </w:tcPr>
          <w:p w14:paraId="424FD5F8" w14:textId="77777777" w:rsidR="008E661E" w:rsidRPr="00236A55" w:rsidRDefault="008E661E" w:rsidP="000C039C">
            <w:pPr>
              <w:widowControl/>
              <w:rPr>
                <w:rFonts w:ascii="Calibri" w:hAnsi="Calibri"/>
                <w:b/>
                <w:bCs/>
                <w:snapToGrid/>
                <w:color w:val="FFFFFF"/>
                <w:kern w:val="0"/>
                <w:szCs w:val="22"/>
              </w:rPr>
            </w:pPr>
            <w:r w:rsidRPr="00236A55">
              <w:rPr>
                <w:rFonts w:ascii="Calibri" w:hAnsi="Calibri"/>
                <w:b/>
                <w:bCs/>
                <w:snapToGrid/>
                <w:color w:val="FFFFFF"/>
                <w:kern w:val="0"/>
                <w:szCs w:val="22"/>
              </w:rPr>
              <w:t>Voice as Percentage of Total Commitments</w:t>
            </w:r>
          </w:p>
        </w:tc>
      </w:tr>
      <w:tr w:rsidR="000C039C" w:rsidRPr="00AB5684" w14:paraId="65485A2F" w14:textId="77777777" w:rsidTr="000C039C">
        <w:trPr>
          <w:trHeight w:val="300"/>
        </w:trPr>
        <w:tc>
          <w:tcPr>
            <w:tcW w:w="950" w:type="dxa"/>
            <w:shd w:val="clear" w:color="auto" w:fill="D9E2F3"/>
            <w:noWrap/>
            <w:hideMark/>
          </w:tcPr>
          <w:p w14:paraId="53612625" w14:textId="77777777" w:rsidR="000C039C" w:rsidRPr="00236A55" w:rsidRDefault="000C039C" w:rsidP="000C039C">
            <w:pPr>
              <w:widowControl/>
              <w:rPr>
                <w:rFonts w:ascii="Calibri" w:hAnsi="Calibri"/>
                <w:b/>
                <w:bCs/>
                <w:snapToGrid/>
                <w:color w:val="000000"/>
                <w:kern w:val="0"/>
                <w:szCs w:val="22"/>
              </w:rPr>
            </w:pPr>
            <w:r w:rsidRPr="00236A55">
              <w:rPr>
                <w:rFonts w:ascii="Calibri" w:hAnsi="Calibri"/>
                <w:bCs/>
                <w:color w:val="000000"/>
                <w:kern w:val="0"/>
              </w:rPr>
              <w:t>2014</w:t>
            </w:r>
          </w:p>
        </w:tc>
        <w:tc>
          <w:tcPr>
            <w:tcW w:w="1513" w:type="dxa"/>
            <w:shd w:val="clear" w:color="auto" w:fill="D9E2F3"/>
            <w:noWrap/>
            <w:hideMark/>
          </w:tcPr>
          <w:p w14:paraId="510132C1" w14:textId="77777777" w:rsidR="000C039C" w:rsidRPr="000C039C" w:rsidRDefault="000C039C" w:rsidP="000C039C">
            <w:pPr>
              <w:widowControl/>
              <w:jc w:val="right"/>
              <w:rPr>
                <w:rFonts w:ascii="Calibri" w:hAnsi="Calibri"/>
                <w:bCs/>
                <w:color w:val="000000"/>
                <w:kern w:val="0"/>
              </w:rPr>
            </w:pPr>
            <w:r w:rsidRPr="000C039C">
              <w:rPr>
                <w:rFonts w:ascii="Calibri" w:hAnsi="Calibri"/>
                <w:bCs/>
                <w:color w:val="000000"/>
                <w:kern w:val="0"/>
              </w:rPr>
              <w:t>$707,601,798</w:t>
            </w:r>
          </w:p>
        </w:tc>
        <w:tc>
          <w:tcPr>
            <w:tcW w:w="1666" w:type="dxa"/>
            <w:shd w:val="clear" w:color="auto" w:fill="D9E2F3"/>
            <w:noWrap/>
            <w:hideMark/>
          </w:tcPr>
          <w:p w14:paraId="360503BC" w14:textId="77777777" w:rsidR="000C039C" w:rsidRPr="000C039C" w:rsidRDefault="000C039C" w:rsidP="000C039C">
            <w:pPr>
              <w:widowControl/>
              <w:jc w:val="right"/>
              <w:rPr>
                <w:rFonts w:ascii="Calibri" w:hAnsi="Calibri"/>
                <w:bCs/>
                <w:color w:val="000000"/>
                <w:kern w:val="0"/>
              </w:rPr>
            </w:pPr>
            <w:r w:rsidRPr="000C039C">
              <w:rPr>
                <w:rFonts w:ascii="Calibri" w:hAnsi="Calibri"/>
                <w:bCs/>
                <w:color w:val="000000"/>
                <w:kern w:val="0"/>
              </w:rPr>
              <w:t>$1,603,924,016</w:t>
            </w:r>
          </w:p>
        </w:tc>
        <w:tc>
          <w:tcPr>
            <w:tcW w:w="1610" w:type="dxa"/>
            <w:shd w:val="clear" w:color="auto" w:fill="D9E2F3"/>
            <w:noWrap/>
            <w:hideMark/>
          </w:tcPr>
          <w:p w14:paraId="796D132B" w14:textId="77777777" w:rsidR="000C039C" w:rsidRPr="000C039C" w:rsidRDefault="000C039C" w:rsidP="000C039C">
            <w:pPr>
              <w:widowControl/>
              <w:jc w:val="right"/>
              <w:rPr>
                <w:rFonts w:ascii="Calibri" w:hAnsi="Calibri"/>
                <w:bCs/>
                <w:color w:val="000000"/>
                <w:kern w:val="0"/>
              </w:rPr>
            </w:pPr>
            <w:r w:rsidRPr="000C039C">
              <w:rPr>
                <w:rFonts w:ascii="Calibri" w:hAnsi="Calibri"/>
                <w:bCs/>
                <w:color w:val="000000"/>
                <w:kern w:val="0"/>
              </w:rPr>
              <w:t>$0</w:t>
            </w:r>
          </w:p>
        </w:tc>
        <w:tc>
          <w:tcPr>
            <w:tcW w:w="1610" w:type="dxa"/>
            <w:shd w:val="clear" w:color="auto" w:fill="D9E2F3"/>
            <w:noWrap/>
            <w:hideMark/>
          </w:tcPr>
          <w:p w14:paraId="68854A96" w14:textId="77777777" w:rsidR="000C039C" w:rsidRPr="000C039C" w:rsidRDefault="000C039C" w:rsidP="000C039C">
            <w:pPr>
              <w:widowControl/>
              <w:jc w:val="right"/>
              <w:rPr>
                <w:rFonts w:ascii="Calibri" w:hAnsi="Calibri"/>
                <w:bCs/>
                <w:color w:val="000000"/>
                <w:kern w:val="0"/>
              </w:rPr>
            </w:pPr>
            <w:r w:rsidRPr="000C039C">
              <w:rPr>
                <w:rFonts w:ascii="Calibri" w:hAnsi="Calibri"/>
                <w:bCs/>
                <w:color w:val="000000"/>
                <w:kern w:val="0"/>
              </w:rPr>
              <w:t>$2,311,525,814</w:t>
            </w:r>
          </w:p>
        </w:tc>
        <w:tc>
          <w:tcPr>
            <w:tcW w:w="1736" w:type="dxa"/>
            <w:shd w:val="clear" w:color="auto" w:fill="D9E2F3"/>
            <w:noWrap/>
            <w:hideMark/>
          </w:tcPr>
          <w:p w14:paraId="5C8B40F8" w14:textId="77777777" w:rsidR="000C039C" w:rsidRPr="000C039C" w:rsidRDefault="000C039C" w:rsidP="000C039C">
            <w:pPr>
              <w:widowControl/>
              <w:jc w:val="right"/>
              <w:rPr>
                <w:rFonts w:ascii="Calibri" w:hAnsi="Calibri"/>
                <w:bCs/>
                <w:color w:val="000000"/>
                <w:kern w:val="0"/>
              </w:rPr>
            </w:pPr>
            <w:r w:rsidRPr="000C039C">
              <w:rPr>
                <w:rFonts w:ascii="Calibri" w:hAnsi="Calibri"/>
                <w:bCs/>
                <w:color w:val="000000"/>
                <w:kern w:val="0"/>
              </w:rPr>
              <w:t>31%</w:t>
            </w:r>
          </w:p>
        </w:tc>
      </w:tr>
      <w:tr w:rsidR="000C039C" w:rsidRPr="00AB5684" w14:paraId="4CD06F60" w14:textId="77777777" w:rsidTr="000C039C">
        <w:trPr>
          <w:trHeight w:val="300"/>
        </w:trPr>
        <w:tc>
          <w:tcPr>
            <w:tcW w:w="950" w:type="dxa"/>
            <w:shd w:val="clear" w:color="auto" w:fill="auto"/>
            <w:noWrap/>
            <w:hideMark/>
          </w:tcPr>
          <w:p w14:paraId="23B8B317" w14:textId="77777777" w:rsidR="000C039C" w:rsidRPr="00236A55" w:rsidRDefault="000C039C" w:rsidP="000C039C">
            <w:pPr>
              <w:widowControl/>
              <w:rPr>
                <w:rFonts w:ascii="Calibri" w:hAnsi="Calibri"/>
                <w:b/>
                <w:bCs/>
                <w:snapToGrid/>
                <w:color w:val="000000"/>
                <w:kern w:val="0"/>
                <w:szCs w:val="22"/>
              </w:rPr>
            </w:pPr>
            <w:r w:rsidRPr="00236A55">
              <w:rPr>
                <w:rFonts w:ascii="Calibri" w:hAnsi="Calibri"/>
                <w:bCs/>
                <w:color w:val="000000"/>
                <w:kern w:val="0"/>
              </w:rPr>
              <w:t>2015</w:t>
            </w:r>
          </w:p>
        </w:tc>
        <w:tc>
          <w:tcPr>
            <w:tcW w:w="1513" w:type="dxa"/>
            <w:shd w:val="clear" w:color="auto" w:fill="auto"/>
            <w:noWrap/>
            <w:hideMark/>
          </w:tcPr>
          <w:p w14:paraId="7FBB300D" w14:textId="77777777" w:rsidR="000C039C" w:rsidRPr="000C039C" w:rsidRDefault="000C039C" w:rsidP="000C039C">
            <w:pPr>
              <w:widowControl/>
              <w:jc w:val="right"/>
              <w:rPr>
                <w:rFonts w:ascii="Calibri" w:hAnsi="Calibri"/>
                <w:bCs/>
                <w:color w:val="000000"/>
                <w:kern w:val="0"/>
              </w:rPr>
            </w:pPr>
            <w:r w:rsidRPr="000C039C">
              <w:rPr>
                <w:rFonts w:ascii="Calibri" w:hAnsi="Calibri"/>
                <w:bCs/>
                <w:color w:val="000000"/>
                <w:kern w:val="0"/>
              </w:rPr>
              <w:t>$465,313,727</w:t>
            </w:r>
          </w:p>
        </w:tc>
        <w:tc>
          <w:tcPr>
            <w:tcW w:w="1666" w:type="dxa"/>
            <w:shd w:val="clear" w:color="auto" w:fill="auto"/>
            <w:noWrap/>
            <w:hideMark/>
          </w:tcPr>
          <w:p w14:paraId="4B2F537D" w14:textId="77777777" w:rsidR="000C039C" w:rsidRPr="000C039C" w:rsidRDefault="000C039C" w:rsidP="000C039C">
            <w:pPr>
              <w:widowControl/>
              <w:jc w:val="right"/>
              <w:rPr>
                <w:rFonts w:ascii="Calibri" w:hAnsi="Calibri"/>
                <w:bCs/>
                <w:color w:val="000000"/>
                <w:kern w:val="0"/>
              </w:rPr>
            </w:pPr>
            <w:r w:rsidRPr="000C039C">
              <w:rPr>
                <w:rFonts w:ascii="Calibri" w:hAnsi="Calibri"/>
                <w:bCs/>
                <w:color w:val="000000"/>
                <w:kern w:val="0"/>
              </w:rPr>
              <w:t>$1,519,494,101</w:t>
            </w:r>
          </w:p>
        </w:tc>
        <w:tc>
          <w:tcPr>
            <w:tcW w:w="1610" w:type="dxa"/>
            <w:shd w:val="clear" w:color="auto" w:fill="auto"/>
            <w:noWrap/>
            <w:hideMark/>
          </w:tcPr>
          <w:p w14:paraId="71A2CA7C" w14:textId="77777777" w:rsidR="000C039C" w:rsidRPr="000C039C" w:rsidRDefault="000C039C" w:rsidP="000C039C">
            <w:pPr>
              <w:widowControl/>
              <w:jc w:val="right"/>
              <w:rPr>
                <w:rFonts w:ascii="Calibri" w:hAnsi="Calibri"/>
                <w:bCs/>
                <w:color w:val="000000"/>
                <w:kern w:val="0"/>
              </w:rPr>
            </w:pPr>
            <w:r w:rsidRPr="000C039C">
              <w:rPr>
                <w:rFonts w:ascii="Calibri" w:hAnsi="Calibri"/>
                <w:bCs/>
                <w:color w:val="000000"/>
                <w:kern w:val="0"/>
              </w:rPr>
              <w:t>$1,287,474,746</w:t>
            </w:r>
          </w:p>
        </w:tc>
        <w:tc>
          <w:tcPr>
            <w:tcW w:w="1610" w:type="dxa"/>
            <w:shd w:val="clear" w:color="auto" w:fill="auto"/>
            <w:noWrap/>
            <w:hideMark/>
          </w:tcPr>
          <w:p w14:paraId="0D3EDC5A" w14:textId="77777777" w:rsidR="000C039C" w:rsidRPr="000C039C" w:rsidRDefault="000C039C" w:rsidP="000C039C">
            <w:pPr>
              <w:widowControl/>
              <w:jc w:val="right"/>
              <w:rPr>
                <w:rFonts w:ascii="Calibri" w:hAnsi="Calibri"/>
                <w:bCs/>
                <w:color w:val="000000"/>
                <w:kern w:val="0"/>
              </w:rPr>
            </w:pPr>
            <w:r w:rsidRPr="000C039C">
              <w:rPr>
                <w:rFonts w:ascii="Calibri" w:hAnsi="Calibri"/>
                <w:bCs/>
                <w:color w:val="000000"/>
                <w:kern w:val="0"/>
              </w:rPr>
              <w:t>$3,272,282,573</w:t>
            </w:r>
          </w:p>
        </w:tc>
        <w:tc>
          <w:tcPr>
            <w:tcW w:w="1736" w:type="dxa"/>
            <w:shd w:val="clear" w:color="auto" w:fill="auto"/>
            <w:noWrap/>
            <w:hideMark/>
          </w:tcPr>
          <w:p w14:paraId="3F98325A" w14:textId="77777777" w:rsidR="000C039C" w:rsidRPr="000C039C" w:rsidRDefault="000C039C" w:rsidP="000C039C">
            <w:pPr>
              <w:widowControl/>
              <w:jc w:val="right"/>
              <w:rPr>
                <w:rFonts w:ascii="Calibri" w:hAnsi="Calibri"/>
                <w:bCs/>
                <w:color w:val="000000"/>
                <w:kern w:val="0"/>
              </w:rPr>
            </w:pPr>
            <w:r w:rsidRPr="000C039C">
              <w:rPr>
                <w:rFonts w:ascii="Calibri" w:hAnsi="Calibri"/>
                <w:bCs/>
                <w:color w:val="000000"/>
                <w:kern w:val="0"/>
              </w:rPr>
              <w:t>14%</w:t>
            </w:r>
          </w:p>
        </w:tc>
      </w:tr>
      <w:tr w:rsidR="000C039C" w:rsidRPr="00AB5684" w14:paraId="4DA04CC3" w14:textId="77777777" w:rsidTr="000C039C">
        <w:trPr>
          <w:trHeight w:val="300"/>
        </w:trPr>
        <w:tc>
          <w:tcPr>
            <w:tcW w:w="950" w:type="dxa"/>
            <w:shd w:val="clear" w:color="auto" w:fill="D9E2F3"/>
            <w:noWrap/>
            <w:hideMark/>
          </w:tcPr>
          <w:p w14:paraId="734D970E" w14:textId="77777777" w:rsidR="000C039C" w:rsidRPr="00236A55" w:rsidRDefault="000C039C" w:rsidP="000C039C">
            <w:pPr>
              <w:widowControl/>
              <w:rPr>
                <w:rFonts w:ascii="Calibri" w:hAnsi="Calibri"/>
                <w:b/>
                <w:bCs/>
                <w:snapToGrid/>
                <w:color w:val="000000"/>
                <w:kern w:val="0"/>
                <w:szCs w:val="22"/>
              </w:rPr>
            </w:pPr>
            <w:r w:rsidRPr="00236A55">
              <w:rPr>
                <w:rFonts w:ascii="Calibri" w:hAnsi="Calibri"/>
                <w:bCs/>
                <w:color w:val="000000"/>
                <w:kern w:val="0"/>
              </w:rPr>
              <w:t>2016</w:t>
            </w:r>
          </w:p>
        </w:tc>
        <w:tc>
          <w:tcPr>
            <w:tcW w:w="1513" w:type="dxa"/>
            <w:shd w:val="clear" w:color="auto" w:fill="D9E2F3"/>
            <w:noWrap/>
            <w:hideMark/>
          </w:tcPr>
          <w:p w14:paraId="02A8E47C" w14:textId="77777777" w:rsidR="000C039C" w:rsidRPr="000C039C" w:rsidRDefault="000C039C" w:rsidP="000C039C">
            <w:pPr>
              <w:widowControl/>
              <w:jc w:val="right"/>
              <w:rPr>
                <w:rFonts w:ascii="Calibri" w:hAnsi="Calibri"/>
                <w:bCs/>
                <w:color w:val="000000"/>
                <w:kern w:val="0"/>
              </w:rPr>
            </w:pPr>
            <w:r w:rsidRPr="000C039C">
              <w:rPr>
                <w:rFonts w:ascii="Calibri" w:hAnsi="Calibri"/>
                <w:bCs/>
                <w:color w:val="000000"/>
                <w:kern w:val="0"/>
              </w:rPr>
              <w:t>$274,562,030</w:t>
            </w:r>
          </w:p>
        </w:tc>
        <w:tc>
          <w:tcPr>
            <w:tcW w:w="1666" w:type="dxa"/>
            <w:shd w:val="clear" w:color="auto" w:fill="D9E2F3"/>
            <w:noWrap/>
            <w:hideMark/>
          </w:tcPr>
          <w:p w14:paraId="245207D8" w14:textId="77777777" w:rsidR="000C039C" w:rsidRPr="000C039C" w:rsidRDefault="000C039C" w:rsidP="000C039C">
            <w:pPr>
              <w:widowControl/>
              <w:jc w:val="right"/>
              <w:rPr>
                <w:rFonts w:ascii="Calibri" w:hAnsi="Calibri"/>
                <w:bCs/>
                <w:color w:val="000000"/>
                <w:kern w:val="0"/>
              </w:rPr>
            </w:pPr>
            <w:r w:rsidRPr="000C039C">
              <w:rPr>
                <w:rFonts w:ascii="Calibri" w:hAnsi="Calibri"/>
                <w:bCs/>
                <w:color w:val="000000"/>
                <w:kern w:val="0"/>
              </w:rPr>
              <w:t>$1,680,793,108</w:t>
            </w:r>
          </w:p>
        </w:tc>
        <w:tc>
          <w:tcPr>
            <w:tcW w:w="1610" w:type="dxa"/>
            <w:shd w:val="clear" w:color="auto" w:fill="D9E2F3"/>
            <w:noWrap/>
            <w:hideMark/>
          </w:tcPr>
          <w:p w14:paraId="7A03B60B" w14:textId="77777777" w:rsidR="000C039C" w:rsidRPr="000C039C" w:rsidRDefault="000C039C" w:rsidP="000C039C">
            <w:pPr>
              <w:widowControl/>
              <w:jc w:val="right"/>
              <w:rPr>
                <w:rFonts w:ascii="Calibri" w:hAnsi="Calibri"/>
                <w:bCs/>
                <w:color w:val="000000"/>
                <w:kern w:val="0"/>
              </w:rPr>
            </w:pPr>
            <w:r w:rsidRPr="000C039C">
              <w:rPr>
                <w:rFonts w:ascii="Calibri" w:hAnsi="Calibri"/>
                <w:bCs/>
                <w:color w:val="000000"/>
                <w:kern w:val="0"/>
              </w:rPr>
              <w:t>$950,763,996</w:t>
            </w:r>
          </w:p>
        </w:tc>
        <w:tc>
          <w:tcPr>
            <w:tcW w:w="1610" w:type="dxa"/>
            <w:shd w:val="clear" w:color="auto" w:fill="D9E2F3"/>
            <w:noWrap/>
            <w:hideMark/>
          </w:tcPr>
          <w:p w14:paraId="7B6BCD43" w14:textId="77777777" w:rsidR="000C039C" w:rsidRPr="000C039C" w:rsidRDefault="000C039C" w:rsidP="000C039C">
            <w:pPr>
              <w:widowControl/>
              <w:jc w:val="right"/>
              <w:rPr>
                <w:rFonts w:ascii="Calibri" w:hAnsi="Calibri"/>
                <w:bCs/>
                <w:color w:val="000000"/>
                <w:kern w:val="0"/>
              </w:rPr>
            </w:pPr>
            <w:r w:rsidRPr="000C039C">
              <w:rPr>
                <w:rFonts w:ascii="Calibri" w:hAnsi="Calibri"/>
                <w:bCs/>
                <w:color w:val="000000"/>
                <w:kern w:val="0"/>
              </w:rPr>
              <w:t>$2,906,119,134</w:t>
            </w:r>
          </w:p>
        </w:tc>
        <w:tc>
          <w:tcPr>
            <w:tcW w:w="1736" w:type="dxa"/>
            <w:shd w:val="clear" w:color="auto" w:fill="D9E2F3"/>
            <w:noWrap/>
            <w:hideMark/>
          </w:tcPr>
          <w:p w14:paraId="71AE7A8C" w14:textId="77777777" w:rsidR="000C039C" w:rsidRPr="000C039C" w:rsidRDefault="000C039C" w:rsidP="000C039C">
            <w:pPr>
              <w:widowControl/>
              <w:jc w:val="right"/>
              <w:rPr>
                <w:rFonts w:ascii="Calibri" w:hAnsi="Calibri"/>
                <w:bCs/>
                <w:color w:val="000000"/>
                <w:kern w:val="0"/>
              </w:rPr>
            </w:pPr>
            <w:r w:rsidRPr="000C039C">
              <w:rPr>
                <w:rFonts w:ascii="Calibri" w:hAnsi="Calibri"/>
                <w:bCs/>
                <w:color w:val="000000"/>
                <w:kern w:val="0"/>
              </w:rPr>
              <w:t>9%</w:t>
            </w:r>
          </w:p>
        </w:tc>
      </w:tr>
    </w:tbl>
    <w:p w14:paraId="19ADB114" w14:textId="77777777" w:rsidR="008E661E" w:rsidRDefault="008E661E" w:rsidP="008E661E">
      <w:pPr>
        <w:pStyle w:val="ParaNum"/>
        <w:numPr>
          <w:ilvl w:val="0"/>
          <w:numId w:val="0"/>
        </w:numPr>
      </w:pPr>
    </w:p>
    <w:p w14:paraId="376F16BF" w14:textId="77777777" w:rsidR="008E661E" w:rsidRPr="008F7901" w:rsidRDefault="008E661E" w:rsidP="008E661E">
      <w:pPr>
        <w:pStyle w:val="ParaNum"/>
        <w:numPr>
          <w:ilvl w:val="0"/>
          <w:numId w:val="0"/>
        </w:numPr>
        <w:jc w:val="center"/>
        <w:rPr>
          <w:i/>
        </w:rPr>
      </w:pPr>
      <w:r w:rsidRPr="008F7901">
        <w:rPr>
          <w:i/>
        </w:rPr>
        <w:t>* Category one non-voice commitments includes commitments for all category one services other than voice.</w:t>
      </w:r>
    </w:p>
    <w:p w14:paraId="3BC865FE" w14:textId="77777777" w:rsidR="008E661E" w:rsidRPr="00A26671" w:rsidRDefault="008E661E" w:rsidP="008E661E">
      <w:pPr>
        <w:pStyle w:val="ParaNum"/>
        <w:numPr>
          <w:ilvl w:val="0"/>
          <w:numId w:val="0"/>
        </w:numPr>
        <w:jc w:val="center"/>
        <w:rPr>
          <w:rFonts w:ascii="Calibri" w:hAnsi="Calibri"/>
          <w:i/>
        </w:rPr>
      </w:pPr>
    </w:p>
    <w:p w14:paraId="11FD9B7E" w14:textId="77777777" w:rsidR="008E661E" w:rsidRPr="001875EE" w:rsidRDefault="008E661E" w:rsidP="008E661E">
      <w:pPr>
        <w:pStyle w:val="NoSpacing"/>
        <w:jc w:val="center"/>
      </w:pPr>
      <w:r w:rsidRPr="001875EE">
        <w:t xml:space="preserve">Applicants </w:t>
      </w:r>
      <w:r>
        <w:t>Receiving</w:t>
      </w:r>
      <w:r w:rsidRPr="001875EE">
        <w:t xml:space="preserve"> Support for Voice Services</w:t>
      </w:r>
    </w:p>
    <w:p w14:paraId="4942D88F" w14:textId="77777777" w:rsidR="008E661E" w:rsidRDefault="008E661E" w:rsidP="008E661E">
      <w:pPr>
        <w:pStyle w:val="NoSpacing"/>
        <w:jc w:val="center"/>
      </w:pPr>
      <w:r w:rsidRPr="001875EE">
        <w:t>Funding Years 2014-16</w:t>
      </w:r>
    </w:p>
    <w:tbl>
      <w:tblPr>
        <w:tblW w:w="0" w:type="auto"/>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160"/>
        <w:gridCol w:w="2695"/>
      </w:tblGrid>
      <w:tr w:rsidR="008E661E" w:rsidRPr="001875EE" w14:paraId="250CD138" w14:textId="77777777" w:rsidTr="000C039C">
        <w:trPr>
          <w:jc w:val="center"/>
        </w:trPr>
        <w:tc>
          <w:tcPr>
            <w:tcW w:w="2160" w:type="dxa"/>
            <w:tcBorders>
              <w:top w:val="single" w:sz="4" w:space="0" w:color="4472C4"/>
              <w:left w:val="single" w:sz="4" w:space="0" w:color="4472C4"/>
              <w:bottom w:val="single" w:sz="4" w:space="0" w:color="4472C4"/>
              <w:right w:val="nil"/>
            </w:tcBorders>
            <w:shd w:val="clear" w:color="auto" w:fill="4472C4"/>
          </w:tcPr>
          <w:p w14:paraId="247AD119" w14:textId="77777777" w:rsidR="008E661E" w:rsidRPr="00236A55" w:rsidRDefault="008E661E" w:rsidP="000C039C">
            <w:pPr>
              <w:widowControl/>
              <w:rPr>
                <w:rFonts w:ascii="Calibri" w:hAnsi="Calibri"/>
                <w:b/>
                <w:bCs/>
                <w:snapToGrid/>
                <w:color w:val="FFFFFF"/>
                <w:kern w:val="0"/>
                <w:szCs w:val="22"/>
              </w:rPr>
            </w:pPr>
            <w:r w:rsidRPr="00236A55">
              <w:rPr>
                <w:rFonts w:ascii="Calibri" w:hAnsi="Calibri"/>
                <w:b/>
                <w:bCs/>
                <w:snapToGrid/>
                <w:color w:val="FFFFFF"/>
                <w:kern w:val="0"/>
                <w:szCs w:val="22"/>
              </w:rPr>
              <w:t>Funding Year</w:t>
            </w:r>
          </w:p>
        </w:tc>
        <w:tc>
          <w:tcPr>
            <w:tcW w:w="2695" w:type="dxa"/>
            <w:tcBorders>
              <w:top w:val="single" w:sz="4" w:space="0" w:color="4472C4"/>
              <w:left w:val="nil"/>
              <w:bottom w:val="single" w:sz="4" w:space="0" w:color="4472C4"/>
              <w:right w:val="single" w:sz="4" w:space="0" w:color="4472C4"/>
            </w:tcBorders>
            <w:shd w:val="clear" w:color="auto" w:fill="4472C4"/>
          </w:tcPr>
          <w:p w14:paraId="16B47C2F" w14:textId="77777777" w:rsidR="008E661E" w:rsidRPr="00236A55" w:rsidRDefault="008E661E" w:rsidP="00241DB4">
            <w:pPr>
              <w:widowControl/>
              <w:rPr>
                <w:rFonts w:ascii="Calibri" w:hAnsi="Calibri"/>
                <w:b/>
                <w:bCs/>
                <w:snapToGrid/>
                <w:color w:val="FFFFFF"/>
                <w:kern w:val="0"/>
                <w:szCs w:val="22"/>
              </w:rPr>
            </w:pPr>
            <w:r w:rsidRPr="00236A55">
              <w:rPr>
                <w:rFonts w:ascii="Calibri" w:hAnsi="Calibri"/>
                <w:b/>
                <w:bCs/>
                <w:snapToGrid/>
                <w:color w:val="FFFFFF"/>
                <w:kern w:val="0"/>
                <w:szCs w:val="22"/>
              </w:rPr>
              <w:t xml:space="preserve">Number of Applicants </w:t>
            </w:r>
            <w:r w:rsidR="00241DB4">
              <w:rPr>
                <w:rFonts w:ascii="Calibri" w:hAnsi="Calibri"/>
                <w:b/>
                <w:bCs/>
                <w:snapToGrid/>
                <w:color w:val="FFFFFF"/>
                <w:kern w:val="0"/>
                <w:szCs w:val="22"/>
              </w:rPr>
              <w:t>Receiving</w:t>
            </w:r>
            <w:r w:rsidRPr="00236A55">
              <w:rPr>
                <w:rFonts w:ascii="Calibri" w:hAnsi="Calibri"/>
                <w:b/>
                <w:bCs/>
                <w:snapToGrid/>
                <w:color w:val="FFFFFF"/>
                <w:kern w:val="0"/>
                <w:szCs w:val="22"/>
              </w:rPr>
              <w:t xml:space="preserve"> Support for Voice</w:t>
            </w:r>
          </w:p>
        </w:tc>
      </w:tr>
      <w:tr w:rsidR="008E661E" w:rsidRPr="001875EE" w14:paraId="416A3A8D" w14:textId="77777777" w:rsidTr="000C039C">
        <w:trPr>
          <w:jc w:val="center"/>
        </w:trPr>
        <w:tc>
          <w:tcPr>
            <w:tcW w:w="2160" w:type="dxa"/>
            <w:shd w:val="clear" w:color="auto" w:fill="D9E2F3"/>
          </w:tcPr>
          <w:p w14:paraId="77C32962" w14:textId="77777777" w:rsidR="008E661E" w:rsidRPr="00236A55" w:rsidRDefault="008E661E" w:rsidP="000C039C">
            <w:pPr>
              <w:widowControl/>
              <w:rPr>
                <w:rFonts w:ascii="Calibri" w:hAnsi="Calibri"/>
                <w:b/>
                <w:bCs/>
                <w:snapToGrid/>
                <w:kern w:val="0"/>
                <w:szCs w:val="22"/>
              </w:rPr>
            </w:pPr>
            <w:r w:rsidRPr="00236A55">
              <w:rPr>
                <w:rFonts w:ascii="Calibri" w:hAnsi="Calibri"/>
                <w:bCs/>
                <w:snapToGrid/>
                <w:kern w:val="0"/>
                <w:szCs w:val="22"/>
              </w:rPr>
              <w:t>2014</w:t>
            </w:r>
          </w:p>
        </w:tc>
        <w:tc>
          <w:tcPr>
            <w:tcW w:w="2695" w:type="dxa"/>
            <w:shd w:val="clear" w:color="auto" w:fill="D9E2F3"/>
          </w:tcPr>
          <w:p w14:paraId="15177EDA" w14:textId="77777777" w:rsidR="008E661E" w:rsidRPr="00236A55" w:rsidRDefault="008E661E" w:rsidP="000C039C">
            <w:pPr>
              <w:widowControl/>
              <w:rPr>
                <w:rFonts w:ascii="Calibri" w:hAnsi="Calibri"/>
                <w:snapToGrid/>
                <w:kern w:val="0"/>
                <w:szCs w:val="22"/>
              </w:rPr>
            </w:pPr>
            <w:r w:rsidRPr="00236A55">
              <w:rPr>
                <w:rFonts w:ascii="Calibri" w:hAnsi="Calibri"/>
                <w:snapToGrid/>
                <w:kern w:val="0"/>
                <w:szCs w:val="22"/>
              </w:rPr>
              <w:t>24,575</w:t>
            </w:r>
          </w:p>
        </w:tc>
      </w:tr>
      <w:tr w:rsidR="008E661E" w:rsidRPr="001875EE" w14:paraId="16B5CE2C" w14:textId="77777777" w:rsidTr="000C039C">
        <w:trPr>
          <w:jc w:val="center"/>
        </w:trPr>
        <w:tc>
          <w:tcPr>
            <w:tcW w:w="2160" w:type="dxa"/>
            <w:shd w:val="clear" w:color="auto" w:fill="auto"/>
          </w:tcPr>
          <w:p w14:paraId="23550665" w14:textId="77777777" w:rsidR="008E661E" w:rsidRPr="00236A55" w:rsidRDefault="008E661E" w:rsidP="000C039C">
            <w:pPr>
              <w:widowControl/>
              <w:rPr>
                <w:rFonts w:ascii="Calibri" w:hAnsi="Calibri"/>
                <w:b/>
                <w:bCs/>
                <w:snapToGrid/>
                <w:kern w:val="0"/>
                <w:szCs w:val="22"/>
              </w:rPr>
            </w:pPr>
            <w:r w:rsidRPr="00236A55">
              <w:rPr>
                <w:rFonts w:ascii="Calibri" w:hAnsi="Calibri"/>
                <w:bCs/>
                <w:snapToGrid/>
                <w:kern w:val="0"/>
                <w:szCs w:val="22"/>
              </w:rPr>
              <w:t>2015</w:t>
            </w:r>
          </w:p>
        </w:tc>
        <w:tc>
          <w:tcPr>
            <w:tcW w:w="2695" w:type="dxa"/>
            <w:shd w:val="clear" w:color="auto" w:fill="auto"/>
          </w:tcPr>
          <w:p w14:paraId="0FE31BFF" w14:textId="77777777" w:rsidR="008E661E" w:rsidRPr="00236A55" w:rsidRDefault="008E661E" w:rsidP="000C039C">
            <w:pPr>
              <w:widowControl/>
              <w:rPr>
                <w:rFonts w:ascii="Calibri" w:hAnsi="Calibri"/>
                <w:snapToGrid/>
                <w:kern w:val="0"/>
                <w:szCs w:val="22"/>
              </w:rPr>
            </w:pPr>
            <w:r w:rsidRPr="00236A55">
              <w:rPr>
                <w:rFonts w:ascii="Calibri" w:hAnsi="Calibri"/>
                <w:snapToGrid/>
                <w:kern w:val="0"/>
                <w:szCs w:val="22"/>
              </w:rPr>
              <w:t>24,388</w:t>
            </w:r>
          </w:p>
        </w:tc>
      </w:tr>
      <w:tr w:rsidR="008E661E" w:rsidRPr="001875EE" w14:paraId="4E038A25" w14:textId="77777777" w:rsidTr="000C039C">
        <w:trPr>
          <w:jc w:val="center"/>
        </w:trPr>
        <w:tc>
          <w:tcPr>
            <w:tcW w:w="2160" w:type="dxa"/>
            <w:shd w:val="clear" w:color="auto" w:fill="D9E2F3"/>
          </w:tcPr>
          <w:p w14:paraId="57B31ADE" w14:textId="77777777" w:rsidR="008E661E" w:rsidRPr="00236A55" w:rsidRDefault="008E661E" w:rsidP="000C039C">
            <w:pPr>
              <w:widowControl/>
              <w:rPr>
                <w:rFonts w:ascii="Calibri" w:hAnsi="Calibri"/>
                <w:b/>
                <w:bCs/>
                <w:snapToGrid/>
                <w:kern w:val="0"/>
                <w:szCs w:val="22"/>
              </w:rPr>
            </w:pPr>
            <w:r w:rsidRPr="00236A55">
              <w:rPr>
                <w:rFonts w:ascii="Calibri" w:hAnsi="Calibri"/>
                <w:bCs/>
                <w:snapToGrid/>
                <w:kern w:val="0"/>
                <w:szCs w:val="22"/>
              </w:rPr>
              <w:t>2016</w:t>
            </w:r>
          </w:p>
        </w:tc>
        <w:tc>
          <w:tcPr>
            <w:tcW w:w="2695" w:type="dxa"/>
            <w:shd w:val="clear" w:color="auto" w:fill="D9E2F3"/>
          </w:tcPr>
          <w:p w14:paraId="0D1A88EC" w14:textId="77777777" w:rsidR="008E661E" w:rsidRPr="00236A55" w:rsidRDefault="008E661E" w:rsidP="000C039C">
            <w:pPr>
              <w:widowControl/>
              <w:rPr>
                <w:rFonts w:ascii="Calibri" w:hAnsi="Calibri"/>
                <w:snapToGrid/>
                <w:kern w:val="0"/>
                <w:szCs w:val="22"/>
              </w:rPr>
            </w:pPr>
            <w:r w:rsidRPr="00236A55">
              <w:rPr>
                <w:rFonts w:ascii="Calibri" w:hAnsi="Calibri"/>
                <w:snapToGrid/>
                <w:kern w:val="0"/>
                <w:szCs w:val="22"/>
              </w:rPr>
              <w:t>18,884</w:t>
            </w:r>
          </w:p>
        </w:tc>
      </w:tr>
    </w:tbl>
    <w:p w14:paraId="78D7810F" w14:textId="77777777" w:rsidR="008E661E" w:rsidRPr="001875EE" w:rsidRDefault="008E661E" w:rsidP="008E661E">
      <w:pPr>
        <w:pStyle w:val="NoSpacing"/>
        <w:jc w:val="center"/>
      </w:pPr>
    </w:p>
    <w:p w14:paraId="7E7F118F" w14:textId="77777777" w:rsidR="008E661E" w:rsidRDefault="008E661E" w:rsidP="008E661E">
      <w:pPr>
        <w:pStyle w:val="NoSpacing"/>
        <w:jc w:val="center"/>
      </w:pPr>
    </w:p>
    <w:p w14:paraId="6BD1978D" w14:textId="77777777" w:rsidR="008E661E" w:rsidRDefault="008E661E" w:rsidP="008E661E">
      <w:pPr>
        <w:widowControl/>
      </w:pPr>
      <w:r>
        <w:br w:type="page"/>
      </w:r>
    </w:p>
    <w:p w14:paraId="62AFFF1F" w14:textId="77777777" w:rsidR="008E661E" w:rsidRPr="00E01B21" w:rsidRDefault="008E661E" w:rsidP="008E661E">
      <w:pPr>
        <w:pStyle w:val="NoSpacing"/>
        <w:jc w:val="center"/>
        <w:rPr>
          <w:b/>
        </w:rPr>
      </w:pPr>
      <w:r w:rsidRPr="00E01B21">
        <w:rPr>
          <w:b/>
        </w:rPr>
        <w:t xml:space="preserve">APPENDIX </w:t>
      </w:r>
      <w:r>
        <w:rPr>
          <w:b/>
        </w:rPr>
        <w:t>B</w:t>
      </w:r>
    </w:p>
    <w:p w14:paraId="14DB2EB1" w14:textId="77777777" w:rsidR="008E661E" w:rsidRDefault="008E661E" w:rsidP="008E661E">
      <w:pPr>
        <w:pStyle w:val="NoSpacing"/>
        <w:jc w:val="center"/>
      </w:pPr>
      <w:r w:rsidRPr="00E01B21">
        <w:t>E-rate Funding Commitments</w:t>
      </w:r>
      <w:r>
        <w:t xml:space="preserve"> for Voice Services</w:t>
      </w:r>
    </w:p>
    <w:p w14:paraId="379AFB64" w14:textId="77777777" w:rsidR="008E661E" w:rsidRPr="00E01B21" w:rsidRDefault="008E661E" w:rsidP="008E661E">
      <w:pPr>
        <w:pStyle w:val="NoSpacing"/>
        <w:jc w:val="center"/>
      </w:pPr>
      <w:r>
        <w:t>By State and Territory</w:t>
      </w:r>
    </w:p>
    <w:p w14:paraId="4FAB02EB" w14:textId="77777777" w:rsidR="008E661E" w:rsidRPr="00A26671" w:rsidRDefault="008E661E" w:rsidP="008E661E">
      <w:pPr>
        <w:pStyle w:val="NoSpacing"/>
        <w:jc w:val="center"/>
        <w:rPr>
          <w:color w:val="FFFFFF"/>
        </w:rPr>
      </w:pPr>
      <w:r>
        <w:t>Funding Years 2014</w:t>
      </w:r>
      <w:r w:rsidRPr="00E01B21">
        <w:t>-16</w:t>
      </w:r>
    </w:p>
    <w:p w14:paraId="6E9BD82C" w14:textId="77777777" w:rsidR="008E661E" w:rsidRDefault="008E661E" w:rsidP="008E661E">
      <w:pPr>
        <w:widowControl/>
        <w:rPr>
          <w:b/>
        </w:rPr>
      </w:pPr>
    </w:p>
    <w:p w14:paraId="6BC0F1EA" w14:textId="77777777" w:rsidR="008E661E" w:rsidRDefault="008E661E" w:rsidP="008E661E">
      <w:pPr>
        <w:widowControl/>
        <w:rPr>
          <w:b/>
        </w:rPr>
      </w:pPr>
    </w:p>
    <w:tbl>
      <w:tblPr>
        <w:tblW w:w="0" w:type="auto"/>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252"/>
        <w:gridCol w:w="1965"/>
        <w:gridCol w:w="2085"/>
        <w:gridCol w:w="1441"/>
        <w:gridCol w:w="1209"/>
      </w:tblGrid>
      <w:tr w:rsidR="008E661E" w:rsidRPr="004A1A72" w14:paraId="26994C97" w14:textId="77777777" w:rsidTr="000C039C">
        <w:trPr>
          <w:trHeight w:val="315"/>
          <w:jc w:val="center"/>
        </w:trPr>
        <w:tc>
          <w:tcPr>
            <w:tcW w:w="0" w:type="dxa"/>
            <w:tcBorders>
              <w:top w:val="single" w:sz="4" w:space="0" w:color="4472C4"/>
              <w:left w:val="single" w:sz="4" w:space="0" w:color="4472C4"/>
              <w:bottom w:val="single" w:sz="4" w:space="0" w:color="4472C4"/>
              <w:right w:val="nil"/>
            </w:tcBorders>
            <w:shd w:val="clear" w:color="auto" w:fill="4472C4"/>
            <w:hideMark/>
          </w:tcPr>
          <w:p w14:paraId="640D876E" w14:textId="77777777" w:rsidR="008E661E" w:rsidRPr="00236A55" w:rsidRDefault="008E661E" w:rsidP="000C039C">
            <w:pPr>
              <w:widowControl/>
              <w:jc w:val="center"/>
              <w:rPr>
                <w:rFonts w:ascii="Calibri" w:hAnsi="Calibri"/>
                <w:b/>
                <w:color w:val="FFFFFF"/>
              </w:rPr>
            </w:pPr>
            <w:r w:rsidRPr="00236A55">
              <w:rPr>
                <w:rFonts w:ascii="Calibri" w:hAnsi="Calibri"/>
                <w:b/>
                <w:color w:val="FFFFFF"/>
              </w:rPr>
              <w:t>State</w:t>
            </w:r>
          </w:p>
        </w:tc>
        <w:tc>
          <w:tcPr>
            <w:tcW w:w="1965" w:type="dxa"/>
            <w:tcBorders>
              <w:top w:val="single" w:sz="4" w:space="0" w:color="4472C4"/>
              <w:left w:val="nil"/>
              <w:bottom w:val="single" w:sz="4" w:space="0" w:color="4472C4"/>
              <w:right w:val="nil"/>
            </w:tcBorders>
            <w:shd w:val="clear" w:color="auto" w:fill="4472C4"/>
            <w:noWrap/>
            <w:hideMark/>
          </w:tcPr>
          <w:p w14:paraId="761176AD" w14:textId="77777777" w:rsidR="008E661E" w:rsidRPr="00236A55" w:rsidRDefault="008E661E" w:rsidP="000C039C">
            <w:pPr>
              <w:widowControl/>
              <w:jc w:val="center"/>
              <w:rPr>
                <w:rFonts w:ascii="Calibri" w:hAnsi="Calibri"/>
                <w:b/>
                <w:color w:val="FFFFFF"/>
              </w:rPr>
            </w:pPr>
            <w:r w:rsidRPr="00236A55">
              <w:rPr>
                <w:rFonts w:ascii="Calibri" w:hAnsi="Calibri"/>
                <w:b/>
                <w:color w:val="FFFFFF"/>
              </w:rPr>
              <w:t>2014</w:t>
            </w:r>
          </w:p>
        </w:tc>
        <w:tc>
          <w:tcPr>
            <w:tcW w:w="2085" w:type="dxa"/>
            <w:tcBorders>
              <w:top w:val="single" w:sz="4" w:space="0" w:color="4472C4"/>
              <w:left w:val="nil"/>
              <w:bottom w:val="single" w:sz="4" w:space="0" w:color="4472C4"/>
              <w:right w:val="nil"/>
            </w:tcBorders>
            <w:shd w:val="clear" w:color="auto" w:fill="4472C4"/>
            <w:noWrap/>
            <w:hideMark/>
          </w:tcPr>
          <w:p w14:paraId="1702C462" w14:textId="77777777" w:rsidR="008E661E" w:rsidRPr="00236A55" w:rsidRDefault="008E661E" w:rsidP="000C039C">
            <w:pPr>
              <w:widowControl/>
              <w:jc w:val="center"/>
              <w:rPr>
                <w:rFonts w:ascii="Calibri" w:hAnsi="Calibri"/>
                <w:b/>
                <w:color w:val="FFFFFF"/>
              </w:rPr>
            </w:pPr>
            <w:r w:rsidRPr="00236A55">
              <w:rPr>
                <w:rFonts w:ascii="Calibri" w:hAnsi="Calibri"/>
                <w:b/>
                <w:color w:val="FFFFFF"/>
              </w:rPr>
              <w:t>2015</w:t>
            </w:r>
          </w:p>
        </w:tc>
        <w:tc>
          <w:tcPr>
            <w:tcW w:w="0" w:type="dxa"/>
            <w:tcBorders>
              <w:top w:val="single" w:sz="4" w:space="0" w:color="4472C4"/>
              <w:left w:val="nil"/>
              <w:bottom w:val="single" w:sz="4" w:space="0" w:color="4472C4"/>
              <w:right w:val="nil"/>
            </w:tcBorders>
            <w:shd w:val="clear" w:color="auto" w:fill="4472C4"/>
            <w:noWrap/>
            <w:hideMark/>
          </w:tcPr>
          <w:p w14:paraId="6034AF0D" w14:textId="77777777" w:rsidR="008E661E" w:rsidRPr="00236A55" w:rsidRDefault="008E661E" w:rsidP="000C039C">
            <w:pPr>
              <w:widowControl/>
              <w:jc w:val="center"/>
              <w:rPr>
                <w:rFonts w:ascii="Calibri" w:hAnsi="Calibri"/>
                <w:b/>
                <w:color w:val="FFFFFF"/>
              </w:rPr>
            </w:pPr>
            <w:r w:rsidRPr="00236A55">
              <w:rPr>
                <w:rFonts w:ascii="Calibri" w:hAnsi="Calibri"/>
                <w:b/>
                <w:color w:val="FFFFFF"/>
              </w:rPr>
              <w:t>2016</w:t>
            </w:r>
          </w:p>
        </w:tc>
        <w:tc>
          <w:tcPr>
            <w:tcW w:w="1209" w:type="dxa"/>
            <w:tcBorders>
              <w:top w:val="single" w:sz="4" w:space="0" w:color="4472C4"/>
              <w:left w:val="nil"/>
              <w:bottom w:val="single" w:sz="4" w:space="0" w:color="4472C4"/>
              <w:right w:val="single" w:sz="4" w:space="0" w:color="4472C4"/>
            </w:tcBorders>
            <w:shd w:val="clear" w:color="auto" w:fill="4472C4"/>
          </w:tcPr>
          <w:p w14:paraId="602C828D" w14:textId="77777777" w:rsidR="008E661E" w:rsidRPr="00236A55" w:rsidRDefault="008E661E" w:rsidP="000C039C">
            <w:pPr>
              <w:widowControl/>
              <w:jc w:val="center"/>
              <w:rPr>
                <w:rFonts w:ascii="Calibri" w:hAnsi="Calibri"/>
                <w:b/>
                <w:color w:val="FFFFFF"/>
              </w:rPr>
            </w:pPr>
            <w:r w:rsidRPr="00236A55">
              <w:rPr>
                <w:rFonts w:ascii="Calibri" w:hAnsi="Calibri"/>
                <w:b/>
                <w:color w:val="FFFFFF"/>
              </w:rPr>
              <w:t>Change (2014-16)</w:t>
            </w:r>
          </w:p>
        </w:tc>
      </w:tr>
      <w:tr w:rsidR="008E661E" w:rsidRPr="004A1A72" w14:paraId="34A9E74F" w14:textId="77777777" w:rsidTr="000C039C">
        <w:trPr>
          <w:trHeight w:val="300"/>
          <w:jc w:val="center"/>
        </w:trPr>
        <w:tc>
          <w:tcPr>
            <w:tcW w:w="0" w:type="dxa"/>
            <w:shd w:val="clear" w:color="auto" w:fill="D9E2F3"/>
            <w:noWrap/>
            <w:hideMark/>
          </w:tcPr>
          <w:p w14:paraId="621C0FE0" w14:textId="77777777" w:rsidR="008E661E" w:rsidRPr="00236A55" w:rsidRDefault="008E661E" w:rsidP="000C039C">
            <w:pPr>
              <w:widowControl/>
              <w:rPr>
                <w:rFonts w:ascii="Calibri" w:hAnsi="Calibri"/>
                <w:bCs/>
              </w:rPr>
            </w:pPr>
            <w:r w:rsidRPr="00236A55">
              <w:rPr>
                <w:rFonts w:ascii="Calibri" w:hAnsi="Calibri"/>
                <w:bCs/>
                <w:color w:val="000000"/>
                <w:szCs w:val="22"/>
              </w:rPr>
              <w:t>AK</w:t>
            </w:r>
          </w:p>
        </w:tc>
        <w:tc>
          <w:tcPr>
            <w:tcW w:w="1965" w:type="dxa"/>
            <w:shd w:val="clear" w:color="auto" w:fill="D9E2F3"/>
            <w:noWrap/>
            <w:hideMark/>
          </w:tcPr>
          <w:p w14:paraId="6999E81A" w14:textId="77777777" w:rsidR="008E661E" w:rsidRPr="00236A55" w:rsidRDefault="008E661E" w:rsidP="000C039C">
            <w:pPr>
              <w:widowControl/>
              <w:jc w:val="right"/>
              <w:rPr>
                <w:rFonts w:ascii="Calibri" w:hAnsi="Calibri"/>
              </w:rPr>
            </w:pPr>
            <w:r w:rsidRPr="00236A55">
              <w:rPr>
                <w:rFonts w:ascii="Calibri" w:hAnsi="Calibri"/>
                <w:color w:val="000000"/>
                <w:szCs w:val="22"/>
              </w:rPr>
              <w:t>$2,197,444</w:t>
            </w:r>
          </w:p>
        </w:tc>
        <w:tc>
          <w:tcPr>
            <w:tcW w:w="2085" w:type="dxa"/>
            <w:shd w:val="clear" w:color="auto" w:fill="D9E2F3"/>
            <w:noWrap/>
            <w:hideMark/>
          </w:tcPr>
          <w:p w14:paraId="506A2495" w14:textId="77777777" w:rsidR="008E661E" w:rsidRPr="00236A55" w:rsidRDefault="008E661E" w:rsidP="000C039C">
            <w:pPr>
              <w:widowControl/>
              <w:jc w:val="right"/>
              <w:rPr>
                <w:rFonts w:ascii="Calibri" w:hAnsi="Calibri"/>
              </w:rPr>
            </w:pPr>
            <w:r w:rsidRPr="00236A55">
              <w:rPr>
                <w:rFonts w:ascii="Calibri" w:hAnsi="Calibri"/>
                <w:color w:val="000000"/>
                <w:szCs w:val="22"/>
              </w:rPr>
              <w:t>$1,935,248</w:t>
            </w:r>
          </w:p>
        </w:tc>
        <w:tc>
          <w:tcPr>
            <w:tcW w:w="0" w:type="dxa"/>
            <w:shd w:val="clear" w:color="auto" w:fill="D9E2F3"/>
            <w:noWrap/>
            <w:hideMark/>
          </w:tcPr>
          <w:p w14:paraId="130A3AA1" w14:textId="77777777" w:rsidR="008E661E" w:rsidRPr="00236A55" w:rsidRDefault="008E661E" w:rsidP="000C039C">
            <w:pPr>
              <w:widowControl/>
              <w:jc w:val="right"/>
              <w:rPr>
                <w:rFonts w:ascii="Calibri" w:hAnsi="Calibri"/>
              </w:rPr>
            </w:pPr>
            <w:r w:rsidRPr="00236A55">
              <w:rPr>
                <w:rFonts w:ascii="Calibri" w:hAnsi="Calibri"/>
                <w:color w:val="000000"/>
                <w:szCs w:val="22"/>
              </w:rPr>
              <w:t>$1,218,149</w:t>
            </w:r>
          </w:p>
        </w:tc>
        <w:tc>
          <w:tcPr>
            <w:tcW w:w="1209" w:type="dxa"/>
            <w:shd w:val="clear" w:color="auto" w:fill="D9E2F3"/>
          </w:tcPr>
          <w:p w14:paraId="0A77E571" w14:textId="77777777" w:rsidR="008E661E" w:rsidRPr="00236A55" w:rsidRDefault="008E661E" w:rsidP="000C039C">
            <w:pPr>
              <w:widowControl/>
              <w:jc w:val="right"/>
              <w:rPr>
                <w:rFonts w:ascii="Calibri" w:hAnsi="Calibri"/>
              </w:rPr>
            </w:pPr>
            <w:r w:rsidRPr="00236A55">
              <w:rPr>
                <w:rFonts w:ascii="Calibri" w:hAnsi="Calibri"/>
                <w:color w:val="000000"/>
                <w:szCs w:val="22"/>
              </w:rPr>
              <w:t>-45%</w:t>
            </w:r>
          </w:p>
        </w:tc>
      </w:tr>
      <w:tr w:rsidR="008E661E" w:rsidRPr="004A1A72" w14:paraId="361BD969" w14:textId="77777777" w:rsidTr="000C039C">
        <w:trPr>
          <w:trHeight w:val="300"/>
          <w:jc w:val="center"/>
        </w:trPr>
        <w:tc>
          <w:tcPr>
            <w:tcW w:w="0" w:type="dxa"/>
            <w:shd w:val="clear" w:color="auto" w:fill="auto"/>
            <w:noWrap/>
            <w:hideMark/>
          </w:tcPr>
          <w:p w14:paraId="751B9192" w14:textId="77777777" w:rsidR="008E661E" w:rsidRPr="00236A55" w:rsidRDefault="008E661E" w:rsidP="000C039C">
            <w:pPr>
              <w:widowControl/>
              <w:rPr>
                <w:rFonts w:ascii="Calibri" w:hAnsi="Calibri"/>
                <w:bCs/>
              </w:rPr>
            </w:pPr>
            <w:r w:rsidRPr="00236A55">
              <w:rPr>
                <w:rFonts w:ascii="Calibri" w:hAnsi="Calibri"/>
                <w:bCs/>
                <w:color w:val="000000"/>
                <w:szCs w:val="22"/>
              </w:rPr>
              <w:t>AL</w:t>
            </w:r>
          </w:p>
        </w:tc>
        <w:tc>
          <w:tcPr>
            <w:tcW w:w="1965" w:type="dxa"/>
            <w:shd w:val="clear" w:color="auto" w:fill="auto"/>
            <w:noWrap/>
            <w:hideMark/>
          </w:tcPr>
          <w:p w14:paraId="3DAC8001" w14:textId="77777777" w:rsidR="008E661E" w:rsidRPr="00236A55" w:rsidRDefault="008E661E" w:rsidP="000C039C">
            <w:pPr>
              <w:widowControl/>
              <w:jc w:val="right"/>
              <w:rPr>
                <w:rFonts w:ascii="Calibri" w:hAnsi="Calibri"/>
              </w:rPr>
            </w:pPr>
            <w:r w:rsidRPr="00236A55">
              <w:rPr>
                <w:rFonts w:ascii="Calibri" w:hAnsi="Calibri"/>
                <w:color w:val="000000"/>
                <w:szCs w:val="22"/>
              </w:rPr>
              <w:t>$15,265,889</w:t>
            </w:r>
          </w:p>
        </w:tc>
        <w:tc>
          <w:tcPr>
            <w:tcW w:w="2085" w:type="dxa"/>
            <w:shd w:val="clear" w:color="auto" w:fill="auto"/>
            <w:noWrap/>
            <w:hideMark/>
          </w:tcPr>
          <w:p w14:paraId="1DB78AD8" w14:textId="77777777" w:rsidR="008E661E" w:rsidRPr="00236A55" w:rsidRDefault="008E661E" w:rsidP="000C039C">
            <w:pPr>
              <w:widowControl/>
              <w:jc w:val="right"/>
              <w:rPr>
                <w:rFonts w:ascii="Calibri" w:hAnsi="Calibri"/>
              </w:rPr>
            </w:pPr>
            <w:r w:rsidRPr="00236A55">
              <w:rPr>
                <w:rFonts w:ascii="Calibri" w:hAnsi="Calibri"/>
                <w:color w:val="000000"/>
                <w:szCs w:val="22"/>
              </w:rPr>
              <w:t>$9,559,833</w:t>
            </w:r>
          </w:p>
        </w:tc>
        <w:tc>
          <w:tcPr>
            <w:tcW w:w="0" w:type="dxa"/>
            <w:shd w:val="clear" w:color="auto" w:fill="auto"/>
            <w:noWrap/>
            <w:hideMark/>
          </w:tcPr>
          <w:p w14:paraId="25564A33" w14:textId="77777777" w:rsidR="008E661E" w:rsidRPr="00236A55" w:rsidRDefault="008E661E" w:rsidP="000C039C">
            <w:pPr>
              <w:widowControl/>
              <w:jc w:val="right"/>
              <w:rPr>
                <w:rFonts w:ascii="Calibri" w:hAnsi="Calibri"/>
              </w:rPr>
            </w:pPr>
            <w:r w:rsidRPr="00236A55">
              <w:rPr>
                <w:rFonts w:ascii="Calibri" w:hAnsi="Calibri"/>
                <w:color w:val="000000"/>
                <w:szCs w:val="22"/>
              </w:rPr>
              <w:t>$5,403,392</w:t>
            </w:r>
          </w:p>
        </w:tc>
        <w:tc>
          <w:tcPr>
            <w:tcW w:w="1209" w:type="dxa"/>
            <w:shd w:val="clear" w:color="auto" w:fill="auto"/>
          </w:tcPr>
          <w:p w14:paraId="7A69562C" w14:textId="77777777" w:rsidR="008E661E" w:rsidRPr="00236A55" w:rsidRDefault="008E661E" w:rsidP="000C039C">
            <w:pPr>
              <w:widowControl/>
              <w:jc w:val="right"/>
              <w:rPr>
                <w:rFonts w:ascii="Calibri" w:hAnsi="Calibri"/>
              </w:rPr>
            </w:pPr>
            <w:r w:rsidRPr="00236A55">
              <w:rPr>
                <w:rFonts w:ascii="Calibri" w:hAnsi="Calibri"/>
                <w:color w:val="000000"/>
                <w:szCs w:val="22"/>
              </w:rPr>
              <w:t>-65%</w:t>
            </w:r>
          </w:p>
        </w:tc>
      </w:tr>
      <w:tr w:rsidR="008E661E" w:rsidRPr="004A1A72" w14:paraId="56CABF64" w14:textId="77777777" w:rsidTr="000C039C">
        <w:trPr>
          <w:trHeight w:val="300"/>
          <w:jc w:val="center"/>
        </w:trPr>
        <w:tc>
          <w:tcPr>
            <w:tcW w:w="0" w:type="dxa"/>
            <w:shd w:val="clear" w:color="auto" w:fill="D9E2F3"/>
            <w:noWrap/>
            <w:hideMark/>
          </w:tcPr>
          <w:p w14:paraId="65705BB2" w14:textId="77777777" w:rsidR="008E661E" w:rsidRPr="00236A55" w:rsidRDefault="008E661E" w:rsidP="000C039C">
            <w:pPr>
              <w:widowControl/>
              <w:rPr>
                <w:rFonts w:ascii="Calibri" w:hAnsi="Calibri"/>
                <w:bCs/>
              </w:rPr>
            </w:pPr>
            <w:r w:rsidRPr="00236A55">
              <w:rPr>
                <w:rFonts w:ascii="Calibri" w:hAnsi="Calibri"/>
                <w:bCs/>
                <w:color w:val="000000"/>
                <w:szCs w:val="22"/>
              </w:rPr>
              <w:t>AR</w:t>
            </w:r>
          </w:p>
        </w:tc>
        <w:tc>
          <w:tcPr>
            <w:tcW w:w="1965" w:type="dxa"/>
            <w:shd w:val="clear" w:color="auto" w:fill="D9E2F3"/>
            <w:noWrap/>
            <w:hideMark/>
          </w:tcPr>
          <w:p w14:paraId="227AB19A" w14:textId="77777777" w:rsidR="008E661E" w:rsidRPr="00236A55" w:rsidRDefault="008E661E" w:rsidP="000C039C">
            <w:pPr>
              <w:widowControl/>
              <w:jc w:val="right"/>
              <w:rPr>
                <w:rFonts w:ascii="Calibri" w:hAnsi="Calibri"/>
              </w:rPr>
            </w:pPr>
            <w:r w:rsidRPr="00236A55">
              <w:rPr>
                <w:rFonts w:ascii="Calibri" w:hAnsi="Calibri"/>
                <w:color w:val="000000"/>
                <w:szCs w:val="22"/>
              </w:rPr>
              <w:t>$7,906,926</w:t>
            </w:r>
          </w:p>
        </w:tc>
        <w:tc>
          <w:tcPr>
            <w:tcW w:w="2085" w:type="dxa"/>
            <w:shd w:val="clear" w:color="auto" w:fill="D9E2F3"/>
            <w:noWrap/>
            <w:hideMark/>
          </w:tcPr>
          <w:p w14:paraId="57FC3709" w14:textId="77777777" w:rsidR="008E661E" w:rsidRPr="00236A55" w:rsidRDefault="008E661E" w:rsidP="000C039C">
            <w:pPr>
              <w:widowControl/>
              <w:jc w:val="right"/>
              <w:rPr>
                <w:rFonts w:ascii="Calibri" w:hAnsi="Calibri"/>
              </w:rPr>
            </w:pPr>
            <w:r w:rsidRPr="00236A55">
              <w:rPr>
                <w:rFonts w:ascii="Calibri" w:hAnsi="Calibri"/>
                <w:color w:val="000000"/>
                <w:szCs w:val="22"/>
              </w:rPr>
              <w:t>$5,022,635</w:t>
            </w:r>
          </w:p>
        </w:tc>
        <w:tc>
          <w:tcPr>
            <w:tcW w:w="0" w:type="dxa"/>
            <w:shd w:val="clear" w:color="auto" w:fill="D9E2F3"/>
            <w:noWrap/>
            <w:hideMark/>
          </w:tcPr>
          <w:p w14:paraId="01D84929" w14:textId="77777777" w:rsidR="008E661E" w:rsidRPr="00236A55" w:rsidRDefault="008E661E" w:rsidP="000C039C">
            <w:pPr>
              <w:widowControl/>
              <w:jc w:val="right"/>
              <w:rPr>
                <w:rFonts w:ascii="Calibri" w:hAnsi="Calibri"/>
              </w:rPr>
            </w:pPr>
            <w:r w:rsidRPr="00236A55">
              <w:rPr>
                <w:rFonts w:ascii="Calibri" w:hAnsi="Calibri"/>
                <w:color w:val="000000"/>
                <w:szCs w:val="22"/>
              </w:rPr>
              <w:t>$3,002,547</w:t>
            </w:r>
          </w:p>
        </w:tc>
        <w:tc>
          <w:tcPr>
            <w:tcW w:w="1209" w:type="dxa"/>
            <w:shd w:val="clear" w:color="auto" w:fill="D9E2F3"/>
          </w:tcPr>
          <w:p w14:paraId="617B6B28" w14:textId="77777777" w:rsidR="008E661E" w:rsidRPr="00236A55" w:rsidRDefault="008E661E" w:rsidP="000C039C">
            <w:pPr>
              <w:widowControl/>
              <w:jc w:val="right"/>
              <w:rPr>
                <w:rFonts w:ascii="Calibri" w:hAnsi="Calibri"/>
              </w:rPr>
            </w:pPr>
            <w:r w:rsidRPr="00236A55">
              <w:rPr>
                <w:rFonts w:ascii="Calibri" w:hAnsi="Calibri"/>
                <w:color w:val="000000"/>
                <w:szCs w:val="22"/>
              </w:rPr>
              <w:t>-62%</w:t>
            </w:r>
          </w:p>
        </w:tc>
      </w:tr>
      <w:tr w:rsidR="008E661E" w:rsidRPr="004A1A72" w14:paraId="1745AD54" w14:textId="77777777" w:rsidTr="000C039C">
        <w:trPr>
          <w:trHeight w:val="300"/>
          <w:jc w:val="center"/>
        </w:trPr>
        <w:tc>
          <w:tcPr>
            <w:tcW w:w="0" w:type="dxa"/>
            <w:shd w:val="clear" w:color="auto" w:fill="auto"/>
            <w:noWrap/>
            <w:hideMark/>
          </w:tcPr>
          <w:p w14:paraId="3B1D3259" w14:textId="77777777" w:rsidR="008E661E" w:rsidRPr="00236A55" w:rsidRDefault="008E661E" w:rsidP="000C039C">
            <w:pPr>
              <w:widowControl/>
              <w:rPr>
                <w:rFonts w:ascii="Calibri" w:hAnsi="Calibri"/>
                <w:bCs/>
              </w:rPr>
            </w:pPr>
            <w:r w:rsidRPr="00236A55">
              <w:rPr>
                <w:rFonts w:ascii="Calibri" w:hAnsi="Calibri"/>
                <w:bCs/>
                <w:color w:val="000000"/>
                <w:szCs w:val="22"/>
              </w:rPr>
              <w:t>AS</w:t>
            </w:r>
          </w:p>
        </w:tc>
        <w:tc>
          <w:tcPr>
            <w:tcW w:w="1965" w:type="dxa"/>
            <w:shd w:val="clear" w:color="auto" w:fill="auto"/>
            <w:noWrap/>
            <w:hideMark/>
          </w:tcPr>
          <w:p w14:paraId="6A21640F" w14:textId="77777777" w:rsidR="008E661E" w:rsidRPr="00236A55" w:rsidRDefault="008E661E" w:rsidP="000C039C">
            <w:pPr>
              <w:widowControl/>
              <w:jc w:val="right"/>
              <w:rPr>
                <w:rFonts w:ascii="Calibri" w:hAnsi="Calibri"/>
              </w:rPr>
            </w:pPr>
            <w:r w:rsidRPr="00236A55">
              <w:rPr>
                <w:rFonts w:ascii="Calibri" w:hAnsi="Calibri"/>
                <w:color w:val="000000"/>
                <w:szCs w:val="22"/>
              </w:rPr>
              <w:t>$278,887</w:t>
            </w:r>
          </w:p>
        </w:tc>
        <w:tc>
          <w:tcPr>
            <w:tcW w:w="2085" w:type="dxa"/>
            <w:shd w:val="clear" w:color="auto" w:fill="auto"/>
            <w:noWrap/>
            <w:hideMark/>
          </w:tcPr>
          <w:p w14:paraId="1E088A96" w14:textId="77777777" w:rsidR="008E661E" w:rsidRPr="00236A55" w:rsidRDefault="008E661E" w:rsidP="000C039C">
            <w:pPr>
              <w:widowControl/>
              <w:jc w:val="right"/>
              <w:rPr>
                <w:rFonts w:ascii="Calibri" w:hAnsi="Calibri"/>
              </w:rPr>
            </w:pPr>
            <w:r w:rsidRPr="00236A55">
              <w:rPr>
                <w:rFonts w:ascii="Calibri" w:hAnsi="Calibri"/>
                <w:color w:val="000000"/>
                <w:szCs w:val="22"/>
              </w:rPr>
              <w:t>$229,504</w:t>
            </w:r>
          </w:p>
        </w:tc>
        <w:tc>
          <w:tcPr>
            <w:tcW w:w="0" w:type="dxa"/>
            <w:shd w:val="clear" w:color="auto" w:fill="auto"/>
            <w:noWrap/>
            <w:hideMark/>
          </w:tcPr>
          <w:p w14:paraId="48B96EFD" w14:textId="77777777" w:rsidR="008E661E" w:rsidRPr="00236A55" w:rsidRDefault="008E661E" w:rsidP="000C039C">
            <w:pPr>
              <w:widowControl/>
              <w:jc w:val="right"/>
              <w:rPr>
                <w:rFonts w:ascii="Calibri" w:hAnsi="Calibri"/>
              </w:rPr>
            </w:pPr>
            <w:r w:rsidRPr="00236A55">
              <w:rPr>
                <w:rFonts w:ascii="Calibri" w:hAnsi="Calibri"/>
                <w:color w:val="000000"/>
                <w:szCs w:val="22"/>
              </w:rPr>
              <w:t>$170,159</w:t>
            </w:r>
          </w:p>
        </w:tc>
        <w:tc>
          <w:tcPr>
            <w:tcW w:w="1209" w:type="dxa"/>
            <w:shd w:val="clear" w:color="auto" w:fill="auto"/>
          </w:tcPr>
          <w:p w14:paraId="0CE3B93A" w14:textId="77777777" w:rsidR="008E661E" w:rsidRPr="00236A55" w:rsidRDefault="008E661E" w:rsidP="000C039C">
            <w:pPr>
              <w:widowControl/>
              <w:jc w:val="right"/>
              <w:rPr>
                <w:rFonts w:ascii="Calibri" w:hAnsi="Calibri"/>
              </w:rPr>
            </w:pPr>
            <w:r w:rsidRPr="00236A55">
              <w:rPr>
                <w:rFonts w:ascii="Calibri" w:hAnsi="Calibri"/>
                <w:color w:val="000000"/>
                <w:szCs w:val="22"/>
              </w:rPr>
              <w:t>-39%</w:t>
            </w:r>
          </w:p>
        </w:tc>
      </w:tr>
      <w:tr w:rsidR="008E661E" w:rsidRPr="004A1A72" w14:paraId="44F567FE" w14:textId="77777777" w:rsidTr="000C039C">
        <w:trPr>
          <w:trHeight w:val="300"/>
          <w:jc w:val="center"/>
        </w:trPr>
        <w:tc>
          <w:tcPr>
            <w:tcW w:w="0" w:type="dxa"/>
            <w:shd w:val="clear" w:color="auto" w:fill="D9E2F3"/>
            <w:noWrap/>
            <w:hideMark/>
          </w:tcPr>
          <w:p w14:paraId="67173F63" w14:textId="77777777" w:rsidR="008E661E" w:rsidRPr="00236A55" w:rsidRDefault="008E661E" w:rsidP="000C039C">
            <w:pPr>
              <w:widowControl/>
              <w:rPr>
                <w:rFonts w:ascii="Calibri" w:hAnsi="Calibri"/>
                <w:bCs/>
              </w:rPr>
            </w:pPr>
            <w:r w:rsidRPr="00236A55">
              <w:rPr>
                <w:rFonts w:ascii="Calibri" w:hAnsi="Calibri"/>
                <w:bCs/>
                <w:color w:val="000000"/>
                <w:szCs w:val="22"/>
              </w:rPr>
              <w:t>AZ</w:t>
            </w:r>
          </w:p>
        </w:tc>
        <w:tc>
          <w:tcPr>
            <w:tcW w:w="1965" w:type="dxa"/>
            <w:shd w:val="clear" w:color="auto" w:fill="D9E2F3"/>
            <w:noWrap/>
            <w:hideMark/>
          </w:tcPr>
          <w:p w14:paraId="01E7AAEF" w14:textId="77777777" w:rsidR="008E661E" w:rsidRPr="00236A55" w:rsidRDefault="008E661E" w:rsidP="000C039C">
            <w:pPr>
              <w:widowControl/>
              <w:jc w:val="right"/>
              <w:rPr>
                <w:rFonts w:ascii="Calibri" w:hAnsi="Calibri"/>
              </w:rPr>
            </w:pPr>
            <w:r w:rsidRPr="00236A55">
              <w:rPr>
                <w:rFonts w:ascii="Calibri" w:hAnsi="Calibri"/>
                <w:color w:val="000000"/>
                <w:szCs w:val="22"/>
              </w:rPr>
              <w:t>$16,786,477</w:t>
            </w:r>
          </w:p>
        </w:tc>
        <w:tc>
          <w:tcPr>
            <w:tcW w:w="2085" w:type="dxa"/>
            <w:shd w:val="clear" w:color="auto" w:fill="D9E2F3"/>
            <w:noWrap/>
            <w:hideMark/>
          </w:tcPr>
          <w:p w14:paraId="2F9550DE" w14:textId="77777777" w:rsidR="008E661E" w:rsidRPr="00236A55" w:rsidRDefault="008E661E" w:rsidP="000C039C">
            <w:pPr>
              <w:widowControl/>
              <w:jc w:val="right"/>
              <w:rPr>
                <w:rFonts w:ascii="Calibri" w:hAnsi="Calibri"/>
              </w:rPr>
            </w:pPr>
            <w:r w:rsidRPr="00236A55">
              <w:rPr>
                <w:rFonts w:ascii="Calibri" w:hAnsi="Calibri"/>
                <w:color w:val="000000"/>
                <w:szCs w:val="22"/>
              </w:rPr>
              <w:t>$10,546,028</w:t>
            </w:r>
          </w:p>
        </w:tc>
        <w:tc>
          <w:tcPr>
            <w:tcW w:w="0" w:type="dxa"/>
            <w:shd w:val="clear" w:color="auto" w:fill="D9E2F3"/>
            <w:noWrap/>
            <w:hideMark/>
          </w:tcPr>
          <w:p w14:paraId="0E4C176A" w14:textId="77777777" w:rsidR="008E661E" w:rsidRPr="00236A55" w:rsidRDefault="008E661E" w:rsidP="000C039C">
            <w:pPr>
              <w:widowControl/>
              <w:jc w:val="right"/>
              <w:rPr>
                <w:rFonts w:ascii="Calibri" w:hAnsi="Calibri"/>
              </w:rPr>
            </w:pPr>
            <w:r w:rsidRPr="00236A55">
              <w:rPr>
                <w:rFonts w:ascii="Calibri" w:hAnsi="Calibri"/>
                <w:color w:val="000000"/>
                <w:szCs w:val="22"/>
              </w:rPr>
              <w:t>$6,051,090</w:t>
            </w:r>
          </w:p>
        </w:tc>
        <w:tc>
          <w:tcPr>
            <w:tcW w:w="1209" w:type="dxa"/>
            <w:shd w:val="clear" w:color="auto" w:fill="D9E2F3"/>
          </w:tcPr>
          <w:p w14:paraId="182B01EC" w14:textId="77777777" w:rsidR="008E661E" w:rsidRPr="00236A55" w:rsidRDefault="008E661E" w:rsidP="000C039C">
            <w:pPr>
              <w:widowControl/>
              <w:jc w:val="right"/>
              <w:rPr>
                <w:rFonts w:ascii="Calibri" w:hAnsi="Calibri"/>
              </w:rPr>
            </w:pPr>
            <w:r w:rsidRPr="00236A55">
              <w:rPr>
                <w:rFonts w:ascii="Calibri" w:hAnsi="Calibri"/>
                <w:color w:val="000000"/>
                <w:szCs w:val="22"/>
              </w:rPr>
              <w:t>-64%</w:t>
            </w:r>
          </w:p>
        </w:tc>
      </w:tr>
      <w:tr w:rsidR="008E661E" w:rsidRPr="004A1A72" w14:paraId="33AA5EC6" w14:textId="77777777" w:rsidTr="000C039C">
        <w:trPr>
          <w:trHeight w:val="300"/>
          <w:jc w:val="center"/>
        </w:trPr>
        <w:tc>
          <w:tcPr>
            <w:tcW w:w="0" w:type="dxa"/>
            <w:shd w:val="clear" w:color="auto" w:fill="auto"/>
            <w:noWrap/>
            <w:hideMark/>
          </w:tcPr>
          <w:p w14:paraId="15A34A07" w14:textId="77777777" w:rsidR="008E661E" w:rsidRPr="00236A55" w:rsidRDefault="008E661E" w:rsidP="000C039C">
            <w:pPr>
              <w:widowControl/>
              <w:rPr>
                <w:rFonts w:ascii="Calibri" w:hAnsi="Calibri"/>
                <w:bCs/>
              </w:rPr>
            </w:pPr>
            <w:r w:rsidRPr="00236A55">
              <w:rPr>
                <w:rFonts w:ascii="Calibri" w:hAnsi="Calibri"/>
                <w:bCs/>
                <w:color w:val="000000"/>
                <w:szCs w:val="22"/>
              </w:rPr>
              <w:t>CA</w:t>
            </w:r>
          </w:p>
        </w:tc>
        <w:tc>
          <w:tcPr>
            <w:tcW w:w="1965" w:type="dxa"/>
            <w:shd w:val="clear" w:color="auto" w:fill="auto"/>
            <w:noWrap/>
            <w:hideMark/>
          </w:tcPr>
          <w:p w14:paraId="345B9E59" w14:textId="77777777" w:rsidR="008E661E" w:rsidRPr="00236A55" w:rsidRDefault="008E661E" w:rsidP="000C039C">
            <w:pPr>
              <w:widowControl/>
              <w:jc w:val="right"/>
              <w:rPr>
                <w:rFonts w:ascii="Calibri" w:hAnsi="Calibri"/>
              </w:rPr>
            </w:pPr>
            <w:r w:rsidRPr="00236A55">
              <w:rPr>
                <w:rFonts w:ascii="Calibri" w:hAnsi="Calibri"/>
                <w:color w:val="000000"/>
                <w:szCs w:val="22"/>
              </w:rPr>
              <w:t>$95,157,002</w:t>
            </w:r>
          </w:p>
        </w:tc>
        <w:tc>
          <w:tcPr>
            <w:tcW w:w="2085" w:type="dxa"/>
            <w:shd w:val="clear" w:color="auto" w:fill="auto"/>
            <w:noWrap/>
            <w:hideMark/>
          </w:tcPr>
          <w:p w14:paraId="39D691D3" w14:textId="77777777" w:rsidR="008E661E" w:rsidRPr="00236A55" w:rsidRDefault="008E661E" w:rsidP="000C039C">
            <w:pPr>
              <w:widowControl/>
              <w:jc w:val="right"/>
              <w:rPr>
                <w:rFonts w:ascii="Calibri" w:hAnsi="Calibri"/>
              </w:rPr>
            </w:pPr>
            <w:r w:rsidRPr="00236A55">
              <w:rPr>
                <w:rFonts w:ascii="Calibri" w:hAnsi="Calibri"/>
                <w:color w:val="000000"/>
                <w:szCs w:val="22"/>
              </w:rPr>
              <w:t>$66,876,656</w:t>
            </w:r>
          </w:p>
        </w:tc>
        <w:tc>
          <w:tcPr>
            <w:tcW w:w="0" w:type="dxa"/>
            <w:shd w:val="clear" w:color="auto" w:fill="auto"/>
            <w:noWrap/>
            <w:hideMark/>
          </w:tcPr>
          <w:p w14:paraId="77A52F27" w14:textId="77777777" w:rsidR="008E661E" w:rsidRPr="00236A55" w:rsidRDefault="008E661E" w:rsidP="000C039C">
            <w:pPr>
              <w:widowControl/>
              <w:jc w:val="right"/>
              <w:rPr>
                <w:rFonts w:ascii="Calibri" w:hAnsi="Calibri"/>
              </w:rPr>
            </w:pPr>
            <w:r w:rsidRPr="00236A55">
              <w:rPr>
                <w:rFonts w:ascii="Calibri" w:hAnsi="Calibri"/>
                <w:color w:val="000000"/>
                <w:szCs w:val="22"/>
              </w:rPr>
              <w:t>$42,772,057</w:t>
            </w:r>
          </w:p>
        </w:tc>
        <w:tc>
          <w:tcPr>
            <w:tcW w:w="1209" w:type="dxa"/>
            <w:shd w:val="clear" w:color="auto" w:fill="auto"/>
          </w:tcPr>
          <w:p w14:paraId="170EF3C4" w14:textId="77777777" w:rsidR="008E661E" w:rsidRPr="00236A55" w:rsidRDefault="008E661E" w:rsidP="000C039C">
            <w:pPr>
              <w:widowControl/>
              <w:jc w:val="right"/>
              <w:rPr>
                <w:rFonts w:ascii="Calibri" w:hAnsi="Calibri"/>
              </w:rPr>
            </w:pPr>
            <w:r w:rsidRPr="00236A55">
              <w:rPr>
                <w:rFonts w:ascii="Calibri" w:hAnsi="Calibri"/>
                <w:color w:val="000000"/>
                <w:szCs w:val="22"/>
              </w:rPr>
              <w:t>-55%</w:t>
            </w:r>
          </w:p>
        </w:tc>
      </w:tr>
      <w:tr w:rsidR="008E661E" w:rsidRPr="004A1A72" w14:paraId="113C34E5" w14:textId="77777777" w:rsidTr="000C039C">
        <w:trPr>
          <w:trHeight w:val="300"/>
          <w:jc w:val="center"/>
        </w:trPr>
        <w:tc>
          <w:tcPr>
            <w:tcW w:w="0" w:type="dxa"/>
            <w:shd w:val="clear" w:color="auto" w:fill="D9E2F3"/>
            <w:noWrap/>
            <w:hideMark/>
          </w:tcPr>
          <w:p w14:paraId="2A02B117" w14:textId="77777777" w:rsidR="008E661E" w:rsidRPr="00236A55" w:rsidRDefault="008E661E" w:rsidP="000C039C">
            <w:pPr>
              <w:widowControl/>
              <w:rPr>
                <w:rFonts w:ascii="Calibri" w:hAnsi="Calibri"/>
                <w:bCs/>
              </w:rPr>
            </w:pPr>
            <w:r w:rsidRPr="00236A55">
              <w:rPr>
                <w:rFonts w:ascii="Calibri" w:hAnsi="Calibri"/>
                <w:bCs/>
                <w:color w:val="000000"/>
                <w:szCs w:val="22"/>
              </w:rPr>
              <w:t>CO</w:t>
            </w:r>
          </w:p>
        </w:tc>
        <w:tc>
          <w:tcPr>
            <w:tcW w:w="1965" w:type="dxa"/>
            <w:shd w:val="clear" w:color="auto" w:fill="D9E2F3"/>
            <w:noWrap/>
            <w:hideMark/>
          </w:tcPr>
          <w:p w14:paraId="44508D0E" w14:textId="77777777" w:rsidR="008E661E" w:rsidRPr="00236A55" w:rsidRDefault="008E661E" w:rsidP="000C039C">
            <w:pPr>
              <w:widowControl/>
              <w:jc w:val="right"/>
              <w:rPr>
                <w:rFonts w:ascii="Calibri" w:hAnsi="Calibri"/>
              </w:rPr>
            </w:pPr>
            <w:r w:rsidRPr="00236A55">
              <w:rPr>
                <w:rFonts w:ascii="Calibri" w:hAnsi="Calibri"/>
                <w:color w:val="000000"/>
                <w:szCs w:val="22"/>
              </w:rPr>
              <w:t>$6,497,441</w:t>
            </w:r>
          </w:p>
        </w:tc>
        <w:tc>
          <w:tcPr>
            <w:tcW w:w="2085" w:type="dxa"/>
            <w:shd w:val="clear" w:color="auto" w:fill="D9E2F3"/>
            <w:noWrap/>
            <w:hideMark/>
          </w:tcPr>
          <w:p w14:paraId="614039C9" w14:textId="77777777" w:rsidR="008E661E" w:rsidRPr="00236A55" w:rsidRDefault="008E661E" w:rsidP="000C039C">
            <w:pPr>
              <w:widowControl/>
              <w:jc w:val="right"/>
              <w:rPr>
                <w:rFonts w:ascii="Calibri" w:hAnsi="Calibri"/>
              </w:rPr>
            </w:pPr>
            <w:r w:rsidRPr="00236A55">
              <w:rPr>
                <w:rFonts w:ascii="Calibri" w:hAnsi="Calibri"/>
                <w:color w:val="000000"/>
                <w:szCs w:val="22"/>
              </w:rPr>
              <w:t>$4,146,013</w:t>
            </w:r>
          </w:p>
        </w:tc>
        <w:tc>
          <w:tcPr>
            <w:tcW w:w="0" w:type="dxa"/>
            <w:shd w:val="clear" w:color="auto" w:fill="D9E2F3"/>
            <w:noWrap/>
            <w:hideMark/>
          </w:tcPr>
          <w:p w14:paraId="77F5BCD7" w14:textId="77777777" w:rsidR="008E661E" w:rsidRPr="00236A55" w:rsidRDefault="008E661E" w:rsidP="000C039C">
            <w:pPr>
              <w:widowControl/>
              <w:jc w:val="right"/>
              <w:rPr>
                <w:rFonts w:ascii="Calibri" w:hAnsi="Calibri"/>
              </w:rPr>
            </w:pPr>
            <w:r w:rsidRPr="00236A55">
              <w:rPr>
                <w:rFonts w:ascii="Calibri" w:hAnsi="Calibri"/>
                <w:color w:val="000000"/>
                <w:szCs w:val="22"/>
              </w:rPr>
              <w:t>$2,712,956</w:t>
            </w:r>
          </w:p>
        </w:tc>
        <w:tc>
          <w:tcPr>
            <w:tcW w:w="1209" w:type="dxa"/>
            <w:shd w:val="clear" w:color="auto" w:fill="D9E2F3"/>
          </w:tcPr>
          <w:p w14:paraId="295A88BB" w14:textId="77777777" w:rsidR="008E661E" w:rsidRPr="00236A55" w:rsidRDefault="008E661E" w:rsidP="000C039C">
            <w:pPr>
              <w:widowControl/>
              <w:jc w:val="right"/>
              <w:rPr>
                <w:rFonts w:ascii="Calibri" w:hAnsi="Calibri"/>
              </w:rPr>
            </w:pPr>
            <w:r w:rsidRPr="00236A55">
              <w:rPr>
                <w:rFonts w:ascii="Calibri" w:hAnsi="Calibri"/>
                <w:color w:val="000000"/>
                <w:szCs w:val="22"/>
              </w:rPr>
              <w:t>-58%</w:t>
            </w:r>
          </w:p>
        </w:tc>
      </w:tr>
      <w:tr w:rsidR="008E661E" w:rsidRPr="004A1A72" w14:paraId="3E7AA388" w14:textId="77777777" w:rsidTr="000C039C">
        <w:trPr>
          <w:trHeight w:val="300"/>
          <w:jc w:val="center"/>
        </w:trPr>
        <w:tc>
          <w:tcPr>
            <w:tcW w:w="0" w:type="dxa"/>
            <w:shd w:val="clear" w:color="auto" w:fill="auto"/>
            <w:noWrap/>
            <w:hideMark/>
          </w:tcPr>
          <w:p w14:paraId="4DC5E931" w14:textId="77777777" w:rsidR="008E661E" w:rsidRPr="00236A55" w:rsidRDefault="008E661E" w:rsidP="000C039C">
            <w:pPr>
              <w:widowControl/>
              <w:rPr>
                <w:rFonts w:ascii="Calibri" w:hAnsi="Calibri"/>
                <w:bCs/>
              </w:rPr>
            </w:pPr>
            <w:r w:rsidRPr="00236A55">
              <w:rPr>
                <w:rFonts w:ascii="Calibri" w:hAnsi="Calibri"/>
                <w:bCs/>
                <w:color w:val="000000"/>
                <w:szCs w:val="22"/>
              </w:rPr>
              <w:t>CT</w:t>
            </w:r>
          </w:p>
        </w:tc>
        <w:tc>
          <w:tcPr>
            <w:tcW w:w="1965" w:type="dxa"/>
            <w:shd w:val="clear" w:color="auto" w:fill="auto"/>
            <w:noWrap/>
            <w:hideMark/>
          </w:tcPr>
          <w:p w14:paraId="3C8FD8E3" w14:textId="77777777" w:rsidR="008E661E" w:rsidRPr="00236A55" w:rsidRDefault="008E661E" w:rsidP="000C039C">
            <w:pPr>
              <w:widowControl/>
              <w:jc w:val="right"/>
              <w:rPr>
                <w:rFonts w:ascii="Calibri" w:hAnsi="Calibri"/>
              </w:rPr>
            </w:pPr>
            <w:r w:rsidRPr="00236A55">
              <w:rPr>
                <w:rFonts w:ascii="Calibri" w:hAnsi="Calibri"/>
                <w:color w:val="000000"/>
                <w:szCs w:val="22"/>
              </w:rPr>
              <w:t>$10,242,466</w:t>
            </w:r>
          </w:p>
        </w:tc>
        <w:tc>
          <w:tcPr>
            <w:tcW w:w="2085" w:type="dxa"/>
            <w:shd w:val="clear" w:color="auto" w:fill="auto"/>
            <w:noWrap/>
            <w:hideMark/>
          </w:tcPr>
          <w:p w14:paraId="75805F5E" w14:textId="77777777" w:rsidR="008E661E" w:rsidRPr="00236A55" w:rsidRDefault="008E661E" w:rsidP="000C039C">
            <w:pPr>
              <w:widowControl/>
              <w:jc w:val="right"/>
              <w:rPr>
                <w:rFonts w:ascii="Calibri" w:hAnsi="Calibri"/>
              </w:rPr>
            </w:pPr>
            <w:r w:rsidRPr="00236A55">
              <w:rPr>
                <w:rFonts w:ascii="Calibri" w:hAnsi="Calibri"/>
                <w:color w:val="000000"/>
                <w:szCs w:val="22"/>
              </w:rPr>
              <w:t>$5,769,906</w:t>
            </w:r>
          </w:p>
        </w:tc>
        <w:tc>
          <w:tcPr>
            <w:tcW w:w="0" w:type="dxa"/>
            <w:shd w:val="clear" w:color="auto" w:fill="auto"/>
            <w:noWrap/>
            <w:hideMark/>
          </w:tcPr>
          <w:p w14:paraId="58D7905C" w14:textId="77777777" w:rsidR="008E661E" w:rsidRPr="00236A55" w:rsidRDefault="008E661E" w:rsidP="000C039C">
            <w:pPr>
              <w:widowControl/>
              <w:jc w:val="right"/>
              <w:rPr>
                <w:rFonts w:ascii="Calibri" w:hAnsi="Calibri"/>
              </w:rPr>
            </w:pPr>
            <w:r w:rsidRPr="00236A55">
              <w:rPr>
                <w:rFonts w:ascii="Calibri" w:hAnsi="Calibri"/>
                <w:color w:val="000000"/>
                <w:szCs w:val="22"/>
              </w:rPr>
              <w:t>$3,007,078</w:t>
            </w:r>
          </w:p>
        </w:tc>
        <w:tc>
          <w:tcPr>
            <w:tcW w:w="1209" w:type="dxa"/>
            <w:shd w:val="clear" w:color="auto" w:fill="auto"/>
          </w:tcPr>
          <w:p w14:paraId="60C9F2F6" w14:textId="77777777" w:rsidR="008E661E" w:rsidRPr="00236A55" w:rsidRDefault="008E661E" w:rsidP="000C039C">
            <w:pPr>
              <w:widowControl/>
              <w:jc w:val="right"/>
              <w:rPr>
                <w:rFonts w:ascii="Calibri" w:hAnsi="Calibri"/>
              </w:rPr>
            </w:pPr>
            <w:r w:rsidRPr="00236A55">
              <w:rPr>
                <w:rFonts w:ascii="Calibri" w:hAnsi="Calibri"/>
                <w:color w:val="000000"/>
                <w:szCs w:val="22"/>
              </w:rPr>
              <w:t>-71%</w:t>
            </w:r>
          </w:p>
        </w:tc>
      </w:tr>
      <w:tr w:rsidR="008E661E" w:rsidRPr="004A1A72" w14:paraId="0B4517A6" w14:textId="77777777" w:rsidTr="000C039C">
        <w:trPr>
          <w:trHeight w:val="300"/>
          <w:jc w:val="center"/>
        </w:trPr>
        <w:tc>
          <w:tcPr>
            <w:tcW w:w="0" w:type="dxa"/>
            <w:shd w:val="clear" w:color="auto" w:fill="D9E2F3"/>
            <w:noWrap/>
            <w:hideMark/>
          </w:tcPr>
          <w:p w14:paraId="01E05BEC" w14:textId="77777777" w:rsidR="008E661E" w:rsidRPr="00236A55" w:rsidRDefault="008E661E" w:rsidP="000C039C">
            <w:pPr>
              <w:widowControl/>
              <w:rPr>
                <w:rFonts w:ascii="Calibri" w:hAnsi="Calibri"/>
                <w:bCs/>
              </w:rPr>
            </w:pPr>
            <w:r w:rsidRPr="00236A55">
              <w:rPr>
                <w:rFonts w:ascii="Calibri" w:hAnsi="Calibri"/>
                <w:bCs/>
                <w:color w:val="000000"/>
                <w:szCs w:val="22"/>
              </w:rPr>
              <w:t>DC</w:t>
            </w:r>
          </w:p>
        </w:tc>
        <w:tc>
          <w:tcPr>
            <w:tcW w:w="1965" w:type="dxa"/>
            <w:shd w:val="clear" w:color="auto" w:fill="D9E2F3"/>
            <w:noWrap/>
            <w:hideMark/>
          </w:tcPr>
          <w:p w14:paraId="1733131A" w14:textId="77777777" w:rsidR="008E661E" w:rsidRPr="00236A55" w:rsidRDefault="008E661E" w:rsidP="000C039C">
            <w:pPr>
              <w:widowControl/>
              <w:jc w:val="right"/>
              <w:rPr>
                <w:rFonts w:ascii="Calibri" w:hAnsi="Calibri"/>
              </w:rPr>
            </w:pPr>
            <w:r w:rsidRPr="00236A55">
              <w:rPr>
                <w:rFonts w:ascii="Calibri" w:hAnsi="Calibri"/>
                <w:color w:val="000000"/>
                <w:szCs w:val="22"/>
              </w:rPr>
              <w:t>$4,854,502</w:t>
            </w:r>
          </w:p>
        </w:tc>
        <w:tc>
          <w:tcPr>
            <w:tcW w:w="2085" w:type="dxa"/>
            <w:shd w:val="clear" w:color="auto" w:fill="D9E2F3"/>
            <w:noWrap/>
            <w:hideMark/>
          </w:tcPr>
          <w:p w14:paraId="1D707FED" w14:textId="77777777" w:rsidR="008E661E" w:rsidRPr="00236A55" w:rsidRDefault="008E661E" w:rsidP="000C039C">
            <w:pPr>
              <w:widowControl/>
              <w:jc w:val="right"/>
              <w:rPr>
                <w:rFonts w:ascii="Calibri" w:hAnsi="Calibri"/>
              </w:rPr>
            </w:pPr>
            <w:r w:rsidRPr="00236A55">
              <w:rPr>
                <w:rFonts w:ascii="Calibri" w:hAnsi="Calibri"/>
                <w:color w:val="000000"/>
                <w:szCs w:val="22"/>
              </w:rPr>
              <w:t>$2,833,507</w:t>
            </w:r>
          </w:p>
        </w:tc>
        <w:tc>
          <w:tcPr>
            <w:tcW w:w="0" w:type="dxa"/>
            <w:shd w:val="clear" w:color="auto" w:fill="D9E2F3"/>
            <w:noWrap/>
            <w:hideMark/>
          </w:tcPr>
          <w:p w14:paraId="7FE86968" w14:textId="77777777" w:rsidR="008E661E" w:rsidRPr="00236A55" w:rsidRDefault="008E661E" w:rsidP="000C039C">
            <w:pPr>
              <w:widowControl/>
              <w:jc w:val="right"/>
              <w:rPr>
                <w:rFonts w:ascii="Calibri" w:hAnsi="Calibri"/>
              </w:rPr>
            </w:pPr>
            <w:r w:rsidRPr="00236A55">
              <w:rPr>
                <w:rFonts w:ascii="Calibri" w:hAnsi="Calibri"/>
                <w:color w:val="000000"/>
                <w:szCs w:val="22"/>
              </w:rPr>
              <w:t>$2,130,260</w:t>
            </w:r>
          </w:p>
        </w:tc>
        <w:tc>
          <w:tcPr>
            <w:tcW w:w="1209" w:type="dxa"/>
            <w:shd w:val="clear" w:color="auto" w:fill="D9E2F3"/>
          </w:tcPr>
          <w:p w14:paraId="1220B179" w14:textId="77777777" w:rsidR="008E661E" w:rsidRPr="00236A55" w:rsidRDefault="008E661E" w:rsidP="000C039C">
            <w:pPr>
              <w:widowControl/>
              <w:jc w:val="right"/>
              <w:rPr>
                <w:rFonts w:ascii="Calibri" w:hAnsi="Calibri"/>
              </w:rPr>
            </w:pPr>
            <w:r w:rsidRPr="00236A55">
              <w:rPr>
                <w:rFonts w:ascii="Calibri" w:hAnsi="Calibri"/>
                <w:color w:val="000000"/>
                <w:szCs w:val="22"/>
              </w:rPr>
              <w:t>-56%</w:t>
            </w:r>
          </w:p>
        </w:tc>
      </w:tr>
      <w:tr w:rsidR="008E661E" w:rsidRPr="004A1A72" w14:paraId="10D8CF0D" w14:textId="77777777" w:rsidTr="000C039C">
        <w:trPr>
          <w:trHeight w:val="300"/>
          <w:jc w:val="center"/>
        </w:trPr>
        <w:tc>
          <w:tcPr>
            <w:tcW w:w="0" w:type="dxa"/>
            <w:shd w:val="clear" w:color="auto" w:fill="auto"/>
            <w:noWrap/>
            <w:hideMark/>
          </w:tcPr>
          <w:p w14:paraId="74A8E09E" w14:textId="77777777" w:rsidR="008E661E" w:rsidRPr="00236A55" w:rsidRDefault="008E661E" w:rsidP="000C039C">
            <w:pPr>
              <w:widowControl/>
              <w:rPr>
                <w:rFonts w:ascii="Calibri" w:hAnsi="Calibri"/>
                <w:bCs/>
              </w:rPr>
            </w:pPr>
            <w:r w:rsidRPr="00236A55">
              <w:rPr>
                <w:rFonts w:ascii="Calibri" w:hAnsi="Calibri"/>
                <w:bCs/>
                <w:color w:val="000000"/>
                <w:szCs w:val="22"/>
              </w:rPr>
              <w:t>DE</w:t>
            </w:r>
          </w:p>
        </w:tc>
        <w:tc>
          <w:tcPr>
            <w:tcW w:w="1965" w:type="dxa"/>
            <w:shd w:val="clear" w:color="auto" w:fill="auto"/>
            <w:noWrap/>
            <w:hideMark/>
          </w:tcPr>
          <w:p w14:paraId="0DBDF8C6" w14:textId="77777777" w:rsidR="008E661E" w:rsidRPr="00236A55" w:rsidRDefault="008E661E" w:rsidP="000C039C">
            <w:pPr>
              <w:widowControl/>
              <w:jc w:val="right"/>
              <w:rPr>
                <w:rFonts w:ascii="Calibri" w:hAnsi="Calibri"/>
              </w:rPr>
            </w:pPr>
            <w:r w:rsidRPr="00236A55">
              <w:rPr>
                <w:rFonts w:ascii="Calibri" w:hAnsi="Calibri"/>
                <w:color w:val="000000"/>
                <w:szCs w:val="22"/>
              </w:rPr>
              <w:t>$1,207,614</w:t>
            </w:r>
          </w:p>
        </w:tc>
        <w:tc>
          <w:tcPr>
            <w:tcW w:w="2085" w:type="dxa"/>
            <w:shd w:val="clear" w:color="auto" w:fill="auto"/>
            <w:noWrap/>
            <w:hideMark/>
          </w:tcPr>
          <w:p w14:paraId="4BFD82A5" w14:textId="77777777" w:rsidR="008E661E" w:rsidRPr="00236A55" w:rsidRDefault="008E661E" w:rsidP="000C039C">
            <w:pPr>
              <w:widowControl/>
              <w:jc w:val="right"/>
              <w:rPr>
                <w:rFonts w:ascii="Calibri" w:hAnsi="Calibri"/>
              </w:rPr>
            </w:pPr>
            <w:r w:rsidRPr="00236A55">
              <w:rPr>
                <w:rFonts w:ascii="Calibri" w:hAnsi="Calibri"/>
                <w:color w:val="000000"/>
                <w:szCs w:val="22"/>
              </w:rPr>
              <w:t>$833,021</w:t>
            </w:r>
          </w:p>
        </w:tc>
        <w:tc>
          <w:tcPr>
            <w:tcW w:w="0" w:type="dxa"/>
            <w:shd w:val="clear" w:color="auto" w:fill="auto"/>
            <w:noWrap/>
            <w:hideMark/>
          </w:tcPr>
          <w:p w14:paraId="5789CF0E" w14:textId="77777777" w:rsidR="008E661E" w:rsidRPr="00236A55" w:rsidRDefault="008E661E" w:rsidP="000C039C">
            <w:pPr>
              <w:widowControl/>
              <w:jc w:val="right"/>
              <w:rPr>
                <w:rFonts w:ascii="Calibri" w:hAnsi="Calibri"/>
              </w:rPr>
            </w:pPr>
            <w:r w:rsidRPr="00236A55">
              <w:rPr>
                <w:rFonts w:ascii="Calibri" w:hAnsi="Calibri"/>
                <w:color w:val="000000"/>
                <w:szCs w:val="22"/>
              </w:rPr>
              <w:t>$433,917</w:t>
            </w:r>
          </w:p>
        </w:tc>
        <w:tc>
          <w:tcPr>
            <w:tcW w:w="1209" w:type="dxa"/>
            <w:shd w:val="clear" w:color="auto" w:fill="auto"/>
          </w:tcPr>
          <w:p w14:paraId="5CD92121" w14:textId="77777777" w:rsidR="008E661E" w:rsidRPr="00236A55" w:rsidRDefault="008E661E" w:rsidP="000C039C">
            <w:pPr>
              <w:widowControl/>
              <w:jc w:val="right"/>
              <w:rPr>
                <w:rFonts w:ascii="Calibri" w:hAnsi="Calibri"/>
              </w:rPr>
            </w:pPr>
            <w:r w:rsidRPr="00236A55">
              <w:rPr>
                <w:rFonts w:ascii="Calibri" w:hAnsi="Calibri"/>
                <w:color w:val="000000"/>
                <w:szCs w:val="22"/>
              </w:rPr>
              <w:t>-64%</w:t>
            </w:r>
          </w:p>
        </w:tc>
      </w:tr>
      <w:tr w:rsidR="008E661E" w:rsidRPr="004A1A72" w14:paraId="220931C5" w14:textId="77777777" w:rsidTr="000C039C">
        <w:trPr>
          <w:trHeight w:val="300"/>
          <w:jc w:val="center"/>
        </w:trPr>
        <w:tc>
          <w:tcPr>
            <w:tcW w:w="0" w:type="dxa"/>
            <w:shd w:val="clear" w:color="auto" w:fill="D9E2F3"/>
            <w:noWrap/>
            <w:hideMark/>
          </w:tcPr>
          <w:p w14:paraId="688BD3F4" w14:textId="77777777" w:rsidR="008E661E" w:rsidRPr="00236A55" w:rsidRDefault="008E661E" w:rsidP="000C039C">
            <w:pPr>
              <w:widowControl/>
              <w:rPr>
                <w:rFonts w:ascii="Calibri" w:hAnsi="Calibri"/>
                <w:bCs/>
              </w:rPr>
            </w:pPr>
            <w:r w:rsidRPr="00236A55">
              <w:rPr>
                <w:rFonts w:ascii="Calibri" w:hAnsi="Calibri"/>
                <w:bCs/>
                <w:color w:val="000000"/>
                <w:szCs w:val="22"/>
              </w:rPr>
              <w:t>FL</w:t>
            </w:r>
          </w:p>
        </w:tc>
        <w:tc>
          <w:tcPr>
            <w:tcW w:w="1965" w:type="dxa"/>
            <w:shd w:val="clear" w:color="auto" w:fill="D9E2F3"/>
            <w:noWrap/>
            <w:hideMark/>
          </w:tcPr>
          <w:p w14:paraId="574F1440" w14:textId="77777777" w:rsidR="008E661E" w:rsidRPr="00236A55" w:rsidRDefault="008E661E" w:rsidP="000C039C">
            <w:pPr>
              <w:widowControl/>
              <w:jc w:val="right"/>
              <w:rPr>
                <w:rFonts w:ascii="Calibri" w:hAnsi="Calibri"/>
              </w:rPr>
            </w:pPr>
            <w:r w:rsidRPr="00236A55">
              <w:rPr>
                <w:rFonts w:ascii="Calibri" w:hAnsi="Calibri"/>
                <w:color w:val="000000"/>
                <w:szCs w:val="22"/>
              </w:rPr>
              <w:t>$21,802,035</w:t>
            </w:r>
          </w:p>
        </w:tc>
        <w:tc>
          <w:tcPr>
            <w:tcW w:w="2085" w:type="dxa"/>
            <w:shd w:val="clear" w:color="auto" w:fill="D9E2F3"/>
            <w:noWrap/>
            <w:hideMark/>
          </w:tcPr>
          <w:p w14:paraId="0FC8C893" w14:textId="77777777" w:rsidR="008E661E" w:rsidRPr="00236A55" w:rsidRDefault="008E661E" w:rsidP="000C039C">
            <w:pPr>
              <w:widowControl/>
              <w:jc w:val="right"/>
              <w:rPr>
                <w:rFonts w:ascii="Calibri" w:hAnsi="Calibri"/>
              </w:rPr>
            </w:pPr>
            <w:r w:rsidRPr="00236A55">
              <w:rPr>
                <w:rFonts w:ascii="Calibri" w:hAnsi="Calibri"/>
                <w:color w:val="000000"/>
                <w:szCs w:val="22"/>
              </w:rPr>
              <w:t>$16,745,082</w:t>
            </w:r>
          </w:p>
        </w:tc>
        <w:tc>
          <w:tcPr>
            <w:tcW w:w="0" w:type="dxa"/>
            <w:shd w:val="clear" w:color="auto" w:fill="D9E2F3"/>
            <w:noWrap/>
            <w:hideMark/>
          </w:tcPr>
          <w:p w14:paraId="24C36368" w14:textId="77777777" w:rsidR="008E661E" w:rsidRPr="00236A55" w:rsidRDefault="008E661E" w:rsidP="000C039C">
            <w:pPr>
              <w:widowControl/>
              <w:jc w:val="right"/>
              <w:rPr>
                <w:rFonts w:ascii="Calibri" w:hAnsi="Calibri"/>
              </w:rPr>
            </w:pPr>
            <w:r w:rsidRPr="00236A55">
              <w:rPr>
                <w:rFonts w:ascii="Calibri" w:hAnsi="Calibri"/>
                <w:color w:val="000000"/>
                <w:szCs w:val="22"/>
              </w:rPr>
              <w:t>$10,202,673</w:t>
            </w:r>
          </w:p>
        </w:tc>
        <w:tc>
          <w:tcPr>
            <w:tcW w:w="1209" w:type="dxa"/>
            <w:shd w:val="clear" w:color="auto" w:fill="D9E2F3"/>
          </w:tcPr>
          <w:p w14:paraId="76C94280" w14:textId="77777777" w:rsidR="008E661E" w:rsidRPr="00236A55" w:rsidRDefault="008E661E" w:rsidP="000C039C">
            <w:pPr>
              <w:widowControl/>
              <w:jc w:val="right"/>
              <w:rPr>
                <w:rFonts w:ascii="Calibri" w:hAnsi="Calibri"/>
              </w:rPr>
            </w:pPr>
            <w:r w:rsidRPr="00236A55">
              <w:rPr>
                <w:rFonts w:ascii="Calibri" w:hAnsi="Calibri"/>
                <w:color w:val="000000"/>
                <w:szCs w:val="22"/>
              </w:rPr>
              <w:t>-53%</w:t>
            </w:r>
          </w:p>
        </w:tc>
      </w:tr>
      <w:tr w:rsidR="008E661E" w:rsidRPr="004A1A72" w14:paraId="321D1484" w14:textId="77777777" w:rsidTr="000C039C">
        <w:trPr>
          <w:trHeight w:val="300"/>
          <w:jc w:val="center"/>
        </w:trPr>
        <w:tc>
          <w:tcPr>
            <w:tcW w:w="0" w:type="dxa"/>
            <w:shd w:val="clear" w:color="auto" w:fill="auto"/>
            <w:noWrap/>
            <w:hideMark/>
          </w:tcPr>
          <w:p w14:paraId="55C7236A" w14:textId="77777777" w:rsidR="008E661E" w:rsidRPr="00236A55" w:rsidRDefault="008E661E" w:rsidP="000C039C">
            <w:pPr>
              <w:widowControl/>
              <w:rPr>
                <w:rFonts w:ascii="Calibri" w:hAnsi="Calibri"/>
                <w:bCs/>
              </w:rPr>
            </w:pPr>
            <w:r w:rsidRPr="00236A55">
              <w:rPr>
                <w:rFonts w:ascii="Calibri" w:hAnsi="Calibri"/>
                <w:bCs/>
                <w:color w:val="000000"/>
                <w:szCs w:val="22"/>
              </w:rPr>
              <w:t>GA</w:t>
            </w:r>
          </w:p>
        </w:tc>
        <w:tc>
          <w:tcPr>
            <w:tcW w:w="1965" w:type="dxa"/>
            <w:shd w:val="clear" w:color="auto" w:fill="auto"/>
            <w:noWrap/>
            <w:hideMark/>
          </w:tcPr>
          <w:p w14:paraId="53A672F9" w14:textId="77777777" w:rsidR="008E661E" w:rsidRPr="00236A55" w:rsidRDefault="008E661E" w:rsidP="000C039C">
            <w:pPr>
              <w:widowControl/>
              <w:jc w:val="right"/>
              <w:rPr>
                <w:rFonts w:ascii="Calibri" w:hAnsi="Calibri"/>
              </w:rPr>
            </w:pPr>
            <w:r w:rsidRPr="00236A55">
              <w:rPr>
                <w:rFonts w:ascii="Calibri" w:hAnsi="Calibri"/>
                <w:color w:val="000000"/>
                <w:szCs w:val="22"/>
              </w:rPr>
              <w:t>$21,813,443</w:t>
            </w:r>
          </w:p>
        </w:tc>
        <w:tc>
          <w:tcPr>
            <w:tcW w:w="2085" w:type="dxa"/>
            <w:shd w:val="clear" w:color="auto" w:fill="auto"/>
            <w:noWrap/>
            <w:hideMark/>
          </w:tcPr>
          <w:p w14:paraId="33958FA7" w14:textId="77777777" w:rsidR="008E661E" w:rsidRPr="00236A55" w:rsidRDefault="008E661E" w:rsidP="000C039C">
            <w:pPr>
              <w:widowControl/>
              <w:jc w:val="right"/>
              <w:rPr>
                <w:rFonts w:ascii="Calibri" w:hAnsi="Calibri"/>
              </w:rPr>
            </w:pPr>
            <w:r w:rsidRPr="00236A55">
              <w:rPr>
                <w:rFonts w:ascii="Calibri" w:hAnsi="Calibri"/>
                <w:color w:val="000000"/>
                <w:szCs w:val="22"/>
              </w:rPr>
              <w:t>$14,474,313</w:t>
            </w:r>
          </w:p>
        </w:tc>
        <w:tc>
          <w:tcPr>
            <w:tcW w:w="0" w:type="dxa"/>
            <w:shd w:val="clear" w:color="auto" w:fill="auto"/>
            <w:noWrap/>
            <w:hideMark/>
          </w:tcPr>
          <w:p w14:paraId="0BB4C14E" w14:textId="77777777" w:rsidR="008E661E" w:rsidRPr="00236A55" w:rsidRDefault="008E661E" w:rsidP="000C039C">
            <w:pPr>
              <w:widowControl/>
              <w:jc w:val="right"/>
              <w:rPr>
                <w:rFonts w:ascii="Calibri" w:hAnsi="Calibri"/>
              </w:rPr>
            </w:pPr>
            <w:r w:rsidRPr="00236A55">
              <w:rPr>
                <w:rFonts w:ascii="Calibri" w:hAnsi="Calibri"/>
                <w:color w:val="000000"/>
                <w:szCs w:val="22"/>
              </w:rPr>
              <w:t>$9,104,914</w:t>
            </w:r>
          </w:p>
        </w:tc>
        <w:tc>
          <w:tcPr>
            <w:tcW w:w="1209" w:type="dxa"/>
            <w:shd w:val="clear" w:color="auto" w:fill="auto"/>
          </w:tcPr>
          <w:p w14:paraId="30687353" w14:textId="77777777" w:rsidR="008E661E" w:rsidRPr="00236A55" w:rsidRDefault="008E661E" w:rsidP="000C039C">
            <w:pPr>
              <w:widowControl/>
              <w:jc w:val="right"/>
              <w:rPr>
                <w:rFonts w:ascii="Calibri" w:hAnsi="Calibri"/>
              </w:rPr>
            </w:pPr>
            <w:r w:rsidRPr="00236A55">
              <w:rPr>
                <w:rFonts w:ascii="Calibri" w:hAnsi="Calibri"/>
                <w:color w:val="000000"/>
                <w:szCs w:val="22"/>
              </w:rPr>
              <w:t>-58%</w:t>
            </w:r>
          </w:p>
        </w:tc>
      </w:tr>
      <w:tr w:rsidR="008E661E" w:rsidRPr="004A1A72" w14:paraId="033D5850" w14:textId="77777777" w:rsidTr="000C039C">
        <w:trPr>
          <w:trHeight w:val="300"/>
          <w:jc w:val="center"/>
        </w:trPr>
        <w:tc>
          <w:tcPr>
            <w:tcW w:w="0" w:type="dxa"/>
            <w:shd w:val="clear" w:color="auto" w:fill="D9E2F3"/>
            <w:noWrap/>
            <w:hideMark/>
          </w:tcPr>
          <w:p w14:paraId="20A8CBDF" w14:textId="77777777" w:rsidR="008E661E" w:rsidRPr="00236A55" w:rsidRDefault="008E661E" w:rsidP="000C039C">
            <w:pPr>
              <w:widowControl/>
              <w:rPr>
                <w:rFonts w:ascii="Calibri" w:hAnsi="Calibri"/>
                <w:bCs/>
              </w:rPr>
            </w:pPr>
            <w:r w:rsidRPr="00236A55">
              <w:rPr>
                <w:rFonts w:ascii="Calibri" w:hAnsi="Calibri"/>
                <w:bCs/>
                <w:color w:val="000000"/>
                <w:szCs w:val="22"/>
              </w:rPr>
              <w:t>GU</w:t>
            </w:r>
          </w:p>
        </w:tc>
        <w:tc>
          <w:tcPr>
            <w:tcW w:w="1965" w:type="dxa"/>
            <w:shd w:val="clear" w:color="auto" w:fill="D9E2F3"/>
            <w:noWrap/>
            <w:hideMark/>
          </w:tcPr>
          <w:p w14:paraId="06A1DB2B" w14:textId="77777777" w:rsidR="008E661E" w:rsidRPr="00236A55" w:rsidRDefault="008E661E" w:rsidP="000C039C">
            <w:pPr>
              <w:widowControl/>
              <w:jc w:val="right"/>
              <w:rPr>
                <w:rFonts w:ascii="Calibri" w:hAnsi="Calibri"/>
              </w:rPr>
            </w:pPr>
            <w:r w:rsidRPr="00236A55">
              <w:rPr>
                <w:rFonts w:ascii="Calibri" w:hAnsi="Calibri"/>
                <w:color w:val="000000"/>
                <w:szCs w:val="22"/>
              </w:rPr>
              <w:t>$268,458</w:t>
            </w:r>
          </w:p>
        </w:tc>
        <w:tc>
          <w:tcPr>
            <w:tcW w:w="2085" w:type="dxa"/>
            <w:shd w:val="clear" w:color="auto" w:fill="D9E2F3"/>
            <w:noWrap/>
            <w:hideMark/>
          </w:tcPr>
          <w:p w14:paraId="0A61BA18" w14:textId="77777777" w:rsidR="008E661E" w:rsidRPr="00236A55" w:rsidRDefault="008E661E" w:rsidP="000C039C">
            <w:pPr>
              <w:widowControl/>
              <w:jc w:val="right"/>
              <w:rPr>
                <w:rFonts w:ascii="Calibri" w:hAnsi="Calibri"/>
              </w:rPr>
            </w:pPr>
            <w:r w:rsidRPr="00236A55">
              <w:rPr>
                <w:rFonts w:ascii="Calibri" w:hAnsi="Calibri"/>
                <w:color w:val="000000"/>
                <w:szCs w:val="22"/>
              </w:rPr>
              <w:t>$222,223</w:t>
            </w:r>
          </w:p>
        </w:tc>
        <w:tc>
          <w:tcPr>
            <w:tcW w:w="0" w:type="dxa"/>
            <w:shd w:val="clear" w:color="auto" w:fill="D9E2F3"/>
            <w:noWrap/>
            <w:hideMark/>
          </w:tcPr>
          <w:p w14:paraId="622CEA68" w14:textId="77777777" w:rsidR="008E661E" w:rsidRPr="00236A55" w:rsidRDefault="008E661E" w:rsidP="000C039C">
            <w:pPr>
              <w:widowControl/>
              <w:jc w:val="right"/>
              <w:rPr>
                <w:rFonts w:ascii="Calibri" w:hAnsi="Calibri"/>
              </w:rPr>
            </w:pPr>
            <w:r w:rsidRPr="00236A55">
              <w:rPr>
                <w:rFonts w:ascii="Calibri" w:hAnsi="Calibri"/>
                <w:color w:val="000000"/>
                <w:szCs w:val="22"/>
              </w:rPr>
              <w:t>$135,300</w:t>
            </w:r>
          </w:p>
        </w:tc>
        <w:tc>
          <w:tcPr>
            <w:tcW w:w="1209" w:type="dxa"/>
            <w:shd w:val="clear" w:color="auto" w:fill="D9E2F3"/>
          </w:tcPr>
          <w:p w14:paraId="702980C1" w14:textId="77777777" w:rsidR="008E661E" w:rsidRPr="00236A55" w:rsidRDefault="008E661E" w:rsidP="000C039C">
            <w:pPr>
              <w:widowControl/>
              <w:jc w:val="right"/>
              <w:rPr>
                <w:rFonts w:ascii="Calibri" w:hAnsi="Calibri"/>
              </w:rPr>
            </w:pPr>
            <w:r w:rsidRPr="00236A55">
              <w:rPr>
                <w:rFonts w:ascii="Calibri" w:hAnsi="Calibri"/>
                <w:color w:val="000000"/>
                <w:szCs w:val="22"/>
              </w:rPr>
              <w:t>-50%</w:t>
            </w:r>
          </w:p>
        </w:tc>
      </w:tr>
      <w:tr w:rsidR="008E661E" w:rsidRPr="004A1A72" w14:paraId="4CC9312A" w14:textId="77777777" w:rsidTr="000C039C">
        <w:trPr>
          <w:trHeight w:val="300"/>
          <w:jc w:val="center"/>
        </w:trPr>
        <w:tc>
          <w:tcPr>
            <w:tcW w:w="0" w:type="dxa"/>
            <w:shd w:val="clear" w:color="auto" w:fill="auto"/>
            <w:noWrap/>
            <w:hideMark/>
          </w:tcPr>
          <w:p w14:paraId="6371B3A0" w14:textId="77777777" w:rsidR="008E661E" w:rsidRPr="00236A55" w:rsidRDefault="008E661E" w:rsidP="000C039C">
            <w:pPr>
              <w:widowControl/>
              <w:rPr>
                <w:rFonts w:ascii="Calibri" w:hAnsi="Calibri"/>
                <w:bCs/>
              </w:rPr>
            </w:pPr>
            <w:r w:rsidRPr="00236A55">
              <w:rPr>
                <w:rFonts w:ascii="Calibri" w:hAnsi="Calibri"/>
                <w:bCs/>
                <w:color w:val="000000"/>
                <w:szCs w:val="22"/>
              </w:rPr>
              <w:t>HI</w:t>
            </w:r>
          </w:p>
        </w:tc>
        <w:tc>
          <w:tcPr>
            <w:tcW w:w="1965" w:type="dxa"/>
            <w:shd w:val="clear" w:color="auto" w:fill="auto"/>
            <w:noWrap/>
            <w:hideMark/>
          </w:tcPr>
          <w:p w14:paraId="1C04F4AB" w14:textId="77777777" w:rsidR="008E661E" w:rsidRPr="00236A55" w:rsidRDefault="008E661E" w:rsidP="000C039C">
            <w:pPr>
              <w:widowControl/>
              <w:jc w:val="right"/>
              <w:rPr>
                <w:rFonts w:ascii="Calibri" w:hAnsi="Calibri"/>
              </w:rPr>
            </w:pPr>
            <w:r w:rsidRPr="00236A55">
              <w:rPr>
                <w:rFonts w:ascii="Calibri" w:hAnsi="Calibri"/>
                <w:color w:val="000000"/>
                <w:szCs w:val="22"/>
              </w:rPr>
              <w:t>$2,472,403</w:t>
            </w:r>
          </w:p>
        </w:tc>
        <w:tc>
          <w:tcPr>
            <w:tcW w:w="2085" w:type="dxa"/>
            <w:shd w:val="clear" w:color="auto" w:fill="auto"/>
            <w:noWrap/>
            <w:hideMark/>
          </w:tcPr>
          <w:p w14:paraId="052B120D" w14:textId="77777777" w:rsidR="008E661E" w:rsidRPr="00236A55" w:rsidRDefault="008E661E" w:rsidP="000C039C">
            <w:pPr>
              <w:widowControl/>
              <w:jc w:val="right"/>
              <w:rPr>
                <w:rFonts w:ascii="Calibri" w:hAnsi="Calibri"/>
              </w:rPr>
            </w:pPr>
            <w:r w:rsidRPr="00236A55">
              <w:rPr>
                <w:rFonts w:ascii="Calibri" w:hAnsi="Calibri"/>
                <w:color w:val="000000"/>
                <w:szCs w:val="22"/>
              </w:rPr>
              <w:t>$1,775,402</w:t>
            </w:r>
          </w:p>
        </w:tc>
        <w:tc>
          <w:tcPr>
            <w:tcW w:w="0" w:type="dxa"/>
            <w:shd w:val="clear" w:color="auto" w:fill="auto"/>
            <w:noWrap/>
            <w:hideMark/>
          </w:tcPr>
          <w:p w14:paraId="60602C9A" w14:textId="77777777" w:rsidR="008E661E" w:rsidRPr="00236A55" w:rsidRDefault="008E661E" w:rsidP="000C039C">
            <w:pPr>
              <w:widowControl/>
              <w:jc w:val="right"/>
              <w:rPr>
                <w:rFonts w:ascii="Calibri" w:hAnsi="Calibri"/>
              </w:rPr>
            </w:pPr>
            <w:r w:rsidRPr="00236A55">
              <w:rPr>
                <w:rFonts w:ascii="Calibri" w:hAnsi="Calibri"/>
                <w:color w:val="000000"/>
                <w:szCs w:val="22"/>
              </w:rPr>
              <w:t>$1,012,396</w:t>
            </w:r>
          </w:p>
        </w:tc>
        <w:tc>
          <w:tcPr>
            <w:tcW w:w="1209" w:type="dxa"/>
            <w:shd w:val="clear" w:color="auto" w:fill="auto"/>
          </w:tcPr>
          <w:p w14:paraId="649BEC68" w14:textId="77777777" w:rsidR="008E661E" w:rsidRPr="00236A55" w:rsidRDefault="008E661E" w:rsidP="000C039C">
            <w:pPr>
              <w:widowControl/>
              <w:jc w:val="right"/>
              <w:rPr>
                <w:rFonts w:ascii="Calibri" w:hAnsi="Calibri"/>
              </w:rPr>
            </w:pPr>
            <w:r w:rsidRPr="00236A55">
              <w:rPr>
                <w:rFonts w:ascii="Calibri" w:hAnsi="Calibri"/>
                <w:color w:val="000000"/>
                <w:szCs w:val="22"/>
              </w:rPr>
              <w:t>-59%</w:t>
            </w:r>
          </w:p>
        </w:tc>
      </w:tr>
      <w:tr w:rsidR="008E661E" w:rsidRPr="004A1A72" w14:paraId="10840635" w14:textId="77777777" w:rsidTr="000C039C">
        <w:trPr>
          <w:trHeight w:val="300"/>
          <w:jc w:val="center"/>
        </w:trPr>
        <w:tc>
          <w:tcPr>
            <w:tcW w:w="0" w:type="dxa"/>
            <w:shd w:val="clear" w:color="auto" w:fill="D9E2F3"/>
            <w:noWrap/>
            <w:hideMark/>
          </w:tcPr>
          <w:p w14:paraId="5D6FFADD" w14:textId="77777777" w:rsidR="008E661E" w:rsidRPr="00236A55" w:rsidRDefault="008E661E" w:rsidP="000C039C">
            <w:pPr>
              <w:widowControl/>
              <w:rPr>
                <w:rFonts w:ascii="Calibri" w:hAnsi="Calibri"/>
                <w:bCs/>
              </w:rPr>
            </w:pPr>
            <w:r w:rsidRPr="00236A55">
              <w:rPr>
                <w:rFonts w:ascii="Calibri" w:hAnsi="Calibri"/>
                <w:bCs/>
                <w:color w:val="000000"/>
                <w:szCs w:val="22"/>
              </w:rPr>
              <w:t>IA</w:t>
            </w:r>
          </w:p>
        </w:tc>
        <w:tc>
          <w:tcPr>
            <w:tcW w:w="1965" w:type="dxa"/>
            <w:shd w:val="clear" w:color="auto" w:fill="D9E2F3"/>
            <w:noWrap/>
            <w:hideMark/>
          </w:tcPr>
          <w:p w14:paraId="2BF7CBA0" w14:textId="77777777" w:rsidR="008E661E" w:rsidRPr="00236A55" w:rsidRDefault="008E661E" w:rsidP="000C039C">
            <w:pPr>
              <w:widowControl/>
              <w:jc w:val="right"/>
              <w:rPr>
                <w:rFonts w:ascii="Calibri" w:hAnsi="Calibri"/>
              </w:rPr>
            </w:pPr>
            <w:r w:rsidRPr="00236A55">
              <w:rPr>
                <w:rFonts w:ascii="Calibri" w:hAnsi="Calibri"/>
                <w:color w:val="000000"/>
                <w:szCs w:val="22"/>
              </w:rPr>
              <w:t>$4,880,818</w:t>
            </w:r>
          </w:p>
        </w:tc>
        <w:tc>
          <w:tcPr>
            <w:tcW w:w="2085" w:type="dxa"/>
            <w:shd w:val="clear" w:color="auto" w:fill="D9E2F3"/>
            <w:noWrap/>
            <w:hideMark/>
          </w:tcPr>
          <w:p w14:paraId="5C4B7CB5" w14:textId="77777777" w:rsidR="008E661E" w:rsidRPr="00236A55" w:rsidRDefault="008E661E" w:rsidP="000C039C">
            <w:pPr>
              <w:widowControl/>
              <w:jc w:val="right"/>
              <w:rPr>
                <w:rFonts w:ascii="Calibri" w:hAnsi="Calibri"/>
              </w:rPr>
            </w:pPr>
            <w:r w:rsidRPr="00236A55">
              <w:rPr>
                <w:rFonts w:ascii="Calibri" w:hAnsi="Calibri"/>
                <w:color w:val="000000"/>
                <w:szCs w:val="22"/>
              </w:rPr>
              <w:t>$2,987,396</w:t>
            </w:r>
          </w:p>
        </w:tc>
        <w:tc>
          <w:tcPr>
            <w:tcW w:w="0" w:type="dxa"/>
            <w:shd w:val="clear" w:color="auto" w:fill="D9E2F3"/>
            <w:noWrap/>
            <w:hideMark/>
          </w:tcPr>
          <w:p w14:paraId="56FC25D0" w14:textId="77777777" w:rsidR="008E661E" w:rsidRPr="00236A55" w:rsidRDefault="008E661E" w:rsidP="000C039C">
            <w:pPr>
              <w:widowControl/>
              <w:jc w:val="right"/>
              <w:rPr>
                <w:rFonts w:ascii="Calibri" w:hAnsi="Calibri"/>
              </w:rPr>
            </w:pPr>
            <w:r w:rsidRPr="00236A55">
              <w:rPr>
                <w:rFonts w:ascii="Calibri" w:hAnsi="Calibri"/>
                <w:color w:val="000000"/>
                <w:szCs w:val="22"/>
              </w:rPr>
              <w:t>$1,676,903</w:t>
            </w:r>
          </w:p>
        </w:tc>
        <w:tc>
          <w:tcPr>
            <w:tcW w:w="1209" w:type="dxa"/>
            <w:shd w:val="clear" w:color="auto" w:fill="D9E2F3"/>
          </w:tcPr>
          <w:p w14:paraId="22437248" w14:textId="77777777" w:rsidR="008E661E" w:rsidRPr="00236A55" w:rsidRDefault="008E661E" w:rsidP="000C039C">
            <w:pPr>
              <w:widowControl/>
              <w:jc w:val="right"/>
              <w:rPr>
                <w:rFonts w:ascii="Calibri" w:hAnsi="Calibri"/>
              </w:rPr>
            </w:pPr>
            <w:r w:rsidRPr="00236A55">
              <w:rPr>
                <w:rFonts w:ascii="Calibri" w:hAnsi="Calibri"/>
                <w:color w:val="000000"/>
                <w:szCs w:val="22"/>
              </w:rPr>
              <w:t>-66%</w:t>
            </w:r>
          </w:p>
        </w:tc>
      </w:tr>
      <w:tr w:rsidR="008E661E" w:rsidRPr="004A1A72" w14:paraId="0D2765F5" w14:textId="77777777" w:rsidTr="000C039C">
        <w:trPr>
          <w:trHeight w:val="300"/>
          <w:jc w:val="center"/>
        </w:trPr>
        <w:tc>
          <w:tcPr>
            <w:tcW w:w="0" w:type="dxa"/>
            <w:shd w:val="clear" w:color="auto" w:fill="auto"/>
            <w:noWrap/>
            <w:hideMark/>
          </w:tcPr>
          <w:p w14:paraId="33EECEC2" w14:textId="77777777" w:rsidR="008E661E" w:rsidRPr="00236A55" w:rsidRDefault="008E661E" w:rsidP="000C039C">
            <w:pPr>
              <w:widowControl/>
              <w:rPr>
                <w:rFonts w:ascii="Calibri" w:hAnsi="Calibri"/>
                <w:bCs/>
              </w:rPr>
            </w:pPr>
            <w:r w:rsidRPr="00236A55">
              <w:rPr>
                <w:rFonts w:ascii="Calibri" w:hAnsi="Calibri"/>
                <w:bCs/>
                <w:color w:val="000000"/>
                <w:szCs w:val="22"/>
              </w:rPr>
              <w:t>ID</w:t>
            </w:r>
          </w:p>
        </w:tc>
        <w:tc>
          <w:tcPr>
            <w:tcW w:w="1965" w:type="dxa"/>
            <w:shd w:val="clear" w:color="auto" w:fill="auto"/>
            <w:noWrap/>
            <w:hideMark/>
          </w:tcPr>
          <w:p w14:paraId="6B7EC875" w14:textId="77777777" w:rsidR="008E661E" w:rsidRPr="00236A55" w:rsidRDefault="008E661E" w:rsidP="000C039C">
            <w:pPr>
              <w:widowControl/>
              <w:jc w:val="right"/>
              <w:rPr>
                <w:rFonts w:ascii="Calibri" w:hAnsi="Calibri"/>
              </w:rPr>
            </w:pPr>
            <w:r w:rsidRPr="00236A55">
              <w:rPr>
                <w:rFonts w:ascii="Calibri" w:hAnsi="Calibri"/>
                <w:color w:val="000000"/>
                <w:szCs w:val="22"/>
              </w:rPr>
              <w:t>$3,071,863</w:t>
            </w:r>
          </w:p>
        </w:tc>
        <w:tc>
          <w:tcPr>
            <w:tcW w:w="2085" w:type="dxa"/>
            <w:shd w:val="clear" w:color="auto" w:fill="auto"/>
            <w:noWrap/>
            <w:hideMark/>
          </w:tcPr>
          <w:p w14:paraId="79DD247D" w14:textId="77777777" w:rsidR="008E661E" w:rsidRPr="00236A55" w:rsidRDefault="008E661E" w:rsidP="000C039C">
            <w:pPr>
              <w:widowControl/>
              <w:jc w:val="right"/>
              <w:rPr>
                <w:rFonts w:ascii="Calibri" w:hAnsi="Calibri"/>
              </w:rPr>
            </w:pPr>
            <w:r w:rsidRPr="00236A55">
              <w:rPr>
                <w:rFonts w:ascii="Calibri" w:hAnsi="Calibri"/>
                <w:color w:val="000000"/>
                <w:szCs w:val="22"/>
              </w:rPr>
              <w:t>$2,000,849</w:t>
            </w:r>
          </w:p>
        </w:tc>
        <w:tc>
          <w:tcPr>
            <w:tcW w:w="0" w:type="dxa"/>
            <w:shd w:val="clear" w:color="auto" w:fill="auto"/>
            <w:noWrap/>
            <w:hideMark/>
          </w:tcPr>
          <w:p w14:paraId="33CDD682" w14:textId="77777777" w:rsidR="008E661E" w:rsidRPr="00236A55" w:rsidRDefault="008E661E" w:rsidP="000C039C">
            <w:pPr>
              <w:widowControl/>
              <w:jc w:val="right"/>
              <w:rPr>
                <w:rFonts w:ascii="Calibri" w:hAnsi="Calibri"/>
              </w:rPr>
            </w:pPr>
            <w:r w:rsidRPr="00236A55">
              <w:rPr>
                <w:rFonts w:ascii="Calibri" w:hAnsi="Calibri"/>
                <w:color w:val="000000"/>
                <w:szCs w:val="22"/>
              </w:rPr>
              <w:t>$1,212,155</w:t>
            </w:r>
          </w:p>
        </w:tc>
        <w:tc>
          <w:tcPr>
            <w:tcW w:w="1209" w:type="dxa"/>
            <w:shd w:val="clear" w:color="auto" w:fill="auto"/>
          </w:tcPr>
          <w:p w14:paraId="7AAAFFE1" w14:textId="77777777" w:rsidR="008E661E" w:rsidRPr="00236A55" w:rsidRDefault="008E661E" w:rsidP="000C039C">
            <w:pPr>
              <w:widowControl/>
              <w:jc w:val="right"/>
              <w:rPr>
                <w:rFonts w:ascii="Calibri" w:hAnsi="Calibri"/>
              </w:rPr>
            </w:pPr>
            <w:r w:rsidRPr="00236A55">
              <w:rPr>
                <w:rFonts w:ascii="Calibri" w:hAnsi="Calibri"/>
                <w:color w:val="000000"/>
                <w:szCs w:val="22"/>
              </w:rPr>
              <w:t>-61%</w:t>
            </w:r>
          </w:p>
        </w:tc>
      </w:tr>
      <w:tr w:rsidR="008E661E" w:rsidRPr="004A1A72" w14:paraId="777A965F" w14:textId="77777777" w:rsidTr="000C039C">
        <w:trPr>
          <w:trHeight w:val="300"/>
          <w:jc w:val="center"/>
        </w:trPr>
        <w:tc>
          <w:tcPr>
            <w:tcW w:w="0" w:type="dxa"/>
            <w:shd w:val="clear" w:color="auto" w:fill="D9E2F3"/>
            <w:noWrap/>
            <w:hideMark/>
          </w:tcPr>
          <w:p w14:paraId="3B7F2E5D" w14:textId="77777777" w:rsidR="008E661E" w:rsidRPr="00236A55" w:rsidRDefault="008E661E" w:rsidP="000C039C">
            <w:pPr>
              <w:widowControl/>
              <w:rPr>
                <w:rFonts w:ascii="Calibri" w:hAnsi="Calibri"/>
                <w:bCs/>
              </w:rPr>
            </w:pPr>
            <w:r w:rsidRPr="00236A55">
              <w:rPr>
                <w:rFonts w:ascii="Calibri" w:hAnsi="Calibri"/>
                <w:bCs/>
                <w:color w:val="000000"/>
                <w:szCs w:val="22"/>
              </w:rPr>
              <w:t>IL</w:t>
            </w:r>
          </w:p>
        </w:tc>
        <w:tc>
          <w:tcPr>
            <w:tcW w:w="1965" w:type="dxa"/>
            <w:shd w:val="clear" w:color="auto" w:fill="D9E2F3"/>
            <w:noWrap/>
            <w:hideMark/>
          </w:tcPr>
          <w:p w14:paraId="19226EC5" w14:textId="77777777" w:rsidR="008E661E" w:rsidRPr="00236A55" w:rsidRDefault="008E661E" w:rsidP="000C039C">
            <w:pPr>
              <w:widowControl/>
              <w:jc w:val="right"/>
              <w:rPr>
                <w:rFonts w:ascii="Calibri" w:hAnsi="Calibri"/>
              </w:rPr>
            </w:pPr>
            <w:r w:rsidRPr="00236A55">
              <w:rPr>
                <w:rFonts w:ascii="Calibri" w:hAnsi="Calibri"/>
                <w:color w:val="000000"/>
                <w:szCs w:val="22"/>
              </w:rPr>
              <w:t>$35,132,299</w:t>
            </w:r>
          </w:p>
        </w:tc>
        <w:tc>
          <w:tcPr>
            <w:tcW w:w="2085" w:type="dxa"/>
            <w:shd w:val="clear" w:color="auto" w:fill="D9E2F3"/>
            <w:noWrap/>
            <w:hideMark/>
          </w:tcPr>
          <w:p w14:paraId="59002BE5" w14:textId="77777777" w:rsidR="008E661E" w:rsidRPr="00236A55" w:rsidRDefault="008E661E" w:rsidP="000C039C">
            <w:pPr>
              <w:widowControl/>
              <w:jc w:val="right"/>
              <w:rPr>
                <w:rFonts w:ascii="Calibri" w:hAnsi="Calibri"/>
              </w:rPr>
            </w:pPr>
            <w:r w:rsidRPr="00236A55">
              <w:rPr>
                <w:rFonts w:ascii="Calibri" w:hAnsi="Calibri"/>
                <w:color w:val="000000"/>
                <w:szCs w:val="22"/>
              </w:rPr>
              <w:t>$21,380,663</w:t>
            </w:r>
          </w:p>
        </w:tc>
        <w:tc>
          <w:tcPr>
            <w:tcW w:w="0" w:type="dxa"/>
            <w:shd w:val="clear" w:color="auto" w:fill="D9E2F3"/>
            <w:noWrap/>
            <w:hideMark/>
          </w:tcPr>
          <w:p w14:paraId="76A0D019" w14:textId="77777777" w:rsidR="008E661E" w:rsidRPr="00236A55" w:rsidRDefault="008E661E" w:rsidP="000C039C">
            <w:pPr>
              <w:widowControl/>
              <w:jc w:val="right"/>
              <w:rPr>
                <w:rFonts w:ascii="Calibri" w:hAnsi="Calibri"/>
              </w:rPr>
            </w:pPr>
            <w:r w:rsidRPr="00236A55">
              <w:rPr>
                <w:rFonts w:ascii="Calibri" w:hAnsi="Calibri"/>
                <w:color w:val="000000"/>
                <w:szCs w:val="22"/>
              </w:rPr>
              <w:t>$12,272,979</w:t>
            </w:r>
          </w:p>
        </w:tc>
        <w:tc>
          <w:tcPr>
            <w:tcW w:w="1209" w:type="dxa"/>
            <w:shd w:val="clear" w:color="auto" w:fill="D9E2F3"/>
          </w:tcPr>
          <w:p w14:paraId="125C3C1B" w14:textId="77777777" w:rsidR="008E661E" w:rsidRPr="00236A55" w:rsidRDefault="008E661E" w:rsidP="000C039C">
            <w:pPr>
              <w:widowControl/>
              <w:jc w:val="right"/>
              <w:rPr>
                <w:rFonts w:ascii="Calibri" w:hAnsi="Calibri"/>
              </w:rPr>
            </w:pPr>
            <w:r w:rsidRPr="00236A55">
              <w:rPr>
                <w:rFonts w:ascii="Calibri" w:hAnsi="Calibri"/>
                <w:color w:val="000000"/>
                <w:szCs w:val="22"/>
              </w:rPr>
              <w:t>-65%</w:t>
            </w:r>
          </w:p>
        </w:tc>
      </w:tr>
      <w:tr w:rsidR="008E661E" w:rsidRPr="004A1A72" w14:paraId="2623B7F9" w14:textId="77777777" w:rsidTr="000C039C">
        <w:trPr>
          <w:trHeight w:val="300"/>
          <w:jc w:val="center"/>
        </w:trPr>
        <w:tc>
          <w:tcPr>
            <w:tcW w:w="0" w:type="dxa"/>
            <w:shd w:val="clear" w:color="auto" w:fill="auto"/>
            <w:noWrap/>
            <w:hideMark/>
          </w:tcPr>
          <w:p w14:paraId="34E7AE0D" w14:textId="77777777" w:rsidR="008E661E" w:rsidRPr="00236A55" w:rsidRDefault="008E661E" w:rsidP="000C039C">
            <w:pPr>
              <w:widowControl/>
              <w:rPr>
                <w:rFonts w:ascii="Calibri" w:hAnsi="Calibri"/>
                <w:bCs/>
              </w:rPr>
            </w:pPr>
            <w:r w:rsidRPr="00236A55">
              <w:rPr>
                <w:rFonts w:ascii="Calibri" w:hAnsi="Calibri"/>
                <w:bCs/>
                <w:color w:val="000000"/>
                <w:szCs w:val="22"/>
              </w:rPr>
              <w:t>IN</w:t>
            </w:r>
          </w:p>
        </w:tc>
        <w:tc>
          <w:tcPr>
            <w:tcW w:w="1965" w:type="dxa"/>
            <w:shd w:val="clear" w:color="auto" w:fill="auto"/>
            <w:noWrap/>
            <w:hideMark/>
          </w:tcPr>
          <w:p w14:paraId="370D0629" w14:textId="77777777" w:rsidR="008E661E" w:rsidRPr="00236A55" w:rsidRDefault="008E661E" w:rsidP="000C039C">
            <w:pPr>
              <w:widowControl/>
              <w:jc w:val="right"/>
              <w:rPr>
                <w:rFonts w:ascii="Calibri" w:hAnsi="Calibri"/>
              </w:rPr>
            </w:pPr>
            <w:r w:rsidRPr="00236A55">
              <w:rPr>
                <w:rFonts w:ascii="Calibri" w:hAnsi="Calibri"/>
                <w:color w:val="000000"/>
                <w:szCs w:val="22"/>
              </w:rPr>
              <w:t>$14,663,222</w:t>
            </w:r>
          </w:p>
        </w:tc>
        <w:tc>
          <w:tcPr>
            <w:tcW w:w="2085" w:type="dxa"/>
            <w:shd w:val="clear" w:color="auto" w:fill="auto"/>
            <w:noWrap/>
            <w:hideMark/>
          </w:tcPr>
          <w:p w14:paraId="09B219C8" w14:textId="77777777" w:rsidR="008E661E" w:rsidRPr="00236A55" w:rsidRDefault="008E661E" w:rsidP="000C039C">
            <w:pPr>
              <w:widowControl/>
              <w:jc w:val="right"/>
              <w:rPr>
                <w:rFonts w:ascii="Calibri" w:hAnsi="Calibri"/>
              </w:rPr>
            </w:pPr>
            <w:r w:rsidRPr="00236A55">
              <w:rPr>
                <w:rFonts w:ascii="Calibri" w:hAnsi="Calibri"/>
                <w:color w:val="000000"/>
                <w:szCs w:val="22"/>
              </w:rPr>
              <w:t>$9,613,228</w:t>
            </w:r>
          </w:p>
        </w:tc>
        <w:tc>
          <w:tcPr>
            <w:tcW w:w="0" w:type="dxa"/>
            <w:shd w:val="clear" w:color="auto" w:fill="auto"/>
            <w:noWrap/>
            <w:hideMark/>
          </w:tcPr>
          <w:p w14:paraId="1093BAB1" w14:textId="77777777" w:rsidR="008E661E" w:rsidRPr="00236A55" w:rsidRDefault="008E661E" w:rsidP="000C039C">
            <w:pPr>
              <w:widowControl/>
              <w:jc w:val="right"/>
              <w:rPr>
                <w:rFonts w:ascii="Calibri" w:hAnsi="Calibri"/>
              </w:rPr>
            </w:pPr>
            <w:r w:rsidRPr="00236A55">
              <w:rPr>
                <w:rFonts w:ascii="Calibri" w:hAnsi="Calibri"/>
                <w:color w:val="000000"/>
                <w:szCs w:val="22"/>
              </w:rPr>
              <w:t>$5,468,510</w:t>
            </w:r>
          </w:p>
        </w:tc>
        <w:tc>
          <w:tcPr>
            <w:tcW w:w="1209" w:type="dxa"/>
            <w:shd w:val="clear" w:color="auto" w:fill="auto"/>
          </w:tcPr>
          <w:p w14:paraId="0E6DD226" w14:textId="77777777" w:rsidR="008E661E" w:rsidRPr="00236A55" w:rsidRDefault="008E661E" w:rsidP="000C039C">
            <w:pPr>
              <w:widowControl/>
              <w:jc w:val="right"/>
              <w:rPr>
                <w:rFonts w:ascii="Calibri" w:hAnsi="Calibri"/>
              </w:rPr>
            </w:pPr>
            <w:r w:rsidRPr="00236A55">
              <w:rPr>
                <w:rFonts w:ascii="Calibri" w:hAnsi="Calibri"/>
                <w:color w:val="000000"/>
                <w:szCs w:val="22"/>
              </w:rPr>
              <w:t>-63%</w:t>
            </w:r>
          </w:p>
        </w:tc>
      </w:tr>
      <w:tr w:rsidR="008E661E" w:rsidRPr="004A1A72" w14:paraId="1988B859" w14:textId="77777777" w:rsidTr="000C039C">
        <w:trPr>
          <w:trHeight w:val="300"/>
          <w:jc w:val="center"/>
        </w:trPr>
        <w:tc>
          <w:tcPr>
            <w:tcW w:w="0" w:type="dxa"/>
            <w:shd w:val="clear" w:color="auto" w:fill="D9E2F3"/>
            <w:noWrap/>
            <w:hideMark/>
          </w:tcPr>
          <w:p w14:paraId="43559FD4" w14:textId="77777777" w:rsidR="008E661E" w:rsidRPr="00236A55" w:rsidRDefault="008E661E" w:rsidP="000C039C">
            <w:pPr>
              <w:widowControl/>
              <w:rPr>
                <w:rFonts w:ascii="Calibri" w:hAnsi="Calibri"/>
                <w:bCs/>
              </w:rPr>
            </w:pPr>
            <w:r w:rsidRPr="00236A55">
              <w:rPr>
                <w:rFonts w:ascii="Calibri" w:hAnsi="Calibri"/>
                <w:bCs/>
                <w:color w:val="000000"/>
                <w:szCs w:val="22"/>
              </w:rPr>
              <w:t>KS</w:t>
            </w:r>
          </w:p>
        </w:tc>
        <w:tc>
          <w:tcPr>
            <w:tcW w:w="1965" w:type="dxa"/>
            <w:shd w:val="clear" w:color="auto" w:fill="D9E2F3"/>
            <w:noWrap/>
            <w:hideMark/>
          </w:tcPr>
          <w:p w14:paraId="46E14FB9" w14:textId="77777777" w:rsidR="008E661E" w:rsidRPr="00236A55" w:rsidRDefault="008E661E" w:rsidP="000C039C">
            <w:pPr>
              <w:widowControl/>
              <w:jc w:val="right"/>
              <w:rPr>
                <w:rFonts w:ascii="Calibri" w:hAnsi="Calibri"/>
              </w:rPr>
            </w:pPr>
            <w:r w:rsidRPr="00236A55">
              <w:rPr>
                <w:rFonts w:ascii="Calibri" w:hAnsi="Calibri"/>
                <w:color w:val="000000"/>
                <w:szCs w:val="22"/>
              </w:rPr>
              <w:t>$7,030,449</w:t>
            </w:r>
          </w:p>
        </w:tc>
        <w:tc>
          <w:tcPr>
            <w:tcW w:w="2085" w:type="dxa"/>
            <w:shd w:val="clear" w:color="auto" w:fill="D9E2F3"/>
            <w:noWrap/>
            <w:hideMark/>
          </w:tcPr>
          <w:p w14:paraId="4CBC3F87" w14:textId="77777777" w:rsidR="008E661E" w:rsidRPr="00236A55" w:rsidRDefault="008E661E" w:rsidP="000C039C">
            <w:pPr>
              <w:widowControl/>
              <w:jc w:val="right"/>
              <w:rPr>
                <w:rFonts w:ascii="Calibri" w:hAnsi="Calibri"/>
              </w:rPr>
            </w:pPr>
            <w:r w:rsidRPr="00236A55">
              <w:rPr>
                <w:rFonts w:ascii="Calibri" w:hAnsi="Calibri"/>
                <w:color w:val="000000"/>
                <w:szCs w:val="22"/>
              </w:rPr>
              <w:t>$4,111,191</w:t>
            </w:r>
          </w:p>
        </w:tc>
        <w:tc>
          <w:tcPr>
            <w:tcW w:w="0" w:type="dxa"/>
            <w:shd w:val="clear" w:color="auto" w:fill="D9E2F3"/>
            <w:noWrap/>
            <w:hideMark/>
          </w:tcPr>
          <w:p w14:paraId="6CDDF748" w14:textId="77777777" w:rsidR="008E661E" w:rsidRPr="00236A55" w:rsidRDefault="008E661E" w:rsidP="000C039C">
            <w:pPr>
              <w:widowControl/>
              <w:jc w:val="right"/>
              <w:rPr>
                <w:rFonts w:ascii="Calibri" w:hAnsi="Calibri"/>
              </w:rPr>
            </w:pPr>
            <w:r w:rsidRPr="00236A55">
              <w:rPr>
                <w:rFonts w:ascii="Calibri" w:hAnsi="Calibri"/>
                <w:color w:val="000000"/>
                <w:szCs w:val="22"/>
              </w:rPr>
              <w:t>$2,373,418</w:t>
            </w:r>
          </w:p>
        </w:tc>
        <w:tc>
          <w:tcPr>
            <w:tcW w:w="1209" w:type="dxa"/>
            <w:shd w:val="clear" w:color="auto" w:fill="D9E2F3"/>
          </w:tcPr>
          <w:p w14:paraId="1A646BD0" w14:textId="77777777" w:rsidR="008E661E" w:rsidRPr="00236A55" w:rsidRDefault="008E661E" w:rsidP="000C039C">
            <w:pPr>
              <w:widowControl/>
              <w:jc w:val="right"/>
              <w:rPr>
                <w:rFonts w:ascii="Calibri" w:hAnsi="Calibri"/>
              </w:rPr>
            </w:pPr>
            <w:r w:rsidRPr="00236A55">
              <w:rPr>
                <w:rFonts w:ascii="Calibri" w:hAnsi="Calibri"/>
                <w:color w:val="000000"/>
                <w:szCs w:val="22"/>
              </w:rPr>
              <w:t>-66%</w:t>
            </w:r>
          </w:p>
        </w:tc>
      </w:tr>
      <w:tr w:rsidR="008E661E" w:rsidRPr="004A1A72" w14:paraId="6D9EAB7B" w14:textId="77777777" w:rsidTr="000C039C">
        <w:trPr>
          <w:trHeight w:val="300"/>
          <w:jc w:val="center"/>
        </w:trPr>
        <w:tc>
          <w:tcPr>
            <w:tcW w:w="0" w:type="dxa"/>
            <w:shd w:val="clear" w:color="auto" w:fill="auto"/>
            <w:noWrap/>
            <w:hideMark/>
          </w:tcPr>
          <w:p w14:paraId="2D14E123" w14:textId="77777777" w:rsidR="008E661E" w:rsidRPr="00236A55" w:rsidRDefault="008E661E" w:rsidP="000C039C">
            <w:pPr>
              <w:widowControl/>
              <w:rPr>
                <w:rFonts w:ascii="Calibri" w:hAnsi="Calibri"/>
                <w:bCs/>
              </w:rPr>
            </w:pPr>
            <w:r w:rsidRPr="00236A55">
              <w:rPr>
                <w:rFonts w:ascii="Calibri" w:hAnsi="Calibri"/>
                <w:bCs/>
                <w:color w:val="000000"/>
                <w:szCs w:val="22"/>
              </w:rPr>
              <w:t>KY</w:t>
            </w:r>
          </w:p>
        </w:tc>
        <w:tc>
          <w:tcPr>
            <w:tcW w:w="1965" w:type="dxa"/>
            <w:shd w:val="clear" w:color="auto" w:fill="auto"/>
            <w:noWrap/>
            <w:hideMark/>
          </w:tcPr>
          <w:p w14:paraId="150DB50A" w14:textId="77777777" w:rsidR="008E661E" w:rsidRPr="00236A55" w:rsidRDefault="008E661E" w:rsidP="000C039C">
            <w:pPr>
              <w:widowControl/>
              <w:jc w:val="right"/>
              <w:rPr>
                <w:rFonts w:ascii="Calibri" w:hAnsi="Calibri"/>
              </w:rPr>
            </w:pPr>
            <w:r w:rsidRPr="00236A55">
              <w:rPr>
                <w:rFonts w:ascii="Calibri" w:hAnsi="Calibri"/>
                <w:color w:val="000000"/>
                <w:szCs w:val="22"/>
              </w:rPr>
              <w:t>$12,036,574</w:t>
            </w:r>
          </w:p>
        </w:tc>
        <w:tc>
          <w:tcPr>
            <w:tcW w:w="2085" w:type="dxa"/>
            <w:shd w:val="clear" w:color="auto" w:fill="auto"/>
            <w:noWrap/>
            <w:hideMark/>
          </w:tcPr>
          <w:p w14:paraId="49E6F263" w14:textId="77777777" w:rsidR="008E661E" w:rsidRPr="00236A55" w:rsidRDefault="008E661E" w:rsidP="000C039C">
            <w:pPr>
              <w:widowControl/>
              <w:jc w:val="right"/>
              <w:rPr>
                <w:rFonts w:ascii="Calibri" w:hAnsi="Calibri"/>
              </w:rPr>
            </w:pPr>
            <w:r w:rsidRPr="00236A55">
              <w:rPr>
                <w:rFonts w:ascii="Calibri" w:hAnsi="Calibri"/>
                <w:color w:val="000000"/>
                <w:szCs w:val="22"/>
              </w:rPr>
              <w:t>$6,750,984</w:t>
            </w:r>
          </w:p>
        </w:tc>
        <w:tc>
          <w:tcPr>
            <w:tcW w:w="0" w:type="dxa"/>
            <w:shd w:val="clear" w:color="auto" w:fill="auto"/>
            <w:noWrap/>
            <w:hideMark/>
          </w:tcPr>
          <w:p w14:paraId="3BED8AD2" w14:textId="77777777" w:rsidR="008E661E" w:rsidRPr="00236A55" w:rsidRDefault="008E661E" w:rsidP="000C039C">
            <w:pPr>
              <w:widowControl/>
              <w:jc w:val="right"/>
              <w:rPr>
                <w:rFonts w:ascii="Calibri" w:hAnsi="Calibri"/>
              </w:rPr>
            </w:pPr>
            <w:r w:rsidRPr="00236A55">
              <w:rPr>
                <w:rFonts w:ascii="Calibri" w:hAnsi="Calibri"/>
                <w:color w:val="000000"/>
                <w:szCs w:val="22"/>
              </w:rPr>
              <w:t>$3,950,506</w:t>
            </w:r>
          </w:p>
        </w:tc>
        <w:tc>
          <w:tcPr>
            <w:tcW w:w="1209" w:type="dxa"/>
            <w:shd w:val="clear" w:color="auto" w:fill="auto"/>
          </w:tcPr>
          <w:p w14:paraId="22F35F60" w14:textId="77777777" w:rsidR="008E661E" w:rsidRPr="00236A55" w:rsidRDefault="008E661E" w:rsidP="000C039C">
            <w:pPr>
              <w:widowControl/>
              <w:jc w:val="right"/>
              <w:rPr>
                <w:rFonts w:ascii="Calibri" w:hAnsi="Calibri"/>
              </w:rPr>
            </w:pPr>
            <w:r w:rsidRPr="00236A55">
              <w:rPr>
                <w:rFonts w:ascii="Calibri" w:hAnsi="Calibri"/>
                <w:color w:val="000000"/>
                <w:szCs w:val="22"/>
              </w:rPr>
              <w:t>-67%</w:t>
            </w:r>
          </w:p>
        </w:tc>
      </w:tr>
      <w:tr w:rsidR="008E661E" w:rsidRPr="004A1A72" w14:paraId="7D9517B0" w14:textId="77777777" w:rsidTr="000C039C">
        <w:trPr>
          <w:trHeight w:val="300"/>
          <w:jc w:val="center"/>
        </w:trPr>
        <w:tc>
          <w:tcPr>
            <w:tcW w:w="0" w:type="dxa"/>
            <w:shd w:val="clear" w:color="auto" w:fill="D9E2F3"/>
            <w:noWrap/>
            <w:hideMark/>
          </w:tcPr>
          <w:p w14:paraId="7B258411" w14:textId="77777777" w:rsidR="008E661E" w:rsidRPr="00236A55" w:rsidRDefault="008E661E" w:rsidP="000C039C">
            <w:pPr>
              <w:widowControl/>
              <w:rPr>
                <w:rFonts w:ascii="Calibri" w:hAnsi="Calibri"/>
                <w:bCs/>
              </w:rPr>
            </w:pPr>
            <w:r w:rsidRPr="00236A55">
              <w:rPr>
                <w:rFonts w:ascii="Calibri" w:hAnsi="Calibri"/>
                <w:bCs/>
                <w:color w:val="000000"/>
                <w:szCs w:val="22"/>
              </w:rPr>
              <w:t>LA</w:t>
            </w:r>
          </w:p>
        </w:tc>
        <w:tc>
          <w:tcPr>
            <w:tcW w:w="1965" w:type="dxa"/>
            <w:shd w:val="clear" w:color="auto" w:fill="D9E2F3"/>
            <w:noWrap/>
            <w:hideMark/>
          </w:tcPr>
          <w:p w14:paraId="69488014" w14:textId="77777777" w:rsidR="008E661E" w:rsidRPr="00236A55" w:rsidRDefault="008E661E" w:rsidP="000C039C">
            <w:pPr>
              <w:widowControl/>
              <w:jc w:val="right"/>
              <w:rPr>
                <w:rFonts w:ascii="Calibri" w:hAnsi="Calibri"/>
              </w:rPr>
            </w:pPr>
            <w:r w:rsidRPr="00236A55">
              <w:rPr>
                <w:rFonts w:ascii="Calibri" w:hAnsi="Calibri"/>
                <w:color w:val="000000"/>
                <w:szCs w:val="22"/>
              </w:rPr>
              <w:t>$12,135,695</w:t>
            </w:r>
          </w:p>
        </w:tc>
        <w:tc>
          <w:tcPr>
            <w:tcW w:w="2085" w:type="dxa"/>
            <w:shd w:val="clear" w:color="auto" w:fill="D9E2F3"/>
            <w:noWrap/>
            <w:hideMark/>
          </w:tcPr>
          <w:p w14:paraId="1D665B81" w14:textId="77777777" w:rsidR="008E661E" w:rsidRPr="00236A55" w:rsidRDefault="008E661E" w:rsidP="000C039C">
            <w:pPr>
              <w:widowControl/>
              <w:jc w:val="right"/>
              <w:rPr>
                <w:rFonts w:ascii="Calibri" w:hAnsi="Calibri"/>
              </w:rPr>
            </w:pPr>
            <w:r w:rsidRPr="00236A55">
              <w:rPr>
                <w:rFonts w:ascii="Calibri" w:hAnsi="Calibri"/>
                <w:color w:val="000000"/>
                <w:szCs w:val="22"/>
              </w:rPr>
              <w:t>$7,986,335</w:t>
            </w:r>
          </w:p>
        </w:tc>
        <w:tc>
          <w:tcPr>
            <w:tcW w:w="0" w:type="dxa"/>
            <w:shd w:val="clear" w:color="auto" w:fill="D9E2F3"/>
            <w:noWrap/>
            <w:hideMark/>
          </w:tcPr>
          <w:p w14:paraId="7AD12E57" w14:textId="77777777" w:rsidR="008E661E" w:rsidRPr="00236A55" w:rsidRDefault="008E661E" w:rsidP="000C039C">
            <w:pPr>
              <w:widowControl/>
              <w:jc w:val="right"/>
              <w:rPr>
                <w:rFonts w:ascii="Calibri" w:hAnsi="Calibri"/>
              </w:rPr>
            </w:pPr>
            <w:r w:rsidRPr="00236A55">
              <w:rPr>
                <w:rFonts w:ascii="Calibri" w:hAnsi="Calibri"/>
                <w:color w:val="000000"/>
                <w:szCs w:val="22"/>
              </w:rPr>
              <w:t>$4,890,653</w:t>
            </w:r>
          </w:p>
        </w:tc>
        <w:tc>
          <w:tcPr>
            <w:tcW w:w="1209" w:type="dxa"/>
            <w:shd w:val="clear" w:color="auto" w:fill="D9E2F3"/>
          </w:tcPr>
          <w:p w14:paraId="45EBAE93" w14:textId="77777777" w:rsidR="008E661E" w:rsidRPr="00236A55" w:rsidRDefault="008E661E" w:rsidP="000C039C">
            <w:pPr>
              <w:widowControl/>
              <w:jc w:val="right"/>
              <w:rPr>
                <w:rFonts w:ascii="Calibri" w:hAnsi="Calibri"/>
              </w:rPr>
            </w:pPr>
            <w:r w:rsidRPr="00236A55">
              <w:rPr>
                <w:rFonts w:ascii="Calibri" w:hAnsi="Calibri"/>
                <w:color w:val="000000"/>
                <w:szCs w:val="22"/>
              </w:rPr>
              <w:t>-60%</w:t>
            </w:r>
          </w:p>
        </w:tc>
      </w:tr>
      <w:tr w:rsidR="008E661E" w:rsidRPr="004A1A72" w14:paraId="6FF72E39" w14:textId="77777777" w:rsidTr="000C039C">
        <w:trPr>
          <w:trHeight w:val="300"/>
          <w:jc w:val="center"/>
        </w:trPr>
        <w:tc>
          <w:tcPr>
            <w:tcW w:w="0" w:type="dxa"/>
            <w:shd w:val="clear" w:color="auto" w:fill="auto"/>
            <w:noWrap/>
            <w:hideMark/>
          </w:tcPr>
          <w:p w14:paraId="5BBAB66B" w14:textId="77777777" w:rsidR="008E661E" w:rsidRPr="00236A55" w:rsidRDefault="008E661E" w:rsidP="000C039C">
            <w:pPr>
              <w:widowControl/>
              <w:rPr>
                <w:rFonts w:ascii="Calibri" w:hAnsi="Calibri"/>
                <w:bCs/>
              </w:rPr>
            </w:pPr>
            <w:r w:rsidRPr="00236A55">
              <w:rPr>
                <w:rFonts w:ascii="Calibri" w:hAnsi="Calibri"/>
                <w:bCs/>
                <w:color w:val="000000"/>
                <w:szCs w:val="22"/>
              </w:rPr>
              <w:t>MA</w:t>
            </w:r>
          </w:p>
        </w:tc>
        <w:tc>
          <w:tcPr>
            <w:tcW w:w="1965" w:type="dxa"/>
            <w:shd w:val="clear" w:color="auto" w:fill="auto"/>
            <w:noWrap/>
            <w:hideMark/>
          </w:tcPr>
          <w:p w14:paraId="24F50DE6" w14:textId="77777777" w:rsidR="008E661E" w:rsidRPr="00236A55" w:rsidRDefault="008E661E" w:rsidP="000C039C">
            <w:pPr>
              <w:widowControl/>
              <w:jc w:val="right"/>
              <w:rPr>
                <w:rFonts w:ascii="Calibri" w:hAnsi="Calibri"/>
              </w:rPr>
            </w:pPr>
            <w:r w:rsidRPr="00236A55">
              <w:rPr>
                <w:rFonts w:ascii="Calibri" w:hAnsi="Calibri"/>
                <w:color w:val="000000"/>
                <w:szCs w:val="22"/>
              </w:rPr>
              <w:t>$12,175,623</w:t>
            </w:r>
          </w:p>
        </w:tc>
        <w:tc>
          <w:tcPr>
            <w:tcW w:w="2085" w:type="dxa"/>
            <w:shd w:val="clear" w:color="auto" w:fill="auto"/>
            <w:noWrap/>
            <w:hideMark/>
          </w:tcPr>
          <w:p w14:paraId="68230107" w14:textId="77777777" w:rsidR="008E661E" w:rsidRPr="00236A55" w:rsidRDefault="008E661E" w:rsidP="000C039C">
            <w:pPr>
              <w:widowControl/>
              <w:jc w:val="right"/>
              <w:rPr>
                <w:rFonts w:ascii="Calibri" w:hAnsi="Calibri"/>
              </w:rPr>
            </w:pPr>
            <w:r w:rsidRPr="00236A55">
              <w:rPr>
                <w:rFonts w:ascii="Calibri" w:hAnsi="Calibri"/>
                <w:color w:val="000000"/>
                <w:szCs w:val="22"/>
              </w:rPr>
              <w:t>$7,335,440</w:t>
            </w:r>
          </w:p>
        </w:tc>
        <w:tc>
          <w:tcPr>
            <w:tcW w:w="0" w:type="dxa"/>
            <w:shd w:val="clear" w:color="auto" w:fill="auto"/>
            <w:noWrap/>
            <w:hideMark/>
          </w:tcPr>
          <w:p w14:paraId="21EB4688" w14:textId="77777777" w:rsidR="008E661E" w:rsidRPr="00236A55" w:rsidRDefault="008E661E" w:rsidP="000C039C">
            <w:pPr>
              <w:widowControl/>
              <w:jc w:val="right"/>
              <w:rPr>
                <w:rFonts w:ascii="Calibri" w:hAnsi="Calibri"/>
              </w:rPr>
            </w:pPr>
            <w:r w:rsidRPr="00236A55">
              <w:rPr>
                <w:rFonts w:ascii="Calibri" w:hAnsi="Calibri"/>
                <w:color w:val="000000"/>
                <w:szCs w:val="22"/>
              </w:rPr>
              <w:t>$4,065,259</w:t>
            </w:r>
          </w:p>
        </w:tc>
        <w:tc>
          <w:tcPr>
            <w:tcW w:w="1209" w:type="dxa"/>
            <w:shd w:val="clear" w:color="auto" w:fill="auto"/>
          </w:tcPr>
          <w:p w14:paraId="59FD92D7" w14:textId="77777777" w:rsidR="008E661E" w:rsidRPr="00236A55" w:rsidRDefault="008E661E" w:rsidP="000C039C">
            <w:pPr>
              <w:widowControl/>
              <w:jc w:val="right"/>
              <w:rPr>
                <w:rFonts w:ascii="Calibri" w:hAnsi="Calibri"/>
              </w:rPr>
            </w:pPr>
            <w:r w:rsidRPr="00236A55">
              <w:rPr>
                <w:rFonts w:ascii="Calibri" w:hAnsi="Calibri"/>
                <w:color w:val="000000"/>
                <w:szCs w:val="22"/>
              </w:rPr>
              <w:t>-67%</w:t>
            </w:r>
          </w:p>
        </w:tc>
      </w:tr>
      <w:tr w:rsidR="008E661E" w:rsidRPr="004A1A72" w14:paraId="1EB88782" w14:textId="77777777" w:rsidTr="000C039C">
        <w:trPr>
          <w:trHeight w:val="300"/>
          <w:jc w:val="center"/>
        </w:trPr>
        <w:tc>
          <w:tcPr>
            <w:tcW w:w="0" w:type="dxa"/>
            <w:shd w:val="clear" w:color="auto" w:fill="D9E2F3"/>
            <w:noWrap/>
            <w:hideMark/>
          </w:tcPr>
          <w:p w14:paraId="78B54507" w14:textId="77777777" w:rsidR="008E661E" w:rsidRPr="00236A55" w:rsidRDefault="008E661E" w:rsidP="000C039C">
            <w:pPr>
              <w:widowControl/>
              <w:rPr>
                <w:rFonts w:ascii="Calibri" w:hAnsi="Calibri"/>
                <w:bCs/>
              </w:rPr>
            </w:pPr>
            <w:r w:rsidRPr="00236A55">
              <w:rPr>
                <w:rFonts w:ascii="Calibri" w:hAnsi="Calibri"/>
                <w:bCs/>
                <w:color w:val="000000"/>
                <w:szCs w:val="22"/>
              </w:rPr>
              <w:t>MD</w:t>
            </w:r>
          </w:p>
        </w:tc>
        <w:tc>
          <w:tcPr>
            <w:tcW w:w="1965" w:type="dxa"/>
            <w:shd w:val="clear" w:color="auto" w:fill="D9E2F3"/>
            <w:noWrap/>
            <w:hideMark/>
          </w:tcPr>
          <w:p w14:paraId="5D26155A" w14:textId="77777777" w:rsidR="008E661E" w:rsidRPr="00236A55" w:rsidRDefault="008E661E" w:rsidP="000C039C">
            <w:pPr>
              <w:widowControl/>
              <w:jc w:val="right"/>
              <w:rPr>
                <w:rFonts w:ascii="Calibri" w:hAnsi="Calibri"/>
              </w:rPr>
            </w:pPr>
            <w:r w:rsidRPr="00236A55">
              <w:rPr>
                <w:rFonts w:ascii="Calibri" w:hAnsi="Calibri"/>
                <w:color w:val="000000"/>
                <w:szCs w:val="22"/>
              </w:rPr>
              <w:t>$14,325,973</w:t>
            </w:r>
          </w:p>
        </w:tc>
        <w:tc>
          <w:tcPr>
            <w:tcW w:w="2085" w:type="dxa"/>
            <w:shd w:val="clear" w:color="auto" w:fill="D9E2F3"/>
            <w:noWrap/>
            <w:hideMark/>
          </w:tcPr>
          <w:p w14:paraId="190E089F" w14:textId="77777777" w:rsidR="008E661E" w:rsidRPr="00236A55" w:rsidRDefault="008E661E" w:rsidP="000C039C">
            <w:pPr>
              <w:widowControl/>
              <w:jc w:val="right"/>
              <w:rPr>
                <w:rFonts w:ascii="Calibri" w:hAnsi="Calibri"/>
              </w:rPr>
            </w:pPr>
            <w:r w:rsidRPr="00236A55">
              <w:rPr>
                <w:rFonts w:ascii="Calibri" w:hAnsi="Calibri"/>
                <w:color w:val="000000"/>
                <w:szCs w:val="22"/>
              </w:rPr>
              <w:t>$9,267,138</w:t>
            </w:r>
          </w:p>
        </w:tc>
        <w:tc>
          <w:tcPr>
            <w:tcW w:w="0" w:type="dxa"/>
            <w:shd w:val="clear" w:color="auto" w:fill="D9E2F3"/>
            <w:noWrap/>
            <w:hideMark/>
          </w:tcPr>
          <w:p w14:paraId="4A6D76F4" w14:textId="77777777" w:rsidR="008E661E" w:rsidRPr="00236A55" w:rsidRDefault="008E661E" w:rsidP="000C039C">
            <w:pPr>
              <w:widowControl/>
              <w:jc w:val="right"/>
              <w:rPr>
                <w:rFonts w:ascii="Calibri" w:hAnsi="Calibri"/>
              </w:rPr>
            </w:pPr>
            <w:r w:rsidRPr="00236A55">
              <w:rPr>
                <w:rFonts w:ascii="Calibri" w:hAnsi="Calibri"/>
                <w:color w:val="000000"/>
                <w:szCs w:val="22"/>
              </w:rPr>
              <w:t>$4,620,679</w:t>
            </w:r>
          </w:p>
        </w:tc>
        <w:tc>
          <w:tcPr>
            <w:tcW w:w="1209" w:type="dxa"/>
            <w:shd w:val="clear" w:color="auto" w:fill="D9E2F3"/>
          </w:tcPr>
          <w:p w14:paraId="64795B82" w14:textId="77777777" w:rsidR="008E661E" w:rsidRPr="00236A55" w:rsidRDefault="008E661E" w:rsidP="000C039C">
            <w:pPr>
              <w:widowControl/>
              <w:jc w:val="right"/>
              <w:rPr>
                <w:rFonts w:ascii="Calibri" w:hAnsi="Calibri"/>
              </w:rPr>
            </w:pPr>
            <w:r w:rsidRPr="00236A55">
              <w:rPr>
                <w:rFonts w:ascii="Calibri" w:hAnsi="Calibri"/>
                <w:color w:val="000000"/>
                <w:szCs w:val="22"/>
              </w:rPr>
              <w:t>-68%</w:t>
            </w:r>
          </w:p>
        </w:tc>
      </w:tr>
      <w:tr w:rsidR="008E661E" w:rsidRPr="004A1A72" w14:paraId="6F4EA6F6" w14:textId="77777777" w:rsidTr="000C039C">
        <w:trPr>
          <w:trHeight w:val="300"/>
          <w:jc w:val="center"/>
        </w:trPr>
        <w:tc>
          <w:tcPr>
            <w:tcW w:w="0" w:type="dxa"/>
            <w:shd w:val="clear" w:color="auto" w:fill="auto"/>
            <w:noWrap/>
            <w:hideMark/>
          </w:tcPr>
          <w:p w14:paraId="283354AE" w14:textId="77777777" w:rsidR="008E661E" w:rsidRPr="00236A55" w:rsidRDefault="008E661E" w:rsidP="000C039C">
            <w:pPr>
              <w:widowControl/>
              <w:rPr>
                <w:rFonts w:ascii="Calibri" w:hAnsi="Calibri"/>
                <w:bCs/>
              </w:rPr>
            </w:pPr>
            <w:r w:rsidRPr="00236A55">
              <w:rPr>
                <w:rFonts w:ascii="Calibri" w:hAnsi="Calibri"/>
                <w:bCs/>
                <w:color w:val="000000"/>
                <w:szCs w:val="22"/>
              </w:rPr>
              <w:t>ME</w:t>
            </w:r>
          </w:p>
        </w:tc>
        <w:tc>
          <w:tcPr>
            <w:tcW w:w="1965" w:type="dxa"/>
            <w:shd w:val="clear" w:color="auto" w:fill="auto"/>
            <w:noWrap/>
            <w:hideMark/>
          </w:tcPr>
          <w:p w14:paraId="54445181" w14:textId="77777777" w:rsidR="008E661E" w:rsidRPr="00236A55" w:rsidRDefault="008E661E" w:rsidP="000C039C">
            <w:pPr>
              <w:widowControl/>
              <w:jc w:val="right"/>
              <w:rPr>
                <w:rFonts w:ascii="Calibri" w:hAnsi="Calibri"/>
              </w:rPr>
            </w:pPr>
            <w:r w:rsidRPr="00236A55">
              <w:rPr>
                <w:rFonts w:ascii="Calibri" w:hAnsi="Calibri"/>
                <w:color w:val="000000"/>
                <w:szCs w:val="22"/>
              </w:rPr>
              <w:t>$2,918,813</w:t>
            </w:r>
          </w:p>
        </w:tc>
        <w:tc>
          <w:tcPr>
            <w:tcW w:w="2085" w:type="dxa"/>
            <w:shd w:val="clear" w:color="auto" w:fill="auto"/>
            <w:noWrap/>
            <w:hideMark/>
          </w:tcPr>
          <w:p w14:paraId="5BF7A7D7" w14:textId="77777777" w:rsidR="008E661E" w:rsidRPr="00236A55" w:rsidRDefault="008E661E" w:rsidP="000C039C">
            <w:pPr>
              <w:widowControl/>
              <w:jc w:val="right"/>
              <w:rPr>
                <w:rFonts w:ascii="Calibri" w:hAnsi="Calibri"/>
              </w:rPr>
            </w:pPr>
            <w:r w:rsidRPr="00236A55">
              <w:rPr>
                <w:rFonts w:ascii="Calibri" w:hAnsi="Calibri"/>
                <w:color w:val="000000"/>
                <w:szCs w:val="22"/>
              </w:rPr>
              <w:t>$1,826,146</w:t>
            </w:r>
          </w:p>
        </w:tc>
        <w:tc>
          <w:tcPr>
            <w:tcW w:w="0" w:type="dxa"/>
            <w:shd w:val="clear" w:color="auto" w:fill="auto"/>
            <w:noWrap/>
            <w:hideMark/>
          </w:tcPr>
          <w:p w14:paraId="46EEC51D" w14:textId="77777777" w:rsidR="008E661E" w:rsidRPr="00236A55" w:rsidRDefault="008E661E" w:rsidP="000C039C">
            <w:pPr>
              <w:widowControl/>
              <w:jc w:val="right"/>
              <w:rPr>
                <w:rFonts w:ascii="Calibri" w:hAnsi="Calibri"/>
              </w:rPr>
            </w:pPr>
            <w:r w:rsidRPr="00236A55">
              <w:rPr>
                <w:rFonts w:ascii="Calibri" w:hAnsi="Calibri"/>
                <w:color w:val="000000"/>
                <w:szCs w:val="22"/>
              </w:rPr>
              <w:t>$1,176,549</w:t>
            </w:r>
          </w:p>
        </w:tc>
        <w:tc>
          <w:tcPr>
            <w:tcW w:w="1209" w:type="dxa"/>
            <w:shd w:val="clear" w:color="auto" w:fill="auto"/>
          </w:tcPr>
          <w:p w14:paraId="510CB37D" w14:textId="77777777" w:rsidR="008E661E" w:rsidRPr="00236A55" w:rsidRDefault="008E661E" w:rsidP="000C039C">
            <w:pPr>
              <w:widowControl/>
              <w:jc w:val="right"/>
              <w:rPr>
                <w:rFonts w:ascii="Calibri" w:hAnsi="Calibri"/>
              </w:rPr>
            </w:pPr>
            <w:r w:rsidRPr="00236A55">
              <w:rPr>
                <w:rFonts w:ascii="Calibri" w:hAnsi="Calibri"/>
                <w:color w:val="000000"/>
                <w:szCs w:val="22"/>
              </w:rPr>
              <w:t>-60%</w:t>
            </w:r>
          </w:p>
        </w:tc>
      </w:tr>
      <w:tr w:rsidR="008E661E" w:rsidRPr="004A1A72" w14:paraId="5DEC77F3" w14:textId="77777777" w:rsidTr="000C039C">
        <w:trPr>
          <w:trHeight w:val="300"/>
          <w:jc w:val="center"/>
        </w:trPr>
        <w:tc>
          <w:tcPr>
            <w:tcW w:w="0" w:type="dxa"/>
            <w:shd w:val="clear" w:color="auto" w:fill="D9E2F3"/>
            <w:noWrap/>
            <w:hideMark/>
          </w:tcPr>
          <w:p w14:paraId="3768226E" w14:textId="77777777" w:rsidR="008E661E" w:rsidRPr="00236A55" w:rsidRDefault="008E661E" w:rsidP="000C039C">
            <w:pPr>
              <w:widowControl/>
              <w:rPr>
                <w:rFonts w:ascii="Calibri" w:hAnsi="Calibri"/>
                <w:bCs/>
              </w:rPr>
            </w:pPr>
            <w:r w:rsidRPr="00236A55">
              <w:rPr>
                <w:rFonts w:ascii="Calibri" w:hAnsi="Calibri"/>
                <w:bCs/>
                <w:color w:val="000000"/>
                <w:szCs w:val="22"/>
              </w:rPr>
              <w:t>MI</w:t>
            </w:r>
          </w:p>
        </w:tc>
        <w:tc>
          <w:tcPr>
            <w:tcW w:w="1965" w:type="dxa"/>
            <w:shd w:val="clear" w:color="auto" w:fill="D9E2F3"/>
            <w:noWrap/>
            <w:hideMark/>
          </w:tcPr>
          <w:p w14:paraId="30FDA191" w14:textId="77777777" w:rsidR="008E661E" w:rsidRPr="00236A55" w:rsidRDefault="008E661E" w:rsidP="000C039C">
            <w:pPr>
              <w:widowControl/>
              <w:jc w:val="right"/>
              <w:rPr>
                <w:rFonts w:ascii="Calibri" w:hAnsi="Calibri"/>
              </w:rPr>
            </w:pPr>
            <w:r w:rsidRPr="00236A55">
              <w:rPr>
                <w:rFonts w:ascii="Calibri" w:hAnsi="Calibri"/>
                <w:color w:val="000000"/>
                <w:szCs w:val="22"/>
              </w:rPr>
              <w:t>$22,156,220</w:t>
            </w:r>
          </w:p>
        </w:tc>
        <w:tc>
          <w:tcPr>
            <w:tcW w:w="2085" w:type="dxa"/>
            <w:shd w:val="clear" w:color="auto" w:fill="D9E2F3"/>
            <w:noWrap/>
            <w:hideMark/>
          </w:tcPr>
          <w:p w14:paraId="0D2BF5B8" w14:textId="77777777" w:rsidR="008E661E" w:rsidRPr="00236A55" w:rsidRDefault="008E661E" w:rsidP="000C039C">
            <w:pPr>
              <w:widowControl/>
              <w:jc w:val="right"/>
              <w:rPr>
                <w:rFonts w:ascii="Calibri" w:hAnsi="Calibri"/>
              </w:rPr>
            </w:pPr>
            <w:r w:rsidRPr="00236A55">
              <w:rPr>
                <w:rFonts w:ascii="Calibri" w:hAnsi="Calibri"/>
                <w:color w:val="000000"/>
                <w:szCs w:val="22"/>
              </w:rPr>
              <w:t>$13,732,835</w:t>
            </w:r>
          </w:p>
        </w:tc>
        <w:tc>
          <w:tcPr>
            <w:tcW w:w="0" w:type="dxa"/>
            <w:shd w:val="clear" w:color="auto" w:fill="D9E2F3"/>
            <w:noWrap/>
            <w:hideMark/>
          </w:tcPr>
          <w:p w14:paraId="6A7E569A" w14:textId="77777777" w:rsidR="008E661E" w:rsidRPr="00236A55" w:rsidRDefault="008E661E" w:rsidP="000C039C">
            <w:pPr>
              <w:widowControl/>
              <w:jc w:val="right"/>
              <w:rPr>
                <w:rFonts w:ascii="Calibri" w:hAnsi="Calibri"/>
              </w:rPr>
            </w:pPr>
            <w:r w:rsidRPr="00236A55">
              <w:rPr>
                <w:rFonts w:ascii="Calibri" w:hAnsi="Calibri"/>
                <w:color w:val="000000"/>
                <w:szCs w:val="22"/>
              </w:rPr>
              <w:t>$7,619,954</w:t>
            </w:r>
          </w:p>
        </w:tc>
        <w:tc>
          <w:tcPr>
            <w:tcW w:w="1209" w:type="dxa"/>
            <w:shd w:val="clear" w:color="auto" w:fill="D9E2F3"/>
          </w:tcPr>
          <w:p w14:paraId="0BCD4C15" w14:textId="77777777" w:rsidR="008E661E" w:rsidRPr="00236A55" w:rsidRDefault="008E661E" w:rsidP="000C039C">
            <w:pPr>
              <w:widowControl/>
              <w:jc w:val="right"/>
              <w:rPr>
                <w:rFonts w:ascii="Calibri" w:hAnsi="Calibri"/>
              </w:rPr>
            </w:pPr>
            <w:r w:rsidRPr="00236A55">
              <w:rPr>
                <w:rFonts w:ascii="Calibri" w:hAnsi="Calibri"/>
                <w:color w:val="000000"/>
                <w:szCs w:val="22"/>
              </w:rPr>
              <w:t>-66%</w:t>
            </w:r>
          </w:p>
        </w:tc>
      </w:tr>
      <w:tr w:rsidR="008E661E" w:rsidRPr="004A1A72" w14:paraId="73B8C188" w14:textId="77777777" w:rsidTr="000C039C">
        <w:trPr>
          <w:trHeight w:val="300"/>
          <w:jc w:val="center"/>
        </w:trPr>
        <w:tc>
          <w:tcPr>
            <w:tcW w:w="0" w:type="dxa"/>
            <w:shd w:val="clear" w:color="auto" w:fill="auto"/>
            <w:noWrap/>
            <w:hideMark/>
          </w:tcPr>
          <w:p w14:paraId="53C29991" w14:textId="77777777" w:rsidR="008E661E" w:rsidRPr="00236A55" w:rsidRDefault="008E661E" w:rsidP="000C039C">
            <w:pPr>
              <w:widowControl/>
              <w:rPr>
                <w:rFonts w:ascii="Calibri" w:hAnsi="Calibri"/>
                <w:bCs/>
              </w:rPr>
            </w:pPr>
            <w:r w:rsidRPr="00236A55">
              <w:rPr>
                <w:rFonts w:ascii="Calibri" w:hAnsi="Calibri"/>
                <w:bCs/>
                <w:color w:val="000000"/>
                <w:szCs w:val="22"/>
              </w:rPr>
              <w:t>MN</w:t>
            </w:r>
          </w:p>
        </w:tc>
        <w:tc>
          <w:tcPr>
            <w:tcW w:w="1965" w:type="dxa"/>
            <w:shd w:val="clear" w:color="auto" w:fill="auto"/>
            <w:noWrap/>
            <w:hideMark/>
          </w:tcPr>
          <w:p w14:paraId="6B8A25EA" w14:textId="77777777" w:rsidR="008E661E" w:rsidRPr="00236A55" w:rsidRDefault="008E661E" w:rsidP="000C039C">
            <w:pPr>
              <w:widowControl/>
              <w:jc w:val="right"/>
              <w:rPr>
                <w:rFonts w:ascii="Calibri" w:hAnsi="Calibri"/>
              </w:rPr>
            </w:pPr>
            <w:r w:rsidRPr="00236A55">
              <w:rPr>
                <w:rFonts w:ascii="Calibri" w:hAnsi="Calibri"/>
                <w:color w:val="000000"/>
                <w:szCs w:val="22"/>
              </w:rPr>
              <w:t>$9,420,090</w:t>
            </w:r>
          </w:p>
        </w:tc>
        <w:tc>
          <w:tcPr>
            <w:tcW w:w="2085" w:type="dxa"/>
            <w:shd w:val="clear" w:color="auto" w:fill="auto"/>
            <w:noWrap/>
            <w:hideMark/>
          </w:tcPr>
          <w:p w14:paraId="2DDD84D6" w14:textId="77777777" w:rsidR="008E661E" w:rsidRPr="00236A55" w:rsidRDefault="008E661E" w:rsidP="000C039C">
            <w:pPr>
              <w:widowControl/>
              <w:jc w:val="right"/>
              <w:rPr>
                <w:rFonts w:ascii="Calibri" w:hAnsi="Calibri"/>
              </w:rPr>
            </w:pPr>
            <w:r w:rsidRPr="00236A55">
              <w:rPr>
                <w:rFonts w:ascii="Calibri" w:hAnsi="Calibri"/>
                <w:color w:val="000000"/>
                <w:szCs w:val="22"/>
              </w:rPr>
              <w:t>$6,021,929</w:t>
            </w:r>
          </w:p>
        </w:tc>
        <w:tc>
          <w:tcPr>
            <w:tcW w:w="0" w:type="dxa"/>
            <w:shd w:val="clear" w:color="auto" w:fill="auto"/>
            <w:noWrap/>
            <w:hideMark/>
          </w:tcPr>
          <w:p w14:paraId="263DBEEA" w14:textId="77777777" w:rsidR="008E661E" w:rsidRPr="00236A55" w:rsidRDefault="008E661E" w:rsidP="000C039C">
            <w:pPr>
              <w:widowControl/>
              <w:jc w:val="right"/>
              <w:rPr>
                <w:rFonts w:ascii="Calibri" w:hAnsi="Calibri"/>
              </w:rPr>
            </w:pPr>
            <w:r w:rsidRPr="00236A55">
              <w:rPr>
                <w:rFonts w:ascii="Calibri" w:hAnsi="Calibri"/>
                <w:color w:val="000000"/>
                <w:szCs w:val="22"/>
              </w:rPr>
              <w:t>$3,532,346</w:t>
            </w:r>
          </w:p>
        </w:tc>
        <w:tc>
          <w:tcPr>
            <w:tcW w:w="1209" w:type="dxa"/>
            <w:shd w:val="clear" w:color="auto" w:fill="auto"/>
          </w:tcPr>
          <w:p w14:paraId="29D1E130" w14:textId="77777777" w:rsidR="008E661E" w:rsidRPr="00236A55" w:rsidRDefault="008E661E" w:rsidP="000C039C">
            <w:pPr>
              <w:widowControl/>
              <w:jc w:val="right"/>
              <w:rPr>
                <w:rFonts w:ascii="Calibri" w:hAnsi="Calibri"/>
              </w:rPr>
            </w:pPr>
            <w:r w:rsidRPr="00236A55">
              <w:rPr>
                <w:rFonts w:ascii="Calibri" w:hAnsi="Calibri"/>
                <w:color w:val="000000"/>
                <w:szCs w:val="22"/>
              </w:rPr>
              <w:t>-63%</w:t>
            </w:r>
          </w:p>
        </w:tc>
      </w:tr>
      <w:tr w:rsidR="008E661E" w:rsidRPr="004A1A72" w14:paraId="772FB946" w14:textId="77777777" w:rsidTr="000C039C">
        <w:trPr>
          <w:trHeight w:val="300"/>
          <w:jc w:val="center"/>
        </w:trPr>
        <w:tc>
          <w:tcPr>
            <w:tcW w:w="0" w:type="dxa"/>
            <w:shd w:val="clear" w:color="auto" w:fill="D9E2F3"/>
            <w:noWrap/>
            <w:hideMark/>
          </w:tcPr>
          <w:p w14:paraId="11E5691B" w14:textId="77777777" w:rsidR="008E661E" w:rsidRPr="00236A55" w:rsidRDefault="008E661E" w:rsidP="000C039C">
            <w:pPr>
              <w:widowControl/>
              <w:rPr>
                <w:rFonts w:ascii="Calibri" w:hAnsi="Calibri"/>
                <w:bCs/>
              </w:rPr>
            </w:pPr>
            <w:r w:rsidRPr="00236A55">
              <w:rPr>
                <w:rFonts w:ascii="Calibri" w:hAnsi="Calibri"/>
                <w:bCs/>
                <w:color w:val="000000"/>
                <w:szCs w:val="22"/>
              </w:rPr>
              <w:t>MO</w:t>
            </w:r>
          </w:p>
        </w:tc>
        <w:tc>
          <w:tcPr>
            <w:tcW w:w="1965" w:type="dxa"/>
            <w:shd w:val="clear" w:color="auto" w:fill="D9E2F3"/>
            <w:noWrap/>
            <w:hideMark/>
          </w:tcPr>
          <w:p w14:paraId="28FDFD76" w14:textId="77777777" w:rsidR="008E661E" w:rsidRPr="00236A55" w:rsidRDefault="008E661E" w:rsidP="000C039C">
            <w:pPr>
              <w:widowControl/>
              <w:jc w:val="right"/>
              <w:rPr>
                <w:rFonts w:ascii="Calibri" w:hAnsi="Calibri"/>
              </w:rPr>
            </w:pPr>
            <w:r w:rsidRPr="00236A55">
              <w:rPr>
                <w:rFonts w:ascii="Calibri" w:hAnsi="Calibri"/>
                <w:color w:val="000000"/>
                <w:szCs w:val="22"/>
              </w:rPr>
              <w:t>$13,623,707</w:t>
            </w:r>
          </w:p>
        </w:tc>
        <w:tc>
          <w:tcPr>
            <w:tcW w:w="2085" w:type="dxa"/>
            <w:shd w:val="clear" w:color="auto" w:fill="D9E2F3"/>
            <w:noWrap/>
            <w:hideMark/>
          </w:tcPr>
          <w:p w14:paraId="32F16ABD" w14:textId="77777777" w:rsidR="008E661E" w:rsidRPr="00236A55" w:rsidRDefault="008E661E" w:rsidP="000C039C">
            <w:pPr>
              <w:widowControl/>
              <w:jc w:val="right"/>
              <w:rPr>
                <w:rFonts w:ascii="Calibri" w:hAnsi="Calibri"/>
              </w:rPr>
            </w:pPr>
            <w:r w:rsidRPr="00236A55">
              <w:rPr>
                <w:rFonts w:ascii="Calibri" w:hAnsi="Calibri"/>
                <w:color w:val="000000"/>
                <w:szCs w:val="22"/>
              </w:rPr>
              <w:t>$9,719,800</w:t>
            </w:r>
          </w:p>
        </w:tc>
        <w:tc>
          <w:tcPr>
            <w:tcW w:w="0" w:type="dxa"/>
            <w:shd w:val="clear" w:color="auto" w:fill="D9E2F3"/>
            <w:noWrap/>
            <w:hideMark/>
          </w:tcPr>
          <w:p w14:paraId="7298AA73" w14:textId="77777777" w:rsidR="008E661E" w:rsidRPr="00236A55" w:rsidRDefault="008E661E" w:rsidP="000C039C">
            <w:pPr>
              <w:widowControl/>
              <w:jc w:val="right"/>
              <w:rPr>
                <w:rFonts w:ascii="Calibri" w:hAnsi="Calibri"/>
              </w:rPr>
            </w:pPr>
            <w:r w:rsidRPr="00236A55">
              <w:rPr>
                <w:rFonts w:ascii="Calibri" w:hAnsi="Calibri"/>
                <w:color w:val="000000"/>
                <w:szCs w:val="22"/>
              </w:rPr>
              <w:t>$5,339,184</w:t>
            </w:r>
          </w:p>
        </w:tc>
        <w:tc>
          <w:tcPr>
            <w:tcW w:w="1209" w:type="dxa"/>
            <w:shd w:val="clear" w:color="auto" w:fill="D9E2F3"/>
          </w:tcPr>
          <w:p w14:paraId="65CFFD27" w14:textId="77777777" w:rsidR="008E661E" w:rsidRPr="00236A55" w:rsidRDefault="008E661E" w:rsidP="000C039C">
            <w:pPr>
              <w:widowControl/>
              <w:jc w:val="right"/>
              <w:rPr>
                <w:rFonts w:ascii="Calibri" w:hAnsi="Calibri"/>
              </w:rPr>
            </w:pPr>
            <w:r w:rsidRPr="00236A55">
              <w:rPr>
                <w:rFonts w:ascii="Calibri" w:hAnsi="Calibri"/>
                <w:color w:val="000000"/>
                <w:szCs w:val="22"/>
              </w:rPr>
              <w:t>-61%</w:t>
            </w:r>
          </w:p>
        </w:tc>
      </w:tr>
      <w:tr w:rsidR="008E661E" w:rsidRPr="004A1A72" w14:paraId="6AC208DB" w14:textId="77777777" w:rsidTr="000C039C">
        <w:trPr>
          <w:trHeight w:val="300"/>
          <w:jc w:val="center"/>
        </w:trPr>
        <w:tc>
          <w:tcPr>
            <w:tcW w:w="0" w:type="dxa"/>
            <w:shd w:val="clear" w:color="auto" w:fill="auto"/>
            <w:noWrap/>
            <w:hideMark/>
          </w:tcPr>
          <w:p w14:paraId="7CE3B926" w14:textId="77777777" w:rsidR="008E661E" w:rsidRPr="00236A55" w:rsidRDefault="008E661E" w:rsidP="000C039C">
            <w:pPr>
              <w:widowControl/>
              <w:rPr>
                <w:rFonts w:ascii="Calibri" w:hAnsi="Calibri"/>
                <w:bCs/>
              </w:rPr>
            </w:pPr>
            <w:r w:rsidRPr="00236A55">
              <w:rPr>
                <w:rFonts w:ascii="Calibri" w:hAnsi="Calibri"/>
                <w:bCs/>
                <w:color w:val="000000"/>
                <w:szCs w:val="22"/>
              </w:rPr>
              <w:t>MP</w:t>
            </w:r>
          </w:p>
        </w:tc>
        <w:tc>
          <w:tcPr>
            <w:tcW w:w="1965" w:type="dxa"/>
            <w:shd w:val="clear" w:color="auto" w:fill="auto"/>
            <w:noWrap/>
            <w:hideMark/>
          </w:tcPr>
          <w:p w14:paraId="4742D76C" w14:textId="77777777" w:rsidR="008E661E" w:rsidRPr="00236A55" w:rsidRDefault="008E661E" w:rsidP="000C039C">
            <w:pPr>
              <w:widowControl/>
              <w:jc w:val="right"/>
              <w:rPr>
                <w:rFonts w:ascii="Calibri" w:hAnsi="Calibri"/>
              </w:rPr>
            </w:pPr>
            <w:r w:rsidRPr="00236A55">
              <w:rPr>
                <w:rFonts w:ascii="Calibri" w:hAnsi="Calibri"/>
                <w:color w:val="000000"/>
                <w:szCs w:val="22"/>
              </w:rPr>
              <w:t>$86,252</w:t>
            </w:r>
          </w:p>
        </w:tc>
        <w:tc>
          <w:tcPr>
            <w:tcW w:w="2085" w:type="dxa"/>
            <w:shd w:val="clear" w:color="auto" w:fill="auto"/>
            <w:noWrap/>
            <w:hideMark/>
          </w:tcPr>
          <w:p w14:paraId="6A4F245F" w14:textId="77777777" w:rsidR="008E661E" w:rsidRPr="00236A55" w:rsidRDefault="008E661E" w:rsidP="000C039C">
            <w:pPr>
              <w:widowControl/>
              <w:jc w:val="right"/>
              <w:rPr>
                <w:rFonts w:ascii="Calibri" w:hAnsi="Calibri"/>
              </w:rPr>
            </w:pPr>
            <w:r w:rsidRPr="00236A55">
              <w:rPr>
                <w:rFonts w:ascii="Calibri" w:hAnsi="Calibri"/>
                <w:color w:val="000000"/>
                <w:szCs w:val="22"/>
              </w:rPr>
              <w:t>$248,706</w:t>
            </w:r>
          </w:p>
        </w:tc>
        <w:tc>
          <w:tcPr>
            <w:tcW w:w="0" w:type="dxa"/>
            <w:shd w:val="clear" w:color="auto" w:fill="auto"/>
            <w:noWrap/>
            <w:hideMark/>
          </w:tcPr>
          <w:p w14:paraId="79333E0E" w14:textId="77777777" w:rsidR="008E661E" w:rsidRPr="00236A55" w:rsidRDefault="008E661E" w:rsidP="000C039C">
            <w:pPr>
              <w:widowControl/>
              <w:jc w:val="right"/>
              <w:rPr>
                <w:rFonts w:ascii="Calibri" w:hAnsi="Calibri"/>
              </w:rPr>
            </w:pPr>
            <w:r w:rsidRPr="00236A55">
              <w:rPr>
                <w:rFonts w:ascii="Calibri" w:hAnsi="Calibri"/>
                <w:color w:val="000000"/>
                <w:szCs w:val="22"/>
              </w:rPr>
              <w:t>$171,333</w:t>
            </w:r>
          </w:p>
        </w:tc>
        <w:tc>
          <w:tcPr>
            <w:tcW w:w="1209" w:type="dxa"/>
            <w:shd w:val="clear" w:color="auto" w:fill="auto"/>
          </w:tcPr>
          <w:p w14:paraId="3DE08E5B" w14:textId="77777777" w:rsidR="008E661E" w:rsidRPr="00236A55" w:rsidRDefault="008E661E" w:rsidP="000C039C">
            <w:pPr>
              <w:widowControl/>
              <w:jc w:val="right"/>
              <w:rPr>
                <w:rFonts w:ascii="Calibri" w:hAnsi="Calibri"/>
              </w:rPr>
            </w:pPr>
            <w:r w:rsidRPr="00236A55">
              <w:rPr>
                <w:rFonts w:ascii="Calibri" w:hAnsi="Calibri"/>
                <w:color w:val="000000"/>
                <w:szCs w:val="22"/>
              </w:rPr>
              <w:t>99%</w:t>
            </w:r>
          </w:p>
        </w:tc>
      </w:tr>
      <w:tr w:rsidR="008E661E" w:rsidRPr="004A1A72" w14:paraId="74C32C02" w14:textId="77777777" w:rsidTr="000C039C">
        <w:trPr>
          <w:trHeight w:val="300"/>
          <w:jc w:val="center"/>
        </w:trPr>
        <w:tc>
          <w:tcPr>
            <w:tcW w:w="0" w:type="dxa"/>
            <w:shd w:val="clear" w:color="auto" w:fill="D9E2F3"/>
            <w:noWrap/>
            <w:hideMark/>
          </w:tcPr>
          <w:p w14:paraId="30DAA48F" w14:textId="77777777" w:rsidR="008E661E" w:rsidRPr="00236A55" w:rsidRDefault="008E661E" w:rsidP="000C039C">
            <w:pPr>
              <w:widowControl/>
              <w:rPr>
                <w:rFonts w:ascii="Calibri" w:hAnsi="Calibri"/>
                <w:bCs/>
              </w:rPr>
            </w:pPr>
            <w:r w:rsidRPr="00236A55">
              <w:rPr>
                <w:rFonts w:ascii="Calibri" w:hAnsi="Calibri"/>
                <w:bCs/>
                <w:color w:val="000000"/>
                <w:szCs w:val="22"/>
              </w:rPr>
              <w:t>MS</w:t>
            </w:r>
          </w:p>
        </w:tc>
        <w:tc>
          <w:tcPr>
            <w:tcW w:w="1965" w:type="dxa"/>
            <w:shd w:val="clear" w:color="auto" w:fill="D9E2F3"/>
            <w:noWrap/>
            <w:hideMark/>
          </w:tcPr>
          <w:p w14:paraId="4EE7C41C" w14:textId="77777777" w:rsidR="008E661E" w:rsidRPr="00236A55" w:rsidRDefault="008E661E" w:rsidP="000C039C">
            <w:pPr>
              <w:widowControl/>
              <w:jc w:val="right"/>
              <w:rPr>
                <w:rFonts w:ascii="Calibri" w:hAnsi="Calibri"/>
              </w:rPr>
            </w:pPr>
            <w:r w:rsidRPr="00236A55">
              <w:rPr>
                <w:rFonts w:ascii="Calibri" w:hAnsi="Calibri"/>
                <w:color w:val="000000"/>
                <w:szCs w:val="22"/>
              </w:rPr>
              <w:t>$8,412,441</w:t>
            </w:r>
          </w:p>
        </w:tc>
        <w:tc>
          <w:tcPr>
            <w:tcW w:w="2085" w:type="dxa"/>
            <w:shd w:val="clear" w:color="auto" w:fill="D9E2F3"/>
            <w:noWrap/>
            <w:hideMark/>
          </w:tcPr>
          <w:p w14:paraId="2C5B4EEC" w14:textId="77777777" w:rsidR="008E661E" w:rsidRPr="00236A55" w:rsidRDefault="008E661E" w:rsidP="000C039C">
            <w:pPr>
              <w:widowControl/>
              <w:jc w:val="right"/>
              <w:rPr>
                <w:rFonts w:ascii="Calibri" w:hAnsi="Calibri"/>
              </w:rPr>
            </w:pPr>
            <w:r w:rsidRPr="00236A55">
              <w:rPr>
                <w:rFonts w:ascii="Calibri" w:hAnsi="Calibri"/>
                <w:color w:val="000000"/>
                <w:szCs w:val="22"/>
              </w:rPr>
              <w:t>$5,242,579</w:t>
            </w:r>
          </w:p>
        </w:tc>
        <w:tc>
          <w:tcPr>
            <w:tcW w:w="0" w:type="dxa"/>
            <w:shd w:val="clear" w:color="auto" w:fill="D9E2F3"/>
            <w:noWrap/>
            <w:hideMark/>
          </w:tcPr>
          <w:p w14:paraId="45EF8B07" w14:textId="77777777" w:rsidR="008E661E" w:rsidRPr="00236A55" w:rsidRDefault="008E661E" w:rsidP="000C039C">
            <w:pPr>
              <w:widowControl/>
              <w:jc w:val="right"/>
              <w:rPr>
                <w:rFonts w:ascii="Calibri" w:hAnsi="Calibri"/>
              </w:rPr>
            </w:pPr>
            <w:r w:rsidRPr="00236A55">
              <w:rPr>
                <w:rFonts w:ascii="Calibri" w:hAnsi="Calibri"/>
                <w:color w:val="000000"/>
                <w:szCs w:val="22"/>
              </w:rPr>
              <w:t>$2,949,362</w:t>
            </w:r>
          </w:p>
        </w:tc>
        <w:tc>
          <w:tcPr>
            <w:tcW w:w="1209" w:type="dxa"/>
            <w:shd w:val="clear" w:color="auto" w:fill="D9E2F3"/>
          </w:tcPr>
          <w:p w14:paraId="11B55679" w14:textId="77777777" w:rsidR="008E661E" w:rsidRPr="00236A55" w:rsidRDefault="008E661E" w:rsidP="000C039C">
            <w:pPr>
              <w:widowControl/>
              <w:jc w:val="right"/>
              <w:rPr>
                <w:rFonts w:ascii="Calibri" w:hAnsi="Calibri"/>
              </w:rPr>
            </w:pPr>
            <w:r w:rsidRPr="00236A55">
              <w:rPr>
                <w:rFonts w:ascii="Calibri" w:hAnsi="Calibri"/>
                <w:color w:val="000000"/>
                <w:szCs w:val="22"/>
              </w:rPr>
              <w:t>-65%</w:t>
            </w:r>
          </w:p>
        </w:tc>
      </w:tr>
      <w:tr w:rsidR="008E661E" w:rsidRPr="004A1A72" w14:paraId="50C29973" w14:textId="77777777" w:rsidTr="000C039C">
        <w:trPr>
          <w:trHeight w:val="300"/>
          <w:jc w:val="center"/>
        </w:trPr>
        <w:tc>
          <w:tcPr>
            <w:tcW w:w="0" w:type="dxa"/>
            <w:shd w:val="clear" w:color="auto" w:fill="auto"/>
            <w:noWrap/>
            <w:hideMark/>
          </w:tcPr>
          <w:p w14:paraId="7E7C3093" w14:textId="77777777" w:rsidR="008E661E" w:rsidRPr="00236A55" w:rsidRDefault="008E661E" w:rsidP="000C039C">
            <w:pPr>
              <w:widowControl/>
              <w:rPr>
                <w:rFonts w:ascii="Calibri" w:hAnsi="Calibri"/>
                <w:bCs/>
              </w:rPr>
            </w:pPr>
            <w:r w:rsidRPr="00236A55">
              <w:rPr>
                <w:rFonts w:ascii="Calibri" w:hAnsi="Calibri"/>
                <w:bCs/>
                <w:color w:val="000000"/>
                <w:szCs w:val="22"/>
              </w:rPr>
              <w:t>MT</w:t>
            </w:r>
          </w:p>
        </w:tc>
        <w:tc>
          <w:tcPr>
            <w:tcW w:w="1965" w:type="dxa"/>
            <w:shd w:val="clear" w:color="auto" w:fill="auto"/>
            <w:noWrap/>
            <w:hideMark/>
          </w:tcPr>
          <w:p w14:paraId="7D606E4F" w14:textId="77777777" w:rsidR="008E661E" w:rsidRPr="00236A55" w:rsidRDefault="008E661E" w:rsidP="000C039C">
            <w:pPr>
              <w:widowControl/>
              <w:jc w:val="right"/>
              <w:rPr>
                <w:rFonts w:ascii="Calibri" w:hAnsi="Calibri"/>
              </w:rPr>
            </w:pPr>
            <w:r w:rsidRPr="00236A55">
              <w:rPr>
                <w:rFonts w:ascii="Calibri" w:hAnsi="Calibri"/>
                <w:color w:val="000000"/>
                <w:szCs w:val="22"/>
              </w:rPr>
              <w:t>$1,955,764</w:t>
            </w:r>
          </w:p>
        </w:tc>
        <w:tc>
          <w:tcPr>
            <w:tcW w:w="2085" w:type="dxa"/>
            <w:shd w:val="clear" w:color="auto" w:fill="auto"/>
            <w:noWrap/>
            <w:hideMark/>
          </w:tcPr>
          <w:p w14:paraId="7774D717" w14:textId="77777777" w:rsidR="008E661E" w:rsidRPr="00236A55" w:rsidRDefault="008E661E" w:rsidP="000C039C">
            <w:pPr>
              <w:widowControl/>
              <w:jc w:val="right"/>
              <w:rPr>
                <w:rFonts w:ascii="Calibri" w:hAnsi="Calibri"/>
              </w:rPr>
            </w:pPr>
            <w:r w:rsidRPr="00236A55">
              <w:rPr>
                <w:rFonts w:ascii="Calibri" w:hAnsi="Calibri"/>
                <w:color w:val="000000"/>
                <w:szCs w:val="22"/>
              </w:rPr>
              <w:t>$1,340,923</w:t>
            </w:r>
          </w:p>
        </w:tc>
        <w:tc>
          <w:tcPr>
            <w:tcW w:w="0" w:type="dxa"/>
            <w:shd w:val="clear" w:color="auto" w:fill="auto"/>
            <w:noWrap/>
            <w:hideMark/>
          </w:tcPr>
          <w:p w14:paraId="586C7A13" w14:textId="77777777" w:rsidR="008E661E" w:rsidRPr="00236A55" w:rsidRDefault="008E661E" w:rsidP="000C039C">
            <w:pPr>
              <w:widowControl/>
              <w:jc w:val="right"/>
              <w:rPr>
                <w:rFonts w:ascii="Calibri" w:hAnsi="Calibri"/>
              </w:rPr>
            </w:pPr>
            <w:r w:rsidRPr="00236A55">
              <w:rPr>
                <w:rFonts w:ascii="Calibri" w:hAnsi="Calibri"/>
                <w:color w:val="000000"/>
                <w:szCs w:val="22"/>
              </w:rPr>
              <w:t>$733,662</w:t>
            </w:r>
          </w:p>
        </w:tc>
        <w:tc>
          <w:tcPr>
            <w:tcW w:w="1209" w:type="dxa"/>
            <w:shd w:val="clear" w:color="auto" w:fill="auto"/>
          </w:tcPr>
          <w:p w14:paraId="54941A52" w14:textId="77777777" w:rsidR="008E661E" w:rsidRPr="00236A55" w:rsidRDefault="008E661E" w:rsidP="000C039C">
            <w:pPr>
              <w:widowControl/>
              <w:jc w:val="right"/>
              <w:rPr>
                <w:rFonts w:ascii="Calibri" w:hAnsi="Calibri"/>
              </w:rPr>
            </w:pPr>
            <w:r w:rsidRPr="00236A55">
              <w:rPr>
                <w:rFonts w:ascii="Calibri" w:hAnsi="Calibri"/>
                <w:color w:val="000000"/>
                <w:szCs w:val="22"/>
              </w:rPr>
              <w:t>-62%</w:t>
            </w:r>
          </w:p>
        </w:tc>
      </w:tr>
      <w:tr w:rsidR="008E661E" w:rsidRPr="004A1A72" w14:paraId="36337C96" w14:textId="77777777" w:rsidTr="000C039C">
        <w:trPr>
          <w:trHeight w:val="300"/>
          <w:jc w:val="center"/>
        </w:trPr>
        <w:tc>
          <w:tcPr>
            <w:tcW w:w="0" w:type="dxa"/>
            <w:shd w:val="clear" w:color="auto" w:fill="D9E2F3"/>
            <w:noWrap/>
            <w:hideMark/>
          </w:tcPr>
          <w:p w14:paraId="5485AC90" w14:textId="77777777" w:rsidR="008E661E" w:rsidRPr="00236A55" w:rsidRDefault="008E661E" w:rsidP="000C039C">
            <w:pPr>
              <w:widowControl/>
              <w:rPr>
                <w:rFonts w:ascii="Calibri" w:hAnsi="Calibri"/>
                <w:bCs/>
              </w:rPr>
            </w:pPr>
            <w:r w:rsidRPr="00236A55">
              <w:rPr>
                <w:rFonts w:ascii="Calibri" w:hAnsi="Calibri"/>
                <w:bCs/>
                <w:color w:val="000000"/>
                <w:szCs w:val="22"/>
              </w:rPr>
              <w:t>NC</w:t>
            </w:r>
          </w:p>
        </w:tc>
        <w:tc>
          <w:tcPr>
            <w:tcW w:w="1965" w:type="dxa"/>
            <w:shd w:val="clear" w:color="auto" w:fill="D9E2F3"/>
            <w:noWrap/>
            <w:hideMark/>
          </w:tcPr>
          <w:p w14:paraId="2739FDB6" w14:textId="77777777" w:rsidR="008E661E" w:rsidRPr="00236A55" w:rsidRDefault="008E661E" w:rsidP="000C039C">
            <w:pPr>
              <w:widowControl/>
              <w:jc w:val="right"/>
              <w:rPr>
                <w:rFonts w:ascii="Calibri" w:hAnsi="Calibri"/>
              </w:rPr>
            </w:pPr>
            <w:r w:rsidRPr="00236A55">
              <w:rPr>
                <w:rFonts w:ascii="Calibri" w:hAnsi="Calibri"/>
                <w:color w:val="000000"/>
                <w:szCs w:val="22"/>
              </w:rPr>
              <w:t>$24,009,056</w:t>
            </w:r>
          </w:p>
        </w:tc>
        <w:tc>
          <w:tcPr>
            <w:tcW w:w="2085" w:type="dxa"/>
            <w:shd w:val="clear" w:color="auto" w:fill="D9E2F3"/>
            <w:noWrap/>
            <w:hideMark/>
          </w:tcPr>
          <w:p w14:paraId="76C6EA15" w14:textId="77777777" w:rsidR="008E661E" w:rsidRPr="00236A55" w:rsidRDefault="008E661E" w:rsidP="000C039C">
            <w:pPr>
              <w:widowControl/>
              <w:jc w:val="right"/>
              <w:rPr>
                <w:rFonts w:ascii="Calibri" w:hAnsi="Calibri"/>
              </w:rPr>
            </w:pPr>
            <w:r w:rsidRPr="00236A55">
              <w:rPr>
                <w:rFonts w:ascii="Calibri" w:hAnsi="Calibri"/>
                <w:color w:val="000000"/>
                <w:szCs w:val="22"/>
              </w:rPr>
              <w:t>$15,431,407</w:t>
            </w:r>
          </w:p>
        </w:tc>
        <w:tc>
          <w:tcPr>
            <w:tcW w:w="0" w:type="dxa"/>
            <w:shd w:val="clear" w:color="auto" w:fill="D9E2F3"/>
            <w:noWrap/>
            <w:hideMark/>
          </w:tcPr>
          <w:p w14:paraId="480F25F5" w14:textId="77777777" w:rsidR="008E661E" w:rsidRPr="00236A55" w:rsidRDefault="008E661E" w:rsidP="000C039C">
            <w:pPr>
              <w:widowControl/>
              <w:jc w:val="right"/>
              <w:rPr>
                <w:rFonts w:ascii="Calibri" w:hAnsi="Calibri"/>
              </w:rPr>
            </w:pPr>
            <w:r w:rsidRPr="00236A55">
              <w:rPr>
                <w:rFonts w:ascii="Calibri" w:hAnsi="Calibri"/>
                <w:color w:val="000000"/>
                <w:szCs w:val="22"/>
              </w:rPr>
              <w:t>$9,270,813</w:t>
            </w:r>
          </w:p>
        </w:tc>
        <w:tc>
          <w:tcPr>
            <w:tcW w:w="1209" w:type="dxa"/>
            <w:shd w:val="clear" w:color="auto" w:fill="D9E2F3"/>
          </w:tcPr>
          <w:p w14:paraId="08300B70" w14:textId="77777777" w:rsidR="008E661E" w:rsidRPr="00236A55" w:rsidRDefault="008E661E" w:rsidP="000C039C">
            <w:pPr>
              <w:widowControl/>
              <w:jc w:val="right"/>
              <w:rPr>
                <w:rFonts w:ascii="Calibri" w:hAnsi="Calibri"/>
              </w:rPr>
            </w:pPr>
            <w:r w:rsidRPr="00236A55">
              <w:rPr>
                <w:rFonts w:ascii="Calibri" w:hAnsi="Calibri"/>
                <w:color w:val="000000"/>
                <w:szCs w:val="22"/>
              </w:rPr>
              <w:t>-61%</w:t>
            </w:r>
          </w:p>
        </w:tc>
      </w:tr>
      <w:tr w:rsidR="008E661E" w:rsidRPr="004A1A72" w14:paraId="6248725B" w14:textId="77777777" w:rsidTr="000C039C">
        <w:trPr>
          <w:trHeight w:val="300"/>
          <w:jc w:val="center"/>
        </w:trPr>
        <w:tc>
          <w:tcPr>
            <w:tcW w:w="0" w:type="dxa"/>
            <w:shd w:val="clear" w:color="auto" w:fill="auto"/>
            <w:noWrap/>
            <w:hideMark/>
          </w:tcPr>
          <w:p w14:paraId="703F6978" w14:textId="77777777" w:rsidR="008E661E" w:rsidRPr="00236A55" w:rsidRDefault="008E661E" w:rsidP="000C039C">
            <w:pPr>
              <w:widowControl/>
              <w:rPr>
                <w:rFonts w:ascii="Calibri" w:hAnsi="Calibri"/>
                <w:bCs/>
              </w:rPr>
            </w:pPr>
            <w:r w:rsidRPr="00236A55">
              <w:rPr>
                <w:rFonts w:ascii="Calibri" w:hAnsi="Calibri"/>
                <w:bCs/>
                <w:color w:val="000000"/>
                <w:szCs w:val="22"/>
              </w:rPr>
              <w:t>ND</w:t>
            </w:r>
          </w:p>
        </w:tc>
        <w:tc>
          <w:tcPr>
            <w:tcW w:w="1965" w:type="dxa"/>
            <w:shd w:val="clear" w:color="auto" w:fill="auto"/>
            <w:noWrap/>
            <w:hideMark/>
          </w:tcPr>
          <w:p w14:paraId="4BBE1EC6" w14:textId="77777777" w:rsidR="008E661E" w:rsidRPr="00236A55" w:rsidRDefault="008E661E" w:rsidP="000C039C">
            <w:pPr>
              <w:widowControl/>
              <w:jc w:val="right"/>
              <w:rPr>
                <w:rFonts w:ascii="Calibri" w:hAnsi="Calibri"/>
              </w:rPr>
            </w:pPr>
            <w:r w:rsidRPr="00236A55">
              <w:rPr>
                <w:rFonts w:ascii="Calibri" w:hAnsi="Calibri"/>
                <w:color w:val="000000"/>
                <w:szCs w:val="22"/>
              </w:rPr>
              <w:t>$1,294,817</w:t>
            </w:r>
          </w:p>
        </w:tc>
        <w:tc>
          <w:tcPr>
            <w:tcW w:w="2085" w:type="dxa"/>
            <w:shd w:val="clear" w:color="auto" w:fill="auto"/>
            <w:noWrap/>
            <w:hideMark/>
          </w:tcPr>
          <w:p w14:paraId="57AF6746" w14:textId="77777777" w:rsidR="008E661E" w:rsidRPr="00236A55" w:rsidRDefault="008E661E" w:rsidP="000C039C">
            <w:pPr>
              <w:widowControl/>
              <w:jc w:val="right"/>
              <w:rPr>
                <w:rFonts w:ascii="Calibri" w:hAnsi="Calibri"/>
              </w:rPr>
            </w:pPr>
            <w:r w:rsidRPr="00236A55">
              <w:rPr>
                <w:rFonts w:ascii="Calibri" w:hAnsi="Calibri"/>
                <w:color w:val="000000"/>
                <w:szCs w:val="22"/>
              </w:rPr>
              <w:t>$813,705</w:t>
            </w:r>
          </w:p>
        </w:tc>
        <w:tc>
          <w:tcPr>
            <w:tcW w:w="0" w:type="dxa"/>
            <w:shd w:val="clear" w:color="auto" w:fill="auto"/>
            <w:noWrap/>
            <w:hideMark/>
          </w:tcPr>
          <w:p w14:paraId="7F19BDFF" w14:textId="77777777" w:rsidR="008E661E" w:rsidRPr="00236A55" w:rsidRDefault="008E661E" w:rsidP="000C039C">
            <w:pPr>
              <w:widowControl/>
              <w:jc w:val="right"/>
              <w:rPr>
                <w:rFonts w:ascii="Calibri" w:hAnsi="Calibri"/>
              </w:rPr>
            </w:pPr>
            <w:r w:rsidRPr="00236A55">
              <w:rPr>
                <w:rFonts w:ascii="Calibri" w:hAnsi="Calibri"/>
                <w:color w:val="000000"/>
                <w:szCs w:val="22"/>
              </w:rPr>
              <w:t>$471,359</w:t>
            </w:r>
          </w:p>
        </w:tc>
        <w:tc>
          <w:tcPr>
            <w:tcW w:w="1209" w:type="dxa"/>
            <w:shd w:val="clear" w:color="auto" w:fill="auto"/>
          </w:tcPr>
          <w:p w14:paraId="199ACA1D" w14:textId="77777777" w:rsidR="008E661E" w:rsidRPr="00236A55" w:rsidRDefault="008E661E" w:rsidP="000C039C">
            <w:pPr>
              <w:widowControl/>
              <w:jc w:val="right"/>
              <w:rPr>
                <w:rFonts w:ascii="Calibri" w:hAnsi="Calibri"/>
              </w:rPr>
            </w:pPr>
            <w:r w:rsidRPr="00236A55">
              <w:rPr>
                <w:rFonts w:ascii="Calibri" w:hAnsi="Calibri"/>
                <w:color w:val="000000"/>
                <w:szCs w:val="22"/>
              </w:rPr>
              <w:t>-64%</w:t>
            </w:r>
          </w:p>
        </w:tc>
      </w:tr>
      <w:tr w:rsidR="008E661E" w:rsidRPr="004A1A72" w14:paraId="0C8ABF80" w14:textId="77777777" w:rsidTr="000C039C">
        <w:trPr>
          <w:trHeight w:val="300"/>
          <w:jc w:val="center"/>
        </w:trPr>
        <w:tc>
          <w:tcPr>
            <w:tcW w:w="0" w:type="dxa"/>
            <w:shd w:val="clear" w:color="auto" w:fill="D9E2F3"/>
            <w:noWrap/>
            <w:hideMark/>
          </w:tcPr>
          <w:p w14:paraId="1057F344" w14:textId="77777777" w:rsidR="008E661E" w:rsidRPr="00236A55" w:rsidRDefault="008E661E" w:rsidP="000C039C">
            <w:pPr>
              <w:widowControl/>
              <w:rPr>
                <w:rFonts w:ascii="Calibri" w:hAnsi="Calibri"/>
                <w:bCs/>
              </w:rPr>
            </w:pPr>
            <w:r w:rsidRPr="00236A55">
              <w:rPr>
                <w:rFonts w:ascii="Calibri" w:hAnsi="Calibri"/>
                <w:bCs/>
                <w:color w:val="000000"/>
                <w:szCs w:val="22"/>
              </w:rPr>
              <w:t>NE</w:t>
            </w:r>
          </w:p>
        </w:tc>
        <w:tc>
          <w:tcPr>
            <w:tcW w:w="1965" w:type="dxa"/>
            <w:shd w:val="clear" w:color="auto" w:fill="D9E2F3"/>
            <w:noWrap/>
            <w:hideMark/>
          </w:tcPr>
          <w:p w14:paraId="191C21E4" w14:textId="77777777" w:rsidR="008E661E" w:rsidRPr="00236A55" w:rsidRDefault="008E661E" w:rsidP="000C039C">
            <w:pPr>
              <w:widowControl/>
              <w:jc w:val="right"/>
              <w:rPr>
                <w:rFonts w:ascii="Calibri" w:hAnsi="Calibri"/>
              </w:rPr>
            </w:pPr>
            <w:r w:rsidRPr="00236A55">
              <w:rPr>
                <w:rFonts w:ascii="Calibri" w:hAnsi="Calibri"/>
                <w:color w:val="000000"/>
                <w:szCs w:val="22"/>
              </w:rPr>
              <w:t>$3,136,490</w:t>
            </w:r>
          </w:p>
        </w:tc>
        <w:tc>
          <w:tcPr>
            <w:tcW w:w="2085" w:type="dxa"/>
            <w:shd w:val="clear" w:color="auto" w:fill="D9E2F3"/>
            <w:noWrap/>
            <w:hideMark/>
          </w:tcPr>
          <w:p w14:paraId="674CE56B" w14:textId="77777777" w:rsidR="008E661E" w:rsidRPr="00236A55" w:rsidRDefault="008E661E" w:rsidP="000C039C">
            <w:pPr>
              <w:widowControl/>
              <w:jc w:val="right"/>
              <w:rPr>
                <w:rFonts w:ascii="Calibri" w:hAnsi="Calibri"/>
              </w:rPr>
            </w:pPr>
            <w:r w:rsidRPr="00236A55">
              <w:rPr>
                <w:rFonts w:ascii="Calibri" w:hAnsi="Calibri"/>
                <w:color w:val="000000"/>
                <w:szCs w:val="22"/>
              </w:rPr>
              <w:t>$1,796,649</w:t>
            </w:r>
          </w:p>
        </w:tc>
        <w:tc>
          <w:tcPr>
            <w:tcW w:w="0" w:type="dxa"/>
            <w:shd w:val="clear" w:color="auto" w:fill="D9E2F3"/>
            <w:noWrap/>
            <w:hideMark/>
          </w:tcPr>
          <w:p w14:paraId="0C0A1F8D" w14:textId="77777777" w:rsidR="008E661E" w:rsidRPr="00236A55" w:rsidRDefault="008E661E" w:rsidP="000C039C">
            <w:pPr>
              <w:widowControl/>
              <w:jc w:val="right"/>
              <w:rPr>
                <w:rFonts w:ascii="Calibri" w:hAnsi="Calibri"/>
              </w:rPr>
            </w:pPr>
            <w:r w:rsidRPr="00236A55">
              <w:rPr>
                <w:rFonts w:ascii="Calibri" w:hAnsi="Calibri"/>
                <w:color w:val="000000"/>
                <w:szCs w:val="22"/>
              </w:rPr>
              <w:t>$861,044</w:t>
            </w:r>
          </w:p>
        </w:tc>
        <w:tc>
          <w:tcPr>
            <w:tcW w:w="1209" w:type="dxa"/>
            <w:shd w:val="clear" w:color="auto" w:fill="D9E2F3"/>
          </w:tcPr>
          <w:p w14:paraId="7B692A5A" w14:textId="77777777" w:rsidR="008E661E" w:rsidRPr="00236A55" w:rsidRDefault="008E661E" w:rsidP="000C039C">
            <w:pPr>
              <w:widowControl/>
              <w:jc w:val="right"/>
              <w:rPr>
                <w:rFonts w:ascii="Calibri" w:hAnsi="Calibri"/>
              </w:rPr>
            </w:pPr>
            <w:r w:rsidRPr="00236A55">
              <w:rPr>
                <w:rFonts w:ascii="Calibri" w:hAnsi="Calibri"/>
                <w:color w:val="000000"/>
                <w:szCs w:val="22"/>
              </w:rPr>
              <w:t>-73%</w:t>
            </w:r>
          </w:p>
        </w:tc>
      </w:tr>
      <w:tr w:rsidR="008E661E" w:rsidRPr="004A1A72" w14:paraId="254B3ABE" w14:textId="77777777" w:rsidTr="000C039C">
        <w:trPr>
          <w:trHeight w:val="300"/>
          <w:jc w:val="center"/>
        </w:trPr>
        <w:tc>
          <w:tcPr>
            <w:tcW w:w="0" w:type="dxa"/>
            <w:shd w:val="clear" w:color="auto" w:fill="auto"/>
            <w:noWrap/>
            <w:hideMark/>
          </w:tcPr>
          <w:p w14:paraId="41E14E44" w14:textId="77777777" w:rsidR="008E661E" w:rsidRPr="00236A55" w:rsidRDefault="008E661E" w:rsidP="000C039C">
            <w:pPr>
              <w:widowControl/>
              <w:rPr>
                <w:rFonts w:ascii="Calibri" w:hAnsi="Calibri"/>
                <w:bCs/>
              </w:rPr>
            </w:pPr>
            <w:r w:rsidRPr="00236A55">
              <w:rPr>
                <w:rFonts w:ascii="Calibri" w:hAnsi="Calibri"/>
                <w:bCs/>
                <w:color w:val="000000"/>
                <w:szCs w:val="22"/>
              </w:rPr>
              <w:t>NH</w:t>
            </w:r>
          </w:p>
        </w:tc>
        <w:tc>
          <w:tcPr>
            <w:tcW w:w="1965" w:type="dxa"/>
            <w:shd w:val="clear" w:color="auto" w:fill="auto"/>
            <w:noWrap/>
            <w:hideMark/>
          </w:tcPr>
          <w:p w14:paraId="7B846C74" w14:textId="77777777" w:rsidR="008E661E" w:rsidRPr="00236A55" w:rsidRDefault="008E661E" w:rsidP="000C039C">
            <w:pPr>
              <w:widowControl/>
              <w:jc w:val="right"/>
              <w:rPr>
                <w:rFonts w:ascii="Calibri" w:hAnsi="Calibri"/>
              </w:rPr>
            </w:pPr>
            <w:r w:rsidRPr="00236A55">
              <w:rPr>
                <w:rFonts w:ascii="Calibri" w:hAnsi="Calibri"/>
                <w:color w:val="000000"/>
                <w:szCs w:val="22"/>
              </w:rPr>
              <w:t>$1,954,688</w:t>
            </w:r>
          </w:p>
        </w:tc>
        <w:tc>
          <w:tcPr>
            <w:tcW w:w="2085" w:type="dxa"/>
            <w:shd w:val="clear" w:color="auto" w:fill="auto"/>
            <w:noWrap/>
            <w:hideMark/>
          </w:tcPr>
          <w:p w14:paraId="2241919B" w14:textId="77777777" w:rsidR="008E661E" w:rsidRPr="00236A55" w:rsidRDefault="008E661E" w:rsidP="000C039C">
            <w:pPr>
              <w:widowControl/>
              <w:jc w:val="right"/>
              <w:rPr>
                <w:rFonts w:ascii="Calibri" w:hAnsi="Calibri"/>
              </w:rPr>
            </w:pPr>
            <w:r w:rsidRPr="00236A55">
              <w:rPr>
                <w:rFonts w:ascii="Calibri" w:hAnsi="Calibri"/>
                <w:color w:val="000000"/>
                <w:szCs w:val="22"/>
              </w:rPr>
              <w:t>$1,165,618</w:t>
            </w:r>
          </w:p>
        </w:tc>
        <w:tc>
          <w:tcPr>
            <w:tcW w:w="0" w:type="dxa"/>
            <w:shd w:val="clear" w:color="auto" w:fill="auto"/>
            <w:noWrap/>
            <w:hideMark/>
          </w:tcPr>
          <w:p w14:paraId="487BBDB3" w14:textId="77777777" w:rsidR="008E661E" w:rsidRPr="00236A55" w:rsidRDefault="008E661E" w:rsidP="000C039C">
            <w:pPr>
              <w:widowControl/>
              <w:jc w:val="right"/>
              <w:rPr>
                <w:rFonts w:ascii="Calibri" w:hAnsi="Calibri"/>
              </w:rPr>
            </w:pPr>
            <w:r w:rsidRPr="00236A55">
              <w:rPr>
                <w:rFonts w:ascii="Calibri" w:hAnsi="Calibri"/>
                <w:color w:val="000000"/>
                <w:szCs w:val="22"/>
              </w:rPr>
              <w:t>$570,764</w:t>
            </w:r>
          </w:p>
        </w:tc>
        <w:tc>
          <w:tcPr>
            <w:tcW w:w="1209" w:type="dxa"/>
            <w:shd w:val="clear" w:color="auto" w:fill="auto"/>
          </w:tcPr>
          <w:p w14:paraId="4E29666D" w14:textId="77777777" w:rsidR="008E661E" w:rsidRPr="00236A55" w:rsidRDefault="008E661E" w:rsidP="000C039C">
            <w:pPr>
              <w:widowControl/>
              <w:jc w:val="right"/>
              <w:rPr>
                <w:rFonts w:ascii="Calibri" w:hAnsi="Calibri"/>
              </w:rPr>
            </w:pPr>
            <w:r w:rsidRPr="00236A55">
              <w:rPr>
                <w:rFonts w:ascii="Calibri" w:hAnsi="Calibri"/>
                <w:color w:val="000000"/>
                <w:szCs w:val="22"/>
              </w:rPr>
              <w:t>-71%</w:t>
            </w:r>
          </w:p>
        </w:tc>
      </w:tr>
      <w:tr w:rsidR="008E661E" w:rsidRPr="004A1A72" w14:paraId="4E5C029F" w14:textId="77777777" w:rsidTr="000C039C">
        <w:trPr>
          <w:trHeight w:val="300"/>
          <w:jc w:val="center"/>
        </w:trPr>
        <w:tc>
          <w:tcPr>
            <w:tcW w:w="0" w:type="dxa"/>
            <w:shd w:val="clear" w:color="auto" w:fill="D9E2F3"/>
            <w:noWrap/>
            <w:hideMark/>
          </w:tcPr>
          <w:p w14:paraId="52194804" w14:textId="77777777" w:rsidR="008E661E" w:rsidRPr="00236A55" w:rsidRDefault="008E661E" w:rsidP="000C039C">
            <w:pPr>
              <w:widowControl/>
              <w:rPr>
                <w:rFonts w:ascii="Calibri" w:hAnsi="Calibri"/>
                <w:bCs/>
              </w:rPr>
            </w:pPr>
            <w:r w:rsidRPr="00236A55">
              <w:rPr>
                <w:rFonts w:ascii="Calibri" w:hAnsi="Calibri"/>
                <w:bCs/>
                <w:color w:val="000000"/>
                <w:szCs w:val="22"/>
              </w:rPr>
              <w:t>NJ</w:t>
            </w:r>
          </w:p>
        </w:tc>
        <w:tc>
          <w:tcPr>
            <w:tcW w:w="1965" w:type="dxa"/>
            <w:shd w:val="clear" w:color="auto" w:fill="D9E2F3"/>
            <w:noWrap/>
            <w:hideMark/>
          </w:tcPr>
          <w:p w14:paraId="2EEC95C0" w14:textId="77777777" w:rsidR="008E661E" w:rsidRPr="00236A55" w:rsidRDefault="008E661E" w:rsidP="000C039C">
            <w:pPr>
              <w:widowControl/>
              <w:jc w:val="right"/>
              <w:rPr>
                <w:rFonts w:ascii="Calibri" w:hAnsi="Calibri"/>
              </w:rPr>
            </w:pPr>
            <w:r w:rsidRPr="00236A55">
              <w:rPr>
                <w:rFonts w:ascii="Calibri" w:hAnsi="Calibri"/>
                <w:color w:val="000000"/>
                <w:szCs w:val="22"/>
              </w:rPr>
              <w:t>$27,134,318</w:t>
            </w:r>
          </w:p>
        </w:tc>
        <w:tc>
          <w:tcPr>
            <w:tcW w:w="2085" w:type="dxa"/>
            <w:shd w:val="clear" w:color="auto" w:fill="D9E2F3"/>
            <w:noWrap/>
            <w:hideMark/>
          </w:tcPr>
          <w:p w14:paraId="4539A77D" w14:textId="77777777" w:rsidR="008E661E" w:rsidRPr="00236A55" w:rsidRDefault="008E661E" w:rsidP="000C039C">
            <w:pPr>
              <w:widowControl/>
              <w:jc w:val="right"/>
              <w:rPr>
                <w:rFonts w:ascii="Calibri" w:hAnsi="Calibri"/>
              </w:rPr>
            </w:pPr>
            <w:r w:rsidRPr="00236A55">
              <w:rPr>
                <w:rFonts w:ascii="Calibri" w:hAnsi="Calibri"/>
                <w:color w:val="000000"/>
                <w:szCs w:val="22"/>
              </w:rPr>
              <w:t>$18,412,285</w:t>
            </w:r>
          </w:p>
        </w:tc>
        <w:tc>
          <w:tcPr>
            <w:tcW w:w="0" w:type="dxa"/>
            <w:shd w:val="clear" w:color="auto" w:fill="D9E2F3"/>
            <w:noWrap/>
            <w:hideMark/>
          </w:tcPr>
          <w:p w14:paraId="4FDB3DDA" w14:textId="77777777" w:rsidR="008E661E" w:rsidRPr="00236A55" w:rsidRDefault="008E661E" w:rsidP="000C039C">
            <w:pPr>
              <w:widowControl/>
              <w:jc w:val="right"/>
              <w:rPr>
                <w:rFonts w:ascii="Calibri" w:hAnsi="Calibri"/>
              </w:rPr>
            </w:pPr>
            <w:r w:rsidRPr="00236A55">
              <w:rPr>
                <w:rFonts w:ascii="Calibri" w:hAnsi="Calibri"/>
                <w:color w:val="000000"/>
                <w:szCs w:val="22"/>
              </w:rPr>
              <w:t>$8,373,593</w:t>
            </w:r>
          </w:p>
        </w:tc>
        <w:tc>
          <w:tcPr>
            <w:tcW w:w="1209" w:type="dxa"/>
            <w:shd w:val="clear" w:color="auto" w:fill="D9E2F3"/>
          </w:tcPr>
          <w:p w14:paraId="28E0AD10" w14:textId="77777777" w:rsidR="008E661E" w:rsidRPr="00236A55" w:rsidRDefault="008E661E" w:rsidP="000C039C">
            <w:pPr>
              <w:widowControl/>
              <w:jc w:val="right"/>
              <w:rPr>
                <w:rFonts w:ascii="Calibri" w:hAnsi="Calibri"/>
              </w:rPr>
            </w:pPr>
            <w:r w:rsidRPr="00236A55">
              <w:rPr>
                <w:rFonts w:ascii="Calibri" w:hAnsi="Calibri"/>
                <w:color w:val="000000"/>
                <w:szCs w:val="22"/>
              </w:rPr>
              <w:t>-69%</w:t>
            </w:r>
          </w:p>
        </w:tc>
      </w:tr>
      <w:tr w:rsidR="008E661E" w:rsidRPr="004A1A72" w14:paraId="2FC77325" w14:textId="77777777" w:rsidTr="000C039C">
        <w:trPr>
          <w:trHeight w:val="300"/>
          <w:jc w:val="center"/>
        </w:trPr>
        <w:tc>
          <w:tcPr>
            <w:tcW w:w="0" w:type="dxa"/>
            <w:shd w:val="clear" w:color="auto" w:fill="auto"/>
            <w:noWrap/>
            <w:hideMark/>
          </w:tcPr>
          <w:p w14:paraId="3ADD765D" w14:textId="77777777" w:rsidR="008E661E" w:rsidRPr="00236A55" w:rsidRDefault="008E661E" w:rsidP="000C039C">
            <w:pPr>
              <w:widowControl/>
              <w:rPr>
                <w:rFonts w:ascii="Calibri" w:hAnsi="Calibri"/>
                <w:bCs/>
              </w:rPr>
            </w:pPr>
            <w:r w:rsidRPr="00236A55">
              <w:rPr>
                <w:rFonts w:ascii="Calibri" w:hAnsi="Calibri"/>
                <w:bCs/>
                <w:color w:val="000000"/>
                <w:szCs w:val="22"/>
              </w:rPr>
              <w:t>NM</w:t>
            </w:r>
          </w:p>
        </w:tc>
        <w:tc>
          <w:tcPr>
            <w:tcW w:w="1965" w:type="dxa"/>
            <w:shd w:val="clear" w:color="auto" w:fill="auto"/>
            <w:noWrap/>
            <w:hideMark/>
          </w:tcPr>
          <w:p w14:paraId="5D129723" w14:textId="77777777" w:rsidR="008E661E" w:rsidRPr="00236A55" w:rsidRDefault="008E661E" w:rsidP="000C039C">
            <w:pPr>
              <w:widowControl/>
              <w:jc w:val="right"/>
              <w:rPr>
                <w:rFonts w:ascii="Calibri" w:hAnsi="Calibri"/>
              </w:rPr>
            </w:pPr>
            <w:r w:rsidRPr="00236A55">
              <w:rPr>
                <w:rFonts w:ascii="Calibri" w:hAnsi="Calibri"/>
                <w:color w:val="000000"/>
                <w:szCs w:val="22"/>
              </w:rPr>
              <w:t>$6,401,801</w:t>
            </w:r>
          </w:p>
        </w:tc>
        <w:tc>
          <w:tcPr>
            <w:tcW w:w="2085" w:type="dxa"/>
            <w:shd w:val="clear" w:color="auto" w:fill="auto"/>
            <w:noWrap/>
            <w:hideMark/>
          </w:tcPr>
          <w:p w14:paraId="2D3D1340" w14:textId="77777777" w:rsidR="008E661E" w:rsidRPr="00236A55" w:rsidRDefault="008E661E" w:rsidP="000C039C">
            <w:pPr>
              <w:widowControl/>
              <w:jc w:val="right"/>
              <w:rPr>
                <w:rFonts w:ascii="Calibri" w:hAnsi="Calibri"/>
              </w:rPr>
            </w:pPr>
            <w:r w:rsidRPr="00236A55">
              <w:rPr>
                <w:rFonts w:ascii="Calibri" w:hAnsi="Calibri"/>
                <w:color w:val="000000"/>
                <w:szCs w:val="22"/>
              </w:rPr>
              <w:t>$5,231,620</w:t>
            </w:r>
          </w:p>
        </w:tc>
        <w:tc>
          <w:tcPr>
            <w:tcW w:w="0" w:type="dxa"/>
            <w:shd w:val="clear" w:color="auto" w:fill="auto"/>
            <w:noWrap/>
            <w:hideMark/>
          </w:tcPr>
          <w:p w14:paraId="1B18498E" w14:textId="77777777" w:rsidR="008E661E" w:rsidRPr="00236A55" w:rsidRDefault="008E661E" w:rsidP="000C039C">
            <w:pPr>
              <w:widowControl/>
              <w:jc w:val="right"/>
              <w:rPr>
                <w:rFonts w:ascii="Calibri" w:hAnsi="Calibri"/>
              </w:rPr>
            </w:pPr>
            <w:r w:rsidRPr="00236A55">
              <w:rPr>
                <w:rFonts w:ascii="Calibri" w:hAnsi="Calibri"/>
                <w:color w:val="000000"/>
                <w:szCs w:val="22"/>
              </w:rPr>
              <w:t>$3,123,636</w:t>
            </w:r>
          </w:p>
        </w:tc>
        <w:tc>
          <w:tcPr>
            <w:tcW w:w="1209" w:type="dxa"/>
            <w:shd w:val="clear" w:color="auto" w:fill="auto"/>
          </w:tcPr>
          <w:p w14:paraId="0DCA951F" w14:textId="77777777" w:rsidR="008E661E" w:rsidRPr="00236A55" w:rsidRDefault="008E661E" w:rsidP="000C039C">
            <w:pPr>
              <w:widowControl/>
              <w:jc w:val="right"/>
              <w:rPr>
                <w:rFonts w:ascii="Calibri" w:hAnsi="Calibri"/>
              </w:rPr>
            </w:pPr>
            <w:r w:rsidRPr="00236A55">
              <w:rPr>
                <w:rFonts w:ascii="Calibri" w:hAnsi="Calibri"/>
                <w:color w:val="000000"/>
                <w:szCs w:val="22"/>
              </w:rPr>
              <w:t>-51%</w:t>
            </w:r>
          </w:p>
        </w:tc>
      </w:tr>
      <w:tr w:rsidR="008E661E" w:rsidRPr="004A1A72" w14:paraId="75466E42" w14:textId="77777777" w:rsidTr="000C039C">
        <w:trPr>
          <w:trHeight w:val="300"/>
          <w:jc w:val="center"/>
        </w:trPr>
        <w:tc>
          <w:tcPr>
            <w:tcW w:w="0" w:type="dxa"/>
            <w:shd w:val="clear" w:color="auto" w:fill="D9E2F3"/>
            <w:noWrap/>
            <w:hideMark/>
          </w:tcPr>
          <w:p w14:paraId="119924B7" w14:textId="77777777" w:rsidR="008E661E" w:rsidRPr="00236A55" w:rsidRDefault="008E661E" w:rsidP="000C039C">
            <w:pPr>
              <w:widowControl/>
              <w:rPr>
                <w:rFonts w:ascii="Calibri" w:hAnsi="Calibri"/>
                <w:bCs/>
              </w:rPr>
            </w:pPr>
            <w:r w:rsidRPr="00236A55">
              <w:rPr>
                <w:rFonts w:ascii="Calibri" w:hAnsi="Calibri"/>
                <w:bCs/>
                <w:color w:val="000000"/>
                <w:szCs w:val="22"/>
              </w:rPr>
              <w:t>NV</w:t>
            </w:r>
          </w:p>
        </w:tc>
        <w:tc>
          <w:tcPr>
            <w:tcW w:w="1965" w:type="dxa"/>
            <w:shd w:val="clear" w:color="auto" w:fill="D9E2F3"/>
            <w:noWrap/>
            <w:hideMark/>
          </w:tcPr>
          <w:p w14:paraId="3B2244E4" w14:textId="77777777" w:rsidR="008E661E" w:rsidRPr="00236A55" w:rsidRDefault="008E661E" w:rsidP="000C039C">
            <w:pPr>
              <w:widowControl/>
              <w:jc w:val="right"/>
              <w:rPr>
                <w:rFonts w:ascii="Calibri" w:hAnsi="Calibri"/>
              </w:rPr>
            </w:pPr>
            <w:r w:rsidRPr="00236A55">
              <w:rPr>
                <w:rFonts w:ascii="Calibri" w:hAnsi="Calibri"/>
                <w:color w:val="000000"/>
                <w:szCs w:val="22"/>
              </w:rPr>
              <w:t>$2,689,357</w:t>
            </w:r>
          </w:p>
        </w:tc>
        <w:tc>
          <w:tcPr>
            <w:tcW w:w="2085" w:type="dxa"/>
            <w:shd w:val="clear" w:color="auto" w:fill="D9E2F3"/>
            <w:noWrap/>
            <w:hideMark/>
          </w:tcPr>
          <w:p w14:paraId="2CB9B273" w14:textId="77777777" w:rsidR="008E661E" w:rsidRPr="00236A55" w:rsidRDefault="008E661E" w:rsidP="000C039C">
            <w:pPr>
              <w:widowControl/>
              <w:jc w:val="right"/>
              <w:rPr>
                <w:rFonts w:ascii="Calibri" w:hAnsi="Calibri"/>
              </w:rPr>
            </w:pPr>
            <w:r w:rsidRPr="00236A55">
              <w:rPr>
                <w:rFonts w:ascii="Calibri" w:hAnsi="Calibri"/>
                <w:color w:val="000000"/>
                <w:szCs w:val="22"/>
              </w:rPr>
              <w:t>$1,370,744</w:t>
            </w:r>
          </w:p>
        </w:tc>
        <w:tc>
          <w:tcPr>
            <w:tcW w:w="0" w:type="dxa"/>
            <w:shd w:val="clear" w:color="auto" w:fill="D9E2F3"/>
            <w:noWrap/>
            <w:hideMark/>
          </w:tcPr>
          <w:p w14:paraId="6AFFB486" w14:textId="77777777" w:rsidR="008E661E" w:rsidRPr="00236A55" w:rsidRDefault="008E661E" w:rsidP="000C039C">
            <w:pPr>
              <w:widowControl/>
              <w:jc w:val="right"/>
              <w:rPr>
                <w:rFonts w:ascii="Calibri" w:hAnsi="Calibri"/>
              </w:rPr>
            </w:pPr>
            <w:r w:rsidRPr="00236A55">
              <w:rPr>
                <w:rFonts w:ascii="Calibri" w:hAnsi="Calibri"/>
                <w:color w:val="000000"/>
                <w:szCs w:val="22"/>
              </w:rPr>
              <w:t>$801,755</w:t>
            </w:r>
          </w:p>
        </w:tc>
        <w:tc>
          <w:tcPr>
            <w:tcW w:w="1209" w:type="dxa"/>
            <w:shd w:val="clear" w:color="auto" w:fill="D9E2F3"/>
          </w:tcPr>
          <w:p w14:paraId="6EBD7535" w14:textId="77777777" w:rsidR="008E661E" w:rsidRPr="00236A55" w:rsidRDefault="008E661E" w:rsidP="000C039C">
            <w:pPr>
              <w:widowControl/>
              <w:jc w:val="right"/>
              <w:rPr>
                <w:rFonts w:ascii="Calibri" w:hAnsi="Calibri"/>
              </w:rPr>
            </w:pPr>
            <w:r w:rsidRPr="00236A55">
              <w:rPr>
                <w:rFonts w:ascii="Calibri" w:hAnsi="Calibri"/>
                <w:color w:val="000000"/>
                <w:szCs w:val="22"/>
              </w:rPr>
              <w:t>-70%</w:t>
            </w:r>
          </w:p>
        </w:tc>
      </w:tr>
      <w:tr w:rsidR="008E661E" w:rsidRPr="004A1A72" w14:paraId="4E862B14" w14:textId="77777777" w:rsidTr="000C039C">
        <w:trPr>
          <w:trHeight w:val="300"/>
          <w:jc w:val="center"/>
        </w:trPr>
        <w:tc>
          <w:tcPr>
            <w:tcW w:w="0" w:type="dxa"/>
            <w:shd w:val="clear" w:color="auto" w:fill="auto"/>
            <w:noWrap/>
            <w:hideMark/>
          </w:tcPr>
          <w:p w14:paraId="2A00CB7F" w14:textId="77777777" w:rsidR="008E661E" w:rsidRPr="00236A55" w:rsidRDefault="008E661E" w:rsidP="000C039C">
            <w:pPr>
              <w:widowControl/>
              <w:rPr>
                <w:rFonts w:ascii="Calibri" w:hAnsi="Calibri"/>
                <w:bCs/>
              </w:rPr>
            </w:pPr>
            <w:r w:rsidRPr="00236A55">
              <w:rPr>
                <w:rFonts w:ascii="Calibri" w:hAnsi="Calibri"/>
                <w:bCs/>
                <w:color w:val="000000"/>
                <w:szCs w:val="22"/>
              </w:rPr>
              <w:t>NY</w:t>
            </w:r>
          </w:p>
        </w:tc>
        <w:tc>
          <w:tcPr>
            <w:tcW w:w="1965" w:type="dxa"/>
            <w:shd w:val="clear" w:color="auto" w:fill="auto"/>
            <w:noWrap/>
            <w:hideMark/>
          </w:tcPr>
          <w:p w14:paraId="7B8B81CD" w14:textId="77777777" w:rsidR="008E661E" w:rsidRPr="00236A55" w:rsidRDefault="008E661E" w:rsidP="000C039C">
            <w:pPr>
              <w:widowControl/>
              <w:jc w:val="right"/>
              <w:rPr>
                <w:rFonts w:ascii="Calibri" w:hAnsi="Calibri"/>
              </w:rPr>
            </w:pPr>
            <w:r w:rsidRPr="00236A55">
              <w:rPr>
                <w:rFonts w:ascii="Calibri" w:hAnsi="Calibri"/>
                <w:color w:val="000000"/>
                <w:szCs w:val="22"/>
              </w:rPr>
              <w:t>$48,730,682</w:t>
            </w:r>
          </w:p>
        </w:tc>
        <w:tc>
          <w:tcPr>
            <w:tcW w:w="2085" w:type="dxa"/>
            <w:shd w:val="clear" w:color="auto" w:fill="auto"/>
            <w:noWrap/>
            <w:hideMark/>
          </w:tcPr>
          <w:p w14:paraId="31FF9E4B" w14:textId="77777777" w:rsidR="008E661E" w:rsidRPr="00236A55" w:rsidRDefault="008E661E" w:rsidP="000C039C">
            <w:pPr>
              <w:widowControl/>
              <w:jc w:val="right"/>
              <w:rPr>
                <w:rFonts w:ascii="Calibri" w:hAnsi="Calibri"/>
              </w:rPr>
            </w:pPr>
            <w:r w:rsidRPr="00236A55">
              <w:rPr>
                <w:rFonts w:ascii="Calibri" w:hAnsi="Calibri"/>
                <w:color w:val="000000"/>
                <w:szCs w:val="22"/>
              </w:rPr>
              <w:t>$28,896,290</w:t>
            </w:r>
          </w:p>
        </w:tc>
        <w:tc>
          <w:tcPr>
            <w:tcW w:w="0" w:type="dxa"/>
            <w:shd w:val="clear" w:color="auto" w:fill="auto"/>
            <w:noWrap/>
            <w:hideMark/>
          </w:tcPr>
          <w:p w14:paraId="366870CC" w14:textId="77777777" w:rsidR="008E661E" w:rsidRPr="00236A55" w:rsidRDefault="008E661E" w:rsidP="000C039C">
            <w:pPr>
              <w:widowControl/>
              <w:jc w:val="right"/>
              <w:rPr>
                <w:rFonts w:ascii="Calibri" w:hAnsi="Calibri"/>
              </w:rPr>
            </w:pPr>
            <w:r w:rsidRPr="00236A55">
              <w:rPr>
                <w:rFonts w:ascii="Calibri" w:hAnsi="Calibri"/>
                <w:color w:val="000000"/>
                <w:szCs w:val="22"/>
              </w:rPr>
              <w:t>$20,904,921</w:t>
            </w:r>
          </w:p>
        </w:tc>
        <w:tc>
          <w:tcPr>
            <w:tcW w:w="1209" w:type="dxa"/>
            <w:shd w:val="clear" w:color="auto" w:fill="auto"/>
          </w:tcPr>
          <w:p w14:paraId="5FBC1BDF" w14:textId="77777777" w:rsidR="008E661E" w:rsidRPr="00236A55" w:rsidRDefault="008E661E" w:rsidP="000C039C">
            <w:pPr>
              <w:widowControl/>
              <w:jc w:val="right"/>
              <w:rPr>
                <w:rFonts w:ascii="Calibri" w:hAnsi="Calibri"/>
              </w:rPr>
            </w:pPr>
            <w:r w:rsidRPr="00236A55">
              <w:rPr>
                <w:rFonts w:ascii="Calibri" w:hAnsi="Calibri"/>
                <w:color w:val="000000"/>
                <w:szCs w:val="22"/>
              </w:rPr>
              <w:t>-57%</w:t>
            </w:r>
          </w:p>
        </w:tc>
      </w:tr>
      <w:tr w:rsidR="008E661E" w:rsidRPr="004A1A72" w14:paraId="5A6EC86A" w14:textId="77777777" w:rsidTr="000C039C">
        <w:trPr>
          <w:trHeight w:val="300"/>
          <w:jc w:val="center"/>
        </w:trPr>
        <w:tc>
          <w:tcPr>
            <w:tcW w:w="0" w:type="dxa"/>
            <w:shd w:val="clear" w:color="auto" w:fill="D9E2F3"/>
            <w:noWrap/>
            <w:hideMark/>
          </w:tcPr>
          <w:p w14:paraId="0C2F7BC8" w14:textId="77777777" w:rsidR="008E661E" w:rsidRPr="00236A55" w:rsidRDefault="008E661E" w:rsidP="000C039C">
            <w:pPr>
              <w:widowControl/>
              <w:rPr>
                <w:rFonts w:ascii="Calibri" w:hAnsi="Calibri"/>
                <w:bCs/>
              </w:rPr>
            </w:pPr>
            <w:r w:rsidRPr="00236A55">
              <w:rPr>
                <w:rFonts w:ascii="Calibri" w:hAnsi="Calibri"/>
                <w:bCs/>
                <w:color w:val="000000"/>
                <w:szCs w:val="22"/>
              </w:rPr>
              <w:t>OH</w:t>
            </w:r>
          </w:p>
        </w:tc>
        <w:tc>
          <w:tcPr>
            <w:tcW w:w="1965" w:type="dxa"/>
            <w:shd w:val="clear" w:color="auto" w:fill="D9E2F3"/>
            <w:noWrap/>
            <w:hideMark/>
          </w:tcPr>
          <w:p w14:paraId="14AC4F25" w14:textId="77777777" w:rsidR="008E661E" w:rsidRPr="00236A55" w:rsidRDefault="008E661E" w:rsidP="000C039C">
            <w:pPr>
              <w:widowControl/>
              <w:jc w:val="right"/>
              <w:rPr>
                <w:rFonts w:ascii="Calibri" w:hAnsi="Calibri"/>
              </w:rPr>
            </w:pPr>
            <w:r w:rsidRPr="00236A55">
              <w:rPr>
                <w:rFonts w:ascii="Calibri" w:hAnsi="Calibri"/>
                <w:color w:val="000000"/>
                <w:szCs w:val="22"/>
              </w:rPr>
              <w:t>$22,102,592</w:t>
            </w:r>
          </w:p>
        </w:tc>
        <w:tc>
          <w:tcPr>
            <w:tcW w:w="2085" w:type="dxa"/>
            <w:shd w:val="clear" w:color="auto" w:fill="D9E2F3"/>
            <w:noWrap/>
            <w:hideMark/>
          </w:tcPr>
          <w:p w14:paraId="31650DB7" w14:textId="77777777" w:rsidR="008E661E" w:rsidRPr="00236A55" w:rsidRDefault="008E661E" w:rsidP="000C039C">
            <w:pPr>
              <w:widowControl/>
              <w:jc w:val="right"/>
              <w:rPr>
                <w:rFonts w:ascii="Calibri" w:hAnsi="Calibri"/>
              </w:rPr>
            </w:pPr>
            <w:r w:rsidRPr="00236A55">
              <w:rPr>
                <w:rFonts w:ascii="Calibri" w:hAnsi="Calibri"/>
                <w:color w:val="000000"/>
                <w:szCs w:val="22"/>
              </w:rPr>
              <w:t>$20,094,851</w:t>
            </w:r>
          </w:p>
        </w:tc>
        <w:tc>
          <w:tcPr>
            <w:tcW w:w="0" w:type="dxa"/>
            <w:shd w:val="clear" w:color="auto" w:fill="D9E2F3"/>
            <w:noWrap/>
            <w:hideMark/>
          </w:tcPr>
          <w:p w14:paraId="0CCC0611" w14:textId="77777777" w:rsidR="008E661E" w:rsidRPr="00236A55" w:rsidRDefault="008E661E" w:rsidP="000C039C">
            <w:pPr>
              <w:widowControl/>
              <w:jc w:val="right"/>
              <w:rPr>
                <w:rFonts w:ascii="Calibri" w:hAnsi="Calibri"/>
              </w:rPr>
            </w:pPr>
            <w:r w:rsidRPr="00236A55">
              <w:rPr>
                <w:rFonts w:ascii="Calibri" w:hAnsi="Calibri"/>
                <w:color w:val="000000"/>
                <w:szCs w:val="22"/>
              </w:rPr>
              <w:t>$12,092,471</w:t>
            </w:r>
          </w:p>
        </w:tc>
        <w:tc>
          <w:tcPr>
            <w:tcW w:w="1209" w:type="dxa"/>
            <w:shd w:val="clear" w:color="auto" w:fill="D9E2F3"/>
          </w:tcPr>
          <w:p w14:paraId="0A1172D3" w14:textId="77777777" w:rsidR="008E661E" w:rsidRPr="00236A55" w:rsidRDefault="008E661E" w:rsidP="000C039C">
            <w:pPr>
              <w:widowControl/>
              <w:jc w:val="right"/>
              <w:rPr>
                <w:rFonts w:ascii="Calibri" w:hAnsi="Calibri"/>
              </w:rPr>
            </w:pPr>
            <w:r w:rsidRPr="00236A55">
              <w:rPr>
                <w:rFonts w:ascii="Calibri" w:hAnsi="Calibri"/>
                <w:color w:val="000000"/>
                <w:szCs w:val="22"/>
              </w:rPr>
              <w:t>-45%</w:t>
            </w:r>
          </w:p>
        </w:tc>
      </w:tr>
      <w:tr w:rsidR="008E661E" w:rsidRPr="004A1A72" w14:paraId="5BEE50F3" w14:textId="77777777" w:rsidTr="000C039C">
        <w:trPr>
          <w:trHeight w:val="300"/>
          <w:jc w:val="center"/>
        </w:trPr>
        <w:tc>
          <w:tcPr>
            <w:tcW w:w="0" w:type="dxa"/>
            <w:shd w:val="clear" w:color="auto" w:fill="auto"/>
            <w:noWrap/>
            <w:hideMark/>
          </w:tcPr>
          <w:p w14:paraId="670B7A73" w14:textId="77777777" w:rsidR="008E661E" w:rsidRPr="00236A55" w:rsidRDefault="008E661E" w:rsidP="000C039C">
            <w:pPr>
              <w:widowControl/>
              <w:rPr>
                <w:rFonts w:ascii="Calibri" w:hAnsi="Calibri"/>
                <w:bCs/>
              </w:rPr>
            </w:pPr>
            <w:r w:rsidRPr="00236A55">
              <w:rPr>
                <w:rFonts w:ascii="Calibri" w:hAnsi="Calibri"/>
                <w:bCs/>
                <w:color w:val="000000"/>
                <w:szCs w:val="22"/>
              </w:rPr>
              <w:t>OK</w:t>
            </w:r>
          </w:p>
        </w:tc>
        <w:tc>
          <w:tcPr>
            <w:tcW w:w="1965" w:type="dxa"/>
            <w:shd w:val="clear" w:color="auto" w:fill="auto"/>
            <w:noWrap/>
            <w:hideMark/>
          </w:tcPr>
          <w:p w14:paraId="3E6575DA" w14:textId="77777777" w:rsidR="008E661E" w:rsidRPr="00236A55" w:rsidRDefault="008E661E" w:rsidP="000C039C">
            <w:pPr>
              <w:widowControl/>
              <w:jc w:val="right"/>
              <w:rPr>
                <w:rFonts w:ascii="Calibri" w:hAnsi="Calibri"/>
              </w:rPr>
            </w:pPr>
            <w:r w:rsidRPr="00236A55">
              <w:rPr>
                <w:rFonts w:ascii="Calibri" w:hAnsi="Calibri"/>
                <w:color w:val="000000"/>
                <w:szCs w:val="22"/>
              </w:rPr>
              <w:t>$14,022,055</w:t>
            </w:r>
          </w:p>
        </w:tc>
        <w:tc>
          <w:tcPr>
            <w:tcW w:w="2085" w:type="dxa"/>
            <w:shd w:val="clear" w:color="auto" w:fill="auto"/>
            <w:noWrap/>
            <w:hideMark/>
          </w:tcPr>
          <w:p w14:paraId="5567117F" w14:textId="77777777" w:rsidR="008E661E" w:rsidRPr="00236A55" w:rsidRDefault="008E661E" w:rsidP="000C039C">
            <w:pPr>
              <w:widowControl/>
              <w:jc w:val="right"/>
              <w:rPr>
                <w:rFonts w:ascii="Calibri" w:hAnsi="Calibri"/>
              </w:rPr>
            </w:pPr>
            <w:r w:rsidRPr="00236A55">
              <w:rPr>
                <w:rFonts w:ascii="Calibri" w:hAnsi="Calibri"/>
                <w:color w:val="000000"/>
                <w:szCs w:val="22"/>
              </w:rPr>
              <w:t>$8,449,227</w:t>
            </w:r>
          </w:p>
        </w:tc>
        <w:tc>
          <w:tcPr>
            <w:tcW w:w="0" w:type="dxa"/>
            <w:shd w:val="clear" w:color="auto" w:fill="auto"/>
            <w:noWrap/>
            <w:hideMark/>
          </w:tcPr>
          <w:p w14:paraId="6E172527" w14:textId="77777777" w:rsidR="008E661E" w:rsidRPr="00236A55" w:rsidRDefault="008E661E" w:rsidP="000C039C">
            <w:pPr>
              <w:widowControl/>
              <w:jc w:val="right"/>
              <w:rPr>
                <w:rFonts w:ascii="Calibri" w:hAnsi="Calibri"/>
              </w:rPr>
            </w:pPr>
            <w:r w:rsidRPr="00236A55">
              <w:rPr>
                <w:rFonts w:ascii="Calibri" w:hAnsi="Calibri"/>
                <w:color w:val="000000"/>
                <w:szCs w:val="22"/>
              </w:rPr>
              <w:t>$4,814,732</w:t>
            </w:r>
          </w:p>
        </w:tc>
        <w:tc>
          <w:tcPr>
            <w:tcW w:w="1209" w:type="dxa"/>
            <w:shd w:val="clear" w:color="auto" w:fill="auto"/>
          </w:tcPr>
          <w:p w14:paraId="08F93837" w14:textId="77777777" w:rsidR="008E661E" w:rsidRPr="00236A55" w:rsidRDefault="008E661E" w:rsidP="000C039C">
            <w:pPr>
              <w:widowControl/>
              <w:jc w:val="right"/>
              <w:rPr>
                <w:rFonts w:ascii="Calibri" w:hAnsi="Calibri"/>
              </w:rPr>
            </w:pPr>
            <w:r w:rsidRPr="00236A55">
              <w:rPr>
                <w:rFonts w:ascii="Calibri" w:hAnsi="Calibri"/>
                <w:color w:val="000000"/>
                <w:szCs w:val="22"/>
              </w:rPr>
              <w:t>-66%</w:t>
            </w:r>
          </w:p>
        </w:tc>
      </w:tr>
      <w:tr w:rsidR="008E661E" w:rsidRPr="004A1A72" w14:paraId="3BAB541E" w14:textId="77777777" w:rsidTr="000C039C">
        <w:trPr>
          <w:trHeight w:val="300"/>
          <w:jc w:val="center"/>
        </w:trPr>
        <w:tc>
          <w:tcPr>
            <w:tcW w:w="0" w:type="dxa"/>
            <w:shd w:val="clear" w:color="auto" w:fill="D9E2F3"/>
            <w:noWrap/>
            <w:hideMark/>
          </w:tcPr>
          <w:p w14:paraId="60A4523E" w14:textId="77777777" w:rsidR="008E661E" w:rsidRPr="00236A55" w:rsidRDefault="008E661E" w:rsidP="000C039C">
            <w:pPr>
              <w:widowControl/>
              <w:rPr>
                <w:rFonts w:ascii="Calibri" w:hAnsi="Calibri"/>
                <w:bCs/>
              </w:rPr>
            </w:pPr>
            <w:r w:rsidRPr="00236A55">
              <w:rPr>
                <w:rFonts w:ascii="Calibri" w:hAnsi="Calibri"/>
                <w:bCs/>
                <w:color w:val="000000"/>
                <w:szCs w:val="22"/>
              </w:rPr>
              <w:t>OR</w:t>
            </w:r>
          </w:p>
        </w:tc>
        <w:tc>
          <w:tcPr>
            <w:tcW w:w="1965" w:type="dxa"/>
            <w:shd w:val="clear" w:color="auto" w:fill="D9E2F3"/>
            <w:noWrap/>
            <w:hideMark/>
          </w:tcPr>
          <w:p w14:paraId="1AF3F7CE" w14:textId="77777777" w:rsidR="008E661E" w:rsidRPr="00236A55" w:rsidRDefault="008E661E" w:rsidP="000C039C">
            <w:pPr>
              <w:widowControl/>
              <w:jc w:val="right"/>
              <w:rPr>
                <w:rFonts w:ascii="Calibri" w:hAnsi="Calibri"/>
              </w:rPr>
            </w:pPr>
            <w:r w:rsidRPr="00236A55">
              <w:rPr>
                <w:rFonts w:ascii="Calibri" w:hAnsi="Calibri"/>
                <w:color w:val="000000"/>
                <w:szCs w:val="22"/>
              </w:rPr>
              <w:t>$5,558,719</w:t>
            </w:r>
          </w:p>
        </w:tc>
        <w:tc>
          <w:tcPr>
            <w:tcW w:w="2085" w:type="dxa"/>
            <w:shd w:val="clear" w:color="auto" w:fill="D9E2F3"/>
            <w:noWrap/>
            <w:hideMark/>
          </w:tcPr>
          <w:p w14:paraId="1C76672A" w14:textId="77777777" w:rsidR="008E661E" w:rsidRPr="00236A55" w:rsidRDefault="008E661E" w:rsidP="000C039C">
            <w:pPr>
              <w:widowControl/>
              <w:jc w:val="right"/>
              <w:rPr>
                <w:rFonts w:ascii="Calibri" w:hAnsi="Calibri"/>
              </w:rPr>
            </w:pPr>
            <w:r w:rsidRPr="00236A55">
              <w:rPr>
                <w:rFonts w:ascii="Calibri" w:hAnsi="Calibri"/>
                <w:color w:val="000000"/>
                <w:szCs w:val="22"/>
              </w:rPr>
              <w:t>$3,738,349</w:t>
            </w:r>
          </w:p>
        </w:tc>
        <w:tc>
          <w:tcPr>
            <w:tcW w:w="0" w:type="dxa"/>
            <w:shd w:val="clear" w:color="auto" w:fill="D9E2F3"/>
            <w:noWrap/>
            <w:hideMark/>
          </w:tcPr>
          <w:p w14:paraId="05607B1F" w14:textId="77777777" w:rsidR="008E661E" w:rsidRPr="00236A55" w:rsidRDefault="008E661E" w:rsidP="000C039C">
            <w:pPr>
              <w:widowControl/>
              <w:jc w:val="right"/>
              <w:rPr>
                <w:rFonts w:ascii="Calibri" w:hAnsi="Calibri"/>
              </w:rPr>
            </w:pPr>
            <w:r w:rsidRPr="00236A55">
              <w:rPr>
                <w:rFonts w:ascii="Calibri" w:hAnsi="Calibri"/>
                <w:color w:val="000000"/>
                <w:szCs w:val="22"/>
              </w:rPr>
              <w:t>$2,316,237</w:t>
            </w:r>
          </w:p>
        </w:tc>
        <w:tc>
          <w:tcPr>
            <w:tcW w:w="1209" w:type="dxa"/>
            <w:shd w:val="clear" w:color="auto" w:fill="D9E2F3"/>
          </w:tcPr>
          <w:p w14:paraId="616004F7" w14:textId="77777777" w:rsidR="008E661E" w:rsidRPr="00236A55" w:rsidRDefault="008E661E" w:rsidP="000C039C">
            <w:pPr>
              <w:widowControl/>
              <w:jc w:val="right"/>
              <w:rPr>
                <w:rFonts w:ascii="Calibri" w:hAnsi="Calibri"/>
              </w:rPr>
            </w:pPr>
            <w:r w:rsidRPr="00236A55">
              <w:rPr>
                <w:rFonts w:ascii="Calibri" w:hAnsi="Calibri"/>
                <w:color w:val="000000"/>
                <w:szCs w:val="22"/>
              </w:rPr>
              <w:t>-58%</w:t>
            </w:r>
          </w:p>
        </w:tc>
      </w:tr>
      <w:tr w:rsidR="008E661E" w:rsidRPr="004A1A72" w14:paraId="437024C1" w14:textId="77777777" w:rsidTr="000C039C">
        <w:trPr>
          <w:trHeight w:val="300"/>
          <w:jc w:val="center"/>
        </w:trPr>
        <w:tc>
          <w:tcPr>
            <w:tcW w:w="0" w:type="dxa"/>
            <w:shd w:val="clear" w:color="auto" w:fill="auto"/>
            <w:noWrap/>
            <w:hideMark/>
          </w:tcPr>
          <w:p w14:paraId="36C6DB51" w14:textId="77777777" w:rsidR="008E661E" w:rsidRPr="00236A55" w:rsidRDefault="008E661E" w:rsidP="000C039C">
            <w:pPr>
              <w:widowControl/>
              <w:rPr>
                <w:rFonts w:ascii="Calibri" w:hAnsi="Calibri"/>
                <w:bCs/>
              </w:rPr>
            </w:pPr>
            <w:r w:rsidRPr="00236A55">
              <w:rPr>
                <w:rFonts w:ascii="Calibri" w:hAnsi="Calibri"/>
                <w:bCs/>
                <w:color w:val="000000"/>
                <w:szCs w:val="22"/>
              </w:rPr>
              <w:t>PA</w:t>
            </w:r>
          </w:p>
        </w:tc>
        <w:tc>
          <w:tcPr>
            <w:tcW w:w="1965" w:type="dxa"/>
            <w:shd w:val="clear" w:color="auto" w:fill="auto"/>
            <w:noWrap/>
            <w:hideMark/>
          </w:tcPr>
          <w:p w14:paraId="05D872CB" w14:textId="77777777" w:rsidR="008E661E" w:rsidRPr="00236A55" w:rsidRDefault="008E661E" w:rsidP="000C039C">
            <w:pPr>
              <w:widowControl/>
              <w:jc w:val="right"/>
              <w:rPr>
                <w:rFonts w:ascii="Calibri" w:hAnsi="Calibri"/>
              </w:rPr>
            </w:pPr>
            <w:r w:rsidRPr="00236A55">
              <w:rPr>
                <w:rFonts w:ascii="Calibri" w:hAnsi="Calibri"/>
                <w:color w:val="000000"/>
                <w:szCs w:val="22"/>
              </w:rPr>
              <w:t>$25,935,144</w:t>
            </w:r>
          </w:p>
        </w:tc>
        <w:tc>
          <w:tcPr>
            <w:tcW w:w="2085" w:type="dxa"/>
            <w:shd w:val="clear" w:color="auto" w:fill="auto"/>
            <w:noWrap/>
            <w:hideMark/>
          </w:tcPr>
          <w:p w14:paraId="5BB88A58" w14:textId="77777777" w:rsidR="008E661E" w:rsidRPr="00236A55" w:rsidRDefault="008E661E" w:rsidP="000C039C">
            <w:pPr>
              <w:widowControl/>
              <w:jc w:val="right"/>
              <w:rPr>
                <w:rFonts w:ascii="Calibri" w:hAnsi="Calibri"/>
              </w:rPr>
            </w:pPr>
            <w:r w:rsidRPr="00236A55">
              <w:rPr>
                <w:rFonts w:ascii="Calibri" w:hAnsi="Calibri"/>
                <w:color w:val="000000"/>
                <w:szCs w:val="22"/>
              </w:rPr>
              <w:t>$14,824,375</w:t>
            </w:r>
          </w:p>
        </w:tc>
        <w:tc>
          <w:tcPr>
            <w:tcW w:w="0" w:type="dxa"/>
            <w:shd w:val="clear" w:color="auto" w:fill="auto"/>
            <w:noWrap/>
            <w:hideMark/>
          </w:tcPr>
          <w:p w14:paraId="51A03F70" w14:textId="77777777" w:rsidR="008E661E" w:rsidRPr="00236A55" w:rsidRDefault="008E661E" w:rsidP="000C039C">
            <w:pPr>
              <w:widowControl/>
              <w:jc w:val="right"/>
              <w:rPr>
                <w:rFonts w:ascii="Calibri" w:hAnsi="Calibri"/>
              </w:rPr>
            </w:pPr>
            <w:r w:rsidRPr="00236A55">
              <w:rPr>
                <w:rFonts w:ascii="Calibri" w:hAnsi="Calibri"/>
                <w:color w:val="000000"/>
                <w:szCs w:val="22"/>
              </w:rPr>
              <w:t>$7,794,940</w:t>
            </w:r>
          </w:p>
        </w:tc>
        <w:tc>
          <w:tcPr>
            <w:tcW w:w="1209" w:type="dxa"/>
            <w:shd w:val="clear" w:color="auto" w:fill="auto"/>
          </w:tcPr>
          <w:p w14:paraId="0BAE93FE" w14:textId="77777777" w:rsidR="008E661E" w:rsidRPr="00236A55" w:rsidRDefault="008E661E" w:rsidP="000C039C">
            <w:pPr>
              <w:widowControl/>
              <w:jc w:val="right"/>
              <w:rPr>
                <w:rFonts w:ascii="Calibri" w:hAnsi="Calibri"/>
              </w:rPr>
            </w:pPr>
            <w:r w:rsidRPr="00236A55">
              <w:rPr>
                <w:rFonts w:ascii="Calibri" w:hAnsi="Calibri"/>
                <w:color w:val="000000"/>
                <w:szCs w:val="22"/>
              </w:rPr>
              <w:t>-70%</w:t>
            </w:r>
          </w:p>
        </w:tc>
      </w:tr>
      <w:tr w:rsidR="008E661E" w:rsidRPr="004A1A72" w14:paraId="23CA0896" w14:textId="77777777" w:rsidTr="000C039C">
        <w:trPr>
          <w:trHeight w:val="300"/>
          <w:jc w:val="center"/>
        </w:trPr>
        <w:tc>
          <w:tcPr>
            <w:tcW w:w="0" w:type="dxa"/>
            <w:shd w:val="clear" w:color="auto" w:fill="D9E2F3"/>
            <w:noWrap/>
            <w:hideMark/>
          </w:tcPr>
          <w:p w14:paraId="403EE3C5" w14:textId="77777777" w:rsidR="008E661E" w:rsidRPr="00236A55" w:rsidRDefault="008E661E" w:rsidP="000C039C">
            <w:pPr>
              <w:widowControl/>
              <w:rPr>
                <w:rFonts w:ascii="Calibri" w:hAnsi="Calibri"/>
                <w:bCs/>
              </w:rPr>
            </w:pPr>
            <w:r w:rsidRPr="00236A55">
              <w:rPr>
                <w:rFonts w:ascii="Calibri" w:hAnsi="Calibri"/>
                <w:bCs/>
                <w:color w:val="000000"/>
                <w:szCs w:val="22"/>
              </w:rPr>
              <w:t>PR</w:t>
            </w:r>
          </w:p>
        </w:tc>
        <w:tc>
          <w:tcPr>
            <w:tcW w:w="1965" w:type="dxa"/>
            <w:shd w:val="clear" w:color="auto" w:fill="D9E2F3"/>
            <w:noWrap/>
            <w:hideMark/>
          </w:tcPr>
          <w:p w14:paraId="47B4C65F" w14:textId="77777777" w:rsidR="008E661E" w:rsidRPr="00236A55" w:rsidRDefault="008E661E" w:rsidP="000C039C">
            <w:pPr>
              <w:widowControl/>
              <w:jc w:val="right"/>
              <w:rPr>
                <w:rFonts w:ascii="Calibri" w:hAnsi="Calibri"/>
              </w:rPr>
            </w:pPr>
            <w:r w:rsidRPr="00236A55">
              <w:rPr>
                <w:rFonts w:ascii="Calibri" w:hAnsi="Calibri"/>
                <w:color w:val="000000"/>
                <w:szCs w:val="22"/>
              </w:rPr>
              <w:t>$3,318,186</w:t>
            </w:r>
          </w:p>
        </w:tc>
        <w:tc>
          <w:tcPr>
            <w:tcW w:w="2085" w:type="dxa"/>
            <w:shd w:val="clear" w:color="auto" w:fill="D9E2F3"/>
            <w:noWrap/>
            <w:hideMark/>
          </w:tcPr>
          <w:p w14:paraId="7D2B0120" w14:textId="77777777" w:rsidR="008E661E" w:rsidRPr="00236A55" w:rsidRDefault="008E661E" w:rsidP="000C039C">
            <w:pPr>
              <w:widowControl/>
              <w:jc w:val="right"/>
              <w:rPr>
                <w:rFonts w:ascii="Calibri" w:hAnsi="Calibri"/>
              </w:rPr>
            </w:pPr>
            <w:r w:rsidRPr="00236A55">
              <w:rPr>
                <w:rFonts w:ascii="Calibri" w:hAnsi="Calibri"/>
                <w:color w:val="000000"/>
                <w:szCs w:val="22"/>
              </w:rPr>
              <w:t>$2,487,099</w:t>
            </w:r>
          </w:p>
        </w:tc>
        <w:tc>
          <w:tcPr>
            <w:tcW w:w="0" w:type="dxa"/>
            <w:shd w:val="clear" w:color="auto" w:fill="D9E2F3"/>
            <w:noWrap/>
            <w:hideMark/>
          </w:tcPr>
          <w:p w14:paraId="75D727ED" w14:textId="77777777" w:rsidR="008E661E" w:rsidRPr="00236A55" w:rsidRDefault="008E661E" w:rsidP="000C039C">
            <w:pPr>
              <w:widowControl/>
              <w:jc w:val="right"/>
              <w:rPr>
                <w:rFonts w:ascii="Calibri" w:hAnsi="Calibri"/>
              </w:rPr>
            </w:pPr>
            <w:r w:rsidRPr="00236A55">
              <w:rPr>
                <w:rFonts w:ascii="Calibri" w:hAnsi="Calibri"/>
                <w:color w:val="000000"/>
                <w:szCs w:val="22"/>
              </w:rPr>
              <w:t>$1,600,913</w:t>
            </w:r>
          </w:p>
        </w:tc>
        <w:tc>
          <w:tcPr>
            <w:tcW w:w="1209" w:type="dxa"/>
            <w:shd w:val="clear" w:color="auto" w:fill="D9E2F3"/>
          </w:tcPr>
          <w:p w14:paraId="5A23A050" w14:textId="77777777" w:rsidR="008E661E" w:rsidRPr="00236A55" w:rsidRDefault="008E661E" w:rsidP="000C039C">
            <w:pPr>
              <w:widowControl/>
              <w:jc w:val="right"/>
              <w:rPr>
                <w:rFonts w:ascii="Calibri" w:hAnsi="Calibri"/>
              </w:rPr>
            </w:pPr>
            <w:r w:rsidRPr="00236A55">
              <w:rPr>
                <w:rFonts w:ascii="Calibri" w:hAnsi="Calibri"/>
                <w:color w:val="000000"/>
                <w:szCs w:val="22"/>
              </w:rPr>
              <w:t>-52%</w:t>
            </w:r>
          </w:p>
        </w:tc>
      </w:tr>
      <w:tr w:rsidR="008E661E" w:rsidRPr="004A1A72" w14:paraId="144BF942" w14:textId="77777777" w:rsidTr="000C039C">
        <w:trPr>
          <w:trHeight w:val="300"/>
          <w:jc w:val="center"/>
        </w:trPr>
        <w:tc>
          <w:tcPr>
            <w:tcW w:w="0" w:type="dxa"/>
            <w:shd w:val="clear" w:color="auto" w:fill="auto"/>
            <w:noWrap/>
            <w:hideMark/>
          </w:tcPr>
          <w:p w14:paraId="18B82F12" w14:textId="77777777" w:rsidR="008E661E" w:rsidRPr="00236A55" w:rsidRDefault="008E661E" w:rsidP="000C039C">
            <w:pPr>
              <w:widowControl/>
              <w:rPr>
                <w:rFonts w:ascii="Calibri" w:hAnsi="Calibri"/>
                <w:bCs/>
              </w:rPr>
            </w:pPr>
            <w:r w:rsidRPr="00236A55">
              <w:rPr>
                <w:rFonts w:ascii="Calibri" w:hAnsi="Calibri"/>
                <w:bCs/>
                <w:color w:val="000000"/>
                <w:szCs w:val="22"/>
              </w:rPr>
              <w:t>RI</w:t>
            </w:r>
          </w:p>
        </w:tc>
        <w:tc>
          <w:tcPr>
            <w:tcW w:w="1965" w:type="dxa"/>
            <w:shd w:val="clear" w:color="auto" w:fill="auto"/>
            <w:noWrap/>
            <w:hideMark/>
          </w:tcPr>
          <w:p w14:paraId="6CF29170" w14:textId="77777777" w:rsidR="008E661E" w:rsidRPr="00236A55" w:rsidRDefault="008E661E" w:rsidP="000C039C">
            <w:pPr>
              <w:widowControl/>
              <w:jc w:val="right"/>
              <w:rPr>
                <w:rFonts w:ascii="Calibri" w:hAnsi="Calibri"/>
              </w:rPr>
            </w:pPr>
            <w:r w:rsidRPr="00236A55">
              <w:rPr>
                <w:rFonts w:ascii="Calibri" w:hAnsi="Calibri"/>
                <w:color w:val="000000"/>
                <w:szCs w:val="22"/>
              </w:rPr>
              <w:t>$1,806,996</w:t>
            </w:r>
          </w:p>
        </w:tc>
        <w:tc>
          <w:tcPr>
            <w:tcW w:w="2085" w:type="dxa"/>
            <w:shd w:val="clear" w:color="auto" w:fill="auto"/>
            <w:noWrap/>
            <w:hideMark/>
          </w:tcPr>
          <w:p w14:paraId="30C275F7" w14:textId="77777777" w:rsidR="008E661E" w:rsidRPr="00236A55" w:rsidRDefault="008E661E" w:rsidP="000C039C">
            <w:pPr>
              <w:widowControl/>
              <w:jc w:val="right"/>
              <w:rPr>
                <w:rFonts w:ascii="Calibri" w:hAnsi="Calibri"/>
              </w:rPr>
            </w:pPr>
            <w:r w:rsidRPr="00236A55">
              <w:rPr>
                <w:rFonts w:ascii="Calibri" w:hAnsi="Calibri"/>
                <w:color w:val="000000"/>
                <w:szCs w:val="22"/>
              </w:rPr>
              <w:t>$1,235,707</w:t>
            </w:r>
          </w:p>
        </w:tc>
        <w:tc>
          <w:tcPr>
            <w:tcW w:w="0" w:type="dxa"/>
            <w:shd w:val="clear" w:color="auto" w:fill="auto"/>
            <w:noWrap/>
            <w:hideMark/>
          </w:tcPr>
          <w:p w14:paraId="2F345D5F" w14:textId="77777777" w:rsidR="008E661E" w:rsidRPr="00236A55" w:rsidRDefault="008E661E" w:rsidP="000C039C">
            <w:pPr>
              <w:widowControl/>
              <w:jc w:val="right"/>
              <w:rPr>
                <w:rFonts w:ascii="Calibri" w:hAnsi="Calibri"/>
              </w:rPr>
            </w:pPr>
            <w:r w:rsidRPr="00236A55">
              <w:rPr>
                <w:rFonts w:ascii="Calibri" w:hAnsi="Calibri"/>
                <w:color w:val="000000"/>
                <w:szCs w:val="22"/>
              </w:rPr>
              <w:t>$658,164</w:t>
            </w:r>
          </w:p>
        </w:tc>
        <w:tc>
          <w:tcPr>
            <w:tcW w:w="1209" w:type="dxa"/>
            <w:shd w:val="clear" w:color="auto" w:fill="auto"/>
          </w:tcPr>
          <w:p w14:paraId="06EEDAC9" w14:textId="77777777" w:rsidR="008E661E" w:rsidRPr="00236A55" w:rsidRDefault="008E661E" w:rsidP="000C039C">
            <w:pPr>
              <w:widowControl/>
              <w:jc w:val="right"/>
              <w:rPr>
                <w:rFonts w:ascii="Calibri" w:hAnsi="Calibri"/>
              </w:rPr>
            </w:pPr>
            <w:r w:rsidRPr="00236A55">
              <w:rPr>
                <w:rFonts w:ascii="Calibri" w:hAnsi="Calibri"/>
                <w:color w:val="000000"/>
                <w:szCs w:val="22"/>
              </w:rPr>
              <w:t>-64%</w:t>
            </w:r>
          </w:p>
        </w:tc>
      </w:tr>
      <w:tr w:rsidR="008E661E" w:rsidRPr="004A1A72" w14:paraId="56B9117A" w14:textId="77777777" w:rsidTr="000C039C">
        <w:trPr>
          <w:trHeight w:val="300"/>
          <w:jc w:val="center"/>
        </w:trPr>
        <w:tc>
          <w:tcPr>
            <w:tcW w:w="0" w:type="dxa"/>
            <w:shd w:val="clear" w:color="auto" w:fill="D9E2F3"/>
            <w:noWrap/>
            <w:hideMark/>
          </w:tcPr>
          <w:p w14:paraId="41A62135" w14:textId="77777777" w:rsidR="008E661E" w:rsidRPr="00236A55" w:rsidRDefault="008E661E" w:rsidP="000C039C">
            <w:pPr>
              <w:widowControl/>
              <w:rPr>
                <w:rFonts w:ascii="Calibri" w:hAnsi="Calibri"/>
                <w:bCs/>
              </w:rPr>
            </w:pPr>
            <w:r w:rsidRPr="00236A55">
              <w:rPr>
                <w:rFonts w:ascii="Calibri" w:hAnsi="Calibri"/>
                <w:bCs/>
                <w:color w:val="000000"/>
                <w:szCs w:val="22"/>
              </w:rPr>
              <w:t>SC</w:t>
            </w:r>
          </w:p>
        </w:tc>
        <w:tc>
          <w:tcPr>
            <w:tcW w:w="1965" w:type="dxa"/>
            <w:shd w:val="clear" w:color="auto" w:fill="D9E2F3"/>
            <w:noWrap/>
            <w:hideMark/>
          </w:tcPr>
          <w:p w14:paraId="1D54CBFE" w14:textId="77777777" w:rsidR="008E661E" w:rsidRPr="00236A55" w:rsidRDefault="008E661E" w:rsidP="000C039C">
            <w:pPr>
              <w:widowControl/>
              <w:jc w:val="right"/>
              <w:rPr>
                <w:rFonts w:ascii="Calibri" w:hAnsi="Calibri"/>
              </w:rPr>
            </w:pPr>
            <w:r w:rsidRPr="00236A55">
              <w:rPr>
                <w:rFonts w:ascii="Calibri" w:hAnsi="Calibri"/>
                <w:color w:val="000000"/>
                <w:szCs w:val="22"/>
              </w:rPr>
              <w:t>$12,036,639</w:t>
            </w:r>
          </w:p>
        </w:tc>
        <w:tc>
          <w:tcPr>
            <w:tcW w:w="2085" w:type="dxa"/>
            <w:shd w:val="clear" w:color="auto" w:fill="D9E2F3"/>
            <w:noWrap/>
            <w:hideMark/>
          </w:tcPr>
          <w:p w14:paraId="59228BAA" w14:textId="77777777" w:rsidR="008E661E" w:rsidRPr="00236A55" w:rsidRDefault="008E661E" w:rsidP="000C039C">
            <w:pPr>
              <w:widowControl/>
              <w:jc w:val="right"/>
              <w:rPr>
                <w:rFonts w:ascii="Calibri" w:hAnsi="Calibri"/>
              </w:rPr>
            </w:pPr>
            <w:r w:rsidRPr="00236A55">
              <w:rPr>
                <w:rFonts w:ascii="Calibri" w:hAnsi="Calibri"/>
                <w:color w:val="000000"/>
                <w:szCs w:val="22"/>
              </w:rPr>
              <w:t>$7,694,406</w:t>
            </w:r>
          </w:p>
        </w:tc>
        <w:tc>
          <w:tcPr>
            <w:tcW w:w="0" w:type="dxa"/>
            <w:shd w:val="clear" w:color="auto" w:fill="D9E2F3"/>
            <w:noWrap/>
            <w:hideMark/>
          </w:tcPr>
          <w:p w14:paraId="1D54E209" w14:textId="77777777" w:rsidR="008E661E" w:rsidRPr="00236A55" w:rsidRDefault="008E661E" w:rsidP="000C039C">
            <w:pPr>
              <w:widowControl/>
              <w:jc w:val="right"/>
              <w:rPr>
                <w:rFonts w:ascii="Calibri" w:hAnsi="Calibri"/>
              </w:rPr>
            </w:pPr>
            <w:r w:rsidRPr="00236A55">
              <w:rPr>
                <w:rFonts w:ascii="Calibri" w:hAnsi="Calibri"/>
                <w:color w:val="000000"/>
                <w:szCs w:val="22"/>
              </w:rPr>
              <w:t>$4,707,158</w:t>
            </w:r>
          </w:p>
        </w:tc>
        <w:tc>
          <w:tcPr>
            <w:tcW w:w="1209" w:type="dxa"/>
            <w:shd w:val="clear" w:color="auto" w:fill="D9E2F3"/>
          </w:tcPr>
          <w:p w14:paraId="5C702E9D" w14:textId="77777777" w:rsidR="008E661E" w:rsidRPr="00236A55" w:rsidRDefault="008E661E" w:rsidP="000C039C">
            <w:pPr>
              <w:widowControl/>
              <w:jc w:val="right"/>
              <w:rPr>
                <w:rFonts w:ascii="Calibri" w:hAnsi="Calibri"/>
              </w:rPr>
            </w:pPr>
            <w:r w:rsidRPr="00236A55">
              <w:rPr>
                <w:rFonts w:ascii="Calibri" w:hAnsi="Calibri"/>
                <w:color w:val="000000"/>
                <w:szCs w:val="22"/>
              </w:rPr>
              <w:t>-61%</w:t>
            </w:r>
          </w:p>
        </w:tc>
      </w:tr>
      <w:tr w:rsidR="008E661E" w:rsidRPr="004A1A72" w14:paraId="4D2D6838" w14:textId="77777777" w:rsidTr="000C039C">
        <w:trPr>
          <w:trHeight w:val="300"/>
          <w:jc w:val="center"/>
        </w:trPr>
        <w:tc>
          <w:tcPr>
            <w:tcW w:w="0" w:type="dxa"/>
            <w:shd w:val="clear" w:color="auto" w:fill="auto"/>
            <w:noWrap/>
            <w:hideMark/>
          </w:tcPr>
          <w:p w14:paraId="14E06A5C" w14:textId="77777777" w:rsidR="008E661E" w:rsidRPr="00236A55" w:rsidRDefault="008E661E" w:rsidP="000C039C">
            <w:pPr>
              <w:widowControl/>
              <w:rPr>
                <w:rFonts w:ascii="Calibri" w:hAnsi="Calibri"/>
                <w:bCs/>
              </w:rPr>
            </w:pPr>
            <w:r w:rsidRPr="00236A55">
              <w:rPr>
                <w:rFonts w:ascii="Calibri" w:hAnsi="Calibri"/>
                <w:bCs/>
                <w:color w:val="000000"/>
                <w:szCs w:val="22"/>
              </w:rPr>
              <w:t>SD</w:t>
            </w:r>
          </w:p>
        </w:tc>
        <w:tc>
          <w:tcPr>
            <w:tcW w:w="1965" w:type="dxa"/>
            <w:shd w:val="clear" w:color="auto" w:fill="auto"/>
            <w:noWrap/>
            <w:hideMark/>
          </w:tcPr>
          <w:p w14:paraId="005D1AA0" w14:textId="77777777" w:rsidR="008E661E" w:rsidRPr="00236A55" w:rsidRDefault="008E661E" w:rsidP="000C039C">
            <w:pPr>
              <w:widowControl/>
              <w:jc w:val="right"/>
              <w:rPr>
                <w:rFonts w:ascii="Calibri" w:hAnsi="Calibri"/>
              </w:rPr>
            </w:pPr>
            <w:r w:rsidRPr="00236A55">
              <w:rPr>
                <w:rFonts w:ascii="Calibri" w:hAnsi="Calibri"/>
                <w:color w:val="000000"/>
                <w:szCs w:val="22"/>
              </w:rPr>
              <w:t>$1,800,881</w:t>
            </w:r>
          </w:p>
        </w:tc>
        <w:tc>
          <w:tcPr>
            <w:tcW w:w="2085" w:type="dxa"/>
            <w:shd w:val="clear" w:color="auto" w:fill="auto"/>
            <w:noWrap/>
            <w:hideMark/>
          </w:tcPr>
          <w:p w14:paraId="0ED31F61" w14:textId="77777777" w:rsidR="008E661E" w:rsidRPr="00236A55" w:rsidRDefault="008E661E" w:rsidP="000C039C">
            <w:pPr>
              <w:widowControl/>
              <w:jc w:val="right"/>
              <w:rPr>
                <w:rFonts w:ascii="Calibri" w:hAnsi="Calibri"/>
              </w:rPr>
            </w:pPr>
            <w:r w:rsidRPr="00236A55">
              <w:rPr>
                <w:rFonts w:ascii="Calibri" w:hAnsi="Calibri"/>
                <w:color w:val="000000"/>
                <w:szCs w:val="22"/>
              </w:rPr>
              <w:t>$1,454,520</w:t>
            </w:r>
          </w:p>
        </w:tc>
        <w:tc>
          <w:tcPr>
            <w:tcW w:w="0" w:type="dxa"/>
            <w:shd w:val="clear" w:color="auto" w:fill="auto"/>
            <w:noWrap/>
            <w:hideMark/>
          </w:tcPr>
          <w:p w14:paraId="54678901" w14:textId="77777777" w:rsidR="008E661E" w:rsidRPr="00236A55" w:rsidRDefault="008E661E" w:rsidP="000C039C">
            <w:pPr>
              <w:widowControl/>
              <w:jc w:val="right"/>
              <w:rPr>
                <w:rFonts w:ascii="Calibri" w:hAnsi="Calibri"/>
              </w:rPr>
            </w:pPr>
            <w:r w:rsidRPr="00236A55">
              <w:rPr>
                <w:rFonts w:ascii="Calibri" w:hAnsi="Calibri"/>
                <w:color w:val="000000"/>
                <w:szCs w:val="22"/>
              </w:rPr>
              <w:t>$839,269</w:t>
            </w:r>
          </w:p>
        </w:tc>
        <w:tc>
          <w:tcPr>
            <w:tcW w:w="1209" w:type="dxa"/>
            <w:shd w:val="clear" w:color="auto" w:fill="auto"/>
          </w:tcPr>
          <w:p w14:paraId="22FFDF7C" w14:textId="77777777" w:rsidR="008E661E" w:rsidRPr="00236A55" w:rsidRDefault="008E661E" w:rsidP="000C039C">
            <w:pPr>
              <w:widowControl/>
              <w:jc w:val="right"/>
              <w:rPr>
                <w:rFonts w:ascii="Calibri" w:hAnsi="Calibri"/>
              </w:rPr>
            </w:pPr>
            <w:r w:rsidRPr="00236A55">
              <w:rPr>
                <w:rFonts w:ascii="Calibri" w:hAnsi="Calibri"/>
                <w:color w:val="000000"/>
                <w:szCs w:val="22"/>
              </w:rPr>
              <w:t>-53%</w:t>
            </w:r>
          </w:p>
        </w:tc>
      </w:tr>
      <w:tr w:rsidR="008E661E" w:rsidRPr="004A1A72" w14:paraId="2B45C37D" w14:textId="77777777" w:rsidTr="000C039C">
        <w:trPr>
          <w:trHeight w:val="300"/>
          <w:jc w:val="center"/>
        </w:trPr>
        <w:tc>
          <w:tcPr>
            <w:tcW w:w="0" w:type="dxa"/>
            <w:shd w:val="clear" w:color="auto" w:fill="D9E2F3"/>
            <w:noWrap/>
            <w:hideMark/>
          </w:tcPr>
          <w:p w14:paraId="620413D1" w14:textId="77777777" w:rsidR="008E661E" w:rsidRPr="00236A55" w:rsidRDefault="008E661E" w:rsidP="000C039C">
            <w:pPr>
              <w:widowControl/>
              <w:rPr>
                <w:rFonts w:ascii="Calibri" w:hAnsi="Calibri"/>
                <w:bCs/>
              </w:rPr>
            </w:pPr>
            <w:r w:rsidRPr="00236A55">
              <w:rPr>
                <w:rFonts w:ascii="Calibri" w:hAnsi="Calibri"/>
                <w:bCs/>
                <w:color w:val="000000"/>
                <w:szCs w:val="22"/>
              </w:rPr>
              <w:t>TN</w:t>
            </w:r>
          </w:p>
        </w:tc>
        <w:tc>
          <w:tcPr>
            <w:tcW w:w="1965" w:type="dxa"/>
            <w:shd w:val="clear" w:color="auto" w:fill="D9E2F3"/>
            <w:noWrap/>
            <w:hideMark/>
          </w:tcPr>
          <w:p w14:paraId="51793335" w14:textId="77777777" w:rsidR="008E661E" w:rsidRPr="00236A55" w:rsidRDefault="008E661E" w:rsidP="000C039C">
            <w:pPr>
              <w:widowControl/>
              <w:jc w:val="right"/>
              <w:rPr>
                <w:rFonts w:ascii="Calibri" w:hAnsi="Calibri"/>
              </w:rPr>
            </w:pPr>
            <w:r w:rsidRPr="00236A55">
              <w:rPr>
                <w:rFonts w:ascii="Calibri" w:hAnsi="Calibri"/>
                <w:color w:val="000000"/>
                <w:szCs w:val="22"/>
              </w:rPr>
              <w:t>$14,658,237</w:t>
            </w:r>
          </w:p>
        </w:tc>
        <w:tc>
          <w:tcPr>
            <w:tcW w:w="2085" w:type="dxa"/>
            <w:shd w:val="clear" w:color="auto" w:fill="D9E2F3"/>
            <w:noWrap/>
            <w:hideMark/>
          </w:tcPr>
          <w:p w14:paraId="31AE62E1" w14:textId="77777777" w:rsidR="008E661E" w:rsidRPr="00236A55" w:rsidRDefault="008E661E" w:rsidP="000C039C">
            <w:pPr>
              <w:widowControl/>
              <w:jc w:val="right"/>
              <w:rPr>
                <w:rFonts w:ascii="Calibri" w:hAnsi="Calibri"/>
              </w:rPr>
            </w:pPr>
            <w:r w:rsidRPr="00236A55">
              <w:rPr>
                <w:rFonts w:ascii="Calibri" w:hAnsi="Calibri"/>
                <w:color w:val="000000"/>
                <w:szCs w:val="22"/>
              </w:rPr>
              <w:t>$9,524,354</w:t>
            </w:r>
          </w:p>
        </w:tc>
        <w:tc>
          <w:tcPr>
            <w:tcW w:w="0" w:type="dxa"/>
            <w:shd w:val="clear" w:color="auto" w:fill="D9E2F3"/>
            <w:noWrap/>
            <w:hideMark/>
          </w:tcPr>
          <w:p w14:paraId="0A14176D" w14:textId="77777777" w:rsidR="008E661E" w:rsidRPr="00236A55" w:rsidRDefault="008E661E" w:rsidP="000C039C">
            <w:pPr>
              <w:widowControl/>
              <w:jc w:val="right"/>
              <w:rPr>
                <w:rFonts w:ascii="Calibri" w:hAnsi="Calibri"/>
              </w:rPr>
            </w:pPr>
            <w:r w:rsidRPr="00236A55">
              <w:rPr>
                <w:rFonts w:ascii="Calibri" w:hAnsi="Calibri"/>
                <w:color w:val="000000"/>
                <w:szCs w:val="22"/>
              </w:rPr>
              <w:t>$5,631,153</w:t>
            </w:r>
          </w:p>
        </w:tc>
        <w:tc>
          <w:tcPr>
            <w:tcW w:w="1209" w:type="dxa"/>
            <w:shd w:val="clear" w:color="auto" w:fill="D9E2F3"/>
          </w:tcPr>
          <w:p w14:paraId="3FD3613A" w14:textId="77777777" w:rsidR="008E661E" w:rsidRPr="00236A55" w:rsidRDefault="008E661E" w:rsidP="000C039C">
            <w:pPr>
              <w:widowControl/>
              <w:jc w:val="right"/>
              <w:rPr>
                <w:rFonts w:ascii="Calibri" w:hAnsi="Calibri"/>
              </w:rPr>
            </w:pPr>
            <w:r w:rsidRPr="00236A55">
              <w:rPr>
                <w:rFonts w:ascii="Calibri" w:hAnsi="Calibri"/>
                <w:color w:val="000000"/>
                <w:szCs w:val="22"/>
              </w:rPr>
              <w:t>-62%</w:t>
            </w:r>
          </w:p>
        </w:tc>
      </w:tr>
      <w:tr w:rsidR="008E661E" w:rsidRPr="004A1A72" w14:paraId="425594E3" w14:textId="77777777" w:rsidTr="000C039C">
        <w:trPr>
          <w:trHeight w:val="300"/>
          <w:jc w:val="center"/>
        </w:trPr>
        <w:tc>
          <w:tcPr>
            <w:tcW w:w="0" w:type="dxa"/>
            <w:shd w:val="clear" w:color="auto" w:fill="auto"/>
            <w:noWrap/>
            <w:hideMark/>
          </w:tcPr>
          <w:p w14:paraId="2E696EF3" w14:textId="77777777" w:rsidR="008E661E" w:rsidRPr="00236A55" w:rsidRDefault="008E661E" w:rsidP="000C039C">
            <w:pPr>
              <w:widowControl/>
              <w:rPr>
                <w:rFonts w:ascii="Calibri" w:hAnsi="Calibri"/>
                <w:bCs/>
              </w:rPr>
            </w:pPr>
            <w:r w:rsidRPr="00236A55">
              <w:rPr>
                <w:rFonts w:ascii="Calibri" w:hAnsi="Calibri"/>
                <w:bCs/>
                <w:color w:val="000000"/>
                <w:szCs w:val="22"/>
              </w:rPr>
              <w:t>TX</w:t>
            </w:r>
          </w:p>
        </w:tc>
        <w:tc>
          <w:tcPr>
            <w:tcW w:w="1965" w:type="dxa"/>
            <w:shd w:val="clear" w:color="auto" w:fill="auto"/>
            <w:noWrap/>
            <w:hideMark/>
          </w:tcPr>
          <w:p w14:paraId="1DD22045" w14:textId="77777777" w:rsidR="008E661E" w:rsidRPr="00236A55" w:rsidRDefault="008E661E" w:rsidP="000C039C">
            <w:pPr>
              <w:widowControl/>
              <w:jc w:val="right"/>
              <w:rPr>
                <w:rFonts w:ascii="Calibri" w:hAnsi="Calibri"/>
              </w:rPr>
            </w:pPr>
            <w:r w:rsidRPr="00236A55">
              <w:rPr>
                <w:rFonts w:ascii="Calibri" w:hAnsi="Calibri"/>
                <w:color w:val="000000"/>
                <w:szCs w:val="22"/>
              </w:rPr>
              <w:t>$65,596,410</w:t>
            </w:r>
          </w:p>
        </w:tc>
        <w:tc>
          <w:tcPr>
            <w:tcW w:w="2085" w:type="dxa"/>
            <w:shd w:val="clear" w:color="auto" w:fill="auto"/>
            <w:noWrap/>
            <w:hideMark/>
          </w:tcPr>
          <w:p w14:paraId="212CAF31" w14:textId="77777777" w:rsidR="008E661E" w:rsidRPr="00236A55" w:rsidRDefault="008E661E" w:rsidP="000C039C">
            <w:pPr>
              <w:widowControl/>
              <w:jc w:val="right"/>
              <w:rPr>
                <w:rFonts w:ascii="Calibri" w:hAnsi="Calibri"/>
              </w:rPr>
            </w:pPr>
            <w:r w:rsidRPr="00236A55">
              <w:rPr>
                <w:rFonts w:ascii="Calibri" w:hAnsi="Calibri"/>
                <w:color w:val="000000"/>
                <w:szCs w:val="22"/>
              </w:rPr>
              <w:t>$43,376,610</w:t>
            </w:r>
          </w:p>
        </w:tc>
        <w:tc>
          <w:tcPr>
            <w:tcW w:w="0" w:type="dxa"/>
            <w:shd w:val="clear" w:color="auto" w:fill="auto"/>
            <w:noWrap/>
            <w:hideMark/>
          </w:tcPr>
          <w:p w14:paraId="4A49A026" w14:textId="77777777" w:rsidR="008E661E" w:rsidRPr="00236A55" w:rsidRDefault="008E661E" w:rsidP="000C039C">
            <w:pPr>
              <w:widowControl/>
              <w:jc w:val="right"/>
              <w:rPr>
                <w:rFonts w:ascii="Calibri" w:hAnsi="Calibri"/>
              </w:rPr>
            </w:pPr>
            <w:r w:rsidRPr="00236A55">
              <w:rPr>
                <w:rFonts w:ascii="Calibri" w:hAnsi="Calibri"/>
                <w:color w:val="000000"/>
                <w:szCs w:val="22"/>
              </w:rPr>
              <w:t>$24,638,667</w:t>
            </w:r>
          </w:p>
        </w:tc>
        <w:tc>
          <w:tcPr>
            <w:tcW w:w="1209" w:type="dxa"/>
            <w:shd w:val="clear" w:color="auto" w:fill="auto"/>
          </w:tcPr>
          <w:p w14:paraId="0591B83C" w14:textId="77777777" w:rsidR="008E661E" w:rsidRPr="00236A55" w:rsidRDefault="008E661E" w:rsidP="000C039C">
            <w:pPr>
              <w:widowControl/>
              <w:jc w:val="right"/>
              <w:rPr>
                <w:rFonts w:ascii="Calibri" w:hAnsi="Calibri"/>
              </w:rPr>
            </w:pPr>
            <w:r w:rsidRPr="00236A55">
              <w:rPr>
                <w:rFonts w:ascii="Calibri" w:hAnsi="Calibri"/>
                <w:color w:val="000000"/>
                <w:szCs w:val="22"/>
              </w:rPr>
              <w:t>-62%</w:t>
            </w:r>
          </w:p>
        </w:tc>
      </w:tr>
      <w:tr w:rsidR="008E661E" w:rsidRPr="004A1A72" w14:paraId="44A4A806" w14:textId="77777777" w:rsidTr="000C039C">
        <w:trPr>
          <w:trHeight w:val="300"/>
          <w:jc w:val="center"/>
        </w:trPr>
        <w:tc>
          <w:tcPr>
            <w:tcW w:w="0" w:type="dxa"/>
            <w:shd w:val="clear" w:color="auto" w:fill="D9E2F3"/>
            <w:noWrap/>
            <w:hideMark/>
          </w:tcPr>
          <w:p w14:paraId="683DA00E" w14:textId="77777777" w:rsidR="008E661E" w:rsidRPr="00236A55" w:rsidRDefault="008E661E" w:rsidP="000C039C">
            <w:pPr>
              <w:widowControl/>
              <w:rPr>
                <w:rFonts w:ascii="Calibri" w:hAnsi="Calibri"/>
                <w:bCs/>
              </w:rPr>
            </w:pPr>
            <w:r w:rsidRPr="00236A55">
              <w:rPr>
                <w:rFonts w:ascii="Calibri" w:hAnsi="Calibri"/>
                <w:bCs/>
                <w:color w:val="000000"/>
                <w:szCs w:val="22"/>
              </w:rPr>
              <w:t>UT</w:t>
            </w:r>
          </w:p>
        </w:tc>
        <w:tc>
          <w:tcPr>
            <w:tcW w:w="1965" w:type="dxa"/>
            <w:shd w:val="clear" w:color="auto" w:fill="D9E2F3"/>
            <w:noWrap/>
            <w:hideMark/>
          </w:tcPr>
          <w:p w14:paraId="1F321FE4" w14:textId="77777777" w:rsidR="008E661E" w:rsidRPr="00236A55" w:rsidRDefault="008E661E" w:rsidP="000C039C">
            <w:pPr>
              <w:widowControl/>
              <w:jc w:val="right"/>
              <w:rPr>
                <w:rFonts w:ascii="Calibri" w:hAnsi="Calibri"/>
              </w:rPr>
            </w:pPr>
            <w:r w:rsidRPr="00236A55">
              <w:rPr>
                <w:rFonts w:ascii="Calibri" w:hAnsi="Calibri"/>
                <w:color w:val="000000"/>
                <w:szCs w:val="22"/>
              </w:rPr>
              <w:t>$3,778,744</w:t>
            </w:r>
          </w:p>
        </w:tc>
        <w:tc>
          <w:tcPr>
            <w:tcW w:w="2085" w:type="dxa"/>
            <w:shd w:val="clear" w:color="auto" w:fill="D9E2F3"/>
            <w:noWrap/>
            <w:hideMark/>
          </w:tcPr>
          <w:p w14:paraId="60FE2965" w14:textId="77777777" w:rsidR="008E661E" w:rsidRPr="00236A55" w:rsidRDefault="008E661E" w:rsidP="000C039C">
            <w:pPr>
              <w:widowControl/>
              <w:jc w:val="right"/>
              <w:rPr>
                <w:rFonts w:ascii="Calibri" w:hAnsi="Calibri"/>
              </w:rPr>
            </w:pPr>
            <w:r w:rsidRPr="00236A55">
              <w:rPr>
                <w:rFonts w:ascii="Calibri" w:hAnsi="Calibri"/>
                <w:color w:val="000000"/>
                <w:szCs w:val="22"/>
              </w:rPr>
              <w:t>$1,735,497</w:t>
            </w:r>
          </w:p>
        </w:tc>
        <w:tc>
          <w:tcPr>
            <w:tcW w:w="0" w:type="dxa"/>
            <w:shd w:val="clear" w:color="auto" w:fill="D9E2F3"/>
            <w:noWrap/>
            <w:hideMark/>
          </w:tcPr>
          <w:p w14:paraId="1186F10B" w14:textId="77777777" w:rsidR="008E661E" w:rsidRPr="00236A55" w:rsidRDefault="008E661E" w:rsidP="000C039C">
            <w:pPr>
              <w:widowControl/>
              <w:jc w:val="right"/>
              <w:rPr>
                <w:rFonts w:ascii="Calibri" w:hAnsi="Calibri"/>
              </w:rPr>
            </w:pPr>
            <w:r w:rsidRPr="00236A55">
              <w:rPr>
                <w:rFonts w:ascii="Calibri" w:hAnsi="Calibri"/>
                <w:color w:val="000000"/>
                <w:szCs w:val="22"/>
              </w:rPr>
              <w:t>$814,993</w:t>
            </w:r>
          </w:p>
        </w:tc>
        <w:tc>
          <w:tcPr>
            <w:tcW w:w="1209" w:type="dxa"/>
            <w:shd w:val="clear" w:color="auto" w:fill="D9E2F3"/>
          </w:tcPr>
          <w:p w14:paraId="00D9F550" w14:textId="77777777" w:rsidR="008E661E" w:rsidRPr="00236A55" w:rsidRDefault="008E661E" w:rsidP="000C039C">
            <w:pPr>
              <w:widowControl/>
              <w:jc w:val="right"/>
              <w:rPr>
                <w:rFonts w:ascii="Calibri" w:hAnsi="Calibri"/>
              </w:rPr>
            </w:pPr>
            <w:r w:rsidRPr="00236A55">
              <w:rPr>
                <w:rFonts w:ascii="Calibri" w:hAnsi="Calibri"/>
                <w:color w:val="000000"/>
                <w:szCs w:val="22"/>
              </w:rPr>
              <w:t>-78%</w:t>
            </w:r>
          </w:p>
        </w:tc>
      </w:tr>
      <w:tr w:rsidR="008E661E" w:rsidRPr="004A1A72" w14:paraId="4EFC32D7" w14:textId="77777777" w:rsidTr="000C039C">
        <w:trPr>
          <w:trHeight w:val="300"/>
          <w:jc w:val="center"/>
        </w:trPr>
        <w:tc>
          <w:tcPr>
            <w:tcW w:w="0" w:type="dxa"/>
            <w:shd w:val="clear" w:color="auto" w:fill="auto"/>
            <w:noWrap/>
            <w:hideMark/>
          </w:tcPr>
          <w:p w14:paraId="7BCEBD3A" w14:textId="77777777" w:rsidR="008E661E" w:rsidRPr="00236A55" w:rsidRDefault="008E661E" w:rsidP="000C039C">
            <w:pPr>
              <w:widowControl/>
              <w:rPr>
                <w:rFonts w:ascii="Calibri" w:hAnsi="Calibri"/>
                <w:bCs/>
              </w:rPr>
            </w:pPr>
            <w:r w:rsidRPr="00236A55">
              <w:rPr>
                <w:rFonts w:ascii="Calibri" w:hAnsi="Calibri"/>
                <w:bCs/>
                <w:color w:val="000000"/>
                <w:szCs w:val="22"/>
              </w:rPr>
              <w:t>VA</w:t>
            </w:r>
          </w:p>
        </w:tc>
        <w:tc>
          <w:tcPr>
            <w:tcW w:w="1965" w:type="dxa"/>
            <w:shd w:val="clear" w:color="auto" w:fill="auto"/>
            <w:noWrap/>
            <w:hideMark/>
          </w:tcPr>
          <w:p w14:paraId="453E5793" w14:textId="77777777" w:rsidR="008E661E" w:rsidRPr="00236A55" w:rsidRDefault="008E661E" w:rsidP="000C039C">
            <w:pPr>
              <w:widowControl/>
              <w:jc w:val="right"/>
              <w:rPr>
                <w:rFonts w:ascii="Calibri" w:hAnsi="Calibri"/>
              </w:rPr>
            </w:pPr>
            <w:r w:rsidRPr="00236A55">
              <w:rPr>
                <w:rFonts w:ascii="Calibri" w:hAnsi="Calibri"/>
                <w:color w:val="000000"/>
                <w:szCs w:val="22"/>
              </w:rPr>
              <w:t>$13,462,919</w:t>
            </w:r>
          </w:p>
        </w:tc>
        <w:tc>
          <w:tcPr>
            <w:tcW w:w="2085" w:type="dxa"/>
            <w:shd w:val="clear" w:color="auto" w:fill="auto"/>
            <w:noWrap/>
            <w:hideMark/>
          </w:tcPr>
          <w:p w14:paraId="03B285D6" w14:textId="77777777" w:rsidR="008E661E" w:rsidRPr="00236A55" w:rsidRDefault="008E661E" w:rsidP="000C039C">
            <w:pPr>
              <w:widowControl/>
              <w:jc w:val="right"/>
              <w:rPr>
                <w:rFonts w:ascii="Calibri" w:hAnsi="Calibri"/>
              </w:rPr>
            </w:pPr>
            <w:r w:rsidRPr="00236A55">
              <w:rPr>
                <w:rFonts w:ascii="Calibri" w:hAnsi="Calibri"/>
                <w:color w:val="000000"/>
                <w:szCs w:val="22"/>
              </w:rPr>
              <w:t>$8,603,669</w:t>
            </w:r>
          </w:p>
        </w:tc>
        <w:tc>
          <w:tcPr>
            <w:tcW w:w="0" w:type="dxa"/>
            <w:shd w:val="clear" w:color="auto" w:fill="auto"/>
            <w:noWrap/>
            <w:hideMark/>
          </w:tcPr>
          <w:p w14:paraId="72C517A4" w14:textId="77777777" w:rsidR="008E661E" w:rsidRPr="00236A55" w:rsidRDefault="008E661E" w:rsidP="000C039C">
            <w:pPr>
              <w:widowControl/>
              <w:jc w:val="right"/>
              <w:rPr>
                <w:rFonts w:ascii="Calibri" w:hAnsi="Calibri"/>
              </w:rPr>
            </w:pPr>
            <w:r w:rsidRPr="00236A55">
              <w:rPr>
                <w:rFonts w:ascii="Calibri" w:hAnsi="Calibri"/>
                <w:color w:val="000000"/>
                <w:szCs w:val="22"/>
              </w:rPr>
              <w:t>$4,327,105</w:t>
            </w:r>
          </w:p>
        </w:tc>
        <w:tc>
          <w:tcPr>
            <w:tcW w:w="1209" w:type="dxa"/>
            <w:shd w:val="clear" w:color="auto" w:fill="auto"/>
          </w:tcPr>
          <w:p w14:paraId="0E28D190" w14:textId="77777777" w:rsidR="008E661E" w:rsidRPr="00236A55" w:rsidRDefault="008E661E" w:rsidP="000C039C">
            <w:pPr>
              <w:widowControl/>
              <w:jc w:val="right"/>
              <w:rPr>
                <w:rFonts w:ascii="Calibri" w:hAnsi="Calibri"/>
              </w:rPr>
            </w:pPr>
            <w:r w:rsidRPr="00236A55">
              <w:rPr>
                <w:rFonts w:ascii="Calibri" w:hAnsi="Calibri"/>
                <w:color w:val="000000"/>
                <w:szCs w:val="22"/>
              </w:rPr>
              <w:t>-68%</w:t>
            </w:r>
          </w:p>
        </w:tc>
      </w:tr>
      <w:tr w:rsidR="008E661E" w:rsidRPr="004A1A72" w14:paraId="322ECBF5" w14:textId="77777777" w:rsidTr="000C039C">
        <w:trPr>
          <w:trHeight w:val="300"/>
          <w:jc w:val="center"/>
        </w:trPr>
        <w:tc>
          <w:tcPr>
            <w:tcW w:w="0" w:type="dxa"/>
            <w:shd w:val="clear" w:color="auto" w:fill="D9E2F3"/>
            <w:noWrap/>
            <w:hideMark/>
          </w:tcPr>
          <w:p w14:paraId="3C373E6B" w14:textId="77777777" w:rsidR="008E661E" w:rsidRPr="00236A55" w:rsidRDefault="008E661E" w:rsidP="000C039C">
            <w:pPr>
              <w:widowControl/>
              <w:rPr>
                <w:rFonts w:ascii="Calibri" w:hAnsi="Calibri"/>
                <w:bCs/>
              </w:rPr>
            </w:pPr>
            <w:r w:rsidRPr="00236A55">
              <w:rPr>
                <w:rFonts w:ascii="Calibri" w:hAnsi="Calibri"/>
                <w:bCs/>
                <w:color w:val="000000"/>
                <w:szCs w:val="22"/>
              </w:rPr>
              <w:t>VI</w:t>
            </w:r>
          </w:p>
        </w:tc>
        <w:tc>
          <w:tcPr>
            <w:tcW w:w="1965" w:type="dxa"/>
            <w:shd w:val="clear" w:color="auto" w:fill="D9E2F3"/>
            <w:noWrap/>
            <w:hideMark/>
          </w:tcPr>
          <w:p w14:paraId="2E626052" w14:textId="77777777" w:rsidR="008E661E" w:rsidRPr="00236A55" w:rsidRDefault="008E661E" w:rsidP="000C039C">
            <w:pPr>
              <w:widowControl/>
              <w:jc w:val="right"/>
              <w:rPr>
                <w:rFonts w:ascii="Calibri" w:hAnsi="Calibri"/>
              </w:rPr>
            </w:pPr>
            <w:r w:rsidRPr="00236A55">
              <w:rPr>
                <w:rFonts w:ascii="Calibri" w:hAnsi="Calibri"/>
                <w:color w:val="000000"/>
                <w:szCs w:val="22"/>
              </w:rPr>
              <w:t>$601,128</w:t>
            </w:r>
          </w:p>
        </w:tc>
        <w:tc>
          <w:tcPr>
            <w:tcW w:w="2085" w:type="dxa"/>
            <w:shd w:val="clear" w:color="auto" w:fill="D9E2F3"/>
            <w:noWrap/>
            <w:hideMark/>
          </w:tcPr>
          <w:p w14:paraId="0F15EE47" w14:textId="77777777" w:rsidR="008E661E" w:rsidRPr="00236A55" w:rsidRDefault="008E661E" w:rsidP="000C039C">
            <w:pPr>
              <w:widowControl/>
              <w:jc w:val="right"/>
              <w:rPr>
                <w:rFonts w:ascii="Calibri" w:hAnsi="Calibri"/>
              </w:rPr>
            </w:pPr>
            <w:r w:rsidRPr="00236A55">
              <w:rPr>
                <w:rFonts w:ascii="Calibri" w:hAnsi="Calibri"/>
                <w:color w:val="000000"/>
                <w:szCs w:val="22"/>
              </w:rPr>
              <w:t>$415,154</w:t>
            </w:r>
          </w:p>
        </w:tc>
        <w:tc>
          <w:tcPr>
            <w:tcW w:w="0" w:type="dxa"/>
            <w:shd w:val="clear" w:color="auto" w:fill="D9E2F3"/>
            <w:noWrap/>
            <w:hideMark/>
          </w:tcPr>
          <w:p w14:paraId="5762CE04" w14:textId="77777777" w:rsidR="008E661E" w:rsidRPr="00236A55" w:rsidRDefault="008E661E" w:rsidP="000C039C">
            <w:pPr>
              <w:widowControl/>
              <w:jc w:val="right"/>
              <w:rPr>
                <w:rFonts w:ascii="Calibri" w:hAnsi="Calibri"/>
              </w:rPr>
            </w:pPr>
            <w:r w:rsidRPr="00236A55">
              <w:rPr>
                <w:rFonts w:ascii="Calibri" w:hAnsi="Calibri"/>
                <w:color w:val="000000"/>
                <w:szCs w:val="22"/>
              </w:rPr>
              <w:t>$330,301</w:t>
            </w:r>
          </w:p>
        </w:tc>
        <w:tc>
          <w:tcPr>
            <w:tcW w:w="1209" w:type="dxa"/>
            <w:shd w:val="clear" w:color="auto" w:fill="D9E2F3"/>
          </w:tcPr>
          <w:p w14:paraId="04866073" w14:textId="77777777" w:rsidR="008E661E" w:rsidRPr="00236A55" w:rsidRDefault="008E661E" w:rsidP="000C039C">
            <w:pPr>
              <w:widowControl/>
              <w:jc w:val="right"/>
              <w:rPr>
                <w:rFonts w:ascii="Calibri" w:hAnsi="Calibri"/>
              </w:rPr>
            </w:pPr>
            <w:r w:rsidRPr="00236A55">
              <w:rPr>
                <w:rFonts w:ascii="Calibri" w:hAnsi="Calibri"/>
                <w:color w:val="000000"/>
                <w:szCs w:val="22"/>
              </w:rPr>
              <w:t>-45%</w:t>
            </w:r>
          </w:p>
        </w:tc>
      </w:tr>
      <w:tr w:rsidR="008E661E" w:rsidRPr="004A1A72" w14:paraId="6BFE0EF2" w14:textId="77777777" w:rsidTr="000C039C">
        <w:trPr>
          <w:trHeight w:val="300"/>
          <w:jc w:val="center"/>
        </w:trPr>
        <w:tc>
          <w:tcPr>
            <w:tcW w:w="0" w:type="dxa"/>
            <w:shd w:val="clear" w:color="auto" w:fill="auto"/>
            <w:noWrap/>
            <w:hideMark/>
          </w:tcPr>
          <w:p w14:paraId="485347FA" w14:textId="77777777" w:rsidR="008E661E" w:rsidRPr="00236A55" w:rsidRDefault="008E661E" w:rsidP="000C039C">
            <w:pPr>
              <w:widowControl/>
              <w:rPr>
                <w:rFonts w:ascii="Calibri" w:hAnsi="Calibri"/>
                <w:bCs/>
              </w:rPr>
            </w:pPr>
            <w:r w:rsidRPr="00236A55">
              <w:rPr>
                <w:rFonts w:ascii="Calibri" w:hAnsi="Calibri"/>
                <w:bCs/>
                <w:color w:val="000000"/>
                <w:szCs w:val="22"/>
              </w:rPr>
              <w:t>VT</w:t>
            </w:r>
          </w:p>
        </w:tc>
        <w:tc>
          <w:tcPr>
            <w:tcW w:w="1965" w:type="dxa"/>
            <w:shd w:val="clear" w:color="auto" w:fill="auto"/>
            <w:noWrap/>
            <w:hideMark/>
          </w:tcPr>
          <w:p w14:paraId="3DFD10B8" w14:textId="77777777" w:rsidR="008E661E" w:rsidRPr="00236A55" w:rsidRDefault="008E661E" w:rsidP="000C039C">
            <w:pPr>
              <w:widowControl/>
              <w:jc w:val="right"/>
              <w:rPr>
                <w:rFonts w:ascii="Calibri" w:hAnsi="Calibri"/>
              </w:rPr>
            </w:pPr>
            <w:r w:rsidRPr="00236A55">
              <w:rPr>
                <w:rFonts w:ascii="Calibri" w:hAnsi="Calibri"/>
                <w:color w:val="000000"/>
                <w:szCs w:val="22"/>
              </w:rPr>
              <w:t>$1,570,386</w:t>
            </w:r>
          </w:p>
        </w:tc>
        <w:tc>
          <w:tcPr>
            <w:tcW w:w="2085" w:type="dxa"/>
            <w:shd w:val="clear" w:color="auto" w:fill="auto"/>
            <w:noWrap/>
            <w:hideMark/>
          </w:tcPr>
          <w:p w14:paraId="307746F3" w14:textId="77777777" w:rsidR="008E661E" w:rsidRPr="00236A55" w:rsidRDefault="008E661E" w:rsidP="000C039C">
            <w:pPr>
              <w:widowControl/>
              <w:jc w:val="right"/>
              <w:rPr>
                <w:rFonts w:ascii="Calibri" w:hAnsi="Calibri"/>
              </w:rPr>
            </w:pPr>
            <w:r w:rsidRPr="00236A55">
              <w:rPr>
                <w:rFonts w:ascii="Calibri" w:hAnsi="Calibri"/>
                <w:color w:val="000000"/>
                <w:szCs w:val="22"/>
              </w:rPr>
              <w:t>$1,082,875</w:t>
            </w:r>
          </w:p>
        </w:tc>
        <w:tc>
          <w:tcPr>
            <w:tcW w:w="0" w:type="dxa"/>
            <w:shd w:val="clear" w:color="auto" w:fill="auto"/>
            <w:noWrap/>
            <w:hideMark/>
          </w:tcPr>
          <w:p w14:paraId="6AE9A587" w14:textId="77777777" w:rsidR="008E661E" w:rsidRPr="00236A55" w:rsidRDefault="008E661E" w:rsidP="000C039C">
            <w:pPr>
              <w:widowControl/>
              <w:jc w:val="right"/>
              <w:rPr>
                <w:rFonts w:ascii="Calibri" w:hAnsi="Calibri"/>
              </w:rPr>
            </w:pPr>
            <w:r w:rsidRPr="00236A55">
              <w:rPr>
                <w:rFonts w:ascii="Calibri" w:hAnsi="Calibri"/>
                <w:color w:val="000000"/>
                <w:szCs w:val="22"/>
              </w:rPr>
              <w:t>$637,245</w:t>
            </w:r>
          </w:p>
        </w:tc>
        <w:tc>
          <w:tcPr>
            <w:tcW w:w="1209" w:type="dxa"/>
            <w:shd w:val="clear" w:color="auto" w:fill="auto"/>
          </w:tcPr>
          <w:p w14:paraId="2080104D" w14:textId="77777777" w:rsidR="008E661E" w:rsidRPr="00236A55" w:rsidRDefault="008E661E" w:rsidP="000C039C">
            <w:pPr>
              <w:widowControl/>
              <w:jc w:val="right"/>
              <w:rPr>
                <w:rFonts w:ascii="Calibri" w:hAnsi="Calibri"/>
              </w:rPr>
            </w:pPr>
            <w:r w:rsidRPr="00236A55">
              <w:rPr>
                <w:rFonts w:ascii="Calibri" w:hAnsi="Calibri"/>
                <w:color w:val="000000"/>
                <w:szCs w:val="22"/>
              </w:rPr>
              <w:t>-59%</w:t>
            </w:r>
          </w:p>
        </w:tc>
      </w:tr>
      <w:tr w:rsidR="008E661E" w:rsidRPr="004A1A72" w14:paraId="6E2F7A4D" w14:textId="77777777" w:rsidTr="000C039C">
        <w:trPr>
          <w:trHeight w:val="300"/>
          <w:jc w:val="center"/>
        </w:trPr>
        <w:tc>
          <w:tcPr>
            <w:tcW w:w="0" w:type="dxa"/>
            <w:shd w:val="clear" w:color="auto" w:fill="D9E2F3"/>
            <w:noWrap/>
            <w:hideMark/>
          </w:tcPr>
          <w:p w14:paraId="0C9043DE" w14:textId="77777777" w:rsidR="008E661E" w:rsidRPr="00236A55" w:rsidRDefault="008E661E" w:rsidP="000C039C">
            <w:pPr>
              <w:widowControl/>
              <w:rPr>
                <w:rFonts w:ascii="Calibri" w:hAnsi="Calibri"/>
                <w:bCs/>
              </w:rPr>
            </w:pPr>
            <w:r w:rsidRPr="00236A55">
              <w:rPr>
                <w:rFonts w:ascii="Calibri" w:hAnsi="Calibri"/>
                <w:bCs/>
                <w:color w:val="000000"/>
                <w:szCs w:val="22"/>
              </w:rPr>
              <w:t>WA</w:t>
            </w:r>
          </w:p>
        </w:tc>
        <w:tc>
          <w:tcPr>
            <w:tcW w:w="1965" w:type="dxa"/>
            <w:shd w:val="clear" w:color="auto" w:fill="D9E2F3"/>
            <w:noWrap/>
            <w:hideMark/>
          </w:tcPr>
          <w:p w14:paraId="15884922" w14:textId="77777777" w:rsidR="008E661E" w:rsidRPr="00236A55" w:rsidRDefault="008E661E" w:rsidP="000C039C">
            <w:pPr>
              <w:widowControl/>
              <w:jc w:val="right"/>
              <w:rPr>
                <w:rFonts w:ascii="Calibri" w:hAnsi="Calibri"/>
              </w:rPr>
            </w:pPr>
            <w:r w:rsidRPr="00236A55">
              <w:rPr>
                <w:rFonts w:ascii="Calibri" w:hAnsi="Calibri"/>
                <w:color w:val="000000"/>
                <w:szCs w:val="22"/>
              </w:rPr>
              <w:t>$11,768,735</w:t>
            </w:r>
          </w:p>
        </w:tc>
        <w:tc>
          <w:tcPr>
            <w:tcW w:w="2085" w:type="dxa"/>
            <w:shd w:val="clear" w:color="auto" w:fill="D9E2F3"/>
            <w:noWrap/>
            <w:hideMark/>
          </w:tcPr>
          <w:p w14:paraId="286A5AA5" w14:textId="77777777" w:rsidR="008E661E" w:rsidRPr="00236A55" w:rsidRDefault="008E661E" w:rsidP="000C039C">
            <w:pPr>
              <w:widowControl/>
              <w:jc w:val="right"/>
              <w:rPr>
                <w:rFonts w:ascii="Calibri" w:hAnsi="Calibri"/>
              </w:rPr>
            </w:pPr>
            <w:r w:rsidRPr="00236A55">
              <w:rPr>
                <w:rFonts w:ascii="Calibri" w:hAnsi="Calibri"/>
                <w:color w:val="000000"/>
                <w:szCs w:val="22"/>
              </w:rPr>
              <w:t>$8,346,129</w:t>
            </w:r>
          </w:p>
        </w:tc>
        <w:tc>
          <w:tcPr>
            <w:tcW w:w="0" w:type="dxa"/>
            <w:shd w:val="clear" w:color="auto" w:fill="D9E2F3"/>
            <w:noWrap/>
            <w:hideMark/>
          </w:tcPr>
          <w:p w14:paraId="132435C0" w14:textId="77777777" w:rsidR="008E661E" w:rsidRPr="00236A55" w:rsidRDefault="008E661E" w:rsidP="000C039C">
            <w:pPr>
              <w:widowControl/>
              <w:jc w:val="right"/>
              <w:rPr>
                <w:rFonts w:ascii="Calibri" w:hAnsi="Calibri"/>
              </w:rPr>
            </w:pPr>
            <w:r w:rsidRPr="00236A55">
              <w:rPr>
                <w:rFonts w:ascii="Calibri" w:hAnsi="Calibri"/>
                <w:color w:val="000000"/>
                <w:szCs w:val="22"/>
              </w:rPr>
              <w:t>$4,766,820</w:t>
            </w:r>
          </w:p>
        </w:tc>
        <w:tc>
          <w:tcPr>
            <w:tcW w:w="1209" w:type="dxa"/>
            <w:shd w:val="clear" w:color="auto" w:fill="D9E2F3"/>
          </w:tcPr>
          <w:p w14:paraId="6F2EB700" w14:textId="77777777" w:rsidR="008E661E" w:rsidRPr="00236A55" w:rsidRDefault="008E661E" w:rsidP="000C039C">
            <w:pPr>
              <w:widowControl/>
              <w:jc w:val="right"/>
              <w:rPr>
                <w:rFonts w:ascii="Calibri" w:hAnsi="Calibri"/>
              </w:rPr>
            </w:pPr>
            <w:r w:rsidRPr="00236A55">
              <w:rPr>
                <w:rFonts w:ascii="Calibri" w:hAnsi="Calibri"/>
                <w:color w:val="000000"/>
                <w:szCs w:val="22"/>
              </w:rPr>
              <w:t>-59%</w:t>
            </w:r>
          </w:p>
        </w:tc>
      </w:tr>
      <w:tr w:rsidR="008E661E" w:rsidRPr="004A1A72" w14:paraId="7EA268BE" w14:textId="77777777" w:rsidTr="000C039C">
        <w:trPr>
          <w:trHeight w:val="300"/>
          <w:jc w:val="center"/>
        </w:trPr>
        <w:tc>
          <w:tcPr>
            <w:tcW w:w="0" w:type="dxa"/>
            <w:shd w:val="clear" w:color="auto" w:fill="auto"/>
            <w:noWrap/>
            <w:hideMark/>
          </w:tcPr>
          <w:p w14:paraId="2E73CD31" w14:textId="77777777" w:rsidR="008E661E" w:rsidRPr="00236A55" w:rsidRDefault="008E661E" w:rsidP="000C039C">
            <w:pPr>
              <w:widowControl/>
              <w:rPr>
                <w:rFonts w:ascii="Calibri" w:hAnsi="Calibri"/>
                <w:bCs/>
              </w:rPr>
            </w:pPr>
            <w:r w:rsidRPr="00236A55">
              <w:rPr>
                <w:rFonts w:ascii="Calibri" w:hAnsi="Calibri"/>
                <w:bCs/>
                <w:color w:val="000000"/>
                <w:szCs w:val="22"/>
              </w:rPr>
              <w:t>WI</w:t>
            </w:r>
          </w:p>
        </w:tc>
        <w:tc>
          <w:tcPr>
            <w:tcW w:w="1965" w:type="dxa"/>
            <w:shd w:val="clear" w:color="auto" w:fill="auto"/>
            <w:noWrap/>
            <w:hideMark/>
          </w:tcPr>
          <w:p w14:paraId="2B9395F6" w14:textId="77777777" w:rsidR="008E661E" w:rsidRPr="00236A55" w:rsidRDefault="008E661E" w:rsidP="000C039C">
            <w:pPr>
              <w:widowControl/>
              <w:jc w:val="right"/>
              <w:rPr>
                <w:rFonts w:ascii="Calibri" w:hAnsi="Calibri"/>
              </w:rPr>
            </w:pPr>
            <w:r w:rsidRPr="00236A55">
              <w:rPr>
                <w:rFonts w:ascii="Calibri" w:hAnsi="Calibri"/>
                <w:color w:val="000000"/>
                <w:szCs w:val="22"/>
              </w:rPr>
              <w:t>$8,311,380</w:t>
            </w:r>
          </w:p>
        </w:tc>
        <w:tc>
          <w:tcPr>
            <w:tcW w:w="2085" w:type="dxa"/>
            <w:shd w:val="clear" w:color="auto" w:fill="auto"/>
            <w:noWrap/>
            <w:hideMark/>
          </w:tcPr>
          <w:p w14:paraId="57ECCAF1" w14:textId="77777777" w:rsidR="008E661E" w:rsidRPr="00236A55" w:rsidRDefault="008E661E" w:rsidP="000C039C">
            <w:pPr>
              <w:widowControl/>
              <w:jc w:val="right"/>
              <w:rPr>
                <w:rFonts w:ascii="Calibri" w:hAnsi="Calibri"/>
              </w:rPr>
            </w:pPr>
            <w:r w:rsidRPr="00236A55">
              <w:rPr>
                <w:rFonts w:ascii="Calibri" w:hAnsi="Calibri"/>
                <w:color w:val="000000"/>
                <w:szCs w:val="22"/>
              </w:rPr>
              <w:t>$5,173,648</w:t>
            </w:r>
          </w:p>
        </w:tc>
        <w:tc>
          <w:tcPr>
            <w:tcW w:w="0" w:type="dxa"/>
            <w:shd w:val="clear" w:color="auto" w:fill="auto"/>
            <w:noWrap/>
            <w:hideMark/>
          </w:tcPr>
          <w:p w14:paraId="323271D1" w14:textId="77777777" w:rsidR="008E661E" w:rsidRPr="00236A55" w:rsidRDefault="008E661E" w:rsidP="000C039C">
            <w:pPr>
              <w:widowControl/>
              <w:jc w:val="right"/>
              <w:rPr>
                <w:rFonts w:ascii="Calibri" w:hAnsi="Calibri"/>
              </w:rPr>
            </w:pPr>
            <w:r w:rsidRPr="00236A55">
              <w:rPr>
                <w:rFonts w:ascii="Calibri" w:hAnsi="Calibri"/>
                <w:color w:val="000000"/>
                <w:szCs w:val="22"/>
              </w:rPr>
              <w:t>$2,685,943</w:t>
            </w:r>
          </w:p>
        </w:tc>
        <w:tc>
          <w:tcPr>
            <w:tcW w:w="1209" w:type="dxa"/>
            <w:shd w:val="clear" w:color="auto" w:fill="auto"/>
          </w:tcPr>
          <w:p w14:paraId="544538D7" w14:textId="77777777" w:rsidR="008E661E" w:rsidRPr="00236A55" w:rsidRDefault="008E661E" w:rsidP="000C039C">
            <w:pPr>
              <w:widowControl/>
              <w:jc w:val="right"/>
              <w:rPr>
                <w:rFonts w:ascii="Calibri" w:hAnsi="Calibri"/>
              </w:rPr>
            </w:pPr>
            <w:r w:rsidRPr="00236A55">
              <w:rPr>
                <w:rFonts w:ascii="Calibri" w:hAnsi="Calibri"/>
                <w:color w:val="000000"/>
                <w:szCs w:val="22"/>
              </w:rPr>
              <w:t>-68%</w:t>
            </w:r>
          </w:p>
        </w:tc>
      </w:tr>
      <w:tr w:rsidR="008E661E" w:rsidRPr="004A1A72" w14:paraId="3E73AD25" w14:textId="77777777" w:rsidTr="000C039C">
        <w:trPr>
          <w:trHeight w:val="300"/>
          <w:jc w:val="center"/>
        </w:trPr>
        <w:tc>
          <w:tcPr>
            <w:tcW w:w="0" w:type="dxa"/>
            <w:shd w:val="clear" w:color="auto" w:fill="D9E2F3"/>
            <w:noWrap/>
            <w:hideMark/>
          </w:tcPr>
          <w:p w14:paraId="37993CA8" w14:textId="77777777" w:rsidR="008E661E" w:rsidRPr="00236A55" w:rsidRDefault="008E661E" w:rsidP="000C039C">
            <w:pPr>
              <w:widowControl/>
              <w:rPr>
                <w:rFonts w:ascii="Calibri" w:hAnsi="Calibri"/>
                <w:bCs/>
              </w:rPr>
            </w:pPr>
            <w:r w:rsidRPr="00236A55">
              <w:rPr>
                <w:rFonts w:ascii="Calibri" w:hAnsi="Calibri"/>
                <w:bCs/>
                <w:color w:val="000000"/>
                <w:szCs w:val="22"/>
              </w:rPr>
              <w:t>WV</w:t>
            </w:r>
          </w:p>
        </w:tc>
        <w:tc>
          <w:tcPr>
            <w:tcW w:w="1965" w:type="dxa"/>
            <w:shd w:val="clear" w:color="auto" w:fill="D9E2F3"/>
            <w:noWrap/>
            <w:hideMark/>
          </w:tcPr>
          <w:p w14:paraId="0CB8C7C9" w14:textId="77777777" w:rsidR="008E661E" w:rsidRPr="00236A55" w:rsidRDefault="008E661E" w:rsidP="000C039C">
            <w:pPr>
              <w:widowControl/>
              <w:jc w:val="right"/>
              <w:rPr>
                <w:rFonts w:ascii="Calibri" w:hAnsi="Calibri"/>
              </w:rPr>
            </w:pPr>
            <w:r w:rsidRPr="00236A55">
              <w:rPr>
                <w:rFonts w:ascii="Calibri" w:hAnsi="Calibri"/>
                <w:color w:val="000000"/>
                <w:szCs w:val="22"/>
              </w:rPr>
              <w:t>$3,906,083</w:t>
            </w:r>
          </w:p>
        </w:tc>
        <w:tc>
          <w:tcPr>
            <w:tcW w:w="2085" w:type="dxa"/>
            <w:shd w:val="clear" w:color="auto" w:fill="D9E2F3"/>
            <w:noWrap/>
            <w:hideMark/>
          </w:tcPr>
          <w:p w14:paraId="27D519D3" w14:textId="77777777" w:rsidR="008E661E" w:rsidRPr="00236A55" w:rsidRDefault="008E661E" w:rsidP="000C039C">
            <w:pPr>
              <w:widowControl/>
              <w:jc w:val="right"/>
              <w:rPr>
                <w:rFonts w:ascii="Calibri" w:hAnsi="Calibri"/>
              </w:rPr>
            </w:pPr>
            <w:r w:rsidRPr="00236A55">
              <w:rPr>
                <w:rFonts w:ascii="Calibri" w:hAnsi="Calibri"/>
                <w:color w:val="000000"/>
                <w:szCs w:val="22"/>
              </w:rPr>
              <w:t>$2,613,304</w:t>
            </w:r>
          </w:p>
        </w:tc>
        <w:tc>
          <w:tcPr>
            <w:tcW w:w="0" w:type="dxa"/>
            <w:shd w:val="clear" w:color="auto" w:fill="D9E2F3"/>
            <w:noWrap/>
            <w:hideMark/>
          </w:tcPr>
          <w:p w14:paraId="354C8926" w14:textId="77777777" w:rsidR="008E661E" w:rsidRPr="00236A55" w:rsidRDefault="008E661E" w:rsidP="000C039C">
            <w:pPr>
              <w:widowControl/>
              <w:jc w:val="right"/>
              <w:rPr>
                <w:rFonts w:ascii="Calibri" w:hAnsi="Calibri"/>
              </w:rPr>
            </w:pPr>
            <w:r w:rsidRPr="00236A55">
              <w:rPr>
                <w:rFonts w:ascii="Calibri" w:hAnsi="Calibri"/>
                <w:color w:val="000000"/>
                <w:szCs w:val="22"/>
              </w:rPr>
              <w:t>$1,691,292</w:t>
            </w:r>
          </w:p>
        </w:tc>
        <w:tc>
          <w:tcPr>
            <w:tcW w:w="1209" w:type="dxa"/>
            <w:shd w:val="clear" w:color="auto" w:fill="D9E2F3"/>
          </w:tcPr>
          <w:p w14:paraId="543633F2" w14:textId="77777777" w:rsidR="008E661E" w:rsidRPr="00236A55" w:rsidRDefault="008E661E" w:rsidP="000C039C">
            <w:pPr>
              <w:widowControl/>
              <w:jc w:val="right"/>
              <w:rPr>
                <w:rFonts w:ascii="Calibri" w:hAnsi="Calibri"/>
              </w:rPr>
            </w:pPr>
            <w:r w:rsidRPr="00236A55">
              <w:rPr>
                <w:rFonts w:ascii="Calibri" w:hAnsi="Calibri"/>
                <w:color w:val="000000"/>
                <w:szCs w:val="22"/>
              </w:rPr>
              <w:t>-57%</w:t>
            </w:r>
          </w:p>
        </w:tc>
      </w:tr>
      <w:tr w:rsidR="008E661E" w:rsidRPr="004A1A72" w14:paraId="7BA05098" w14:textId="77777777" w:rsidTr="000C039C">
        <w:trPr>
          <w:trHeight w:val="315"/>
          <w:jc w:val="center"/>
        </w:trPr>
        <w:tc>
          <w:tcPr>
            <w:tcW w:w="0" w:type="dxa"/>
            <w:shd w:val="clear" w:color="auto" w:fill="auto"/>
            <w:noWrap/>
            <w:hideMark/>
          </w:tcPr>
          <w:p w14:paraId="76C6434C" w14:textId="77777777" w:rsidR="008E661E" w:rsidRPr="00236A55" w:rsidRDefault="008E661E" w:rsidP="000C039C">
            <w:pPr>
              <w:widowControl/>
              <w:rPr>
                <w:rFonts w:ascii="Calibri" w:hAnsi="Calibri"/>
                <w:bCs/>
              </w:rPr>
            </w:pPr>
            <w:r w:rsidRPr="00236A55">
              <w:rPr>
                <w:rFonts w:ascii="Calibri" w:hAnsi="Calibri"/>
                <w:bCs/>
                <w:color w:val="000000"/>
                <w:szCs w:val="22"/>
              </w:rPr>
              <w:t>WY</w:t>
            </w:r>
          </w:p>
        </w:tc>
        <w:tc>
          <w:tcPr>
            <w:tcW w:w="1965" w:type="dxa"/>
            <w:shd w:val="clear" w:color="auto" w:fill="auto"/>
            <w:noWrap/>
            <w:hideMark/>
          </w:tcPr>
          <w:p w14:paraId="2F10B92A" w14:textId="77777777" w:rsidR="008E661E" w:rsidRPr="00236A55" w:rsidRDefault="008E661E" w:rsidP="000C039C">
            <w:pPr>
              <w:widowControl/>
              <w:jc w:val="right"/>
              <w:rPr>
                <w:rFonts w:ascii="Calibri" w:hAnsi="Calibri"/>
              </w:rPr>
            </w:pPr>
            <w:r w:rsidRPr="00236A55">
              <w:rPr>
                <w:rFonts w:ascii="Calibri" w:hAnsi="Calibri"/>
                <w:color w:val="000000"/>
                <w:szCs w:val="22"/>
              </w:rPr>
              <w:t>$1,238,569</w:t>
            </w:r>
          </w:p>
        </w:tc>
        <w:tc>
          <w:tcPr>
            <w:tcW w:w="2085" w:type="dxa"/>
            <w:shd w:val="clear" w:color="auto" w:fill="auto"/>
            <w:noWrap/>
            <w:hideMark/>
          </w:tcPr>
          <w:p w14:paraId="2F9C5228" w14:textId="77777777" w:rsidR="008E661E" w:rsidRPr="00236A55" w:rsidRDefault="008E661E" w:rsidP="000C039C">
            <w:pPr>
              <w:widowControl/>
              <w:jc w:val="right"/>
              <w:rPr>
                <w:rFonts w:ascii="Calibri" w:hAnsi="Calibri"/>
              </w:rPr>
            </w:pPr>
            <w:r w:rsidRPr="00236A55">
              <w:rPr>
                <w:rFonts w:ascii="Calibri" w:hAnsi="Calibri"/>
                <w:color w:val="000000"/>
                <w:szCs w:val="22"/>
              </w:rPr>
              <w:t>$810,122</w:t>
            </w:r>
          </w:p>
        </w:tc>
        <w:tc>
          <w:tcPr>
            <w:tcW w:w="0" w:type="dxa"/>
            <w:shd w:val="clear" w:color="auto" w:fill="auto"/>
            <w:noWrap/>
            <w:hideMark/>
          </w:tcPr>
          <w:p w14:paraId="1B089077" w14:textId="77777777" w:rsidR="008E661E" w:rsidRPr="00236A55" w:rsidRDefault="008E661E" w:rsidP="000C039C">
            <w:pPr>
              <w:widowControl/>
              <w:jc w:val="right"/>
              <w:rPr>
                <w:rFonts w:ascii="Calibri" w:hAnsi="Calibri"/>
              </w:rPr>
            </w:pPr>
            <w:r w:rsidRPr="00236A55">
              <w:rPr>
                <w:rFonts w:ascii="Calibri" w:hAnsi="Calibri"/>
                <w:color w:val="000000"/>
                <w:szCs w:val="22"/>
              </w:rPr>
              <w:t>$426,402</w:t>
            </w:r>
          </w:p>
        </w:tc>
        <w:tc>
          <w:tcPr>
            <w:tcW w:w="1209" w:type="dxa"/>
            <w:shd w:val="clear" w:color="auto" w:fill="auto"/>
          </w:tcPr>
          <w:p w14:paraId="329AE718" w14:textId="77777777" w:rsidR="008E661E" w:rsidRPr="00236A55" w:rsidRDefault="008E661E" w:rsidP="000C039C">
            <w:pPr>
              <w:widowControl/>
              <w:jc w:val="right"/>
              <w:rPr>
                <w:rFonts w:ascii="Calibri" w:hAnsi="Calibri"/>
              </w:rPr>
            </w:pPr>
            <w:r w:rsidRPr="00236A55">
              <w:rPr>
                <w:rFonts w:ascii="Calibri" w:hAnsi="Calibri"/>
                <w:color w:val="000000"/>
                <w:szCs w:val="22"/>
              </w:rPr>
              <w:t>-66%</w:t>
            </w:r>
          </w:p>
        </w:tc>
      </w:tr>
      <w:tr w:rsidR="008E661E" w:rsidRPr="004A1A72" w14:paraId="736657DB" w14:textId="77777777" w:rsidTr="000C039C">
        <w:trPr>
          <w:trHeight w:val="315"/>
          <w:jc w:val="center"/>
        </w:trPr>
        <w:tc>
          <w:tcPr>
            <w:tcW w:w="0" w:type="dxa"/>
            <w:shd w:val="clear" w:color="auto" w:fill="D9E2F3"/>
            <w:noWrap/>
            <w:hideMark/>
          </w:tcPr>
          <w:p w14:paraId="5040BEFE" w14:textId="77777777" w:rsidR="008E661E" w:rsidRPr="00236A55" w:rsidRDefault="008E661E" w:rsidP="000C039C">
            <w:pPr>
              <w:widowControl/>
              <w:rPr>
                <w:rFonts w:ascii="Calibri" w:hAnsi="Calibri"/>
              </w:rPr>
            </w:pPr>
            <w:r w:rsidRPr="00236A55">
              <w:rPr>
                <w:rFonts w:ascii="Calibri" w:hAnsi="Calibri"/>
                <w:bCs/>
                <w:color w:val="000000"/>
                <w:szCs w:val="22"/>
              </w:rPr>
              <w:t>Nationwide</w:t>
            </w:r>
          </w:p>
        </w:tc>
        <w:tc>
          <w:tcPr>
            <w:tcW w:w="1965" w:type="dxa"/>
            <w:shd w:val="clear" w:color="auto" w:fill="D9E2F3"/>
            <w:noWrap/>
            <w:hideMark/>
          </w:tcPr>
          <w:p w14:paraId="5EEC0624" w14:textId="77777777" w:rsidR="008E661E" w:rsidRPr="00236A55" w:rsidRDefault="008E661E" w:rsidP="000C039C">
            <w:pPr>
              <w:widowControl/>
              <w:jc w:val="right"/>
              <w:rPr>
                <w:rFonts w:ascii="Calibri" w:hAnsi="Calibri"/>
                <w:b/>
                <w:bCs/>
              </w:rPr>
            </w:pPr>
            <w:r w:rsidRPr="00236A55">
              <w:rPr>
                <w:rFonts w:ascii="Calibri" w:hAnsi="Calibri"/>
                <w:color w:val="000000"/>
                <w:szCs w:val="22"/>
              </w:rPr>
              <w:t>$707,601,798</w:t>
            </w:r>
          </w:p>
        </w:tc>
        <w:tc>
          <w:tcPr>
            <w:tcW w:w="2085" w:type="dxa"/>
            <w:shd w:val="clear" w:color="auto" w:fill="D9E2F3"/>
            <w:noWrap/>
            <w:hideMark/>
          </w:tcPr>
          <w:p w14:paraId="1FB47430" w14:textId="77777777" w:rsidR="008E661E" w:rsidRPr="00236A55" w:rsidRDefault="008E661E" w:rsidP="000C039C">
            <w:pPr>
              <w:widowControl/>
              <w:jc w:val="right"/>
              <w:rPr>
                <w:rFonts w:ascii="Calibri" w:hAnsi="Calibri"/>
                <w:b/>
                <w:bCs/>
              </w:rPr>
            </w:pPr>
            <w:r w:rsidRPr="00236A55">
              <w:rPr>
                <w:rFonts w:ascii="Calibri" w:hAnsi="Calibri"/>
                <w:color w:val="000000"/>
                <w:szCs w:val="22"/>
              </w:rPr>
              <w:t>$465,313,727</w:t>
            </w:r>
          </w:p>
        </w:tc>
        <w:tc>
          <w:tcPr>
            <w:tcW w:w="0" w:type="dxa"/>
            <w:shd w:val="clear" w:color="auto" w:fill="D9E2F3"/>
            <w:noWrap/>
            <w:hideMark/>
          </w:tcPr>
          <w:p w14:paraId="68DA187F" w14:textId="77777777" w:rsidR="008E661E" w:rsidRPr="00236A55" w:rsidRDefault="008E661E" w:rsidP="000C039C">
            <w:pPr>
              <w:widowControl/>
              <w:jc w:val="right"/>
              <w:rPr>
                <w:rFonts w:ascii="Calibri" w:hAnsi="Calibri"/>
                <w:b/>
                <w:bCs/>
              </w:rPr>
            </w:pPr>
            <w:r w:rsidRPr="00236A55">
              <w:rPr>
                <w:rFonts w:ascii="Calibri" w:hAnsi="Calibri"/>
                <w:color w:val="000000"/>
                <w:szCs w:val="22"/>
              </w:rPr>
              <w:t>$274,562,030</w:t>
            </w:r>
          </w:p>
        </w:tc>
        <w:tc>
          <w:tcPr>
            <w:tcW w:w="1209" w:type="dxa"/>
            <w:shd w:val="clear" w:color="auto" w:fill="D9E2F3"/>
          </w:tcPr>
          <w:p w14:paraId="11EAAFC8" w14:textId="77777777" w:rsidR="008E661E" w:rsidRPr="00236A55" w:rsidRDefault="008E661E" w:rsidP="000C039C">
            <w:pPr>
              <w:widowControl/>
              <w:jc w:val="right"/>
              <w:rPr>
                <w:rFonts w:ascii="Calibri" w:hAnsi="Calibri"/>
              </w:rPr>
            </w:pPr>
            <w:r w:rsidRPr="00236A55">
              <w:rPr>
                <w:rFonts w:ascii="Calibri" w:hAnsi="Calibri"/>
                <w:color w:val="000000"/>
                <w:szCs w:val="22"/>
              </w:rPr>
              <w:t>-61%</w:t>
            </w:r>
          </w:p>
        </w:tc>
      </w:tr>
    </w:tbl>
    <w:p w14:paraId="38456259" w14:textId="77777777" w:rsidR="008E661E" w:rsidRDefault="008E661E" w:rsidP="008E661E">
      <w:pPr>
        <w:widowControl/>
        <w:rPr>
          <w:b/>
        </w:rPr>
      </w:pPr>
    </w:p>
    <w:p w14:paraId="58DAB87D" w14:textId="77777777" w:rsidR="008E661E" w:rsidRDefault="008E661E" w:rsidP="008E661E">
      <w:pPr>
        <w:widowControl/>
        <w:rPr>
          <w:b/>
        </w:rPr>
      </w:pPr>
      <w:r>
        <w:rPr>
          <w:b/>
        </w:rPr>
        <w:br w:type="page"/>
      </w:r>
    </w:p>
    <w:p w14:paraId="59E46A2D" w14:textId="77777777" w:rsidR="008E661E" w:rsidRPr="00E01B21" w:rsidRDefault="008E661E" w:rsidP="008E661E">
      <w:pPr>
        <w:pStyle w:val="NoSpacing"/>
        <w:jc w:val="center"/>
        <w:rPr>
          <w:b/>
        </w:rPr>
      </w:pPr>
      <w:r w:rsidRPr="00E01B21">
        <w:rPr>
          <w:b/>
        </w:rPr>
        <w:t xml:space="preserve">APPENDIX </w:t>
      </w:r>
      <w:r>
        <w:rPr>
          <w:b/>
        </w:rPr>
        <w:t>C</w:t>
      </w:r>
    </w:p>
    <w:p w14:paraId="2ACA273A" w14:textId="77777777" w:rsidR="008E661E" w:rsidRPr="00E01B21" w:rsidRDefault="008E661E" w:rsidP="008E661E">
      <w:pPr>
        <w:pStyle w:val="NoSpacing"/>
        <w:jc w:val="center"/>
      </w:pPr>
      <w:r w:rsidRPr="00E01B21">
        <w:t>E-rate Funding Commitments</w:t>
      </w:r>
    </w:p>
    <w:p w14:paraId="284F9E9C" w14:textId="77777777" w:rsidR="008E661E" w:rsidRDefault="008E661E" w:rsidP="008E661E">
      <w:pPr>
        <w:pStyle w:val="NoSpacing"/>
        <w:jc w:val="center"/>
      </w:pPr>
      <w:r>
        <w:t>Funding Years 2015</w:t>
      </w:r>
      <w:r w:rsidRPr="00E01B21">
        <w:t>-16</w:t>
      </w:r>
      <w:r>
        <w:rPr>
          <w:rStyle w:val="FootnoteReference"/>
        </w:rPr>
        <w:footnoteReference w:id="25"/>
      </w:r>
    </w:p>
    <w:p w14:paraId="1184858A" w14:textId="77777777" w:rsidR="008E661E" w:rsidRPr="00E01B21" w:rsidRDefault="008E661E" w:rsidP="008E661E">
      <w:pPr>
        <w:pStyle w:val="NoSpacing"/>
        <w:jc w:val="center"/>
      </w:pPr>
    </w:p>
    <w:p w14:paraId="2403C1D2" w14:textId="77777777" w:rsidR="008E661E" w:rsidRPr="00E01B21" w:rsidRDefault="008E661E" w:rsidP="008E661E">
      <w:pPr>
        <w:pStyle w:val="NoSpacing"/>
        <w:jc w:val="center"/>
      </w:pPr>
      <w:r>
        <w:t>Applicants Receiving a Substantial Proportion of Voice Support</w:t>
      </w:r>
    </w:p>
    <w:tbl>
      <w:tblPr>
        <w:tblW w:w="9625" w:type="dxa"/>
        <w:jc w:val="center"/>
        <w:tblBorders>
          <w:top w:val="single" w:sz="4" w:space="0" w:color="8EAADB"/>
          <w:left w:val="single" w:sz="4" w:space="0" w:color="8EAADB"/>
          <w:bottom w:val="single" w:sz="4" w:space="0" w:color="8EAADB"/>
          <w:right w:val="single" w:sz="4" w:space="0" w:color="8EAADB"/>
          <w:insideH w:val="single" w:sz="4" w:space="0" w:color="8EAADB"/>
        </w:tblBorders>
        <w:tblLook w:val="04A0" w:firstRow="1" w:lastRow="0" w:firstColumn="1" w:lastColumn="0" w:noHBand="0" w:noVBand="1"/>
      </w:tblPr>
      <w:tblGrid>
        <w:gridCol w:w="960"/>
        <w:gridCol w:w="960"/>
        <w:gridCol w:w="2560"/>
        <w:gridCol w:w="2445"/>
        <w:gridCol w:w="2700"/>
      </w:tblGrid>
      <w:tr w:rsidR="008E661E" w:rsidRPr="002D7AAA" w14:paraId="65CE98D5" w14:textId="77777777" w:rsidTr="000C039C">
        <w:trPr>
          <w:trHeight w:val="300"/>
          <w:jc w:val="center"/>
        </w:trPr>
        <w:tc>
          <w:tcPr>
            <w:tcW w:w="960" w:type="dxa"/>
            <w:tcBorders>
              <w:top w:val="single" w:sz="4" w:space="0" w:color="4472C4"/>
              <w:left w:val="single" w:sz="4" w:space="0" w:color="4472C4"/>
              <w:bottom w:val="single" w:sz="4" w:space="0" w:color="4472C4"/>
            </w:tcBorders>
            <w:shd w:val="clear" w:color="auto" w:fill="4472C4"/>
            <w:noWrap/>
            <w:hideMark/>
          </w:tcPr>
          <w:p w14:paraId="3F2F6217" w14:textId="77777777" w:rsidR="008E661E" w:rsidRPr="00236A55" w:rsidRDefault="008E661E" w:rsidP="000C039C">
            <w:pPr>
              <w:widowControl/>
              <w:rPr>
                <w:rFonts w:ascii="Calibri" w:hAnsi="Calibri"/>
                <w:b/>
                <w:bCs/>
                <w:snapToGrid/>
                <w:color w:val="FFFFFF"/>
                <w:kern w:val="0"/>
                <w:szCs w:val="22"/>
              </w:rPr>
            </w:pPr>
            <w:r w:rsidRPr="00236A55">
              <w:rPr>
                <w:rFonts w:ascii="Calibri" w:hAnsi="Calibri"/>
                <w:b/>
                <w:bCs/>
                <w:snapToGrid/>
                <w:color w:val="FFFFFF"/>
                <w:kern w:val="0"/>
                <w:szCs w:val="22"/>
              </w:rPr>
              <w:t>Status</w:t>
            </w:r>
          </w:p>
        </w:tc>
        <w:tc>
          <w:tcPr>
            <w:tcW w:w="960" w:type="dxa"/>
            <w:tcBorders>
              <w:top w:val="single" w:sz="4" w:space="0" w:color="4472C4"/>
              <w:bottom w:val="single" w:sz="4" w:space="0" w:color="4472C4"/>
            </w:tcBorders>
            <w:shd w:val="clear" w:color="auto" w:fill="4472C4"/>
            <w:noWrap/>
            <w:hideMark/>
          </w:tcPr>
          <w:p w14:paraId="17D2ED2A" w14:textId="77777777" w:rsidR="008E661E" w:rsidRPr="00236A55" w:rsidRDefault="008E661E" w:rsidP="000C039C">
            <w:pPr>
              <w:widowControl/>
              <w:rPr>
                <w:rFonts w:ascii="Calibri" w:hAnsi="Calibri"/>
                <w:b/>
                <w:bCs/>
                <w:snapToGrid/>
                <w:color w:val="FFFFFF"/>
                <w:kern w:val="0"/>
                <w:szCs w:val="22"/>
              </w:rPr>
            </w:pPr>
            <w:r w:rsidRPr="00236A55">
              <w:rPr>
                <w:rFonts w:ascii="Calibri" w:hAnsi="Calibri"/>
                <w:b/>
                <w:bCs/>
                <w:snapToGrid/>
                <w:color w:val="FFFFFF"/>
                <w:kern w:val="0"/>
                <w:szCs w:val="22"/>
              </w:rPr>
              <w:t>Funding Year</w:t>
            </w:r>
          </w:p>
        </w:tc>
        <w:tc>
          <w:tcPr>
            <w:tcW w:w="2560" w:type="dxa"/>
            <w:tcBorders>
              <w:top w:val="single" w:sz="4" w:space="0" w:color="4472C4"/>
              <w:bottom w:val="single" w:sz="4" w:space="0" w:color="4472C4"/>
            </w:tcBorders>
            <w:shd w:val="clear" w:color="auto" w:fill="4472C4"/>
            <w:noWrap/>
            <w:hideMark/>
          </w:tcPr>
          <w:p w14:paraId="11E131D0" w14:textId="77777777" w:rsidR="008E661E" w:rsidRPr="00236A55" w:rsidRDefault="008E661E" w:rsidP="000C039C">
            <w:pPr>
              <w:widowControl/>
              <w:rPr>
                <w:rFonts w:ascii="Calibri" w:hAnsi="Calibri"/>
                <w:b/>
                <w:bCs/>
                <w:snapToGrid/>
                <w:color w:val="FFFFFF"/>
                <w:kern w:val="0"/>
                <w:szCs w:val="22"/>
              </w:rPr>
            </w:pPr>
            <w:r w:rsidRPr="00236A55">
              <w:rPr>
                <w:rFonts w:ascii="Calibri" w:hAnsi="Calibri"/>
                <w:b/>
                <w:bCs/>
                <w:snapToGrid/>
                <w:color w:val="FFFFFF"/>
                <w:kern w:val="0"/>
                <w:szCs w:val="22"/>
              </w:rPr>
              <w:t>Commitment for Voice Services</w:t>
            </w:r>
          </w:p>
        </w:tc>
        <w:tc>
          <w:tcPr>
            <w:tcW w:w="2445" w:type="dxa"/>
            <w:tcBorders>
              <w:top w:val="single" w:sz="4" w:space="0" w:color="4472C4"/>
              <w:bottom w:val="single" w:sz="4" w:space="0" w:color="4472C4"/>
            </w:tcBorders>
            <w:shd w:val="clear" w:color="auto" w:fill="4472C4"/>
            <w:noWrap/>
            <w:hideMark/>
          </w:tcPr>
          <w:p w14:paraId="0740ABF8" w14:textId="77777777" w:rsidR="008E661E" w:rsidRPr="00236A55" w:rsidRDefault="008E661E" w:rsidP="000C039C">
            <w:pPr>
              <w:widowControl/>
              <w:rPr>
                <w:rFonts w:ascii="Calibri" w:hAnsi="Calibri"/>
                <w:b/>
                <w:bCs/>
                <w:snapToGrid/>
                <w:color w:val="FFFFFF"/>
                <w:kern w:val="0"/>
                <w:szCs w:val="22"/>
              </w:rPr>
            </w:pPr>
            <w:r w:rsidRPr="00236A55">
              <w:rPr>
                <w:rFonts w:ascii="Calibri" w:hAnsi="Calibri"/>
                <w:b/>
                <w:bCs/>
                <w:snapToGrid/>
                <w:color w:val="FFFFFF"/>
                <w:kern w:val="0"/>
                <w:szCs w:val="22"/>
              </w:rPr>
              <w:t>Commitment for Non-Voice Services</w:t>
            </w:r>
          </w:p>
        </w:tc>
        <w:tc>
          <w:tcPr>
            <w:tcW w:w="2700" w:type="dxa"/>
            <w:tcBorders>
              <w:top w:val="single" w:sz="4" w:space="0" w:color="4472C4"/>
              <w:bottom w:val="single" w:sz="4" w:space="0" w:color="4472C4"/>
              <w:right w:val="single" w:sz="4" w:space="0" w:color="4472C4"/>
            </w:tcBorders>
            <w:shd w:val="clear" w:color="auto" w:fill="4472C4"/>
            <w:noWrap/>
            <w:hideMark/>
          </w:tcPr>
          <w:p w14:paraId="5711ED6F" w14:textId="77777777" w:rsidR="008E661E" w:rsidRPr="00236A55" w:rsidRDefault="008E661E" w:rsidP="000C039C">
            <w:pPr>
              <w:widowControl/>
              <w:rPr>
                <w:rFonts w:ascii="Calibri" w:hAnsi="Calibri"/>
                <w:b/>
                <w:bCs/>
                <w:snapToGrid/>
                <w:color w:val="FFFFFF"/>
                <w:kern w:val="0"/>
                <w:szCs w:val="22"/>
              </w:rPr>
            </w:pPr>
            <w:r w:rsidRPr="00236A55">
              <w:rPr>
                <w:rFonts w:ascii="Calibri" w:hAnsi="Calibri"/>
                <w:b/>
                <w:bCs/>
                <w:snapToGrid/>
                <w:color w:val="FFFFFF"/>
                <w:kern w:val="0"/>
                <w:szCs w:val="22"/>
              </w:rPr>
              <w:t>Change in Commitment for Voice Services 2015-16</w:t>
            </w:r>
          </w:p>
        </w:tc>
      </w:tr>
      <w:tr w:rsidR="008E661E" w:rsidRPr="002D7AAA" w14:paraId="56CFEF1B" w14:textId="77777777" w:rsidTr="000C039C">
        <w:trPr>
          <w:trHeight w:val="300"/>
          <w:jc w:val="center"/>
        </w:trPr>
        <w:tc>
          <w:tcPr>
            <w:tcW w:w="960" w:type="dxa"/>
            <w:vMerge w:val="restart"/>
            <w:shd w:val="clear" w:color="auto" w:fill="D9E2F3"/>
            <w:noWrap/>
            <w:hideMark/>
          </w:tcPr>
          <w:p w14:paraId="41CA1798" w14:textId="77777777" w:rsidR="008E661E" w:rsidRPr="00236A55" w:rsidRDefault="008E661E" w:rsidP="000C039C">
            <w:pPr>
              <w:widowControl/>
              <w:jc w:val="center"/>
              <w:rPr>
                <w:rFonts w:ascii="Calibri" w:hAnsi="Calibri"/>
                <w:b/>
                <w:bCs/>
                <w:snapToGrid/>
                <w:color w:val="000000"/>
                <w:kern w:val="0"/>
                <w:szCs w:val="22"/>
              </w:rPr>
            </w:pPr>
            <w:r w:rsidRPr="00236A55">
              <w:rPr>
                <w:rFonts w:ascii="Calibri" w:hAnsi="Calibri"/>
                <w:b/>
                <w:bCs/>
                <w:snapToGrid/>
                <w:color w:val="000000"/>
                <w:kern w:val="0"/>
                <w:szCs w:val="22"/>
              </w:rPr>
              <w:t>Rural</w:t>
            </w:r>
          </w:p>
        </w:tc>
        <w:tc>
          <w:tcPr>
            <w:tcW w:w="960" w:type="dxa"/>
            <w:shd w:val="clear" w:color="auto" w:fill="D9E2F3"/>
            <w:noWrap/>
            <w:hideMark/>
          </w:tcPr>
          <w:p w14:paraId="00F7F17F" w14:textId="77777777" w:rsidR="008E661E" w:rsidRPr="00236A55" w:rsidRDefault="008E661E" w:rsidP="000C039C">
            <w:pPr>
              <w:widowControl/>
              <w:rPr>
                <w:rFonts w:ascii="Calibri" w:hAnsi="Calibri"/>
                <w:snapToGrid/>
                <w:color w:val="000000"/>
                <w:kern w:val="0"/>
                <w:szCs w:val="22"/>
              </w:rPr>
            </w:pPr>
            <w:r w:rsidRPr="00236A55">
              <w:rPr>
                <w:rFonts w:ascii="Calibri" w:hAnsi="Calibri"/>
                <w:snapToGrid/>
                <w:color w:val="000000"/>
                <w:kern w:val="0"/>
                <w:szCs w:val="22"/>
              </w:rPr>
              <w:t>2015</w:t>
            </w:r>
          </w:p>
        </w:tc>
        <w:tc>
          <w:tcPr>
            <w:tcW w:w="2560" w:type="dxa"/>
            <w:shd w:val="clear" w:color="auto" w:fill="D9E2F3"/>
            <w:noWrap/>
            <w:hideMark/>
          </w:tcPr>
          <w:p w14:paraId="42F84F5B" w14:textId="77777777" w:rsidR="008E661E" w:rsidRPr="00236A55" w:rsidRDefault="008E661E" w:rsidP="000C039C">
            <w:pPr>
              <w:widowControl/>
              <w:rPr>
                <w:rFonts w:ascii="Calibri" w:hAnsi="Calibri"/>
                <w:snapToGrid/>
                <w:color w:val="000000"/>
                <w:kern w:val="0"/>
                <w:szCs w:val="22"/>
              </w:rPr>
            </w:pPr>
            <w:r w:rsidRPr="00236A55">
              <w:rPr>
                <w:rFonts w:ascii="Calibri" w:hAnsi="Calibri"/>
                <w:color w:val="000000"/>
                <w:szCs w:val="22"/>
              </w:rPr>
              <w:t>$103,242,144</w:t>
            </w:r>
          </w:p>
          <w:p w14:paraId="4B093512" w14:textId="77777777" w:rsidR="008E661E" w:rsidRPr="00236A55" w:rsidRDefault="008E661E" w:rsidP="000C039C">
            <w:pPr>
              <w:widowControl/>
              <w:rPr>
                <w:rFonts w:ascii="Calibri" w:hAnsi="Calibri"/>
                <w:snapToGrid/>
                <w:color w:val="000000"/>
                <w:kern w:val="0"/>
                <w:szCs w:val="22"/>
              </w:rPr>
            </w:pPr>
          </w:p>
        </w:tc>
        <w:tc>
          <w:tcPr>
            <w:tcW w:w="2445" w:type="dxa"/>
            <w:shd w:val="clear" w:color="auto" w:fill="D9E2F3"/>
            <w:noWrap/>
            <w:hideMark/>
          </w:tcPr>
          <w:p w14:paraId="3B45BEC5" w14:textId="77777777" w:rsidR="008E661E" w:rsidRPr="00236A55" w:rsidRDefault="008E661E" w:rsidP="000C039C">
            <w:pPr>
              <w:widowControl/>
              <w:rPr>
                <w:rFonts w:ascii="Calibri" w:hAnsi="Calibri"/>
                <w:snapToGrid/>
                <w:color w:val="000000"/>
                <w:kern w:val="0"/>
                <w:szCs w:val="22"/>
              </w:rPr>
            </w:pPr>
            <w:r w:rsidRPr="00236A55">
              <w:rPr>
                <w:rFonts w:ascii="Calibri" w:hAnsi="Calibri"/>
                <w:color w:val="000000"/>
                <w:szCs w:val="22"/>
              </w:rPr>
              <w:t>$403,556,025</w:t>
            </w:r>
          </w:p>
          <w:p w14:paraId="7DB44D20" w14:textId="77777777" w:rsidR="008E661E" w:rsidRPr="00236A55" w:rsidRDefault="008E661E" w:rsidP="000C039C">
            <w:pPr>
              <w:widowControl/>
              <w:rPr>
                <w:rFonts w:ascii="Calibri" w:hAnsi="Calibri"/>
                <w:snapToGrid/>
                <w:color w:val="000000"/>
                <w:kern w:val="0"/>
                <w:szCs w:val="22"/>
              </w:rPr>
            </w:pPr>
          </w:p>
        </w:tc>
        <w:tc>
          <w:tcPr>
            <w:tcW w:w="2700" w:type="dxa"/>
            <w:vMerge w:val="restart"/>
            <w:shd w:val="clear" w:color="auto" w:fill="D9E2F3"/>
            <w:noWrap/>
            <w:hideMark/>
          </w:tcPr>
          <w:p w14:paraId="08FFC25C" w14:textId="77777777" w:rsidR="008E661E" w:rsidRPr="00236A55" w:rsidRDefault="008E661E" w:rsidP="000C039C">
            <w:pPr>
              <w:widowControl/>
              <w:jc w:val="center"/>
              <w:rPr>
                <w:rFonts w:ascii="Calibri" w:hAnsi="Calibri"/>
                <w:snapToGrid/>
                <w:color w:val="000000"/>
                <w:kern w:val="0"/>
                <w:szCs w:val="22"/>
              </w:rPr>
            </w:pPr>
            <w:r w:rsidRPr="00236A55">
              <w:rPr>
                <w:rFonts w:ascii="Calibri" w:hAnsi="Calibri"/>
                <w:snapToGrid/>
                <w:color w:val="000000"/>
                <w:kern w:val="0"/>
                <w:szCs w:val="22"/>
              </w:rPr>
              <w:t>-43%</w:t>
            </w:r>
          </w:p>
        </w:tc>
      </w:tr>
      <w:tr w:rsidR="008E661E" w:rsidRPr="002D7AAA" w14:paraId="462F2DF4" w14:textId="77777777" w:rsidTr="000C039C">
        <w:trPr>
          <w:trHeight w:val="300"/>
          <w:jc w:val="center"/>
        </w:trPr>
        <w:tc>
          <w:tcPr>
            <w:tcW w:w="960" w:type="dxa"/>
            <w:vMerge/>
            <w:shd w:val="clear" w:color="auto" w:fill="auto"/>
            <w:hideMark/>
          </w:tcPr>
          <w:p w14:paraId="0214B4AE" w14:textId="77777777" w:rsidR="008E661E" w:rsidRPr="00236A55" w:rsidRDefault="008E661E" w:rsidP="000C039C">
            <w:pPr>
              <w:widowControl/>
              <w:rPr>
                <w:rFonts w:ascii="Calibri" w:hAnsi="Calibri"/>
                <w:b/>
                <w:bCs/>
                <w:snapToGrid/>
                <w:color w:val="000000"/>
                <w:kern w:val="0"/>
                <w:szCs w:val="22"/>
              </w:rPr>
            </w:pPr>
          </w:p>
        </w:tc>
        <w:tc>
          <w:tcPr>
            <w:tcW w:w="960" w:type="dxa"/>
            <w:shd w:val="clear" w:color="auto" w:fill="auto"/>
            <w:noWrap/>
            <w:hideMark/>
          </w:tcPr>
          <w:p w14:paraId="6F6430D4" w14:textId="77777777" w:rsidR="008E661E" w:rsidRPr="00236A55" w:rsidRDefault="008E661E" w:rsidP="000C039C">
            <w:pPr>
              <w:widowControl/>
              <w:rPr>
                <w:rFonts w:ascii="Calibri" w:hAnsi="Calibri"/>
                <w:snapToGrid/>
                <w:color w:val="000000"/>
                <w:kern w:val="0"/>
                <w:szCs w:val="22"/>
              </w:rPr>
            </w:pPr>
            <w:r w:rsidRPr="00236A55">
              <w:rPr>
                <w:rFonts w:ascii="Calibri" w:hAnsi="Calibri"/>
                <w:snapToGrid/>
                <w:color w:val="000000"/>
                <w:kern w:val="0"/>
                <w:szCs w:val="22"/>
              </w:rPr>
              <w:t>2016</w:t>
            </w:r>
          </w:p>
        </w:tc>
        <w:tc>
          <w:tcPr>
            <w:tcW w:w="2560" w:type="dxa"/>
            <w:shd w:val="clear" w:color="auto" w:fill="auto"/>
            <w:noWrap/>
            <w:hideMark/>
          </w:tcPr>
          <w:p w14:paraId="71B22901" w14:textId="77777777" w:rsidR="008E661E" w:rsidRPr="00236A55" w:rsidRDefault="008E661E" w:rsidP="000C039C">
            <w:pPr>
              <w:widowControl/>
              <w:rPr>
                <w:rFonts w:ascii="Calibri" w:hAnsi="Calibri"/>
                <w:snapToGrid/>
                <w:color w:val="000000"/>
                <w:kern w:val="0"/>
                <w:szCs w:val="22"/>
              </w:rPr>
            </w:pPr>
            <w:r w:rsidRPr="00236A55">
              <w:rPr>
                <w:rFonts w:ascii="Calibri" w:hAnsi="Calibri"/>
                <w:color w:val="000000"/>
                <w:szCs w:val="22"/>
              </w:rPr>
              <w:t>$58,995,657</w:t>
            </w:r>
          </w:p>
          <w:p w14:paraId="5ADC032C" w14:textId="77777777" w:rsidR="008E661E" w:rsidRPr="00236A55" w:rsidRDefault="008E661E" w:rsidP="000C039C">
            <w:pPr>
              <w:widowControl/>
              <w:rPr>
                <w:rFonts w:ascii="Calibri" w:hAnsi="Calibri"/>
                <w:snapToGrid/>
                <w:color w:val="000000"/>
                <w:kern w:val="0"/>
                <w:szCs w:val="22"/>
              </w:rPr>
            </w:pPr>
          </w:p>
        </w:tc>
        <w:tc>
          <w:tcPr>
            <w:tcW w:w="2445" w:type="dxa"/>
            <w:shd w:val="clear" w:color="auto" w:fill="auto"/>
            <w:noWrap/>
            <w:hideMark/>
          </w:tcPr>
          <w:p w14:paraId="457299E8" w14:textId="77777777" w:rsidR="008E661E" w:rsidRPr="00236A55" w:rsidRDefault="008E661E" w:rsidP="000C039C">
            <w:pPr>
              <w:widowControl/>
              <w:rPr>
                <w:rFonts w:ascii="Calibri" w:hAnsi="Calibri"/>
                <w:snapToGrid/>
                <w:color w:val="000000"/>
                <w:kern w:val="0"/>
                <w:szCs w:val="22"/>
              </w:rPr>
            </w:pPr>
            <w:r w:rsidRPr="00236A55">
              <w:rPr>
                <w:rFonts w:ascii="Calibri" w:hAnsi="Calibri"/>
                <w:color w:val="000000"/>
                <w:szCs w:val="22"/>
              </w:rPr>
              <w:t>$346,056,150</w:t>
            </w:r>
          </w:p>
          <w:p w14:paraId="58873AD6" w14:textId="77777777" w:rsidR="008E661E" w:rsidRPr="00236A55" w:rsidRDefault="008E661E" w:rsidP="000C039C">
            <w:pPr>
              <w:widowControl/>
              <w:rPr>
                <w:rFonts w:ascii="Calibri" w:hAnsi="Calibri"/>
                <w:snapToGrid/>
                <w:color w:val="000000"/>
                <w:kern w:val="0"/>
                <w:szCs w:val="22"/>
              </w:rPr>
            </w:pPr>
          </w:p>
        </w:tc>
        <w:tc>
          <w:tcPr>
            <w:tcW w:w="2700" w:type="dxa"/>
            <w:vMerge/>
            <w:shd w:val="clear" w:color="auto" w:fill="auto"/>
            <w:noWrap/>
            <w:hideMark/>
          </w:tcPr>
          <w:p w14:paraId="56E9109D" w14:textId="77777777" w:rsidR="008E661E" w:rsidRPr="00236A55" w:rsidRDefault="008E661E" w:rsidP="000C039C">
            <w:pPr>
              <w:widowControl/>
              <w:jc w:val="right"/>
              <w:rPr>
                <w:rFonts w:ascii="Calibri" w:hAnsi="Calibri"/>
                <w:snapToGrid/>
                <w:color w:val="000000"/>
                <w:kern w:val="0"/>
                <w:szCs w:val="22"/>
              </w:rPr>
            </w:pPr>
          </w:p>
        </w:tc>
      </w:tr>
      <w:tr w:rsidR="008E661E" w:rsidRPr="002D7AAA" w14:paraId="38F4E914" w14:textId="77777777" w:rsidTr="000C039C">
        <w:trPr>
          <w:trHeight w:val="300"/>
          <w:jc w:val="center"/>
        </w:trPr>
        <w:tc>
          <w:tcPr>
            <w:tcW w:w="960" w:type="dxa"/>
            <w:vMerge w:val="restart"/>
            <w:shd w:val="clear" w:color="auto" w:fill="D9E2F3"/>
            <w:noWrap/>
            <w:hideMark/>
          </w:tcPr>
          <w:p w14:paraId="1B02B818" w14:textId="77777777" w:rsidR="008E661E" w:rsidRPr="00236A55" w:rsidRDefault="008E661E" w:rsidP="000C039C">
            <w:pPr>
              <w:widowControl/>
              <w:jc w:val="center"/>
              <w:rPr>
                <w:rFonts w:ascii="Calibri" w:hAnsi="Calibri"/>
                <w:b/>
                <w:bCs/>
                <w:snapToGrid/>
                <w:color w:val="000000"/>
                <w:kern w:val="0"/>
                <w:szCs w:val="22"/>
              </w:rPr>
            </w:pPr>
            <w:r w:rsidRPr="00236A55">
              <w:rPr>
                <w:rFonts w:ascii="Calibri" w:hAnsi="Calibri"/>
                <w:b/>
                <w:bCs/>
                <w:snapToGrid/>
                <w:color w:val="000000"/>
                <w:kern w:val="0"/>
                <w:szCs w:val="22"/>
              </w:rPr>
              <w:t>Urban</w:t>
            </w:r>
          </w:p>
        </w:tc>
        <w:tc>
          <w:tcPr>
            <w:tcW w:w="960" w:type="dxa"/>
            <w:shd w:val="clear" w:color="auto" w:fill="D9E2F3"/>
            <w:noWrap/>
            <w:hideMark/>
          </w:tcPr>
          <w:p w14:paraId="525D2B03" w14:textId="77777777" w:rsidR="008E661E" w:rsidRPr="00236A55" w:rsidRDefault="008E661E" w:rsidP="000C039C">
            <w:pPr>
              <w:widowControl/>
              <w:rPr>
                <w:rFonts w:ascii="Calibri" w:hAnsi="Calibri"/>
                <w:snapToGrid/>
                <w:color w:val="000000"/>
                <w:kern w:val="0"/>
                <w:szCs w:val="22"/>
              </w:rPr>
            </w:pPr>
            <w:r w:rsidRPr="00236A55">
              <w:rPr>
                <w:rFonts w:ascii="Calibri" w:hAnsi="Calibri"/>
                <w:snapToGrid/>
                <w:color w:val="000000"/>
                <w:kern w:val="0"/>
                <w:szCs w:val="22"/>
              </w:rPr>
              <w:t>2015</w:t>
            </w:r>
          </w:p>
        </w:tc>
        <w:tc>
          <w:tcPr>
            <w:tcW w:w="2560" w:type="dxa"/>
            <w:shd w:val="clear" w:color="auto" w:fill="D9E2F3"/>
            <w:noWrap/>
            <w:hideMark/>
          </w:tcPr>
          <w:p w14:paraId="5B47F811" w14:textId="77777777" w:rsidR="008E661E" w:rsidRPr="00236A55" w:rsidRDefault="008E661E" w:rsidP="000C039C">
            <w:pPr>
              <w:widowControl/>
              <w:rPr>
                <w:rFonts w:ascii="Calibri" w:hAnsi="Calibri"/>
                <w:snapToGrid/>
                <w:color w:val="000000"/>
                <w:kern w:val="0"/>
                <w:szCs w:val="22"/>
              </w:rPr>
            </w:pPr>
            <w:r w:rsidRPr="00236A55">
              <w:rPr>
                <w:rFonts w:ascii="Calibri" w:hAnsi="Calibri"/>
                <w:color w:val="000000"/>
                <w:szCs w:val="22"/>
              </w:rPr>
              <w:t>$236,248,552</w:t>
            </w:r>
          </w:p>
          <w:p w14:paraId="7304862E" w14:textId="77777777" w:rsidR="008E661E" w:rsidRPr="00236A55" w:rsidRDefault="008E661E" w:rsidP="000C039C">
            <w:pPr>
              <w:widowControl/>
              <w:rPr>
                <w:rFonts w:ascii="Calibri" w:hAnsi="Calibri"/>
                <w:snapToGrid/>
                <w:color w:val="000000"/>
                <w:kern w:val="0"/>
                <w:szCs w:val="22"/>
              </w:rPr>
            </w:pPr>
          </w:p>
        </w:tc>
        <w:tc>
          <w:tcPr>
            <w:tcW w:w="2445" w:type="dxa"/>
            <w:shd w:val="clear" w:color="auto" w:fill="D9E2F3"/>
            <w:noWrap/>
            <w:hideMark/>
          </w:tcPr>
          <w:p w14:paraId="0F9C8308" w14:textId="77777777" w:rsidR="008E661E" w:rsidRPr="00236A55" w:rsidRDefault="008E661E" w:rsidP="000C039C">
            <w:pPr>
              <w:widowControl/>
              <w:rPr>
                <w:rFonts w:ascii="Calibri" w:hAnsi="Calibri"/>
                <w:snapToGrid/>
                <w:color w:val="000000"/>
                <w:kern w:val="0"/>
                <w:szCs w:val="22"/>
              </w:rPr>
            </w:pPr>
            <w:r w:rsidRPr="00236A55">
              <w:rPr>
                <w:rFonts w:ascii="Calibri" w:hAnsi="Calibri"/>
                <w:color w:val="000000"/>
                <w:szCs w:val="22"/>
              </w:rPr>
              <w:t>$1,077,937,737</w:t>
            </w:r>
          </w:p>
          <w:p w14:paraId="025B882D" w14:textId="77777777" w:rsidR="008E661E" w:rsidRPr="00236A55" w:rsidRDefault="008E661E" w:rsidP="000C039C">
            <w:pPr>
              <w:widowControl/>
              <w:rPr>
                <w:rFonts w:ascii="Calibri" w:hAnsi="Calibri"/>
                <w:snapToGrid/>
                <w:color w:val="000000"/>
                <w:kern w:val="0"/>
                <w:szCs w:val="22"/>
              </w:rPr>
            </w:pPr>
          </w:p>
        </w:tc>
        <w:tc>
          <w:tcPr>
            <w:tcW w:w="2700" w:type="dxa"/>
            <w:vMerge w:val="restart"/>
            <w:shd w:val="clear" w:color="auto" w:fill="D9E2F3"/>
            <w:noWrap/>
            <w:hideMark/>
          </w:tcPr>
          <w:p w14:paraId="0C83D7A7" w14:textId="77777777" w:rsidR="008E661E" w:rsidRPr="00236A55" w:rsidRDefault="008E661E" w:rsidP="000C039C">
            <w:pPr>
              <w:widowControl/>
              <w:jc w:val="center"/>
              <w:rPr>
                <w:rFonts w:ascii="Calibri" w:hAnsi="Calibri"/>
                <w:snapToGrid/>
                <w:color w:val="000000"/>
                <w:kern w:val="0"/>
                <w:szCs w:val="22"/>
              </w:rPr>
            </w:pPr>
            <w:r w:rsidRPr="00236A55">
              <w:rPr>
                <w:rFonts w:ascii="Calibri" w:hAnsi="Calibri"/>
                <w:snapToGrid/>
                <w:color w:val="000000"/>
                <w:kern w:val="0"/>
                <w:szCs w:val="22"/>
              </w:rPr>
              <w:t>-43%</w:t>
            </w:r>
          </w:p>
        </w:tc>
      </w:tr>
      <w:tr w:rsidR="008E661E" w:rsidRPr="002D7AAA" w14:paraId="558270A2" w14:textId="77777777" w:rsidTr="000C039C">
        <w:trPr>
          <w:trHeight w:val="300"/>
          <w:jc w:val="center"/>
        </w:trPr>
        <w:tc>
          <w:tcPr>
            <w:tcW w:w="960" w:type="dxa"/>
            <w:vMerge/>
            <w:shd w:val="clear" w:color="auto" w:fill="auto"/>
            <w:hideMark/>
          </w:tcPr>
          <w:p w14:paraId="269E72B5" w14:textId="77777777" w:rsidR="008E661E" w:rsidRPr="00236A55" w:rsidRDefault="008E661E" w:rsidP="000C039C">
            <w:pPr>
              <w:widowControl/>
              <w:rPr>
                <w:rFonts w:ascii="Calibri" w:hAnsi="Calibri"/>
                <w:b/>
                <w:bCs/>
                <w:snapToGrid/>
                <w:color w:val="000000"/>
                <w:kern w:val="0"/>
                <w:szCs w:val="22"/>
              </w:rPr>
            </w:pPr>
          </w:p>
        </w:tc>
        <w:tc>
          <w:tcPr>
            <w:tcW w:w="960" w:type="dxa"/>
            <w:shd w:val="clear" w:color="auto" w:fill="auto"/>
            <w:noWrap/>
            <w:hideMark/>
          </w:tcPr>
          <w:p w14:paraId="27A35B21" w14:textId="77777777" w:rsidR="008E661E" w:rsidRPr="00236A55" w:rsidRDefault="008E661E" w:rsidP="000C039C">
            <w:pPr>
              <w:widowControl/>
              <w:rPr>
                <w:rFonts w:ascii="Calibri" w:hAnsi="Calibri"/>
                <w:snapToGrid/>
                <w:color w:val="000000"/>
                <w:kern w:val="0"/>
                <w:szCs w:val="22"/>
              </w:rPr>
            </w:pPr>
            <w:r w:rsidRPr="00236A55">
              <w:rPr>
                <w:rFonts w:ascii="Calibri" w:hAnsi="Calibri"/>
                <w:snapToGrid/>
                <w:color w:val="000000"/>
                <w:kern w:val="0"/>
                <w:szCs w:val="22"/>
              </w:rPr>
              <w:t>2016</w:t>
            </w:r>
          </w:p>
        </w:tc>
        <w:tc>
          <w:tcPr>
            <w:tcW w:w="2560" w:type="dxa"/>
            <w:shd w:val="clear" w:color="auto" w:fill="auto"/>
            <w:noWrap/>
            <w:hideMark/>
          </w:tcPr>
          <w:p w14:paraId="40EBBE81" w14:textId="77777777" w:rsidR="008E661E" w:rsidRPr="00236A55" w:rsidRDefault="008E661E" w:rsidP="000C039C">
            <w:pPr>
              <w:widowControl/>
              <w:rPr>
                <w:rFonts w:ascii="Calibri" w:hAnsi="Calibri"/>
                <w:snapToGrid/>
                <w:color w:val="000000"/>
                <w:kern w:val="0"/>
                <w:szCs w:val="22"/>
              </w:rPr>
            </w:pPr>
            <w:r w:rsidRPr="00236A55">
              <w:rPr>
                <w:rFonts w:ascii="Calibri" w:hAnsi="Calibri"/>
                <w:color w:val="000000"/>
                <w:szCs w:val="22"/>
              </w:rPr>
              <w:t>$135,346,099</w:t>
            </w:r>
          </w:p>
          <w:p w14:paraId="2EF83993" w14:textId="77777777" w:rsidR="008E661E" w:rsidRPr="00236A55" w:rsidRDefault="008E661E" w:rsidP="000C039C">
            <w:pPr>
              <w:widowControl/>
              <w:rPr>
                <w:rFonts w:ascii="Calibri" w:hAnsi="Calibri"/>
                <w:snapToGrid/>
                <w:color w:val="000000"/>
                <w:kern w:val="0"/>
                <w:szCs w:val="22"/>
              </w:rPr>
            </w:pPr>
          </w:p>
        </w:tc>
        <w:tc>
          <w:tcPr>
            <w:tcW w:w="2445" w:type="dxa"/>
            <w:shd w:val="clear" w:color="auto" w:fill="auto"/>
            <w:noWrap/>
            <w:hideMark/>
          </w:tcPr>
          <w:p w14:paraId="03C586A9" w14:textId="77777777" w:rsidR="008E661E" w:rsidRPr="00236A55" w:rsidRDefault="008E661E" w:rsidP="000C039C">
            <w:pPr>
              <w:widowControl/>
              <w:rPr>
                <w:rFonts w:ascii="Calibri" w:hAnsi="Calibri"/>
                <w:snapToGrid/>
                <w:color w:val="000000"/>
                <w:kern w:val="0"/>
                <w:szCs w:val="22"/>
              </w:rPr>
            </w:pPr>
            <w:r w:rsidRPr="00236A55">
              <w:rPr>
                <w:rFonts w:ascii="Calibri" w:hAnsi="Calibri"/>
                <w:color w:val="000000"/>
                <w:szCs w:val="22"/>
              </w:rPr>
              <w:t>$973,709,555</w:t>
            </w:r>
          </w:p>
          <w:p w14:paraId="4BCBB518" w14:textId="77777777" w:rsidR="008E661E" w:rsidRPr="00236A55" w:rsidRDefault="008E661E" w:rsidP="000C039C">
            <w:pPr>
              <w:widowControl/>
              <w:rPr>
                <w:rFonts w:ascii="Calibri" w:hAnsi="Calibri"/>
                <w:snapToGrid/>
                <w:color w:val="000000"/>
                <w:kern w:val="0"/>
                <w:szCs w:val="22"/>
              </w:rPr>
            </w:pPr>
          </w:p>
        </w:tc>
        <w:tc>
          <w:tcPr>
            <w:tcW w:w="2700" w:type="dxa"/>
            <w:vMerge/>
            <w:shd w:val="clear" w:color="auto" w:fill="auto"/>
            <w:noWrap/>
            <w:hideMark/>
          </w:tcPr>
          <w:p w14:paraId="60EF404B" w14:textId="77777777" w:rsidR="008E661E" w:rsidRPr="00236A55" w:rsidRDefault="008E661E" w:rsidP="000C039C">
            <w:pPr>
              <w:widowControl/>
              <w:jc w:val="right"/>
              <w:rPr>
                <w:rFonts w:ascii="Calibri" w:hAnsi="Calibri"/>
                <w:snapToGrid/>
                <w:color w:val="000000"/>
                <w:kern w:val="0"/>
                <w:szCs w:val="22"/>
              </w:rPr>
            </w:pPr>
          </w:p>
        </w:tc>
      </w:tr>
    </w:tbl>
    <w:p w14:paraId="0827EC91" w14:textId="77777777" w:rsidR="008E661E" w:rsidRPr="00DE182C" w:rsidRDefault="008E661E" w:rsidP="008E661E">
      <w:pPr>
        <w:pStyle w:val="ParaNum"/>
        <w:numPr>
          <w:ilvl w:val="0"/>
          <w:numId w:val="0"/>
        </w:numPr>
        <w:jc w:val="center"/>
        <w:rPr>
          <w:i/>
          <w:sz w:val="20"/>
        </w:rPr>
      </w:pPr>
      <w:r w:rsidRPr="00DE182C">
        <w:rPr>
          <w:i/>
          <w:sz w:val="20"/>
        </w:rPr>
        <w:t>*Applicants receiving a substantial proportion of voice support are those applicants that received at least 25% of total E-rate funding for voice services in funding year 2014.</w:t>
      </w:r>
    </w:p>
    <w:p w14:paraId="7EAB37DC" w14:textId="77777777" w:rsidR="008E661E" w:rsidRPr="00E01B21" w:rsidRDefault="008E661E" w:rsidP="008E661E">
      <w:pPr>
        <w:pStyle w:val="NoSpacing"/>
      </w:pPr>
    </w:p>
    <w:p w14:paraId="098AF42D" w14:textId="77777777" w:rsidR="008E661E" w:rsidRPr="00E01B21" w:rsidRDefault="008E661E" w:rsidP="008E661E">
      <w:pPr>
        <w:pStyle w:val="NoSpacing"/>
        <w:jc w:val="center"/>
      </w:pPr>
      <w:r>
        <w:t>All Applicants</w:t>
      </w:r>
    </w:p>
    <w:tbl>
      <w:tblPr>
        <w:tblW w:w="9625" w:type="dxa"/>
        <w:jc w:val="center"/>
        <w:tblBorders>
          <w:top w:val="single" w:sz="4" w:space="0" w:color="8EAADB"/>
          <w:left w:val="single" w:sz="4" w:space="0" w:color="8EAADB"/>
          <w:bottom w:val="single" w:sz="4" w:space="0" w:color="8EAADB"/>
          <w:right w:val="single" w:sz="4" w:space="0" w:color="8EAADB"/>
          <w:insideH w:val="single" w:sz="4" w:space="0" w:color="8EAADB"/>
        </w:tblBorders>
        <w:tblLook w:val="04A0" w:firstRow="1" w:lastRow="0" w:firstColumn="1" w:lastColumn="0" w:noHBand="0" w:noVBand="1"/>
      </w:tblPr>
      <w:tblGrid>
        <w:gridCol w:w="960"/>
        <w:gridCol w:w="1026"/>
        <w:gridCol w:w="2651"/>
        <w:gridCol w:w="2430"/>
        <w:gridCol w:w="2558"/>
      </w:tblGrid>
      <w:tr w:rsidR="008E661E" w:rsidRPr="005A169C" w14:paraId="415DF555" w14:textId="77777777" w:rsidTr="000C039C">
        <w:trPr>
          <w:trHeight w:val="315"/>
          <w:jc w:val="center"/>
        </w:trPr>
        <w:tc>
          <w:tcPr>
            <w:tcW w:w="960" w:type="dxa"/>
            <w:tcBorders>
              <w:top w:val="single" w:sz="4" w:space="0" w:color="4472C4"/>
              <w:left w:val="single" w:sz="4" w:space="0" w:color="4472C4"/>
              <w:bottom w:val="single" w:sz="4" w:space="0" w:color="4472C4"/>
            </w:tcBorders>
            <w:shd w:val="clear" w:color="auto" w:fill="4472C4"/>
            <w:noWrap/>
            <w:hideMark/>
          </w:tcPr>
          <w:p w14:paraId="32C62290" w14:textId="77777777" w:rsidR="008E661E" w:rsidRPr="00236A55" w:rsidRDefault="008E661E" w:rsidP="000C039C">
            <w:pPr>
              <w:widowControl/>
              <w:jc w:val="center"/>
              <w:rPr>
                <w:rFonts w:ascii="Calibri" w:hAnsi="Calibri"/>
                <w:b/>
                <w:bCs/>
                <w:snapToGrid/>
                <w:color w:val="FFFFFF"/>
                <w:kern w:val="0"/>
                <w:szCs w:val="22"/>
              </w:rPr>
            </w:pPr>
            <w:r w:rsidRPr="00236A55">
              <w:rPr>
                <w:rFonts w:ascii="Calibri" w:hAnsi="Calibri"/>
                <w:b/>
                <w:bCs/>
                <w:snapToGrid/>
                <w:color w:val="FFFFFF"/>
                <w:kern w:val="0"/>
                <w:szCs w:val="22"/>
              </w:rPr>
              <w:t>Status</w:t>
            </w:r>
          </w:p>
        </w:tc>
        <w:tc>
          <w:tcPr>
            <w:tcW w:w="1026" w:type="dxa"/>
            <w:tcBorders>
              <w:top w:val="single" w:sz="4" w:space="0" w:color="4472C4"/>
              <w:bottom w:val="single" w:sz="4" w:space="0" w:color="4472C4"/>
            </w:tcBorders>
            <w:shd w:val="clear" w:color="auto" w:fill="4472C4"/>
            <w:noWrap/>
            <w:hideMark/>
          </w:tcPr>
          <w:p w14:paraId="7628BB56" w14:textId="77777777" w:rsidR="008E661E" w:rsidRPr="00236A55" w:rsidRDefault="008E661E" w:rsidP="000C039C">
            <w:pPr>
              <w:widowControl/>
              <w:rPr>
                <w:rFonts w:ascii="Calibri" w:hAnsi="Calibri"/>
                <w:b/>
                <w:bCs/>
                <w:snapToGrid/>
                <w:color w:val="FFFFFF"/>
                <w:kern w:val="0"/>
                <w:szCs w:val="22"/>
              </w:rPr>
            </w:pPr>
            <w:r w:rsidRPr="00236A55">
              <w:rPr>
                <w:rFonts w:ascii="Calibri" w:hAnsi="Calibri"/>
                <w:b/>
                <w:bCs/>
                <w:snapToGrid/>
                <w:color w:val="FFFFFF"/>
                <w:kern w:val="0"/>
                <w:szCs w:val="22"/>
              </w:rPr>
              <w:t>Funding Year</w:t>
            </w:r>
          </w:p>
        </w:tc>
        <w:tc>
          <w:tcPr>
            <w:tcW w:w="2651" w:type="dxa"/>
            <w:tcBorders>
              <w:top w:val="single" w:sz="4" w:space="0" w:color="4472C4"/>
              <w:bottom w:val="single" w:sz="4" w:space="0" w:color="4472C4"/>
            </w:tcBorders>
            <w:shd w:val="clear" w:color="auto" w:fill="4472C4"/>
            <w:noWrap/>
            <w:hideMark/>
          </w:tcPr>
          <w:p w14:paraId="13A7C7F5" w14:textId="77777777" w:rsidR="008E661E" w:rsidRPr="00236A55" w:rsidRDefault="008E661E" w:rsidP="000C039C">
            <w:pPr>
              <w:widowControl/>
              <w:rPr>
                <w:rFonts w:ascii="Calibri" w:hAnsi="Calibri"/>
                <w:b/>
                <w:bCs/>
                <w:snapToGrid/>
                <w:color w:val="FFFFFF"/>
                <w:kern w:val="0"/>
                <w:szCs w:val="22"/>
              </w:rPr>
            </w:pPr>
            <w:r w:rsidRPr="00236A55">
              <w:rPr>
                <w:rFonts w:ascii="Calibri" w:hAnsi="Calibri"/>
                <w:b/>
                <w:bCs/>
                <w:snapToGrid/>
                <w:color w:val="FFFFFF"/>
                <w:kern w:val="0"/>
                <w:szCs w:val="22"/>
              </w:rPr>
              <w:t>Commitment for Voice Services</w:t>
            </w:r>
          </w:p>
        </w:tc>
        <w:tc>
          <w:tcPr>
            <w:tcW w:w="2430" w:type="dxa"/>
            <w:tcBorders>
              <w:top w:val="single" w:sz="4" w:space="0" w:color="4472C4"/>
              <w:bottom w:val="single" w:sz="4" w:space="0" w:color="4472C4"/>
            </w:tcBorders>
            <w:shd w:val="clear" w:color="auto" w:fill="4472C4"/>
            <w:noWrap/>
            <w:hideMark/>
          </w:tcPr>
          <w:p w14:paraId="26AEC345" w14:textId="77777777" w:rsidR="008E661E" w:rsidRPr="00236A55" w:rsidRDefault="008E661E" w:rsidP="000C039C">
            <w:pPr>
              <w:widowControl/>
              <w:rPr>
                <w:rFonts w:ascii="Calibri" w:hAnsi="Calibri"/>
                <w:b/>
                <w:bCs/>
                <w:snapToGrid/>
                <w:color w:val="FFFFFF"/>
                <w:kern w:val="0"/>
                <w:szCs w:val="22"/>
              </w:rPr>
            </w:pPr>
            <w:r w:rsidRPr="00236A55">
              <w:rPr>
                <w:rFonts w:ascii="Calibri" w:hAnsi="Calibri"/>
                <w:b/>
                <w:bCs/>
                <w:snapToGrid/>
                <w:color w:val="FFFFFF"/>
                <w:kern w:val="0"/>
                <w:szCs w:val="22"/>
              </w:rPr>
              <w:t>Commitment for Non-Voice Services</w:t>
            </w:r>
          </w:p>
        </w:tc>
        <w:tc>
          <w:tcPr>
            <w:tcW w:w="2558" w:type="dxa"/>
            <w:tcBorders>
              <w:top w:val="single" w:sz="4" w:space="0" w:color="4472C4"/>
              <w:bottom w:val="single" w:sz="4" w:space="0" w:color="4472C4"/>
              <w:right w:val="single" w:sz="4" w:space="0" w:color="4472C4"/>
            </w:tcBorders>
            <w:shd w:val="clear" w:color="auto" w:fill="4472C4"/>
          </w:tcPr>
          <w:p w14:paraId="1985E990" w14:textId="77777777" w:rsidR="008E661E" w:rsidRPr="00236A55" w:rsidRDefault="008E661E" w:rsidP="000C039C">
            <w:pPr>
              <w:widowControl/>
              <w:rPr>
                <w:rFonts w:ascii="Calibri" w:hAnsi="Calibri"/>
                <w:b/>
                <w:bCs/>
                <w:snapToGrid/>
                <w:color w:val="FFFFFF"/>
                <w:kern w:val="0"/>
                <w:szCs w:val="22"/>
              </w:rPr>
            </w:pPr>
            <w:r w:rsidRPr="00236A55">
              <w:rPr>
                <w:rFonts w:ascii="Calibri" w:hAnsi="Calibri"/>
                <w:b/>
                <w:bCs/>
                <w:snapToGrid/>
                <w:color w:val="FFFFFF"/>
                <w:kern w:val="0"/>
                <w:szCs w:val="22"/>
              </w:rPr>
              <w:t>Change in Commitment for Voice Services 2015-16</w:t>
            </w:r>
          </w:p>
        </w:tc>
      </w:tr>
      <w:tr w:rsidR="00241DB4" w:rsidRPr="002F7983" w14:paraId="6B7F746A" w14:textId="77777777" w:rsidTr="000C039C">
        <w:trPr>
          <w:trHeight w:val="300"/>
          <w:jc w:val="center"/>
        </w:trPr>
        <w:tc>
          <w:tcPr>
            <w:tcW w:w="960" w:type="dxa"/>
            <w:vMerge w:val="restart"/>
            <w:shd w:val="clear" w:color="auto" w:fill="D9E2F3"/>
            <w:noWrap/>
            <w:hideMark/>
          </w:tcPr>
          <w:p w14:paraId="4C998450" w14:textId="77777777" w:rsidR="00241DB4" w:rsidRPr="00236A55" w:rsidRDefault="00241DB4" w:rsidP="00241DB4">
            <w:pPr>
              <w:widowControl/>
              <w:jc w:val="right"/>
              <w:rPr>
                <w:rFonts w:ascii="Calibri" w:hAnsi="Calibri"/>
                <w:b/>
                <w:bCs/>
                <w:snapToGrid/>
                <w:color w:val="000000"/>
                <w:kern w:val="0"/>
                <w:szCs w:val="22"/>
              </w:rPr>
            </w:pPr>
            <w:r w:rsidRPr="00236A55">
              <w:rPr>
                <w:rFonts w:ascii="Calibri" w:hAnsi="Calibri"/>
                <w:b/>
                <w:bCs/>
                <w:snapToGrid/>
                <w:color w:val="000000"/>
                <w:kern w:val="0"/>
                <w:szCs w:val="22"/>
              </w:rPr>
              <w:t>Rural</w:t>
            </w:r>
          </w:p>
          <w:p w14:paraId="3875C103" w14:textId="77777777" w:rsidR="00241DB4" w:rsidRPr="00236A55" w:rsidRDefault="00241DB4" w:rsidP="00241DB4">
            <w:pPr>
              <w:jc w:val="right"/>
              <w:rPr>
                <w:rFonts w:ascii="Calibri" w:hAnsi="Calibri"/>
                <w:b/>
                <w:bCs/>
                <w:snapToGrid/>
                <w:color w:val="000000"/>
                <w:kern w:val="0"/>
                <w:szCs w:val="22"/>
              </w:rPr>
            </w:pPr>
          </w:p>
        </w:tc>
        <w:tc>
          <w:tcPr>
            <w:tcW w:w="1026" w:type="dxa"/>
            <w:shd w:val="clear" w:color="auto" w:fill="D9E2F3"/>
            <w:noWrap/>
            <w:hideMark/>
          </w:tcPr>
          <w:p w14:paraId="187A62AA" w14:textId="77777777" w:rsidR="00241DB4" w:rsidRPr="00236A55" w:rsidRDefault="00241DB4" w:rsidP="00241DB4">
            <w:pPr>
              <w:widowControl/>
              <w:rPr>
                <w:rFonts w:ascii="Calibri" w:hAnsi="Calibri"/>
                <w:snapToGrid/>
                <w:color w:val="000000"/>
                <w:kern w:val="0"/>
                <w:szCs w:val="22"/>
              </w:rPr>
            </w:pPr>
            <w:r w:rsidRPr="00236A55">
              <w:rPr>
                <w:rFonts w:ascii="Calibri" w:hAnsi="Calibri"/>
                <w:snapToGrid/>
                <w:color w:val="000000"/>
                <w:kern w:val="0"/>
                <w:szCs w:val="22"/>
              </w:rPr>
              <w:t>2015</w:t>
            </w:r>
          </w:p>
        </w:tc>
        <w:tc>
          <w:tcPr>
            <w:tcW w:w="2651" w:type="dxa"/>
            <w:shd w:val="clear" w:color="auto" w:fill="D9E2F3"/>
            <w:noWrap/>
            <w:hideMark/>
          </w:tcPr>
          <w:p w14:paraId="2A27CDAE" w14:textId="77777777" w:rsidR="00241DB4" w:rsidRPr="00241DB4" w:rsidRDefault="00765031" w:rsidP="00241DB4">
            <w:pPr>
              <w:widowControl/>
              <w:rPr>
                <w:rFonts w:ascii="Calibri" w:hAnsi="Calibri"/>
                <w:snapToGrid/>
                <w:color w:val="000000"/>
                <w:kern w:val="0"/>
                <w:szCs w:val="22"/>
              </w:rPr>
            </w:pPr>
            <w:r>
              <w:rPr>
                <w:rFonts w:ascii="Calibri" w:hAnsi="Calibri"/>
                <w:color w:val="000000"/>
                <w:szCs w:val="22"/>
              </w:rPr>
              <w:t>$142,801,960</w:t>
            </w:r>
          </w:p>
        </w:tc>
        <w:tc>
          <w:tcPr>
            <w:tcW w:w="2430" w:type="dxa"/>
            <w:shd w:val="clear" w:color="auto" w:fill="D9E2F3"/>
            <w:noWrap/>
            <w:hideMark/>
          </w:tcPr>
          <w:p w14:paraId="540A4F59" w14:textId="77777777" w:rsidR="00241DB4" w:rsidRPr="00241DB4" w:rsidRDefault="00765031" w:rsidP="00241DB4">
            <w:pPr>
              <w:widowControl/>
              <w:rPr>
                <w:rFonts w:ascii="Calibri" w:hAnsi="Calibri"/>
                <w:snapToGrid/>
                <w:color w:val="000000"/>
                <w:kern w:val="0"/>
                <w:szCs w:val="22"/>
              </w:rPr>
            </w:pPr>
            <w:r>
              <w:rPr>
                <w:rFonts w:ascii="Calibri" w:hAnsi="Calibri"/>
                <w:color w:val="000000"/>
                <w:szCs w:val="22"/>
              </w:rPr>
              <w:t>$1,039,487,745</w:t>
            </w:r>
          </w:p>
        </w:tc>
        <w:tc>
          <w:tcPr>
            <w:tcW w:w="2558" w:type="dxa"/>
            <w:vMerge w:val="restart"/>
            <w:shd w:val="clear" w:color="auto" w:fill="D9E2F3"/>
          </w:tcPr>
          <w:p w14:paraId="2A92D995" w14:textId="77777777" w:rsidR="00241DB4" w:rsidRPr="00236A55" w:rsidRDefault="00241DB4" w:rsidP="00241DB4">
            <w:pPr>
              <w:widowControl/>
              <w:jc w:val="center"/>
              <w:rPr>
                <w:rFonts w:ascii="Calibri" w:hAnsi="Calibri"/>
                <w:snapToGrid/>
                <w:color w:val="000000"/>
                <w:kern w:val="0"/>
                <w:szCs w:val="22"/>
              </w:rPr>
            </w:pPr>
            <w:r w:rsidRPr="00236A55">
              <w:rPr>
                <w:rFonts w:ascii="Calibri" w:hAnsi="Calibri"/>
                <w:color w:val="000000"/>
                <w:szCs w:val="22"/>
              </w:rPr>
              <w:t>-</w:t>
            </w:r>
            <w:r>
              <w:rPr>
                <w:rFonts w:ascii="Calibri" w:hAnsi="Calibri"/>
                <w:color w:val="000000"/>
                <w:szCs w:val="22"/>
              </w:rPr>
              <w:t>4</w:t>
            </w:r>
            <w:r w:rsidR="00765031">
              <w:rPr>
                <w:rFonts w:ascii="Calibri" w:hAnsi="Calibri"/>
                <w:color w:val="000000"/>
                <w:szCs w:val="22"/>
              </w:rPr>
              <w:t>1</w:t>
            </w:r>
            <w:r w:rsidRPr="00236A55">
              <w:rPr>
                <w:rFonts w:ascii="Calibri" w:hAnsi="Calibri"/>
                <w:color w:val="000000"/>
                <w:szCs w:val="22"/>
              </w:rPr>
              <w:t>%</w:t>
            </w:r>
          </w:p>
          <w:p w14:paraId="5EB1F135" w14:textId="77777777" w:rsidR="00241DB4" w:rsidRPr="00236A55" w:rsidRDefault="00241DB4" w:rsidP="00241DB4">
            <w:pPr>
              <w:widowControl/>
              <w:jc w:val="center"/>
              <w:rPr>
                <w:rFonts w:ascii="Calibri" w:hAnsi="Calibri"/>
                <w:snapToGrid/>
                <w:color w:val="000000"/>
                <w:kern w:val="0"/>
                <w:szCs w:val="22"/>
              </w:rPr>
            </w:pPr>
          </w:p>
        </w:tc>
      </w:tr>
      <w:tr w:rsidR="00241DB4" w:rsidRPr="002F7983" w14:paraId="43F1DCF9" w14:textId="77777777" w:rsidTr="000C039C">
        <w:trPr>
          <w:trHeight w:val="300"/>
          <w:jc w:val="center"/>
        </w:trPr>
        <w:tc>
          <w:tcPr>
            <w:tcW w:w="960" w:type="dxa"/>
            <w:vMerge/>
            <w:shd w:val="clear" w:color="auto" w:fill="auto"/>
            <w:noWrap/>
            <w:hideMark/>
          </w:tcPr>
          <w:p w14:paraId="13A1F182" w14:textId="77777777" w:rsidR="00241DB4" w:rsidRPr="00236A55" w:rsidRDefault="00241DB4" w:rsidP="00241DB4">
            <w:pPr>
              <w:widowControl/>
              <w:jc w:val="right"/>
              <w:rPr>
                <w:rFonts w:ascii="Calibri" w:hAnsi="Calibri"/>
                <w:b/>
                <w:bCs/>
                <w:snapToGrid/>
                <w:color w:val="000000"/>
                <w:kern w:val="0"/>
                <w:szCs w:val="22"/>
              </w:rPr>
            </w:pPr>
          </w:p>
        </w:tc>
        <w:tc>
          <w:tcPr>
            <w:tcW w:w="1026" w:type="dxa"/>
            <w:shd w:val="clear" w:color="auto" w:fill="auto"/>
            <w:noWrap/>
            <w:hideMark/>
          </w:tcPr>
          <w:p w14:paraId="46BACA63" w14:textId="77777777" w:rsidR="00241DB4" w:rsidRPr="00236A55" w:rsidRDefault="00241DB4" w:rsidP="00241DB4">
            <w:pPr>
              <w:widowControl/>
              <w:rPr>
                <w:rFonts w:ascii="Calibri" w:hAnsi="Calibri"/>
                <w:snapToGrid/>
                <w:color w:val="000000"/>
                <w:kern w:val="0"/>
                <w:szCs w:val="22"/>
              </w:rPr>
            </w:pPr>
            <w:r w:rsidRPr="00236A55">
              <w:rPr>
                <w:rFonts w:ascii="Calibri" w:hAnsi="Calibri"/>
                <w:snapToGrid/>
                <w:color w:val="000000"/>
                <w:kern w:val="0"/>
                <w:szCs w:val="22"/>
              </w:rPr>
              <w:t>2016</w:t>
            </w:r>
          </w:p>
        </w:tc>
        <w:tc>
          <w:tcPr>
            <w:tcW w:w="2651" w:type="dxa"/>
            <w:shd w:val="clear" w:color="auto" w:fill="auto"/>
            <w:noWrap/>
            <w:hideMark/>
          </w:tcPr>
          <w:p w14:paraId="06F320B8" w14:textId="77777777" w:rsidR="00241DB4" w:rsidRPr="00241DB4" w:rsidRDefault="00765031" w:rsidP="00241DB4">
            <w:pPr>
              <w:widowControl/>
              <w:rPr>
                <w:rFonts w:ascii="Calibri" w:hAnsi="Calibri"/>
                <w:snapToGrid/>
                <w:color w:val="000000"/>
                <w:kern w:val="0"/>
                <w:szCs w:val="22"/>
              </w:rPr>
            </w:pPr>
            <w:r>
              <w:rPr>
                <w:rFonts w:ascii="Calibri" w:hAnsi="Calibri"/>
                <w:color w:val="000000"/>
                <w:szCs w:val="22"/>
              </w:rPr>
              <w:t>$84,609,972</w:t>
            </w:r>
          </w:p>
        </w:tc>
        <w:tc>
          <w:tcPr>
            <w:tcW w:w="2430" w:type="dxa"/>
            <w:shd w:val="clear" w:color="auto" w:fill="auto"/>
            <w:noWrap/>
            <w:hideMark/>
          </w:tcPr>
          <w:p w14:paraId="383AE3C6" w14:textId="77777777" w:rsidR="00241DB4" w:rsidRPr="00241DB4" w:rsidRDefault="00765031" w:rsidP="00241DB4">
            <w:pPr>
              <w:widowControl/>
              <w:rPr>
                <w:rFonts w:ascii="Calibri" w:hAnsi="Calibri"/>
                <w:snapToGrid/>
                <w:color w:val="000000"/>
                <w:kern w:val="0"/>
                <w:szCs w:val="22"/>
              </w:rPr>
            </w:pPr>
            <w:r>
              <w:rPr>
                <w:rFonts w:ascii="Calibri" w:hAnsi="Calibri"/>
                <w:color w:val="000000"/>
                <w:szCs w:val="22"/>
              </w:rPr>
              <w:t>$987,122,845</w:t>
            </w:r>
          </w:p>
        </w:tc>
        <w:tc>
          <w:tcPr>
            <w:tcW w:w="2558" w:type="dxa"/>
            <w:vMerge/>
            <w:shd w:val="clear" w:color="auto" w:fill="auto"/>
          </w:tcPr>
          <w:p w14:paraId="4640EDDC" w14:textId="77777777" w:rsidR="00241DB4" w:rsidRPr="00236A55" w:rsidRDefault="00241DB4" w:rsidP="00241DB4">
            <w:pPr>
              <w:widowControl/>
              <w:jc w:val="right"/>
              <w:rPr>
                <w:rFonts w:ascii="Calibri" w:hAnsi="Calibri"/>
                <w:snapToGrid/>
                <w:color w:val="000000"/>
                <w:kern w:val="0"/>
                <w:szCs w:val="22"/>
              </w:rPr>
            </w:pPr>
          </w:p>
        </w:tc>
      </w:tr>
      <w:tr w:rsidR="00241DB4" w:rsidRPr="002F7983" w14:paraId="2BBCBC98" w14:textId="77777777" w:rsidTr="000C039C">
        <w:trPr>
          <w:trHeight w:val="300"/>
          <w:jc w:val="center"/>
        </w:trPr>
        <w:tc>
          <w:tcPr>
            <w:tcW w:w="960" w:type="dxa"/>
            <w:vMerge w:val="restart"/>
            <w:shd w:val="clear" w:color="auto" w:fill="D9E2F3"/>
            <w:noWrap/>
            <w:hideMark/>
          </w:tcPr>
          <w:p w14:paraId="30B7244F" w14:textId="77777777" w:rsidR="00241DB4" w:rsidRPr="00236A55" w:rsidRDefault="00241DB4" w:rsidP="00241DB4">
            <w:pPr>
              <w:widowControl/>
              <w:jc w:val="right"/>
              <w:rPr>
                <w:rFonts w:ascii="Calibri" w:hAnsi="Calibri"/>
                <w:b/>
                <w:bCs/>
                <w:snapToGrid/>
                <w:color w:val="000000"/>
                <w:kern w:val="0"/>
                <w:szCs w:val="22"/>
              </w:rPr>
            </w:pPr>
            <w:r w:rsidRPr="00236A55">
              <w:rPr>
                <w:rFonts w:ascii="Calibri" w:hAnsi="Calibri"/>
                <w:b/>
                <w:bCs/>
                <w:snapToGrid/>
                <w:color w:val="000000"/>
                <w:kern w:val="0"/>
                <w:szCs w:val="22"/>
              </w:rPr>
              <w:t>Urban</w:t>
            </w:r>
          </w:p>
          <w:p w14:paraId="7CF8BB18" w14:textId="77777777" w:rsidR="00241DB4" w:rsidRPr="00236A55" w:rsidRDefault="00241DB4" w:rsidP="00241DB4">
            <w:pPr>
              <w:jc w:val="right"/>
              <w:rPr>
                <w:rFonts w:ascii="Calibri" w:hAnsi="Calibri"/>
                <w:b/>
                <w:bCs/>
                <w:snapToGrid/>
                <w:color w:val="000000"/>
                <w:kern w:val="0"/>
                <w:szCs w:val="22"/>
              </w:rPr>
            </w:pPr>
          </w:p>
        </w:tc>
        <w:tc>
          <w:tcPr>
            <w:tcW w:w="1026" w:type="dxa"/>
            <w:shd w:val="clear" w:color="auto" w:fill="D9E2F3"/>
            <w:noWrap/>
            <w:hideMark/>
          </w:tcPr>
          <w:p w14:paraId="6D2E8419" w14:textId="77777777" w:rsidR="00241DB4" w:rsidRPr="00236A55" w:rsidRDefault="00241DB4" w:rsidP="00241DB4">
            <w:pPr>
              <w:widowControl/>
              <w:rPr>
                <w:rFonts w:ascii="Calibri" w:hAnsi="Calibri"/>
                <w:snapToGrid/>
                <w:color w:val="000000"/>
                <w:kern w:val="0"/>
                <w:szCs w:val="22"/>
              </w:rPr>
            </w:pPr>
            <w:r w:rsidRPr="00236A55">
              <w:rPr>
                <w:rFonts w:ascii="Calibri" w:hAnsi="Calibri"/>
                <w:snapToGrid/>
                <w:color w:val="000000"/>
                <w:kern w:val="0"/>
                <w:szCs w:val="22"/>
              </w:rPr>
              <w:t>2015</w:t>
            </w:r>
          </w:p>
        </w:tc>
        <w:tc>
          <w:tcPr>
            <w:tcW w:w="2651" w:type="dxa"/>
            <w:shd w:val="clear" w:color="auto" w:fill="D9E2F3"/>
            <w:noWrap/>
            <w:hideMark/>
          </w:tcPr>
          <w:p w14:paraId="2C8EA101" w14:textId="77777777" w:rsidR="00241DB4" w:rsidRPr="00241DB4" w:rsidRDefault="00765031" w:rsidP="00241DB4">
            <w:pPr>
              <w:widowControl/>
              <w:rPr>
                <w:rFonts w:ascii="Calibri" w:hAnsi="Calibri"/>
                <w:snapToGrid/>
                <w:color w:val="000000"/>
                <w:kern w:val="0"/>
                <w:szCs w:val="22"/>
              </w:rPr>
            </w:pPr>
            <w:r>
              <w:rPr>
                <w:rFonts w:ascii="Calibri" w:hAnsi="Calibri"/>
                <w:color w:val="000000"/>
                <w:szCs w:val="22"/>
              </w:rPr>
              <w:t>$317,300,973</w:t>
            </w:r>
          </w:p>
        </w:tc>
        <w:tc>
          <w:tcPr>
            <w:tcW w:w="2430" w:type="dxa"/>
            <w:shd w:val="clear" w:color="auto" w:fill="D9E2F3"/>
            <w:noWrap/>
            <w:hideMark/>
          </w:tcPr>
          <w:p w14:paraId="76C368D2" w14:textId="77777777" w:rsidR="00241DB4" w:rsidRPr="00241DB4" w:rsidRDefault="00765031" w:rsidP="00241DB4">
            <w:pPr>
              <w:widowControl/>
              <w:rPr>
                <w:rFonts w:ascii="Calibri" w:hAnsi="Calibri"/>
                <w:snapToGrid/>
                <w:color w:val="000000"/>
                <w:kern w:val="0"/>
                <w:szCs w:val="22"/>
              </w:rPr>
            </w:pPr>
            <w:r>
              <w:rPr>
                <w:rFonts w:ascii="Calibri" w:hAnsi="Calibri"/>
                <w:color w:val="000000"/>
                <w:szCs w:val="22"/>
              </w:rPr>
              <w:t>$1,751,224,946</w:t>
            </w:r>
          </w:p>
        </w:tc>
        <w:tc>
          <w:tcPr>
            <w:tcW w:w="2558" w:type="dxa"/>
            <w:vMerge w:val="restart"/>
            <w:shd w:val="clear" w:color="auto" w:fill="D9E2F3"/>
          </w:tcPr>
          <w:p w14:paraId="419928BD" w14:textId="77777777" w:rsidR="00241DB4" w:rsidRPr="00236A55" w:rsidRDefault="00241DB4" w:rsidP="00765031">
            <w:pPr>
              <w:widowControl/>
              <w:jc w:val="center"/>
              <w:rPr>
                <w:rFonts w:ascii="Calibri" w:hAnsi="Calibri"/>
                <w:snapToGrid/>
                <w:color w:val="000000"/>
                <w:kern w:val="0"/>
                <w:szCs w:val="22"/>
              </w:rPr>
            </w:pPr>
            <w:r w:rsidRPr="00236A55">
              <w:rPr>
                <w:rFonts w:ascii="Calibri" w:hAnsi="Calibri"/>
                <w:color w:val="000000"/>
                <w:szCs w:val="22"/>
              </w:rPr>
              <w:t>-</w:t>
            </w:r>
            <w:r>
              <w:rPr>
                <w:rFonts w:ascii="Calibri" w:hAnsi="Calibri"/>
                <w:color w:val="000000"/>
                <w:szCs w:val="22"/>
              </w:rPr>
              <w:t>4</w:t>
            </w:r>
            <w:r w:rsidR="00765031">
              <w:rPr>
                <w:rFonts w:ascii="Calibri" w:hAnsi="Calibri"/>
                <w:color w:val="000000"/>
                <w:szCs w:val="22"/>
              </w:rPr>
              <w:t>0</w:t>
            </w:r>
            <w:r w:rsidRPr="00236A55">
              <w:rPr>
                <w:rFonts w:ascii="Calibri" w:hAnsi="Calibri"/>
                <w:color w:val="000000"/>
                <w:szCs w:val="22"/>
              </w:rPr>
              <w:t>%</w:t>
            </w:r>
          </w:p>
        </w:tc>
      </w:tr>
      <w:tr w:rsidR="00241DB4" w:rsidRPr="002F7983" w14:paraId="359AB5DD" w14:textId="77777777" w:rsidTr="000C039C">
        <w:trPr>
          <w:trHeight w:val="315"/>
          <w:jc w:val="center"/>
        </w:trPr>
        <w:tc>
          <w:tcPr>
            <w:tcW w:w="960" w:type="dxa"/>
            <w:vMerge/>
            <w:shd w:val="clear" w:color="auto" w:fill="auto"/>
            <w:noWrap/>
            <w:hideMark/>
          </w:tcPr>
          <w:p w14:paraId="029BD635" w14:textId="77777777" w:rsidR="00241DB4" w:rsidRPr="00236A55" w:rsidRDefault="00241DB4" w:rsidP="00241DB4">
            <w:pPr>
              <w:widowControl/>
              <w:jc w:val="right"/>
              <w:rPr>
                <w:rFonts w:ascii="Calibri" w:hAnsi="Calibri"/>
                <w:b/>
                <w:bCs/>
                <w:snapToGrid/>
                <w:color w:val="000000"/>
                <w:kern w:val="0"/>
                <w:szCs w:val="22"/>
              </w:rPr>
            </w:pPr>
          </w:p>
        </w:tc>
        <w:tc>
          <w:tcPr>
            <w:tcW w:w="1026" w:type="dxa"/>
            <w:shd w:val="clear" w:color="auto" w:fill="auto"/>
            <w:noWrap/>
            <w:hideMark/>
          </w:tcPr>
          <w:p w14:paraId="2F757191" w14:textId="77777777" w:rsidR="00241DB4" w:rsidRPr="00236A55" w:rsidRDefault="00241DB4" w:rsidP="00241DB4">
            <w:pPr>
              <w:widowControl/>
              <w:rPr>
                <w:rFonts w:ascii="Calibri" w:hAnsi="Calibri"/>
                <w:snapToGrid/>
                <w:color w:val="000000"/>
                <w:kern w:val="0"/>
                <w:szCs w:val="22"/>
              </w:rPr>
            </w:pPr>
            <w:r>
              <w:rPr>
                <w:rFonts w:ascii="Calibri" w:hAnsi="Calibri"/>
                <w:snapToGrid/>
                <w:color w:val="000000"/>
                <w:kern w:val="0"/>
                <w:szCs w:val="22"/>
              </w:rPr>
              <w:t>2016</w:t>
            </w:r>
          </w:p>
        </w:tc>
        <w:tc>
          <w:tcPr>
            <w:tcW w:w="2651" w:type="dxa"/>
            <w:shd w:val="clear" w:color="auto" w:fill="auto"/>
            <w:noWrap/>
            <w:hideMark/>
          </w:tcPr>
          <w:p w14:paraId="47929800" w14:textId="77777777" w:rsidR="00241DB4" w:rsidRPr="00241DB4" w:rsidRDefault="00765031" w:rsidP="00241DB4">
            <w:pPr>
              <w:widowControl/>
              <w:rPr>
                <w:rFonts w:ascii="Calibri" w:hAnsi="Calibri"/>
                <w:snapToGrid/>
                <w:color w:val="000000"/>
                <w:kern w:val="0"/>
                <w:szCs w:val="22"/>
              </w:rPr>
            </w:pPr>
            <w:r>
              <w:rPr>
                <w:rFonts w:ascii="Calibri" w:hAnsi="Calibri"/>
                <w:color w:val="000000"/>
                <w:szCs w:val="22"/>
              </w:rPr>
              <w:t>$189,952,058</w:t>
            </w:r>
          </w:p>
        </w:tc>
        <w:tc>
          <w:tcPr>
            <w:tcW w:w="2430" w:type="dxa"/>
            <w:shd w:val="clear" w:color="auto" w:fill="auto"/>
            <w:noWrap/>
            <w:hideMark/>
          </w:tcPr>
          <w:p w14:paraId="5DDE1E0D" w14:textId="77777777" w:rsidR="00765031" w:rsidRPr="00241DB4" w:rsidRDefault="00765031" w:rsidP="00241DB4">
            <w:pPr>
              <w:widowControl/>
              <w:rPr>
                <w:rFonts w:ascii="Calibri" w:hAnsi="Calibri"/>
                <w:snapToGrid/>
                <w:color w:val="000000"/>
                <w:kern w:val="0"/>
                <w:szCs w:val="22"/>
              </w:rPr>
            </w:pPr>
            <w:r>
              <w:rPr>
                <w:rFonts w:ascii="Calibri" w:hAnsi="Calibri"/>
                <w:color w:val="000000"/>
                <w:szCs w:val="22"/>
              </w:rPr>
              <w:t>$1,644,434,259</w:t>
            </w:r>
          </w:p>
        </w:tc>
        <w:tc>
          <w:tcPr>
            <w:tcW w:w="2558" w:type="dxa"/>
            <w:vMerge/>
            <w:shd w:val="clear" w:color="auto" w:fill="auto"/>
          </w:tcPr>
          <w:p w14:paraId="2D33C1B3" w14:textId="77777777" w:rsidR="00241DB4" w:rsidRPr="00236A55" w:rsidRDefault="00241DB4" w:rsidP="00241DB4">
            <w:pPr>
              <w:widowControl/>
              <w:jc w:val="right"/>
              <w:rPr>
                <w:rFonts w:ascii="Calibri" w:hAnsi="Calibri"/>
                <w:snapToGrid/>
                <w:color w:val="000000"/>
                <w:kern w:val="0"/>
                <w:szCs w:val="22"/>
              </w:rPr>
            </w:pPr>
          </w:p>
        </w:tc>
      </w:tr>
    </w:tbl>
    <w:p w14:paraId="0B3F9DDB" w14:textId="77777777" w:rsidR="008E661E" w:rsidRDefault="008E661E" w:rsidP="008E661E">
      <w:pPr>
        <w:pStyle w:val="ParaNum"/>
        <w:numPr>
          <w:ilvl w:val="0"/>
          <w:numId w:val="0"/>
        </w:numPr>
      </w:pPr>
    </w:p>
    <w:p w14:paraId="22978160" w14:textId="77777777" w:rsidR="008E661E" w:rsidRDefault="008E661E" w:rsidP="008E661E">
      <w:pPr>
        <w:widowControl/>
      </w:pPr>
      <w:r>
        <w:br w:type="page"/>
      </w:r>
    </w:p>
    <w:p w14:paraId="294AF6CD" w14:textId="77777777" w:rsidR="008E661E" w:rsidRPr="00E01B21" w:rsidRDefault="008E661E" w:rsidP="008E661E">
      <w:pPr>
        <w:pStyle w:val="NoSpacing"/>
        <w:jc w:val="center"/>
        <w:rPr>
          <w:b/>
        </w:rPr>
      </w:pPr>
      <w:r w:rsidRPr="00E01B21">
        <w:rPr>
          <w:b/>
        </w:rPr>
        <w:t xml:space="preserve">APPENDIX </w:t>
      </w:r>
      <w:r>
        <w:rPr>
          <w:b/>
        </w:rPr>
        <w:t>D</w:t>
      </w:r>
    </w:p>
    <w:p w14:paraId="3BEACF6B" w14:textId="77777777" w:rsidR="008E661E" w:rsidRDefault="008E661E" w:rsidP="008E661E">
      <w:pPr>
        <w:pStyle w:val="NoSpacing"/>
        <w:jc w:val="center"/>
      </w:pPr>
      <w:r w:rsidRPr="00E01B21">
        <w:t>E-rate Funding Commitments</w:t>
      </w:r>
    </w:p>
    <w:p w14:paraId="3A241782" w14:textId="77777777" w:rsidR="008E661E" w:rsidRPr="00E01B21" w:rsidRDefault="008E661E" w:rsidP="008E661E">
      <w:pPr>
        <w:pStyle w:val="NoSpacing"/>
        <w:jc w:val="center"/>
      </w:pPr>
      <w:r>
        <w:t>Applicants Substantially Affected by Phasedown</w:t>
      </w:r>
    </w:p>
    <w:p w14:paraId="15A6B5B0" w14:textId="77777777" w:rsidR="008E661E" w:rsidRPr="00E01B21" w:rsidRDefault="008E661E" w:rsidP="008E661E">
      <w:pPr>
        <w:pStyle w:val="NoSpacing"/>
        <w:jc w:val="center"/>
      </w:pPr>
      <w:r>
        <w:t>By Discount Rate</w:t>
      </w:r>
    </w:p>
    <w:p w14:paraId="3794E426" w14:textId="77777777" w:rsidR="008E661E" w:rsidRPr="00A26671" w:rsidRDefault="008E661E" w:rsidP="008E661E">
      <w:pPr>
        <w:pStyle w:val="NoSpacing"/>
        <w:jc w:val="center"/>
        <w:rPr>
          <w:color w:val="FFFFFF"/>
        </w:rPr>
      </w:pPr>
      <w:r>
        <w:t>Funding Years 2015</w:t>
      </w:r>
      <w:r w:rsidRPr="00E01B21">
        <w:t>-16</w:t>
      </w:r>
    </w:p>
    <w:p w14:paraId="66015D05" w14:textId="77777777" w:rsidR="008E661E" w:rsidRDefault="008E661E" w:rsidP="008E661E">
      <w:pPr>
        <w:pStyle w:val="ParaNum"/>
        <w:numPr>
          <w:ilvl w:val="0"/>
          <w:numId w:val="0"/>
        </w:numPr>
      </w:pPr>
    </w:p>
    <w:p w14:paraId="5D5A7323" w14:textId="77777777" w:rsidR="008E661E" w:rsidRDefault="008E661E" w:rsidP="008E661E">
      <w:pPr>
        <w:pStyle w:val="ParaNum"/>
        <w:numPr>
          <w:ilvl w:val="0"/>
          <w:numId w:val="0"/>
        </w:numPr>
      </w:pPr>
    </w:p>
    <w:tbl>
      <w:tblPr>
        <w:tblW w:w="888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35"/>
        <w:gridCol w:w="1620"/>
        <w:gridCol w:w="1710"/>
        <w:gridCol w:w="1800"/>
        <w:gridCol w:w="1608"/>
      </w:tblGrid>
      <w:tr w:rsidR="008E661E" w:rsidRPr="005C69E2" w14:paraId="24389CD6" w14:textId="77777777" w:rsidTr="000C039C">
        <w:trPr>
          <w:trHeight w:val="300"/>
        </w:trPr>
        <w:tc>
          <w:tcPr>
            <w:tcW w:w="2335" w:type="dxa"/>
            <w:tcBorders>
              <w:top w:val="single" w:sz="4" w:space="0" w:color="4472C4"/>
              <w:left w:val="single" w:sz="4" w:space="0" w:color="4472C4"/>
              <w:bottom w:val="single" w:sz="4" w:space="0" w:color="4472C4"/>
              <w:right w:val="nil"/>
            </w:tcBorders>
            <w:shd w:val="clear" w:color="auto" w:fill="4472C4"/>
            <w:noWrap/>
            <w:hideMark/>
          </w:tcPr>
          <w:p w14:paraId="71FFFC40" w14:textId="77777777" w:rsidR="008E661E" w:rsidRPr="00717533" w:rsidRDefault="008E661E" w:rsidP="000C039C">
            <w:pPr>
              <w:widowControl/>
              <w:rPr>
                <w:rFonts w:ascii="Calibri" w:hAnsi="Calibri"/>
                <w:b/>
                <w:bCs/>
                <w:snapToGrid/>
                <w:color w:val="FFFFFF" w:themeColor="background1"/>
                <w:kern w:val="0"/>
                <w:szCs w:val="22"/>
              </w:rPr>
            </w:pPr>
            <w:r w:rsidRPr="00717533">
              <w:rPr>
                <w:rFonts w:ascii="Calibri" w:hAnsi="Calibri"/>
                <w:b/>
                <w:bCs/>
                <w:snapToGrid/>
                <w:color w:val="FFFFFF" w:themeColor="background1"/>
                <w:kern w:val="0"/>
                <w:szCs w:val="22"/>
              </w:rPr>
              <w:t>Funding Year</w:t>
            </w:r>
          </w:p>
        </w:tc>
        <w:tc>
          <w:tcPr>
            <w:tcW w:w="1620" w:type="dxa"/>
            <w:tcBorders>
              <w:top w:val="single" w:sz="4" w:space="0" w:color="4472C4"/>
              <w:left w:val="nil"/>
              <w:bottom w:val="single" w:sz="4" w:space="0" w:color="4472C4"/>
              <w:right w:val="nil"/>
            </w:tcBorders>
            <w:shd w:val="clear" w:color="auto" w:fill="4472C4"/>
            <w:noWrap/>
            <w:hideMark/>
          </w:tcPr>
          <w:p w14:paraId="047D0ABB" w14:textId="77777777" w:rsidR="008E661E" w:rsidRPr="00717533" w:rsidRDefault="008E661E" w:rsidP="000C039C">
            <w:pPr>
              <w:widowControl/>
              <w:rPr>
                <w:rFonts w:ascii="Calibri" w:hAnsi="Calibri"/>
                <w:b/>
                <w:bCs/>
                <w:snapToGrid/>
                <w:color w:val="FFFFFF" w:themeColor="background1"/>
                <w:kern w:val="0"/>
                <w:szCs w:val="22"/>
              </w:rPr>
            </w:pPr>
            <w:r w:rsidRPr="00717533">
              <w:rPr>
                <w:rFonts w:ascii="Calibri" w:hAnsi="Calibri"/>
                <w:b/>
                <w:bCs/>
                <w:snapToGrid/>
                <w:color w:val="FFFFFF" w:themeColor="background1"/>
                <w:kern w:val="0"/>
                <w:szCs w:val="22"/>
              </w:rPr>
              <w:t>60% or less</w:t>
            </w:r>
          </w:p>
        </w:tc>
        <w:tc>
          <w:tcPr>
            <w:tcW w:w="1710" w:type="dxa"/>
            <w:tcBorders>
              <w:top w:val="single" w:sz="4" w:space="0" w:color="4472C4"/>
              <w:left w:val="nil"/>
              <w:bottom w:val="single" w:sz="4" w:space="0" w:color="4472C4"/>
              <w:right w:val="nil"/>
            </w:tcBorders>
            <w:shd w:val="clear" w:color="auto" w:fill="4472C4"/>
            <w:noWrap/>
            <w:hideMark/>
          </w:tcPr>
          <w:p w14:paraId="4C115591" w14:textId="77777777" w:rsidR="008E661E" w:rsidRPr="00717533" w:rsidRDefault="008E661E" w:rsidP="000C039C">
            <w:pPr>
              <w:widowControl/>
              <w:rPr>
                <w:rFonts w:ascii="Calibri" w:hAnsi="Calibri"/>
                <w:b/>
                <w:bCs/>
                <w:snapToGrid/>
                <w:color w:val="FFFFFF" w:themeColor="background1"/>
                <w:kern w:val="0"/>
                <w:szCs w:val="22"/>
              </w:rPr>
            </w:pPr>
            <w:r w:rsidRPr="00717533">
              <w:rPr>
                <w:rFonts w:ascii="Calibri" w:hAnsi="Calibri"/>
                <w:b/>
                <w:bCs/>
                <w:snapToGrid/>
                <w:color w:val="FFFFFF" w:themeColor="background1"/>
                <w:kern w:val="0"/>
                <w:szCs w:val="22"/>
              </w:rPr>
              <w:t>61% to 85%</w:t>
            </w:r>
          </w:p>
        </w:tc>
        <w:tc>
          <w:tcPr>
            <w:tcW w:w="1800" w:type="dxa"/>
            <w:tcBorders>
              <w:top w:val="single" w:sz="4" w:space="0" w:color="4472C4"/>
              <w:left w:val="nil"/>
              <w:bottom w:val="single" w:sz="4" w:space="0" w:color="4472C4"/>
              <w:right w:val="nil"/>
            </w:tcBorders>
            <w:shd w:val="clear" w:color="auto" w:fill="4472C4"/>
            <w:noWrap/>
            <w:hideMark/>
          </w:tcPr>
          <w:p w14:paraId="500C66E7" w14:textId="77777777" w:rsidR="008E661E" w:rsidRPr="00717533" w:rsidRDefault="008E661E" w:rsidP="000C039C">
            <w:pPr>
              <w:widowControl/>
              <w:rPr>
                <w:rFonts w:ascii="Calibri" w:hAnsi="Calibri"/>
                <w:b/>
                <w:bCs/>
                <w:snapToGrid/>
                <w:color w:val="FFFFFF" w:themeColor="background1"/>
                <w:kern w:val="0"/>
                <w:szCs w:val="22"/>
              </w:rPr>
            </w:pPr>
            <w:r w:rsidRPr="00717533">
              <w:rPr>
                <w:rFonts w:ascii="Calibri" w:hAnsi="Calibri"/>
                <w:b/>
                <w:bCs/>
                <w:snapToGrid/>
                <w:color w:val="FFFFFF" w:themeColor="background1"/>
                <w:kern w:val="0"/>
                <w:szCs w:val="22"/>
              </w:rPr>
              <w:t>86% or higher</w:t>
            </w:r>
          </w:p>
        </w:tc>
        <w:tc>
          <w:tcPr>
            <w:tcW w:w="1419" w:type="dxa"/>
            <w:tcBorders>
              <w:top w:val="single" w:sz="4" w:space="0" w:color="4472C4"/>
              <w:left w:val="nil"/>
              <w:bottom w:val="single" w:sz="4" w:space="0" w:color="4472C4"/>
              <w:right w:val="single" w:sz="4" w:space="0" w:color="4472C4"/>
            </w:tcBorders>
            <w:shd w:val="clear" w:color="auto" w:fill="4472C4"/>
            <w:noWrap/>
            <w:hideMark/>
          </w:tcPr>
          <w:p w14:paraId="06D493D9" w14:textId="77777777" w:rsidR="008E661E" w:rsidRPr="00717533" w:rsidRDefault="008E661E" w:rsidP="000C039C">
            <w:pPr>
              <w:widowControl/>
              <w:rPr>
                <w:rFonts w:ascii="Calibri" w:hAnsi="Calibri"/>
                <w:b/>
                <w:bCs/>
                <w:snapToGrid/>
                <w:color w:val="FFFFFF" w:themeColor="background1"/>
                <w:kern w:val="0"/>
                <w:szCs w:val="22"/>
              </w:rPr>
            </w:pPr>
            <w:r w:rsidRPr="00717533">
              <w:rPr>
                <w:rFonts w:ascii="Calibri" w:hAnsi="Calibri"/>
                <w:b/>
                <w:bCs/>
                <w:snapToGrid/>
                <w:color w:val="FFFFFF" w:themeColor="background1"/>
                <w:kern w:val="0"/>
                <w:szCs w:val="22"/>
              </w:rPr>
              <w:t>Total</w:t>
            </w:r>
          </w:p>
        </w:tc>
      </w:tr>
      <w:tr w:rsidR="008E661E" w:rsidRPr="005C69E2" w14:paraId="112901DE" w14:textId="77777777" w:rsidTr="000C039C">
        <w:trPr>
          <w:trHeight w:val="300"/>
        </w:trPr>
        <w:tc>
          <w:tcPr>
            <w:tcW w:w="0" w:type="dxa"/>
            <w:shd w:val="clear" w:color="auto" w:fill="D9E2F3"/>
            <w:noWrap/>
            <w:hideMark/>
          </w:tcPr>
          <w:p w14:paraId="2AE58FA4" w14:textId="77777777" w:rsidR="008E661E" w:rsidRPr="00236A55" w:rsidRDefault="008E661E" w:rsidP="000C039C">
            <w:pPr>
              <w:widowControl/>
              <w:rPr>
                <w:rFonts w:ascii="Calibri" w:hAnsi="Calibri"/>
                <w:b/>
                <w:bCs/>
                <w:snapToGrid/>
                <w:color w:val="000000"/>
                <w:kern w:val="0"/>
                <w:szCs w:val="22"/>
              </w:rPr>
            </w:pPr>
            <w:r w:rsidRPr="00236A55">
              <w:rPr>
                <w:rFonts w:ascii="Calibri" w:hAnsi="Calibri"/>
                <w:b/>
                <w:bCs/>
                <w:snapToGrid/>
                <w:color w:val="000000"/>
                <w:kern w:val="0"/>
                <w:szCs w:val="22"/>
              </w:rPr>
              <w:t>2014</w:t>
            </w:r>
          </w:p>
        </w:tc>
        <w:tc>
          <w:tcPr>
            <w:tcW w:w="0" w:type="dxa"/>
            <w:shd w:val="clear" w:color="auto" w:fill="D9E2F3"/>
            <w:noWrap/>
            <w:hideMark/>
          </w:tcPr>
          <w:p w14:paraId="43C44E82" w14:textId="77777777" w:rsidR="008E661E" w:rsidRPr="00236A55" w:rsidRDefault="008E661E" w:rsidP="000C039C">
            <w:pPr>
              <w:widowControl/>
              <w:rPr>
                <w:rFonts w:ascii="Calibri" w:hAnsi="Calibri"/>
                <w:snapToGrid/>
                <w:color w:val="000000"/>
                <w:kern w:val="0"/>
                <w:szCs w:val="22"/>
              </w:rPr>
            </w:pPr>
            <w:r w:rsidRPr="00236A55">
              <w:rPr>
                <w:rFonts w:ascii="Calibri" w:hAnsi="Calibri"/>
                <w:snapToGrid/>
                <w:color w:val="000000"/>
                <w:kern w:val="0"/>
                <w:szCs w:val="22"/>
              </w:rPr>
              <w:t>$174,680,859</w:t>
            </w:r>
          </w:p>
        </w:tc>
        <w:tc>
          <w:tcPr>
            <w:tcW w:w="1710" w:type="dxa"/>
            <w:shd w:val="clear" w:color="auto" w:fill="D9E2F3"/>
            <w:noWrap/>
            <w:hideMark/>
          </w:tcPr>
          <w:p w14:paraId="5D04B973" w14:textId="77777777" w:rsidR="008E661E" w:rsidRPr="00236A55" w:rsidRDefault="008E661E" w:rsidP="000C039C">
            <w:pPr>
              <w:widowControl/>
              <w:rPr>
                <w:rFonts w:ascii="Calibri" w:hAnsi="Calibri"/>
                <w:snapToGrid/>
                <w:color w:val="000000"/>
                <w:kern w:val="0"/>
                <w:szCs w:val="22"/>
              </w:rPr>
            </w:pPr>
            <w:r w:rsidRPr="00236A55">
              <w:rPr>
                <w:rFonts w:ascii="Calibri" w:hAnsi="Calibri"/>
                <w:snapToGrid/>
                <w:color w:val="000000"/>
                <w:kern w:val="0"/>
                <w:szCs w:val="22"/>
              </w:rPr>
              <w:t>$577,563,160</w:t>
            </w:r>
          </w:p>
        </w:tc>
        <w:tc>
          <w:tcPr>
            <w:tcW w:w="1800" w:type="dxa"/>
            <w:shd w:val="clear" w:color="auto" w:fill="D9E2F3"/>
            <w:noWrap/>
            <w:hideMark/>
          </w:tcPr>
          <w:p w14:paraId="194B6405" w14:textId="77777777" w:rsidR="008E661E" w:rsidRPr="00236A55" w:rsidRDefault="008E661E" w:rsidP="000C039C">
            <w:pPr>
              <w:widowControl/>
              <w:rPr>
                <w:rFonts w:ascii="Calibri" w:hAnsi="Calibri"/>
                <w:snapToGrid/>
                <w:color w:val="000000"/>
                <w:kern w:val="0"/>
                <w:szCs w:val="22"/>
              </w:rPr>
            </w:pPr>
            <w:r w:rsidRPr="00236A55">
              <w:rPr>
                <w:rFonts w:ascii="Calibri" w:hAnsi="Calibri"/>
                <w:snapToGrid/>
                <w:color w:val="000000"/>
                <w:kern w:val="0"/>
                <w:szCs w:val="22"/>
              </w:rPr>
              <w:t>$465,618,263</w:t>
            </w:r>
          </w:p>
        </w:tc>
        <w:tc>
          <w:tcPr>
            <w:tcW w:w="1419" w:type="dxa"/>
            <w:shd w:val="clear" w:color="auto" w:fill="D9E2F3"/>
            <w:noWrap/>
            <w:hideMark/>
          </w:tcPr>
          <w:p w14:paraId="7C48D53A" w14:textId="77777777" w:rsidR="008E661E" w:rsidRPr="00236A55" w:rsidRDefault="008E661E" w:rsidP="000C039C">
            <w:pPr>
              <w:widowControl/>
              <w:rPr>
                <w:rFonts w:ascii="Calibri" w:hAnsi="Calibri"/>
                <w:snapToGrid/>
                <w:color w:val="000000"/>
                <w:kern w:val="0"/>
                <w:szCs w:val="22"/>
              </w:rPr>
            </w:pPr>
            <w:r w:rsidRPr="00236A55">
              <w:rPr>
                <w:rFonts w:ascii="Calibri" w:hAnsi="Calibri"/>
                <w:snapToGrid/>
                <w:color w:val="000000"/>
                <w:kern w:val="0"/>
                <w:szCs w:val="22"/>
              </w:rPr>
              <w:t>$1,217,862,281</w:t>
            </w:r>
          </w:p>
        </w:tc>
      </w:tr>
      <w:tr w:rsidR="008E661E" w:rsidRPr="005C69E2" w14:paraId="39E4EFBD" w14:textId="77777777" w:rsidTr="000C039C">
        <w:trPr>
          <w:trHeight w:val="300"/>
        </w:trPr>
        <w:tc>
          <w:tcPr>
            <w:tcW w:w="0" w:type="dxa"/>
            <w:shd w:val="clear" w:color="auto" w:fill="auto"/>
            <w:noWrap/>
            <w:hideMark/>
          </w:tcPr>
          <w:p w14:paraId="6D39556C" w14:textId="77777777" w:rsidR="008E661E" w:rsidRPr="00236A55" w:rsidRDefault="008E661E" w:rsidP="000C039C">
            <w:pPr>
              <w:widowControl/>
              <w:rPr>
                <w:rFonts w:ascii="Calibri" w:hAnsi="Calibri"/>
                <w:b/>
                <w:bCs/>
                <w:snapToGrid/>
                <w:color w:val="000000"/>
                <w:kern w:val="0"/>
                <w:szCs w:val="22"/>
              </w:rPr>
            </w:pPr>
            <w:r w:rsidRPr="00236A55">
              <w:rPr>
                <w:rFonts w:ascii="Calibri" w:hAnsi="Calibri"/>
                <w:b/>
                <w:bCs/>
                <w:snapToGrid/>
                <w:color w:val="000000"/>
                <w:kern w:val="0"/>
                <w:szCs w:val="22"/>
              </w:rPr>
              <w:t>2015</w:t>
            </w:r>
          </w:p>
        </w:tc>
        <w:tc>
          <w:tcPr>
            <w:tcW w:w="0" w:type="dxa"/>
            <w:shd w:val="clear" w:color="auto" w:fill="auto"/>
            <w:noWrap/>
            <w:hideMark/>
          </w:tcPr>
          <w:p w14:paraId="4B8EFDC7" w14:textId="77777777" w:rsidR="008E661E" w:rsidRPr="00236A55" w:rsidRDefault="008E661E" w:rsidP="000C039C">
            <w:pPr>
              <w:widowControl/>
              <w:rPr>
                <w:rFonts w:ascii="Calibri" w:hAnsi="Calibri"/>
                <w:snapToGrid/>
                <w:color w:val="000000"/>
                <w:kern w:val="0"/>
                <w:szCs w:val="22"/>
              </w:rPr>
            </w:pPr>
            <w:r w:rsidRPr="00236A55">
              <w:rPr>
                <w:rFonts w:ascii="Calibri" w:hAnsi="Calibri"/>
                <w:snapToGrid/>
                <w:color w:val="000000"/>
                <w:kern w:val="0"/>
                <w:szCs w:val="22"/>
              </w:rPr>
              <w:t>$212,408,667</w:t>
            </w:r>
          </w:p>
        </w:tc>
        <w:tc>
          <w:tcPr>
            <w:tcW w:w="0" w:type="dxa"/>
            <w:shd w:val="clear" w:color="auto" w:fill="auto"/>
            <w:noWrap/>
            <w:hideMark/>
          </w:tcPr>
          <w:p w14:paraId="47AAAAB6" w14:textId="77777777" w:rsidR="008E661E" w:rsidRPr="00236A55" w:rsidRDefault="008E661E" w:rsidP="000C039C">
            <w:pPr>
              <w:widowControl/>
              <w:rPr>
                <w:rFonts w:ascii="Calibri" w:hAnsi="Calibri"/>
                <w:snapToGrid/>
                <w:color w:val="000000"/>
                <w:kern w:val="0"/>
                <w:szCs w:val="22"/>
              </w:rPr>
            </w:pPr>
            <w:r w:rsidRPr="00236A55">
              <w:rPr>
                <w:rFonts w:ascii="Calibri" w:hAnsi="Calibri"/>
                <w:snapToGrid/>
                <w:color w:val="000000"/>
                <w:kern w:val="0"/>
                <w:szCs w:val="22"/>
              </w:rPr>
              <w:t>$983,090,369</w:t>
            </w:r>
          </w:p>
        </w:tc>
        <w:tc>
          <w:tcPr>
            <w:tcW w:w="1800" w:type="dxa"/>
            <w:shd w:val="clear" w:color="auto" w:fill="auto"/>
            <w:noWrap/>
            <w:hideMark/>
          </w:tcPr>
          <w:p w14:paraId="7963E5C6" w14:textId="77777777" w:rsidR="008E661E" w:rsidRPr="00236A55" w:rsidRDefault="008E661E" w:rsidP="000C039C">
            <w:pPr>
              <w:widowControl/>
              <w:rPr>
                <w:rFonts w:ascii="Calibri" w:hAnsi="Calibri"/>
                <w:snapToGrid/>
                <w:color w:val="000000"/>
                <w:kern w:val="0"/>
                <w:szCs w:val="22"/>
              </w:rPr>
            </w:pPr>
            <w:r w:rsidRPr="00236A55">
              <w:rPr>
                <w:rFonts w:ascii="Calibri" w:hAnsi="Calibri"/>
                <w:snapToGrid/>
                <w:color w:val="000000"/>
                <w:kern w:val="0"/>
                <w:szCs w:val="22"/>
              </w:rPr>
              <w:t>$641,925,233</w:t>
            </w:r>
          </w:p>
        </w:tc>
        <w:tc>
          <w:tcPr>
            <w:tcW w:w="1419" w:type="dxa"/>
            <w:shd w:val="clear" w:color="auto" w:fill="auto"/>
            <w:noWrap/>
            <w:hideMark/>
          </w:tcPr>
          <w:p w14:paraId="0872DF15" w14:textId="77777777" w:rsidR="008E661E" w:rsidRPr="00236A55" w:rsidRDefault="008E661E" w:rsidP="000C039C">
            <w:pPr>
              <w:widowControl/>
              <w:rPr>
                <w:rFonts w:ascii="Calibri" w:hAnsi="Calibri"/>
                <w:snapToGrid/>
                <w:color w:val="000000"/>
                <w:kern w:val="0"/>
                <w:szCs w:val="22"/>
              </w:rPr>
            </w:pPr>
            <w:r w:rsidRPr="00236A55">
              <w:rPr>
                <w:rFonts w:ascii="Calibri" w:hAnsi="Calibri"/>
                <w:snapToGrid/>
                <w:color w:val="000000"/>
                <w:kern w:val="0"/>
                <w:szCs w:val="22"/>
              </w:rPr>
              <w:t>$1,837,424,270</w:t>
            </w:r>
          </w:p>
        </w:tc>
      </w:tr>
      <w:tr w:rsidR="008E661E" w:rsidRPr="005C69E2" w14:paraId="1B461F5A" w14:textId="77777777" w:rsidTr="000C039C">
        <w:trPr>
          <w:trHeight w:val="300"/>
        </w:trPr>
        <w:tc>
          <w:tcPr>
            <w:tcW w:w="0" w:type="dxa"/>
            <w:shd w:val="clear" w:color="auto" w:fill="D9E2F3"/>
            <w:noWrap/>
            <w:hideMark/>
          </w:tcPr>
          <w:p w14:paraId="1ECDE799" w14:textId="77777777" w:rsidR="008E661E" w:rsidRPr="00236A55" w:rsidRDefault="008E661E" w:rsidP="000C039C">
            <w:pPr>
              <w:widowControl/>
              <w:rPr>
                <w:rFonts w:ascii="Calibri" w:hAnsi="Calibri"/>
                <w:b/>
                <w:bCs/>
                <w:snapToGrid/>
                <w:color w:val="000000"/>
                <w:kern w:val="0"/>
                <w:szCs w:val="22"/>
              </w:rPr>
            </w:pPr>
            <w:r w:rsidRPr="00236A55">
              <w:rPr>
                <w:rFonts w:ascii="Calibri" w:hAnsi="Calibri"/>
                <w:b/>
                <w:bCs/>
                <w:snapToGrid/>
                <w:color w:val="000000"/>
                <w:kern w:val="0"/>
                <w:szCs w:val="22"/>
              </w:rPr>
              <w:t>2016</w:t>
            </w:r>
          </w:p>
        </w:tc>
        <w:tc>
          <w:tcPr>
            <w:tcW w:w="0" w:type="dxa"/>
            <w:shd w:val="clear" w:color="auto" w:fill="D9E2F3"/>
            <w:noWrap/>
            <w:hideMark/>
          </w:tcPr>
          <w:p w14:paraId="5C3AAC6D" w14:textId="77777777" w:rsidR="008E661E" w:rsidRPr="00236A55" w:rsidRDefault="008E661E" w:rsidP="000C039C">
            <w:pPr>
              <w:widowControl/>
              <w:rPr>
                <w:rFonts w:ascii="Calibri" w:hAnsi="Calibri"/>
                <w:snapToGrid/>
                <w:color w:val="000000"/>
                <w:kern w:val="0"/>
                <w:szCs w:val="22"/>
              </w:rPr>
            </w:pPr>
            <w:r w:rsidRPr="00236A55">
              <w:rPr>
                <w:rFonts w:ascii="Calibri" w:hAnsi="Calibri"/>
                <w:snapToGrid/>
                <w:color w:val="000000"/>
                <w:kern w:val="0"/>
                <w:szCs w:val="22"/>
              </w:rPr>
              <w:t>$232,040,481</w:t>
            </w:r>
          </w:p>
        </w:tc>
        <w:tc>
          <w:tcPr>
            <w:tcW w:w="1710" w:type="dxa"/>
            <w:shd w:val="clear" w:color="auto" w:fill="D9E2F3"/>
            <w:noWrap/>
            <w:hideMark/>
          </w:tcPr>
          <w:p w14:paraId="51F5B540" w14:textId="77777777" w:rsidR="008E661E" w:rsidRPr="00236A55" w:rsidRDefault="008E661E" w:rsidP="000C039C">
            <w:pPr>
              <w:widowControl/>
              <w:rPr>
                <w:rFonts w:ascii="Calibri" w:hAnsi="Calibri"/>
                <w:snapToGrid/>
                <w:color w:val="000000"/>
                <w:kern w:val="0"/>
                <w:szCs w:val="22"/>
              </w:rPr>
            </w:pPr>
            <w:r w:rsidRPr="00236A55">
              <w:rPr>
                <w:rFonts w:ascii="Calibri" w:hAnsi="Calibri"/>
                <w:snapToGrid/>
                <w:color w:val="000000"/>
                <w:kern w:val="0"/>
                <w:szCs w:val="22"/>
              </w:rPr>
              <w:t>$845,512,369</w:t>
            </w:r>
          </w:p>
        </w:tc>
        <w:tc>
          <w:tcPr>
            <w:tcW w:w="1800" w:type="dxa"/>
            <w:shd w:val="clear" w:color="auto" w:fill="D9E2F3"/>
            <w:noWrap/>
            <w:hideMark/>
          </w:tcPr>
          <w:p w14:paraId="5A37486B" w14:textId="77777777" w:rsidR="008E661E" w:rsidRPr="00236A55" w:rsidRDefault="008E661E" w:rsidP="000C039C">
            <w:pPr>
              <w:widowControl/>
              <w:rPr>
                <w:rFonts w:ascii="Calibri" w:hAnsi="Calibri"/>
                <w:snapToGrid/>
                <w:color w:val="000000"/>
                <w:kern w:val="0"/>
                <w:szCs w:val="22"/>
              </w:rPr>
            </w:pPr>
            <w:r w:rsidRPr="00236A55">
              <w:rPr>
                <w:rFonts w:ascii="Calibri" w:hAnsi="Calibri"/>
                <w:snapToGrid/>
                <w:color w:val="000000"/>
                <w:kern w:val="0"/>
                <w:szCs w:val="22"/>
              </w:rPr>
              <w:t>$436,554,611</w:t>
            </w:r>
          </w:p>
        </w:tc>
        <w:tc>
          <w:tcPr>
            <w:tcW w:w="1419" w:type="dxa"/>
            <w:shd w:val="clear" w:color="auto" w:fill="D9E2F3"/>
            <w:noWrap/>
            <w:hideMark/>
          </w:tcPr>
          <w:p w14:paraId="15E2077E" w14:textId="77777777" w:rsidR="008E661E" w:rsidRPr="00236A55" w:rsidRDefault="008E661E" w:rsidP="000C039C">
            <w:pPr>
              <w:widowControl/>
              <w:rPr>
                <w:rFonts w:ascii="Calibri" w:hAnsi="Calibri"/>
                <w:snapToGrid/>
                <w:color w:val="000000"/>
                <w:kern w:val="0"/>
                <w:szCs w:val="22"/>
              </w:rPr>
            </w:pPr>
            <w:r w:rsidRPr="00236A55">
              <w:rPr>
                <w:rFonts w:ascii="Calibri" w:hAnsi="Calibri"/>
                <w:snapToGrid/>
                <w:color w:val="000000"/>
                <w:kern w:val="0"/>
                <w:szCs w:val="22"/>
              </w:rPr>
              <w:t>$1,514,107,462</w:t>
            </w:r>
          </w:p>
        </w:tc>
      </w:tr>
      <w:tr w:rsidR="008E661E" w:rsidRPr="005C69E2" w14:paraId="4F737CEB" w14:textId="77777777" w:rsidTr="000C039C">
        <w:trPr>
          <w:trHeight w:val="300"/>
        </w:trPr>
        <w:tc>
          <w:tcPr>
            <w:tcW w:w="0" w:type="dxa"/>
            <w:shd w:val="clear" w:color="auto" w:fill="auto"/>
            <w:noWrap/>
            <w:hideMark/>
          </w:tcPr>
          <w:p w14:paraId="6C2D8A79" w14:textId="77777777" w:rsidR="008E661E" w:rsidRPr="00236A55" w:rsidRDefault="008E661E" w:rsidP="000C039C">
            <w:pPr>
              <w:widowControl/>
              <w:rPr>
                <w:rFonts w:ascii="Calibri" w:hAnsi="Calibri"/>
                <w:b/>
                <w:bCs/>
                <w:snapToGrid/>
                <w:color w:val="000000"/>
                <w:kern w:val="0"/>
                <w:szCs w:val="22"/>
              </w:rPr>
            </w:pPr>
            <w:r w:rsidRPr="00236A55">
              <w:rPr>
                <w:rFonts w:ascii="Calibri" w:hAnsi="Calibri"/>
                <w:b/>
                <w:bCs/>
                <w:snapToGrid/>
                <w:color w:val="000000"/>
                <w:kern w:val="0"/>
                <w:szCs w:val="22"/>
              </w:rPr>
              <w:t>Change (2014-16)</w:t>
            </w:r>
          </w:p>
        </w:tc>
        <w:tc>
          <w:tcPr>
            <w:tcW w:w="0" w:type="dxa"/>
            <w:shd w:val="clear" w:color="auto" w:fill="auto"/>
            <w:noWrap/>
            <w:hideMark/>
          </w:tcPr>
          <w:p w14:paraId="2A262870" w14:textId="77777777" w:rsidR="008E661E" w:rsidRPr="00236A55" w:rsidRDefault="008E661E" w:rsidP="000C039C">
            <w:pPr>
              <w:widowControl/>
              <w:jc w:val="right"/>
              <w:rPr>
                <w:rFonts w:ascii="Calibri" w:hAnsi="Calibri"/>
                <w:snapToGrid/>
                <w:color w:val="000000"/>
                <w:kern w:val="0"/>
                <w:szCs w:val="22"/>
              </w:rPr>
            </w:pPr>
            <w:r w:rsidRPr="00236A55">
              <w:rPr>
                <w:rFonts w:ascii="Calibri" w:hAnsi="Calibri"/>
                <w:snapToGrid/>
                <w:color w:val="000000"/>
                <w:kern w:val="0"/>
                <w:szCs w:val="22"/>
              </w:rPr>
              <w:t>33%</w:t>
            </w:r>
          </w:p>
        </w:tc>
        <w:tc>
          <w:tcPr>
            <w:tcW w:w="0" w:type="dxa"/>
            <w:shd w:val="clear" w:color="auto" w:fill="auto"/>
            <w:noWrap/>
            <w:hideMark/>
          </w:tcPr>
          <w:p w14:paraId="14EA1A7F" w14:textId="77777777" w:rsidR="008E661E" w:rsidRPr="00236A55" w:rsidRDefault="008E661E" w:rsidP="000C039C">
            <w:pPr>
              <w:widowControl/>
              <w:jc w:val="right"/>
              <w:rPr>
                <w:rFonts w:ascii="Calibri" w:hAnsi="Calibri"/>
                <w:snapToGrid/>
                <w:color w:val="000000"/>
                <w:kern w:val="0"/>
                <w:szCs w:val="22"/>
              </w:rPr>
            </w:pPr>
            <w:r w:rsidRPr="00236A55">
              <w:rPr>
                <w:rFonts w:ascii="Calibri" w:hAnsi="Calibri"/>
                <w:snapToGrid/>
                <w:color w:val="000000"/>
                <w:kern w:val="0"/>
                <w:szCs w:val="22"/>
              </w:rPr>
              <w:t>46%</w:t>
            </w:r>
          </w:p>
        </w:tc>
        <w:tc>
          <w:tcPr>
            <w:tcW w:w="1800" w:type="dxa"/>
            <w:shd w:val="clear" w:color="auto" w:fill="auto"/>
            <w:noWrap/>
            <w:hideMark/>
          </w:tcPr>
          <w:p w14:paraId="74072A63" w14:textId="77777777" w:rsidR="008E661E" w:rsidRPr="00236A55" w:rsidRDefault="008E661E" w:rsidP="000C039C">
            <w:pPr>
              <w:widowControl/>
              <w:jc w:val="right"/>
              <w:rPr>
                <w:rFonts w:ascii="Calibri" w:hAnsi="Calibri"/>
                <w:snapToGrid/>
                <w:color w:val="000000"/>
                <w:kern w:val="0"/>
                <w:szCs w:val="22"/>
              </w:rPr>
            </w:pPr>
            <w:r w:rsidRPr="00236A55">
              <w:rPr>
                <w:rFonts w:ascii="Calibri" w:hAnsi="Calibri"/>
                <w:snapToGrid/>
                <w:color w:val="000000"/>
                <w:kern w:val="0"/>
                <w:szCs w:val="22"/>
              </w:rPr>
              <w:t>-6%</w:t>
            </w:r>
          </w:p>
        </w:tc>
        <w:tc>
          <w:tcPr>
            <w:tcW w:w="1419" w:type="dxa"/>
            <w:shd w:val="clear" w:color="auto" w:fill="auto"/>
            <w:noWrap/>
            <w:hideMark/>
          </w:tcPr>
          <w:p w14:paraId="51F21744" w14:textId="77777777" w:rsidR="008E661E" w:rsidRPr="00236A55" w:rsidRDefault="008E661E" w:rsidP="000C039C">
            <w:pPr>
              <w:widowControl/>
              <w:jc w:val="right"/>
              <w:rPr>
                <w:rFonts w:ascii="Calibri" w:hAnsi="Calibri"/>
                <w:snapToGrid/>
                <w:color w:val="000000"/>
                <w:kern w:val="0"/>
                <w:szCs w:val="22"/>
              </w:rPr>
            </w:pPr>
            <w:r w:rsidRPr="00236A55">
              <w:rPr>
                <w:rFonts w:ascii="Calibri" w:hAnsi="Calibri"/>
                <w:snapToGrid/>
                <w:color w:val="000000"/>
                <w:kern w:val="0"/>
                <w:szCs w:val="22"/>
              </w:rPr>
              <w:t>24%</w:t>
            </w:r>
          </w:p>
        </w:tc>
      </w:tr>
    </w:tbl>
    <w:p w14:paraId="1C8C2ED2" w14:textId="77777777" w:rsidR="008E661E" w:rsidRDefault="008E661E" w:rsidP="008E661E">
      <w:pPr>
        <w:pStyle w:val="ParaNum"/>
        <w:numPr>
          <w:ilvl w:val="0"/>
          <w:numId w:val="0"/>
        </w:numPr>
      </w:pPr>
    </w:p>
    <w:p w14:paraId="48ECF3E6" w14:textId="77777777" w:rsidR="008E661E" w:rsidRDefault="008E661E" w:rsidP="008E661E">
      <w:pPr>
        <w:widowControl/>
        <w:rPr>
          <w:b/>
        </w:rPr>
      </w:pPr>
      <w:r>
        <w:rPr>
          <w:b/>
        </w:rPr>
        <w:br w:type="page"/>
      </w:r>
    </w:p>
    <w:p w14:paraId="45558E94" w14:textId="77777777" w:rsidR="008E661E" w:rsidRPr="00E01B21" w:rsidRDefault="008E661E" w:rsidP="008E661E">
      <w:pPr>
        <w:pStyle w:val="NoSpacing"/>
        <w:jc w:val="center"/>
        <w:rPr>
          <w:b/>
        </w:rPr>
      </w:pPr>
      <w:r w:rsidRPr="00E01B21">
        <w:rPr>
          <w:b/>
        </w:rPr>
        <w:t xml:space="preserve">APPENDIX </w:t>
      </w:r>
      <w:r>
        <w:rPr>
          <w:b/>
        </w:rPr>
        <w:t>E</w:t>
      </w:r>
    </w:p>
    <w:p w14:paraId="7E4B9D4D" w14:textId="77777777" w:rsidR="008E661E" w:rsidRPr="00E01B21" w:rsidRDefault="008E661E" w:rsidP="008E661E">
      <w:pPr>
        <w:pStyle w:val="NoSpacing"/>
        <w:jc w:val="center"/>
      </w:pPr>
      <w:r>
        <w:t>Applicants Seeking E-rate Support for VoIP and POTS</w:t>
      </w:r>
    </w:p>
    <w:p w14:paraId="35DE9580" w14:textId="77777777" w:rsidR="008E661E" w:rsidRPr="00A26671" w:rsidRDefault="008E661E" w:rsidP="008E661E">
      <w:pPr>
        <w:pStyle w:val="NoSpacing"/>
        <w:jc w:val="center"/>
        <w:rPr>
          <w:color w:val="FFFFFF"/>
        </w:rPr>
      </w:pPr>
      <w:r>
        <w:t>Funding Years 2014, 20</w:t>
      </w:r>
      <w:r w:rsidRPr="00E01B21">
        <w:t>16</w:t>
      </w:r>
    </w:p>
    <w:p w14:paraId="371A1329" w14:textId="77777777" w:rsidR="008E661E" w:rsidRDefault="008E661E" w:rsidP="008E661E">
      <w:pPr>
        <w:pStyle w:val="ParaNum"/>
        <w:numPr>
          <w:ilvl w:val="0"/>
          <w:numId w:val="0"/>
        </w:numPr>
      </w:pPr>
    </w:p>
    <w:tbl>
      <w:tblPr>
        <w:tblW w:w="5845" w:type="dxa"/>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245"/>
        <w:gridCol w:w="1800"/>
        <w:gridCol w:w="1800"/>
      </w:tblGrid>
      <w:tr w:rsidR="008E661E" w:rsidRPr="00511CF2" w14:paraId="77BBEA72" w14:textId="77777777" w:rsidTr="000C039C">
        <w:trPr>
          <w:trHeight w:val="300"/>
          <w:jc w:val="center"/>
        </w:trPr>
        <w:tc>
          <w:tcPr>
            <w:tcW w:w="2245" w:type="dxa"/>
            <w:tcBorders>
              <w:top w:val="single" w:sz="4" w:space="0" w:color="4472C4"/>
              <w:left w:val="single" w:sz="4" w:space="0" w:color="4472C4"/>
              <w:bottom w:val="single" w:sz="4" w:space="0" w:color="4472C4"/>
              <w:right w:val="nil"/>
            </w:tcBorders>
            <w:shd w:val="clear" w:color="auto" w:fill="4472C4"/>
            <w:noWrap/>
            <w:hideMark/>
          </w:tcPr>
          <w:p w14:paraId="7E5DE68E" w14:textId="77777777" w:rsidR="008E661E" w:rsidRPr="00236A55" w:rsidRDefault="008E661E" w:rsidP="000C039C">
            <w:pPr>
              <w:widowControl/>
              <w:rPr>
                <w:b/>
                <w:bCs/>
                <w:snapToGrid/>
                <w:color w:val="FFFFFF"/>
                <w:kern w:val="0"/>
                <w:sz w:val="20"/>
                <w:szCs w:val="24"/>
              </w:rPr>
            </w:pPr>
            <w:r w:rsidRPr="00236A55">
              <w:rPr>
                <w:rFonts w:ascii="Calibri" w:hAnsi="Calibri"/>
                <w:b/>
                <w:bCs/>
                <w:snapToGrid/>
                <w:color w:val="FFFFFF"/>
                <w:kern w:val="0"/>
                <w:szCs w:val="22"/>
              </w:rPr>
              <w:t>Funding Year</w:t>
            </w:r>
          </w:p>
        </w:tc>
        <w:tc>
          <w:tcPr>
            <w:tcW w:w="1800" w:type="dxa"/>
            <w:tcBorders>
              <w:top w:val="single" w:sz="4" w:space="0" w:color="4472C4"/>
              <w:left w:val="nil"/>
              <w:bottom w:val="single" w:sz="4" w:space="0" w:color="4472C4"/>
              <w:right w:val="nil"/>
            </w:tcBorders>
            <w:shd w:val="clear" w:color="auto" w:fill="4472C4"/>
            <w:noWrap/>
            <w:hideMark/>
          </w:tcPr>
          <w:p w14:paraId="7362CD8B" w14:textId="77777777" w:rsidR="008E661E" w:rsidRPr="00236A55" w:rsidRDefault="008E661E" w:rsidP="000C039C">
            <w:pPr>
              <w:widowControl/>
              <w:rPr>
                <w:rFonts w:ascii="Calibri" w:hAnsi="Calibri"/>
                <w:b/>
                <w:bCs/>
                <w:snapToGrid/>
                <w:color w:val="FFFFFF"/>
                <w:kern w:val="0"/>
                <w:szCs w:val="22"/>
              </w:rPr>
            </w:pPr>
            <w:r w:rsidRPr="00236A55">
              <w:rPr>
                <w:rFonts w:ascii="Calibri" w:hAnsi="Calibri"/>
                <w:b/>
                <w:bCs/>
                <w:snapToGrid/>
                <w:color w:val="FFFFFF"/>
                <w:kern w:val="0"/>
                <w:szCs w:val="22"/>
              </w:rPr>
              <w:t>VoIP</w:t>
            </w:r>
          </w:p>
        </w:tc>
        <w:tc>
          <w:tcPr>
            <w:tcW w:w="1800" w:type="dxa"/>
            <w:tcBorders>
              <w:top w:val="single" w:sz="4" w:space="0" w:color="4472C4"/>
              <w:left w:val="nil"/>
              <w:bottom w:val="single" w:sz="4" w:space="0" w:color="4472C4"/>
              <w:right w:val="single" w:sz="4" w:space="0" w:color="4472C4"/>
            </w:tcBorders>
            <w:shd w:val="clear" w:color="auto" w:fill="4472C4"/>
            <w:noWrap/>
            <w:hideMark/>
          </w:tcPr>
          <w:p w14:paraId="3074465B" w14:textId="77777777" w:rsidR="008E661E" w:rsidRPr="00236A55" w:rsidRDefault="008E661E" w:rsidP="000C039C">
            <w:pPr>
              <w:widowControl/>
              <w:rPr>
                <w:rFonts w:ascii="Calibri" w:hAnsi="Calibri"/>
                <w:b/>
                <w:bCs/>
                <w:snapToGrid/>
                <w:color w:val="FFFFFF"/>
                <w:kern w:val="0"/>
                <w:szCs w:val="22"/>
              </w:rPr>
            </w:pPr>
            <w:r w:rsidRPr="00236A55">
              <w:rPr>
                <w:rFonts w:ascii="Calibri" w:hAnsi="Calibri"/>
                <w:b/>
                <w:bCs/>
                <w:snapToGrid/>
                <w:color w:val="FFFFFF"/>
                <w:kern w:val="0"/>
                <w:szCs w:val="22"/>
              </w:rPr>
              <w:t>POTS</w:t>
            </w:r>
          </w:p>
        </w:tc>
      </w:tr>
      <w:tr w:rsidR="008E661E" w:rsidRPr="00511CF2" w14:paraId="343F7221" w14:textId="77777777" w:rsidTr="000C039C">
        <w:trPr>
          <w:trHeight w:val="300"/>
          <w:jc w:val="center"/>
        </w:trPr>
        <w:tc>
          <w:tcPr>
            <w:tcW w:w="2245" w:type="dxa"/>
            <w:shd w:val="clear" w:color="auto" w:fill="D9E2F3"/>
            <w:noWrap/>
            <w:hideMark/>
          </w:tcPr>
          <w:p w14:paraId="7F1E0C00" w14:textId="77777777" w:rsidR="008E661E" w:rsidRPr="00236A55" w:rsidRDefault="008E661E" w:rsidP="000C039C">
            <w:pPr>
              <w:widowControl/>
              <w:rPr>
                <w:rFonts w:ascii="Calibri" w:hAnsi="Calibri"/>
                <w:b/>
                <w:bCs/>
                <w:snapToGrid/>
                <w:color w:val="000000"/>
                <w:kern w:val="0"/>
                <w:szCs w:val="22"/>
              </w:rPr>
            </w:pPr>
            <w:r w:rsidRPr="00236A55">
              <w:rPr>
                <w:rFonts w:ascii="Calibri" w:hAnsi="Calibri"/>
                <w:bCs/>
                <w:snapToGrid/>
                <w:color w:val="000000"/>
                <w:kern w:val="0"/>
                <w:szCs w:val="22"/>
              </w:rPr>
              <w:t>2014</w:t>
            </w:r>
          </w:p>
        </w:tc>
        <w:tc>
          <w:tcPr>
            <w:tcW w:w="1800" w:type="dxa"/>
            <w:shd w:val="clear" w:color="auto" w:fill="D9E2F3"/>
            <w:noWrap/>
            <w:hideMark/>
          </w:tcPr>
          <w:p w14:paraId="3EBF4E1E" w14:textId="77777777" w:rsidR="008E661E" w:rsidRPr="00236A55" w:rsidRDefault="008E661E" w:rsidP="000C039C">
            <w:pPr>
              <w:widowControl/>
              <w:rPr>
                <w:rFonts w:ascii="Calibri" w:hAnsi="Calibri"/>
                <w:snapToGrid/>
                <w:color w:val="000000"/>
                <w:kern w:val="0"/>
                <w:szCs w:val="22"/>
              </w:rPr>
            </w:pPr>
            <w:r w:rsidRPr="00236A55">
              <w:rPr>
                <w:rFonts w:ascii="Calibri" w:hAnsi="Calibri"/>
                <w:snapToGrid/>
                <w:color w:val="000000"/>
                <w:kern w:val="0"/>
                <w:szCs w:val="22"/>
              </w:rPr>
              <w:t>1,623</w:t>
            </w:r>
          </w:p>
        </w:tc>
        <w:tc>
          <w:tcPr>
            <w:tcW w:w="1800" w:type="dxa"/>
            <w:shd w:val="clear" w:color="auto" w:fill="D9E2F3"/>
            <w:noWrap/>
            <w:hideMark/>
          </w:tcPr>
          <w:p w14:paraId="4C24A0F3" w14:textId="77777777" w:rsidR="008E661E" w:rsidRPr="00236A55" w:rsidRDefault="008E661E" w:rsidP="000C039C">
            <w:pPr>
              <w:widowControl/>
              <w:rPr>
                <w:rFonts w:ascii="Calibri" w:hAnsi="Calibri"/>
                <w:snapToGrid/>
                <w:color w:val="000000"/>
                <w:kern w:val="0"/>
                <w:szCs w:val="22"/>
              </w:rPr>
            </w:pPr>
            <w:r w:rsidRPr="00236A55">
              <w:rPr>
                <w:rFonts w:ascii="Calibri" w:hAnsi="Calibri"/>
                <w:snapToGrid/>
                <w:color w:val="000000"/>
                <w:kern w:val="0"/>
                <w:szCs w:val="22"/>
              </w:rPr>
              <w:t>2,429</w:t>
            </w:r>
          </w:p>
        </w:tc>
      </w:tr>
      <w:tr w:rsidR="008E661E" w:rsidRPr="00511CF2" w14:paraId="039A7ACF" w14:textId="77777777" w:rsidTr="000C039C">
        <w:trPr>
          <w:trHeight w:val="300"/>
          <w:jc w:val="center"/>
        </w:trPr>
        <w:tc>
          <w:tcPr>
            <w:tcW w:w="2245" w:type="dxa"/>
            <w:shd w:val="clear" w:color="auto" w:fill="auto"/>
            <w:noWrap/>
            <w:hideMark/>
          </w:tcPr>
          <w:p w14:paraId="010A2C64" w14:textId="77777777" w:rsidR="008E661E" w:rsidRPr="00236A55" w:rsidRDefault="008E661E" w:rsidP="000C039C">
            <w:pPr>
              <w:widowControl/>
              <w:rPr>
                <w:rFonts w:ascii="Calibri" w:hAnsi="Calibri"/>
                <w:b/>
                <w:bCs/>
                <w:snapToGrid/>
                <w:color w:val="000000"/>
                <w:kern w:val="0"/>
                <w:szCs w:val="22"/>
              </w:rPr>
            </w:pPr>
            <w:r w:rsidRPr="00236A55">
              <w:rPr>
                <w:rFonts w:ascii="Calibri" w:hAnsi="Calibri"/>
                <w:bCs/>
                <w:snapToGrid/>
                <w:color w:val="000000"/>
                <w:kern w:val="0"/>
                <w:szCs w:val="22"/>
              </w:rPr>
              <w:t>2016</w:t>
            </w:r>
          </w:p>
        </w:tc>
        <w:tc>
          <w:tcPr>
            <w:tcW w:w="1800" w:type="dxa"/>
            <w:shd w:val="clear" w:color="auto" w:fill="auto"/>
            <w:noWrap/>
            <w:hideMark/>
          </w:tcPr>
          <w:p w14:paraId="7E55A7FB" w14:textId="77777777" w:rsidR="008E661E" w:rsidRPr="00236A55" w:rsidRDefault="008E661E" w:rsidP="000C039C">
            <w:pPr>
              <w:widowControl/>
              <w:rPr>
                <w:rFonts w:ascii="Calibri" w:hAnsi="Calibri"/>
                <w:snapToGrid/>
                <w:color w:val="000000"/>
                <w:kern w:val="0"/>
                <w:szCs w:val="22"/>
              </w:rPr>
            </w:pPr>
            <w:r w:rsidRPr="00236A55">
              <w:rPr>
                <w:rFonts w:ascii="Calibri" w:hAnsi="Calibri"/>
                <w:snapToGrid/>
                <w:color w:val="000000"/>
                <w:kern w:val="0"/>
                <w:szCs w:val="22"/>
              </w:rPr>
              <w:t>2,960</w:t>
            </w:r>
          </w:p>
        </w:tc>
        <w:tc>
          <w:tcPr>
            <w:tcW w:w="1800" w:type="dxa"/>
            <w:shd w:val="clear" w:color="auto" w:fill="auto"/>
            <w:noWrap/>
            <w:hideMark/>
          </w:tcPr>
          <w:p w14:paraId="371A361B" w14:textId="77777777" w:rsidR="008E661E" w:rsidRPr="00236A55" w:rsidRDefault="008E661E" w:rsidP="000C039C">
            <w:pPr>
              <w:widowControl/>
              <w:rPr>
                <w:rFonts w:ascii="Calibri" w:hAnsi="Calibri"/>
                <w:snapToGrid/>
                <w:color w:val="000000"/>
                <w:kern w:val="0"/>
                <w:szCs w:val="22"/>
              </w:rPr>
            </w:pPr>
            <w:r w:rsidRPr="00236A55">
              <w:rPr>
                <w:rFonts w:ascii="Calibri" w:hAnsi="Calibri"/>
                <w:snapToGrid/>
                <w:color w:val="000000"/>
                <w:kern w:val="0"/>
                <w:szCs w:val="22"/>
              </w:rPr>
              <w:t>2,023</w:t>
            </w:r>
          </w:p>
        </w:tc>
      </w:tr>
      <w:tr w:rsidR="008E661E" w:rsidRPr="00511CF2" w14:paraId="060E4DAF" w14:textId="77777777" w:rsidTr="000C039C">
        <w:trPr>
          <w:trHeight w:val="300"/>
          <w:jc w:val="center"/>
        </w:trPr>
        <w:tc>
          <w:tcPr>
            <w:tcW w:w="2245" w:type="dxa"/>
            <w:shd w:val="clear" w:color="auto" w:fill="D9E2F3"/>
            <w:noWrap/>
            <w:hideMark/>
          </w:tcPr>
          <w:p w14:paraId="5866183C" w14:textId="77777777" w:rsidR="008E661E" w:rsidRPr="00236A55" w:rsidRDefault="008E661E" w:rsidP="000C039C">
            <w:pPr>
              <w:widowControl/>
              <w:rPr>
                <w:rFonts w:ascii="Calibri" w:hAnsi="Calibri"/>
                <w:b/>
                <w:bCs/>
                <w:snapToGrid/>
                <w:color w:val="000000"/>
                <w:kern w:val="0"/>
                <w:szCs w:val="22"/>
              </w:rPr>
            </w:pPr>
            <w:r w:rsidRPr="00236A55">
              <w:rPr>
                <w:rFonts w:ascii="Calibri" w:hAnsi="Calibri"/>
                <w:bCs/>
                <w:snapToGrid/>
                <w:color w:val="000000"/>
                <w:kern w:val="0"/>
                <w:szCs w:val="22"/>
              </w:rPr>
              <w:t>Change (2014-16)</w:t>
            </w:r>
          </w:p>
        </w:tc>
        <w:tc>
          <w:tcPr>
            <w:tcW w:w="1800" w:type="dxa"/>
            <w:shd w:val="clear" w:color="auto" w:fill="D9E2F3"/>
            <w:noWrap/>
            <w:hideMark/>
          </w:tcPr>
          <w:p w14:paraId="5FBCA91C" w14:textId="77777777" w:rsidR="008E661E" w:rsidRPr="00236A55" w:rsidRDefault="008E661E" w:rsidP="000C039C">
            <w:pPr>
              <w:widowControl/>
              <w:jc w:val="right"/>
              <w:rPr>
                <w:rFonts w:ascii="Calibri" w:hAnsi="Calibri"/>
                <w:snapToGrid/>
                <w:color w:val="000000"/>
                <w:kern w:val="0"/>
                <w:szCs w:val="22"/>
              </w:rPr>
            </w:pPr>
            <w:r w:rsidRPr="00236A55">
              <w:rPr>
                <w:rFonts w:ascii="Calibri" w:hAnsi="Calibri"/>
                <w:snapToGrid/>
                <w:color w:val="000000"/>
                <w:kern w:val="0"/>
                <w:szCs w:val="22"/>
              </w:rPr>
              <w:t>82%</w:t>
            </w:r>
          </w:p>
        </w:tc>
        <w:tc>
          <w:tcPr>
            <w:tcW w:w="1800" w:type="dxa"/>
            <w:shd w:val="clear" w:color="auto" w:fill="D9E2F3"/>
            <w:noWrap/>
            <w:hideMark/>
          </w:tcPr>
          <w:p w14:paraId="63B085EA" w14:textId="77777777" w:rsidR="008E661E" w:rsidRPr="00236A55" w:rsidRDefault="008E661E" w:rsidP="00236648">
            <w:pPr>
              <w:widowControl/>
              <w:jc w:val="right"/>
              <w:rPr>
                <w:rFonts w:ascii="Calibri" w:hAnsi="Calibri"/>
                <w:snapToGrid/>
                <w:color w:val="000000"/>
                <w:kern w:val="0"/>
                <w:szCs w:val="22"/>
              </w:rPr>
            </w:pPr>
            <w:r w:rsidRPr="00236A55">
              <w:rPr>
                <w:rFonts w:ascii="Calibri" w:hAnsi="Calibri"/>
                <w:snapToGrid/>
                <w:color w:val="000000"/>
                <w:kern w:val="0"/>
                <w:szCs w:val="22"/>
              </w:rPr>
              <w:t>-</w:t>
            </w:r>
            <w:r w:rsidR="00236648">
              <w:rPr>
                <w:rFonts w:ascii="Calibri" w:hAnsi="Calibri"/>
                <w:snapToGrid/>
                <w:color w:val="000000"/>
                <w:kern w:val="0"/>
                <w:szCs w:val="22"/>
              </w:rPr>
              <w:t>17</w:t>
            </w:r>
            <w:r w:rsidRPr="00236A55">
              <w:rPr>
                <w:rFonts w:ascii="Calibri" w:hAnsi="Calibri"/>
                <w:snapToGrid/>
                <w:color w:val="000000"/>
                <w:kern w:val="0"/>
                <w:szCs w:val="22"/>
              </w:rPr>
              <w:t>%</w:t>
            </w:r>
          </w:p>
        </w:tc>
      </w:tr>
    </w:tbl>
    <w:p w14:paraId="6DC6E6B9" w14:textId="77777777" w:rsidR="008E661E" w:rsidRPr="005A1E21" w:rsidRDefault="008E661E" w:rsidP="008E661E">
      <w:pPr>
        <w:pStyle w:val="ParaNum"/>
        <w:numPr>
          <w:ilvl w:val="0"/>
          <w:numId w:val="0"/>
        </w:numPr>
      </w:pPr>
    </w:p>
    <w:p w14:paraId="028E313C" w14:textId="77777777" w:rsidR="008E661E" w:rsidRPr="00A26671" w:rsidRDefault="008E661E" w:rsidP="008E661E"/>
    <w:p w14:paraId="24037F2C" w14:textId="77777777" w:rsidR="002C00E8" w:rsidRPr="008E661E" w:rsidRDefault="002C00E8" w:rsidP="008E661E"/>
    <w:sectPr w:rsidR="002C00E8" w:rsidRPr="008E661E" w:rsidSect="0055614C">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F95E4" w14:textId="77777777" w:rsidR="009750F2" w:rsidRDefault="009750F2">
      <w:pPr>
        <w:spacing w:line="20" w:lineRule="exact"/>
      </w:pPr>
    </w:p>
  </w:endnote>
  <w:endnote w:type="continuationSeparator" w:id="0">
    <w:p w14:paraId="28052111" w14:textId="77777777" w:rsidR="009750F2" w:rsidRDefault="009750F2">
      <w:r>
        <w:t xml:space="preserve"> </w:t>
      </w:r>
    </w:p>
  </w:endnote>
  <w:endnote w:type="continuationNotice" w:id="1">
    <w:p w14:paraId="0C27CDE6" w14:textId="77777777" w:rsidR="009750F2" w:rsidRDefault="009750F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A60EF" w14:textId="77777777" w:rsidR="009750F2" w:rsidRDefault="009750F2" w:rsidP="0055614C">
    <w:pPr>
      <w:pStyle w:val="Footer"/>
      <w:framePr w:wrap="around" w:vAnchor="text" w:hAnchor="margin" w:xAlign="center" w:y="1"/>
    </w:pPr>
    <w:r>
      <w:fldChar w:fldCharType="begin"/>
    </w:r>
    <w:r>
      <w:instrText xml:space="preserve">PAGE  </w:instrText>
    </w:r>
    <w:r>
      <w:fldChar w:fldCharType="end"/>
    </w:r>
  </w:p>
  <w:p w14:paraId="02E591B6" w14:textId="77777777" w:rsidR="009750F2" w:rsidRDefault="00975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ED013" w14:textId="77777777" w:rsidR="009750F2" w:rsidRDefault="009750F2" w:rsidP="0055614C">
    <w:pPr>
      <w:pStyle w:val="Footer"/>
      <w:framePr w:wrap="around" w:vAnchor="text" w:hAnchor="margin" w:xAlign="center" w:y="1"/>
    </w:pPr>
    <w:r>
      <w:fldChar w:fldCharType="begin"/>
    </w:r>
    <w:r>
      <w:instrText xml:space="preserve">PAGE  </w:instrText>
    </w:r>
    <w:r>
      <w:fldChar w:fldCharType="separate"/>
    </w:r>
    <w:r w:rsidR="003C7DD3">
      <w:rPr>
        <w:noProof/>
      </w:rPr>
      <w:t>2</w:t>
    </w:r>
    <w:r>
      <w:fldChar w:fldCharType="end"/>
    </w:r>
  </w:p>
  <w:p w14:paraId="31214AFC" w14:textId="77777777" w:rsidR="009750F2" w:rsidRDefault="009750F2">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2C867" w14:textId="77777777" w:rsidR="009750F2" w:rsidRDefault="009750F2">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7E321" w14:textId="77777777" w:rsidR="009750F2" w:rsidRDefault="009750F2">
      <w:r>
        <w:separator/>
      </w:r>
    </w:p>
  </w:footnote>
  <w:footnote w:type="continuationSeparator" w:id="0">
    <w:p w14:paraId="3FEFEFEE" w14:textId="77777777" w:rsidR="009750F2" w:rsidRDefault="009750F2" w:rsidP="00C721AC">
      <w:pPr>
        <w:spacing w:before="120"/>
        <w:rPr>
          <w:sz w:val="20"/>
        </w:rPr>
      </w:pPr>
      <w:r>
        <w:rPr>
          <w:sz w:val="20"/>
        </w:rPr>
        <w:t xml:space="preserve">(Continued from previous page)  </w:t>
      </w:r>
      <w:r>
        <w:rPr>
          <w:sz w:val="20"/>
        </w:rPr>
        <w:separator/>
      </w:r>
    </w:p>
  </w:footnote>
  <w:footnote w:type="continuationNotice" w:id="1">
    <w:p w14:paraId="545FF696" w14:textId="77777777" w:rsidR="009750F2" w:rsidRDefault="009750F2" w:rsidP="00C721AC">
      <w:pPr>
        <w:jc w:val="right"/>
        <w:rPr>
          <w:sz w:val="20"/>
        </w:rPr>
      </w:pPr>
      <w:r>
        <w:rPr>
          <w:sz w:val="20"/>
        </w:rPr>
        <w:t>(continued….)</w:t>
      </w:r>
    </w:p>
  </w:footnote>
  <w:footnote w:id="2">
    <w:p w14:paraId="0A4F4B5D" w14:textId="77777777" w:rsidR="009750F2" w:rsidRDefault="009750F2" w:rsidP="008E661E">
      <w:pPr>
        <w:pStyle w:val="FootnoteText"/>
      </w:pPr>
      <w:r>
        <w:rPr>
          <w:rStyle w:val="FootnoteReference"/>
        </w:rPr>
        <w:footnoteRef/>
      </w:r>
      <w:r>
        <w:t xml:space="preserve"> </w:t>
      </w:r>
      <w:r>
        <w:rPr>
          <w:i/>
        </w:rPr>
        <w:t>Modernizing the E-rate Program for Schools and Libraries</w:t>
      </w:r>
      <w:r>
        <w:t xml:space="preserve">, WC Docket No. 13-184, Report and Order and Further Notice of Proposed Rulemaking, 29 FCC Rcd 8870, 8928, para. 143 (2014) </w:t>
      </w:r>
      <w:r>
        <w:rPr>
          <w:szCs w:val="22"/>
        </w:rPr>
        <w:t>(</w:t>
      </w:r>
      <w:r>
        <w:rPr>
          <w:i/>
          <w:szCs w:val="22"/>
        </w:rPr>
        <w:t>2014 E-rate Order</w:t>
      </w:r>
      <w:r>
        <w:rPr>
          <w:szCs w:val="22"/>
        </w:rPr>
        <w:t>)</w:t>
      </w:r>
      <w:r>
        <w:t>.</w:t>
      </w:r>
    </w:p>
  </w:footnote>
  <w:footnote w:id="3">
    <w:p w14:paraId="1F0AD30E" w14:textId="77777777" w:rsidR="009750F2" w:rsidRDefault="009750F2" w:rsidP="008E661E">
      <w:pPr>
        <w:pStyle w:val="FootnoteText"/>
      </w:pPr>
      <w:r>
        <w:rPr>
          <w:rStyle w:val="FootnoteReference"/>
        </w:rPr>
        <w:footnoteRef/>
      </w:r>
      <w:r>
        <w:rPr>
          <w:rStyle w:val="documentbody1"/>
        </w:rPr>
        <w:t xml:space="preserve"> </w:t>
      </w:r>
      <w:r w:rsidRPr="00C63F56">
        <w:rPr>
          <w:i/>
        </w:rPr>
        <w:t>See generally</w:t>
      </w:r>
      <w:r>
        <w:rPr>
          <w:rStyle w:val="documentbody1"/>
        </w:rPr>
        <w:t xml:space="preserve"> </w:t>
      </w:r>
      <w:r w:rsidRPr="00C63F56">
        <w:t>47 CFR §§ 54.501-54.503.</w:t>
      </w:r>
      <w:r>
        <w:t xml:space="preserve">  Telecommunications services, telecommunications, and Internet access provide connectivity to a premises and are described as category one services.  47 C.F.R. 54.502(a)(1).  Internal connections, basic maintenance of internal connections, and managed internal broadband services provide connectivity within a premises and are described as category two services.  </w:t>
      </w:r>
      <w:r w:rsidRPr="00494065">
        <w:t>47 C.F.R. 54.502(a)(</w:t>
      </w:r>
      <w:r>
        <w:t>2</w:t>
      </w:r>
      <w:r w:rsidRPr="00494065">
        <w:t xml:space="preserve">).  </w:t>
      </w:r>
    </w:p>
  </w:footnote>
  <w:footnote w:id="4">
    <w:p w14:paraId="7D4F7043" w14:textId="77777777" w:rsidR="009750F2" w:rsidRDefault="009750F2" w:rsidP="008E661E">
      <w:pPr>
        <w:pStyle w:val="FootnoteText"/>
      </w:pPr>
      <w:r>
        <w:rPr>
          <w:rStyle w:val="FootnoteReference"/>
        </w:rPr>
        <w:footnoteRef/>
      </w:r>
      <w:r>
        <w:t xml:space="preserve"> </w:t>
      </w:r>
      <w:r>
        <w:rPr>
          <w:i/>
        </w:rPr>
        <w:t xml:space="preserve">See 2014 </w:t>
      </w:r>
      <w:r>
        <w:rPr>
          <w:i/>
          <w:szCs w:val="22"/>
        </w:rPr>
        <w:t>E-rate Order</w:t>
      </w:r>
      <w:r>
        <w:rPr>
          <w:szCs w:val="22"/>
        </w:rPr>
        <w:t xml:space="preserve">, </w:t>
      </w:r>
      <w:r>
        <w:t>29 FCC Rcd at 8894-8934, paras. 63-154.</w:t>
      </w:r>
    </w:p>
  </w:footnote>
  <w:footnote w:id="5">
    <w:p w14:paraId="6B92B2AC" w14:textId="77777777" w:rsidR="009750F2" w:rsidRPr="005E7B18" w:rsidRDefault="009750F2" w:rsidP="008E661E">
      <w:pPr>
        <w:pStyle w:val="FootnoteText"/>
      </w:pPr>
      <w:r>
        <w:rPr>
          <w:rStyle w:val="FootnoteReference"/>
        </w:rPr>
        <w:footnoteRef/>
      </w:r>
      <w:r>
        <w:t xml:space="preserve"> </w:t>
      </w:r>
      <w:r>
        <w:rPr>
          <w:i/>
        </w:rPr>
        <w:t xml:space="preserve">See id. </w:t>
      </w:r>
      <w:r>
        <w:t xml:space="preserve">at 8922, para. 134.  </w:t>
      </w:r>
    </w:p>
  </w:footnote>
  <w:footnote w:id="6">
    <w:p w14:paraId="75DD65E5" w14:textId="77777777" w:rsidR="009750F2" w:rsidRDefault="009750F2" w:rsidP="008E661E">
      <w:pPr>
        <w:pStyle w:val="FootnoteText"/>
      </w:pPr>
      <w:r>
        <w:rPr>
          <w:rStyle w:val="FootnoteReference"/>
        </w:rPr>
        <w:footnoteRef/>
      </w:r>
      <w:r>
        <w:t xml:space="preserve"> </w:t>
      </w:r>
      <w:r>
        <w:rPr>
          <w:i/>
        </w:rPr>
        <w:t xml:space="preserve">Id. </w:t>
      </w:r>
      <w:r>
        <w:t>at 8922-23, para. 135.</w:t>
      </w:r>
    </w:p>
  </w:footnote>
  <w:footnote w:id="7">
    <w:p w14:paraId="499AF44F" w14:textId="77777777" w:rsidR="009750F2" w:rsidRDefault="009750F2" w:rsidP="008E661E">
      <w:pPr>
        <w:pStyle w:val="FootnoteText"/>
      </w:pPr>
      <w:r>
        <w:rPr>
          <w:rStyle w:val="FootnoteReference"/>
        </w:rPr>
        <w:footnoteRef/>
      </w:r>
      <w:r>
        <w:t xml:space="preserve"> </w:t>
      </w:r>
      <w:r>
        <w:rPr>
          <w:i/>
        </w:rPr>
        <w:t>Id.</w:t>
      </w:r>
    </w:p>
  </w:footnote>
  <w:footnote w:id="8">
    <w:p w14:paraId="589B46C0" w14:textId="77777777" w:rsidR="009750F2" w:rsidRDefault="009750F2" w:rsidP="008E661E">
      <w:pPr>
        <w:pStyle w:val="FootnoteText"/>
      </w:pPr>
      <w:r>
        <w:rPr>
          <w:rStyle w:val="FootnoteReference"/>
        </w:rPr>
        <w:footnoteRef/>
      </w:r>
      <w:r>
        <w:t xml:space="preserve"> </w:t>
      </w:r>
      <w:r>
        <w:rPr>
          <w:i/>
        </w:rPr>
        <w:t xml:space="preserve">Id. </w:t>
      </w:r>
      <w:r>
        <w:t>at 8922-28, paras. 135-43.</w:t>
      </w:r>
      <w:r w:rsidRPr="00F84E2A">
        <w:rPr>
          <w:szCs w:val="22"/>
        </w:rPr>
        <w:t xml:space="preserve"> </w:t>
      </w:r>
      <w:r>
        <w:rPr>
          <w:szCs w:val="22"/>
        </w:rPr>
        <w:t xml:space="preserve">The </w:t>
      </w:r>
      <w:r>
        <w:rPr>
          <w:i/>
          <w:szCs w:val="22"/>
        </w:rPr>
        <w:t>2014 E-rate Order</w:t>
      </w:r>
      <w:r>
        <w:rPr>
          <w:szCs w:val="22"/>
        </w:rPr>
        <w:t xml:space="preserve"> also eliminated support for telephone features, outdated services, and non-broadband services.  </w:t>
      </w:r>
      <w:r>
        <w:rPr>
          <w:i/>
          <w:szCs w:val="22"/>
        </w:rPr>
        <w:t xml:space="preserve">Id. </w:t>
      </w:r>
      <w:r>
        <w:rPr>
          <w:szCs w:val="22"/>
        </w:rPr>
        <w:t>at 8928-33, p</w:t>
      </w:r>
      <w:r>
        <w:t>aras. 144-53.</w:t>
      </w:r>
    </w:p>
  </w:footnote>
  <w:footnote w:id="9">
    <w:p w14:paraId="57F61B99" w14:textId="77777777" w:rsidR="009750F2" w:rsidRDefault="009750F2" w:rsidP="008E661E">
      <w:pPr>
        <w:pStyle w:val="FootnoteText"/>
      </w:pPr>
      <w:r>
        <w:rPr>
          <w:rStyle w:val="FootnoteReference"/>
        </w:rPr>
        <w:footnoteRef/>
      </w:r>
      <w:r>
        <w:t xml:space="preserve"> </w:t>
      </w:r>
      <w:r>
        <w:rPr>
          <w:i/>
        </w:rPr>
        <w:t xml:space="preserve">Id. </w:t>
      </w:r>
      <w:r>
        <w:t>at 8922-23, 8928, paras. 135, 143.</w:t>
      </w:r>
    </w:p>
  </w:footnote>
  <w:footnote w:id="10">
    <w:p w14:paraId="178DB359" w14:textId="77777777" w:rsidR="009750F2" w:rsidRPr="003329EA" w:rsidRDefault="009750F2" w:rsidP="008E661E">
      <w:pPr>
        <w:pStyle w:val="FootnoteText"/>
      </w:pPr>
      <w:r>
        <w:rPr>
          <w:rStyle w:val="FootnoteReference"/>
        </w:rPr>
        <w:footnoteRef/>
      </w:r>
      <w:r>
        <w:t xml:space="preserve"> </w:t>
      </w:r>
      <w:r>
        <w:rPr>
          <w:i/>
        </w:rPr>
        <w:t xml:space="preserve">Id. </w:t>
      </w:r>
      <w:r>
        <w:t xml:space="preserve">at 8922, para. 134.  </w:t>
      </w:r>
    </w:p>
  </w:footnote>
  <w:footnote w:id="11">
    <w:p w14:paraId="32260CFD" w14:textId="77777777" w:rsidR="009750F2" w:rsidRDefault="009750F2" w:rsidP="008E661E">
      <w:pPr>
        <w:pStyle w:val="FootnoteText"/>
      </w:pPr>
      <w:r>
        <w:rPr>
          <w:rStyle w:val="FootnoteReference"/>
        </w:rPr>
        <w:footnoteRef/>
      </w:r>
      <w:r>
        <w:t xml:space="preserve"> </w:t>
      </w:r>
      <w:r w:rsidRPr="00F20F43">
        <w:t>Consistent with the methodology detailed in the Wireline Competition Bureau &amp; Office of Strategic Planning Policy Staff Report, our analysis includes the following product types identified as Fixed Voice services or Mobile Voice Services in the staff report: “800 Service”, “Centrex”, “ISDN-BRI”, “ISDN-PRI”, “Local Phone Service Only”, “Local/Long Distance Phone Service”, “Other Telephone Services”, “POTS”, “Voice Mail”, “Voicemai</w:t>
      </w:r>
      <w:r>
        <w:t>l</w:t>
      </w:r>
      <w:r w:rsidRPr="00F20F43">
        <w:t>”, “VoIP”, and “Cellular (including PCS).</w:t>
      </w:r>
      <w:r>
        <w:t xml:space="preserve">  See </w:t>
      </w:r>
      <w:r w:rsidRPr="00F20F43">
        <w:t>Wireline Competition Bureau &amp; Office of Strategic Planning Policy Staff Report</w:t>
      </w:r>
      <w:r>
        <w:t>, WC Docket No. 13-184, Public Notice, 29, FCC Rcd 9644, 9662, n.55 (WCB 2014).</w:t>
      </w:r>
    </w:p>
  </w:footnote>
  <w:footnote w:id="12">
    <w:p w14:paraId="78CD0D77" w14:textId="74DBE1DE" w:rsidR="009750F2" w:rsidRPr="00330CDA" w:rsidRDefault="009750F2" w:rsidP="008E661E">
      <w:pPr>
        <w:pStyle w:val="FootnoteText"/>
      </w:pPr>
      <w:r>
        <w:rPr>
          <w:rStyle w:val="FootnoteReference"/>
        </w:rPr>
        <w:footnoteRef/>
      </w:r>
      <w:r>
        <w:t xml:space="preserve"> For our analysis for funding year 2014, we relied on USAC’s analysis of Item 21 Attachments to determine which funding requests were for voice services.  </w:t>
      </w:r>
      <w:r>
        <w:rPr>
          <w:i/>
        </w:rPr>
        <w:t xml:space="preserve">See </w:t>
      </w:r>
      <w:r>
        <w:t xml:space="preserve">Bryan P. Boyle, Attorney-Advisor, Telecommunications Access Policy Division, Wireline Competition Bureau, FCC, to Marlene H. Dortch, Secretary, FCC, CC Docket No. 02-6 and WC Docket No. 13-184 (dated Sept. 28, 2017).  For our analysis of funding years 2015-16, we relied solely on FCC Form 471 data available to the public on USAC’s website, which indicates the service type for each funding request.  </w:t>
      </w:r>
      <w:r>
        <w:rPr>
          <w:i/>
        </w:rPr>
        <w:t>See</w:t>
      </w:r>
      <w:r>
        <w:t xml:space="preserve"> USAC website, Tools, available at </w:t>
      </w:r>
      <w:hyperlink r:id="rId1" w:history="1">
        <w:r w:rsidRPr="005B1352">
          <w:rPr>
            <w:rStyle w:val="Hyperlink"/>
          </w:rPr>
          <w:t>http://www.usac.org/sl/tools/default.aspx</w:t>
        </w:r>
      </w:hyperlink>
      <w:r>
        <w:t xml:space="preserve"> (last visited Sept. 28, 2017).</w:t>
      </w:r>
    </w:p>
  </w:footnote>
  <w:footnote w:id="13">
    <w:p w14:paraId="6D8A79FA" w14:textId="77777777" w:rsidR="009750F2" w:rsidRPr="00833C35" w:rsidRDefault="009750F2" w:rsidP="008E661E">
      <w:pPr>
        <w:pStyle w:val="FootnoteText"/>
      </w:pPr>
      <w:r>
        <w:rPr>
          <w:rStyle w:val="FootnoteReference"/>
        </w:rPr>
        <w:footnoteRef/>
      </w:r>
      <w:r>
        <w:t xml:space="preserve"> </w:t>
      </w:r>
      <w:r>
        <w:rPr>
          <w:i/>
        </w:rPr>
        <w:t>See 2014 E-rate Order</w:t>
      </w:r>
      <w:r>
        <w:t xml:space="preserve">, </w:t>
      </w:r>
      <w:r w:rsidRPr="00833C35">
        <w:t>29 FCC Rcd</w:t>
      </w:r>
      <w:r>
        <w:t xml:space="preserve"> at 8922, para. 134.</w:t>
      </w:r>
    </w:p>
  </w:footnote>
  <w:footnote w:id="14">
    <w:p w14:paraId="74764D73" w14:textId="77777777" w:rsidR="009750F2" w:rsidRDefault="009750F2" w:rsidP="008E661E">
      <w:pPr>
        <w:pStyle w:val="FootnoteText"/>
      </w:pPr>
      <w:r>
        <w:rPr>
          <w:rStyle w:val="FootnoteReference"/>
        </w:rPr>
        <w:footnoteRef/>
      </w:r>
      <w:r>
        <w:t xml:space="preserve"> </w:t>
      </w:r>
      <w:r w:rsidRPr="00B62AF1">
        <w:rPr>
          <w:i/>
        </w:rPr>
        <w:t>See</w:t>
      </w:r>
      <w:r>
        <w:t xml:space="preserve"> Appendix A.  </w:t>
      </w:r>
    </w:p>
  </w:footnote>
  <w:footnote w:id="15">
    <w:p w14:paraId="798628B0" w14:textId="77777777" w:rsidR="009750F2" w:rsidRDefault="009750F2" w:rsidP="008E661E">
      <w:pPr>
        <w:pStyle w:val="FootnoteText"/>
      </w:pPr>
      <w:r>
        <w:rPr>
          <w:rStyle w:val="FootnoteReference"/>
        </w:rPr>
        <w:footnoteRef/>
      </w:r>
      <w:r>
        <w:t xml:space="preserve"> We did not include territories in this analysis.  </w:t>
      </w:r>
      <w:r w:rsidRPr="004A1A72">
        <w:t xml:space="preserve">Details of funding reductions for voice services for </w:t>
      </w:r>
      <w:r>
        <w:t>territories are shown in Appendix B</w:t>
      </w:r>
      <w:r w:rsidRPr="004A1A72">
        <w:t xml:space="preserve">.  </w:t>
      </w:r>
    </w:p>
  </w:footnote>
  <w:footnote w:id="16">
    <w:p w14:paraId="2AD3E824" w14:textId="77777777" w:rsidR="009750F2" w:rsidRPr="000872D0" w:rsidRDefault="009750F2" w:rsidP="008E661E">
      <w:pPr>
        <w:pStyle w:val="FootnoteText"/>
      </w:pPr>
      <w:r>
        <w:rPr>
          <w:rStyle w:val="FootnoteReference"/>
        </w:rPr>
        <w:footnoteRef/>
      </w:r>
      <w:r>
        <w:t xml:space="preserve"> </w:t>
      </w:r>
      <w:r>
        <w:rPr>
          <w:i/>
        </w:rPr>
        <w:t>See</w:t>
      </w:r>
      <w:r>
        <w:t xml:space="preserve"> Appendix B.</w:t>
      </w:r>
    </w:p>
  </w:footnote>
  <w:footnote w:id="17">
    <w:p w14:paraId="1E7D7ED4" w14:textId="77777777" w:rsidR="009750F2" w:rsidRDefault="009750F2" w:rsidP="008E661E">
      <w:pPr>
        <w:pStyle w:val="FootnoteText"/>
      </w:pPr>
      <w:r>
        <w:rPr>
          <w:rStyle w:val="FootnoteReference"/>
        </w:rPr>
        <w:footnoteRef/>
      </w:r>
      <w:r>
        <w:t xml:space="preserve"> Our analysis compares the effect of the voice phasedown on applicants from funding year 2015 to funding year 2016 only.  The FCC Form 471 for</w:t>
      </w:r>
      <w:r w:rsidRPr="00E414E5">
        <w:t xml:space="preserve"> funding year 2014 did not capture the urban/rural status of each site listed on an E-rate application</w:t>
      </w:r>
      <w:r>
        <w:t xml:space="preserve">, so it is not possible to determine which sites listed on an application were urban and rural in funding year 2014.   </w:t>
      </w:r>
    </w:p>
  </w:footnote>
  <w:footnote w:id="18">
    <w:p w14:paraId="4F774502" w14:textId="77777777" w:rsidR="009750F2" w:rsidRDefault="009750F2" w:rsidP="008E661E">
      <w:pPr>
        <w:pStyle w:val="FootnoteText"/>
      </w:pPr>
      <w:r>
        <w:rPr>
          <w:rStyle w:val="FootnoteReference"/>
        </w:rPr>
        <w:footnoteRef/>
      </w:r>
      <w:r>
        <w:t xml:space="preserve"> </w:t>
      </w:r>
      <w:r w:rsidR="009778B1" w:rsidRPr="009778B1">
        <w:t xml:space="preserve">This analysis does not include a small number of </w:t>
      </w:r>
      <w:r w:rsidR="009778B1">
        <w:t xml:space="preserve">funding year </w:t>
      </w:r>
      <w:r w:rsidR="009778B1" w:rsidRPr="009778B1">
        <w:t>2015 applications for which the urban/rural status was not verified, but for which urban/rural status had no impact.</w:t>
      </w:r>
      <w:r w:rsidR="000A4E78">
        <w:t xml:space="preserve">  </w:t>
      </w:r>
    </w:p>
  </w:footnote>
  <w:footnote w:id="19">
    <w:p w14:paraId="2D9F4E32" w14:textId="77777777" w:rsidR="009750F2" w:rsidRDefault="009750F2" w:rsidP="008E661E">
      <w:pPr>
        <w:pStyle w:val="FootnoteText"/>
      </w:pPr>
      <w:r>
        <w:rPr>
          <w:rStyle w:val="FootnoteReference"/>
        </w:rPr>
        <w:footnoteRef/>
      </w:r>
      <w:r>
        <w:t xml:space="preserve"> Seventy-five percent of all applicants that received voice service in 2014 passed this 25 percent threshold, and applicants that passed this threshold received 84 percent of all voice funding in 2014.</w:t>
      </w:r>
    </w:p>
  </w:footnote>
  <w:footnote w:id="20">
    <w:p w14:paraId="5387A04A" w14:textId="77777777" w:rsidR="009750F2" w:rsidRDefault="009750F2" w:rsidP="008E661E">
      <w:pPr>
        <w:pStyle w:val="FootnoteText"/>
      </w:pPr>
      <w:r>
        <w:rPr>
          <w:rStyle w:val="FootnoteReference"/>
        </w:rPr>
        <w:footnoteRef/>
      </w:r>
      <w:r>
        <w:t xml:space="preserve"> </w:t>
      </w:r>
      <w:r w:rsidRPr="00171BCF">
        <w:rPr>
          <w:i/>
        </w:rPr>
        <w:t>See</w:t>
      </w:r>
      <w:r>
        <w:t xml:space="preserve"> Appendix C.  </w:t>
      </w:r>
      <w:r w:rsidR="001E0184" w:rsidRPr="001E0184">
        <w:t xml:space="preserve">The impact of the voice phasedown on applicants that received substantial support for voice is consistent with the impact on applicants as whole.  Expanding the scope to all E-rate applicants, urban applicants experienced a 40 percent reduction and rural applicants experienced a 41 percent reduction in support for voice services from funding year 2015 to funding year 2016.  </w:t>
      </w:r>
      <w:r>
        <w:t xml:space="preserve">  </w:t>
      </w:r>
    </w:p>
  </w:footnote>
  <w:footnote w:id="21">
    <w:p w14:paraId="151D25B4" w14:textId="77777777" w:rsidR="009750F2" w:rsidRDefault="009750F2" w:rsidP="008E661E">
      <w:pPr>
        <w:pStyle w:val="FootnoteText"/>
      </w:pPr>
      <w:r>
        <w:rPr>
          <w:rStyle w:val="FootnoteReference"/>
        </w:rPr>
        <w:footnoteRef/>
      </w:r>
      <w:r>
        <w:t xml:space="preserve"> </w:t>
      </w:r>
      <w:r w:rsidRPr="00E13386">
        <w:t>Under the Commission's rules, eligible schools and libraries may receive discounts ranging from 20 percent to 90 percent of the pre-discount price of eligible services, based on indicators of need.</w:t>
      </w:r>
      <w:r>
        <w:t xml:space="preserve">  </w:t>
      </w:r>
      <w:r w:rsidRPr="00E13386">
        <w:t>Schools and libraries in areas with higher percentages of students eligible for free or reduced price lunch through the National School Lunch Program qualify for higher discounts for eligible services than applicants with low levels of eligibility for such programs</w:t>
      </w:r>
      <w:r>
        <w:t xml:space="preserve">.  47 C.F.R. § 54.505.  </w:t>
      </w:r>
      <w:r w:rsidRPr="00D00A8D">
        <w:t xml:space="preserve">We define “high discount rates” as discount rates of 86 percent and higher, “moderate discount rates” as discount rates of 61 percent to 85 percent, and “low discount rates” as discount rates of 60 percent or less.  </w:t>
      </w:r>
      <w:r w:rsidRPr="000A583E">
        <w:rPr>
          <w:i/>
        </w:rPr>
        <w:t>See</w:t>
      </w:r>
      <w:r w:rsidRPr="00D00A8D">
        <w:t xml:space="preserve"> Appendix D.</w:t>
      </w:r>
    </w:p>
  </w:footnote>
  <w:footnote w:id="22">
    <w:p w14:paraId="1A3C36AC" w14:textId="77777777" w:rsidR="009750F2" w:rsidRDefault="009750F2" w:rsidP="008E661E">
      <w:pPr>
        <w:pStyle w:val="FootnoteText"/>
      </w:pPr>
      <w:r>
        <w:rPr>
          <w:rStyle w:val="FootnoteReference"/>
        </w:rPr>
        <w:footnoteRef/>
      </w:r>
      <w:r>
        <w:t xml:space="preserve"> Data on the number of applicants receiving support for VoIP and POTS was unavailable for funding year 2015.  </w:t>
      </w:r>
      <w:r w:rsidRPr="00B96BF6">
        <w:t>Data on the number of applicants receiving support for VoIP and POTS was unavailable in funding year 2015 because the funding year 2015 FCC Form 471 did not captu</w:t>
      </w:r>
      <w:r>
        <w:t>re POTS as a product type</w:t>
      </w:r>
      <w:r w:rsidRPr="00AB4021">
        <w:t>.  Although the funding year 2014 FCC Form 471 did not capture POTS or VoIP as product types, we identified these product types through data analysis.  POTS is a separate product type from Centrex, ISDN/PRI, and local and long distance service.</w:t>
      </w:r>
    </w:p>
  </w:footnote>
  <w:footnote w:id="23">
    <w:p w14:paraId="130A1484" w14:textId="77777777" w:rsidR="009750F2" w:rsidRDefault="009750F2" w:rsidP="008E661E">
      <w:pPr>
        <w:pStyle w:val="FootnoteText"/>
      </w:pPr>
      <w:r>
        <w:rPr>
          <w:rStyle w:val="FootnoteReference"/>
        </w:rPr>
        <w:footnoteRef/>
      </w:r>
      <w:r>
        <w:t xml:space="preserve"> </w:t>
      </w:r>
      <w:r w:rsidRPr="000C4EC4">
        <w:rPr>
          <w:i/>
        </w:rPr>
        <w:t>See</w:t>
      </w:r>
      <w:r>
        <w:t xml:space="preserve"> Appendix E.</w:t>
      </w:r>
    </w:p>
  </w:footnote>
  <w:footnote w:id="24">
    <w:p w14:paraId="04C1CFFE" w14:textId="77777777" w:rsidR="009750F2" w:rsidRDefault="009750F2" w:rsidP="008E661E">
      <w:pPr>
        <w:pStyle w:val="FootnoteText"/>
      </w:pPr>
      <w:r>
        <w:rPr>
          <w:rStyle w:val="FootnoteReference"/>
        </w:rPr>
        <w:footnoteRef/>
      </w:r>
      <w:r>
        <w:t xml:space="preserve"> Some of the entities that continue to participate in the E-rate program no longer file individual applications but instead receive E-rate support as part of a consortium.  Of the 2,900 </w:t>
      </w:r>
      <w:r w:rsidRPr="007555D9">
        <w:t xml:space="preserve">voice-only applicants from funding year 2014 that continue to receive E-rate support, 1,584 still file their own applications and the remaining 1,316 only receive support as part of school district, library system, or consortia applications. </w:t>
      </w:r>
    </w:p>
  </w:footnote>
  <w:footnote w:id="25">
    <w:p w14:paraId="1A54F40E" w14:textId="77777777" w:rsidR="009750F2" w:rsidRPr="007820B9" w:rsidRDefault="009750F2" w:rsidP="008E661E">
      <w:pPr>
        <w:pStyle w:val="FootnoteText"/>
      </w:pPr>
      <w:r>
        <w:rPr>
          <w:rStyle w:val="FootnoteReference"/>
        </w:rPr>
        <w:footnoteRef/>
      </w:r>
      <w:r>
        <w:t xml:space="preserve"> Commitments for funding year 2014 are not included in this analysis because the funding year 2014 E-rate application did not capture the urban/rural status of each site listed on the application.  </w:t>
      </w:r>
      <w:r>
        <w:rPr>
          <w:i/>
        </w:rPr>
        <w:t xml:space="preserve">See supra </w:t>
      </w:r>
      <w:r>
        <w:t xml:space="preserve">para. 10.  </w:t>
      </w:r>
      <w:r w:rsidR="009778B1" w:rsidRPr="009778B1">
        <w:t xml:space="preserve">This analysis does not include a small number of </w:t>
      </w:r>
      <w:r w:rsidR="009778B1">
        <w:t xml:space="preserve">funding year </w:t>
      </w:r>
      <w:r w:rsidR="009778B1" w:rsidRPr="009778B1">
        <w:t>2015 applications for which the urban/rural status was not verified, but for which urban/rural status had no impact</w:t>
      </w:r>
      <w:r w:rsidR="009778B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5342E" w14:textId="77777777" w:rsidR="00F11A74" w:rsidRDefault="00F11A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FC83A" w14:textId="77777777" w:rsidR="009750F2" w:rsidRDefault="009750F2" w:rsidP="00810B6F">
    <w:pPr>
      <w:pStyle w:val="Header"/>
      <w:rPr>
        <w:b w:val="0"/>
      </w:rPr>
    </w:pPr>
    <w:r>
      <w:tab/>
      <w:t>Federal Communications Commission</w:t>
    </w:r>
    <w:r>
      <w:tab/>
      <w:t>DA 17-963</w:t>
    </w:r>
  </w:p>
  <w:p w14:paraId="70413275" w14:textId="77777777" w:rsidR="009750F2" w:rsidRDefault="009750F2">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32FF969C" wp14:editId="1241ABA0">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532179"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1039A718" w14:textId="77777777" w:rsidR="009750F2" w:rsidRDefault="009750F2">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BBA06" w14:textId="77777777" w:rsidR="009750F2" w:rsidRDefault="009750F2" w:rsidP="00810B6F">
    <w:pPr>
      <w:pStyle w:val="Header"/>
      <w:rPr>
        <w:b w:val="0"/>
      </w:rPr>
    </w:pPr>
    <w:r>
      <w:rPr>
        <w:noProof/>
      </w:rPr>
      <mc:AlternateContent>
        <mc:Choice Requires="wps">
          <w:drawing>
            <wp:anchor distT="0" distB="0" distL="114300" distR="114300" simplePos="0" relativeHeight="251658240" behindDoc="1" locked="0" layoutInCell="0" allowOverlap="1" wp14:anchorId="7C61E181" wp14:editId="5214FD89">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DD373D"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17-963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3B11D09"/>
    <w:multiLevelType w:val="hybridMultilevel"/>
    <w:tmpl w:val="7C24014A"/>
    <w:lvl w:ilvl="0" w:tplc="243A0D24">
      <w:start w:val="201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61E"/>
    <w:rsid w:val="00036039"/>
    <w:rsid w:val="00037F90"/>
    <w:rsid w:val="000875BF"/>
    <w:rsid w:val="00096D8C"/>
    <w:rsid w:val="000A4E78"/>
    <w:rsid w:val="000C039C"/>
    <w:rsid w:val="000C0B65"/>
    <w:rsid w:val="000E05FE"/>
    <w:rsid w:val="000E3D42"/>
    <w:rsid w:val="00122BD5"/>
    <w:rsid w:val="00133F79"/>
    <w:rsid w:val="00180614"/>
    <w:rsid w:val="00194A66"/>
    <w:rsid w:val="001D6BCF"/>
    <w:rsid w:val="001E0184"/>
    <w:rsid w:val="001E01CA"/>
    <w:rsid w:val="00236648"/>
    <w:rsid w:val="00241DB4"/>
    <w:rsid w:val="00275CF5"/>
    <w:rsid w:val="0028301F"/>
    <w:rsid w:val="00285017"/>
    <w:rsid w:val="002A2D2E"/>
    <w:rsid w:val="002C00E8"/>
    <w:rsid w:val="002C4C2C"/>
    <w:rsid w:val="00312910"/>
    <w:rsid w:val="0033512C"/>
    <w:rsid w:val="00343749"/>
    <w:rsid w:val="003660ED"/>
    <w:rsid w:val="003B0550"/>
    <w:rsid w:val="003B694F"/>
    <w:rsid w:val="003C7DD3"/>
    <w:rsid w:val="003F171C"/>
    <w:rsid w:val="003F2624"/>
    <w:rsid w:val="00402232"/>
    <w:rsid w:val="00411AE2"/>
    <w:rsid w:val="00412FC5"/>
    <w:rsid w:val="00422276"/>
    <w:rsid w:val="004242F1"/>
    <w:rsid w:val="00445A00"/>
    <w:rsid w:val="00451B0F"/>
    <w:rsid w:val="004C2EE3"/>
    <w:rsid w:val="004E4A22"/>
    <w:rsid w:val="00511968"/>
    <w:rsid w:val="00535B0E"/>
    <w:rsid w:val="0055614C"/>
    <w:rsid w:val="005E14C2"/>
    <w:rsid w:val="00607BA5"/>
    <w:rsid w:val="0061180A"/>
    <w:rsid w:val="00626EB6"/>
    <w:rsid w:val="00655D03"/>
    <w:rsid w:val="00683388"/>
    <w:rsid w:val="00683F84"/>
    <w:rsid w:val="006A6A81"/>
    <w:rsid w:val="006F7393"/>
    <w:rsid w:val="0070224F"/>
    <w:rsid w:val="007115F7"/>
    <w:rsid w:val="00717533"/>
    <w:rsid w:val="00765031"/>
    <w:rsid w:val="007820B9"/>
    <w:rsid w:val="00785689"/>
    <w:rsid w:val="0079754B"/>
    <w:rsid w:val="007A1E6D"/>
    <w:rsid w:val="007B0EB2"/>
    <w:rsid w:val="00810B6F"/>
    <w:rsid w:val="00822CE0"/>
    <w:rsid w:val="00841AB1"/>
    <w:rsid w:val="008C68F1"/>
    <w:rsid w:val="008E661E"/>
    <w:rsid w:val="00921803"/>
    <w:rsid w:val="00926503"/>
    <w:rsid w:val="009726D8"/>
    <w:rsid w:val="009750F2"/>
    <w:rsid w:val="009778B1"/>
    <w:rsid w:val="00980EFE"/>
    <w:rsid w:val="009F76DB"/>
    <w:rsid w:val="00A32C3B"/>
    <w:rsid w:val="00A45F4F"/>
    <w:rsid w:val="00A600A9"/>
    <w:rsid w:val="00A872D6"/>
    <w:rsid w:val="00A8759A"/>
    <w:rsid w:val="00AA55B7"/>
    <w:rsid w:val="00AA5B9E"/>
    <w:rsid w:val="00AB2407"/>
    <w:rsid w:val="00AB53DF"/>
    <w:rsid w:val="00B07E5C"/>
    <w:rsid w:val="00B811F7"/>
    <w:rsid w:val="00BA5DC6"/>
    <w:rsid w:val="00BA6196"/>
    <w:rsid w:val="00BB122E"/>
    <w:rsid w:val="00BC6D8C"/>
    <w:rsid w:val="00BF0988"/>
    <w:rsid w:val="00C34006"/>
    <w:rsid w:val="00C426B1"/>
    <w:rsid w:val="00C60A14"/>
    <w:rsid w:val="00C66160"/>
    <w:rsid w:val="00C721AC"/>
    <w:rsid w:val="00C90D6A"/>
    <w:rsid w:val="00CA247E"/>
    <w:rsid w:val="00CC72B6"/>
    <w:rsid w:val="00CD3953"/>
    <w:rsid w:val="00D0218D"/>
    <w:rsid w:val="00D25FB5"/>
    <w:rsid w:val="00D32377"/>
    <w:rsid w:val="00D44223"/>
    <w:rsid w:val="00DA2529"/>
    <w:rsid w:val="00DB130A"/>
    <w:rsid w:val="00DB2EBB"/>
    <w:rsid w:val="00DC10A1"/>
    <w:rsid w:val="00DC655F"/>
    <w:rsid w:val="00DD0B59"/>
    <w:rsid w:val="00DD7EBD"/>
    <w:rsid w:val="00DF62B6"/>
    <w:rsid w:val="00E07225"/>
    <w:rsid w:val="00E33E02"/>
    <w:rsid w:val="00E5409F"/>
    <w:rsid w:val="00EE6488"/>
    <w:rsid w:val="00EF4971"/>
    <w:rsid w:val="00F021FA"/>
    <w:rsid w:val="00F11A74"/>
    <w:rsid w:val="00F5394C"/>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59F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1E"/>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Footnote Text Char Char1,Footnote Text Char3 Char Char,Footnote Text Char Char1 Char Char,Footnote Text Char2 Char Char1 Char Char,Footnote Text Char1 Char Char Char1 Char Cha"/>
    <w:link w:val="FootnoteTextChar"/>
    <w:rsid w:val="000E3D42"/>
    <w:pPr>
      <w:spacing w:after="120"/>
    </w:pPr>
  </w:style>
  <w:style w:type="character" w:styleId="FootnoteReference">
    <w:name w:val="footnote reference"/>
    <w:aliases w:val="Appel note de bas de p,Style 12,(NECG) Footnote Reference,Style 124,o,fr,Style 3,Style 13,FR,Style 17,Style 6,Footnote Reference/,Style 7,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 Char Char,Footnote Text Char2 Char,Footnote Text Char Char1 Char,Footnote Text Char3 Char Char Char,Footnote Text Char Char1 Char Char Char,Footnote Text Char2 Char Char1 Char Char Char"/>
    <w:link w:val="FootnoteText"/>
    <w:rsid w:val="008E661E"/>
  </w:style>
  <w:style w:type="character" w:customStyle="1" w:styleId="documentbody1">
    <w:name w:val="documentbody1"/>
    <w:rsid w:val="008E661E"/>
    <w:rPr>
      <w:rFonts w:ascii="Verdana" w:hAnsi="Verdana" w:hint="default"/>
      <w:sz w:val="19"/>
      <w:szCs w:val="19"/>
    </w:rPr>
  </w:style>
  <w:style w:type="character" w:styleId="CommentReference">
    <w:name w:val="annotation reference"/>
    <w:rsid w:val="008E661E"/>
    <w:rPr>
      <w:sz w:val="16"/>
      <w:szCs w:val="16"/>
    </w:rPr>
  </w:style>
  <w:style w:type="paragraph" w:styleId="NoSpacing">
    <w:name w:val="No Spacing"/>
    <w:uiPriority w:val="1"/>
    <w:qFormat/>
    <w:rsid w:val="008E661E"/>
    <w:pPr>
      <w:widowControl w:val="0"/>
    </w:pPr>
    <w:rPr>
      <w:snapToGrid w:val="0"/>
      <w:kern w:val="28"/>
      <w:sz w:val="22"/>
    </w:rPr>
  </w:style>
  <w:style w:type="paragraph" w:styleId="BalloonText">
    <w:name w:val="Balloon Text"/>
    <w:basedOn w:val="Normal"/>
    <w:link w:val="BalloonTextChar"/>
    <w:semiHidden/>
    <w:unhideWhenUsed/>
    <w:rsid w:val="000C039C"/>
    <w:rPr>
      <w:rFonts w:ascii="Segoe UI" w:hAnsi="Segoe UI" w:cs="Segoe UI"/>
      <w:sz w:val="18"/>
      <w:szCs w:val="18"/>
    </w:rPr>
  </w:style>
  <w:style w:type="character" w:customStyle="1" w:styleId="BalloonTextChar">
    <w:name w:val="Balloon Text Char"/>
    <w:basedOn w:val="DefaultParagraphFont"/>
    <w:link w:val="BalloonText"/>
    <w:semiHidden/>
    <w:rsid w:val="000C039C"/>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1E"/>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Footnote Text Char Char1,Footnote Text Char3 Char Char,Footnote Text Char Char1 Char Char,Footnote Text Char2 Char Char1 Char Char,Footnote Text Char1 Char Char Char1 Char Cha"/>
    <w:link w:val="FootnoteTextChar"/>
    <w:rsid w:val="000E3D42"/>
    <w:pPr>
      <w:spacing w:after="120"/>
    </w:pPr>
  </w:style>
  <w:style w:type="character" w:styleId="FootnoteReference">
    <w:name w:val="footnote reference"/>
    <w:aliases w:val="Appel note de bas de p,Style 12,(NECG) Footnote Reference,Style 124,o,fr,Style 3,Style 13,FR,Style 17,Style 6,Footnote Reference/,Style 7,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 Char Char,Footnote Text Char2 Char,Footnote Text Char Char1 Char,Footnote Text Char3 Char Char Char,Footnote Text Char Char1 Char Char Char,Footnote Text Char2 Char Char1 Char Char Char"/>
    <w:link w:val="FootnoteText"/>
    <w:rsid w:val="008E661E"/>
  </w:style>
  <w:style w:type="character" w:customStyle="1" w:styleId="documentbody1">
    <w:name w:val="documentbody1"/>
    <w:rsid w:val="008E661E"/>
    <w:rPr>
      <w:rFonts w:ascii="Verdana" w:hAnsi="Verdana" w:hint="default"/>
      <w:sz w:val="19"/>
      <w:szCs w:val="19"/>
    </w:rPr>
  </w:style>
  <w:style w:type="character" w:styleId="CommentReference">
    <w:name w:val="annotation reference"/>
    <w:rsid w:val="008E661E"/>
    <w:rPr>
      <w:sz w:val="16"/>
      <w:szCs w:val="16"/>
    </w:rPr>
  </w:style>
  <w:style w:type="paragraph" w:styleId="NoSpacing">
    <w:name w:val="No Spacing"/>
    <w:uiPriority w:val="1"/>
    <w:qFormat/>
    <w:rsid w:val="008E661E"/>
    <w:pPr>
      <w:widowControl w:val="0"/>
    </w:pPr>
    <w:rPr>
      <w:snapToGrid w:val="0"/>
      <w:kern w:val="28"/>
      <w:sz w:val="22"/>
    </w:rPr>
  </w:style>
  <w:style w:type="paragraph" w:styleId="BalloonText">
    <w:name w:val="Balloon Text"/>
    <w:basedOn w:val="Normal"/>
    <w:link w:val="BalloonTextChar"/>
    <w:semiHidden/>
    <w:unhideWhenUsed/>
    <w:rsid w:val="000C039C"/>
    <w:rPr>
      <w:rFonts w:ascii="Segoe UI" w:hAnsi="Segoe UI" w:cs="Segoe UI"/>
      <w:sz w:val="18"/>
      <w:szCs w:val="18"/>
    </w:rPr>
  </w:style>
  <w:style w:type="character" w:customStyle="1" w:styleId="BalloonTextChar">
    <w:name w:val="Balloon Text Char"/>
    <w:basedOn w:val="DefaultParagraphFont"/>
    <w:link w:val="BalloonText"/>
    <w:semiHidden/>
    <w:rsid w:val="000C039C"/>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8417">
      <w:bodyDiv w:val="1"/>
      <w:marLeft w:val="0"/>
      <w:marRight w:val="0"/>
      <w:marTop w:val="0"/>
      <w:marBottom w:val="0"/>
      <w:divBdr>
        <w:top w:val="none" w:sz="0" w:space="0" w:color="auto"/>
        <w:left w:val="none" w:sz="0" w:space="0" w:color="auto"/>
        <w:bottom w:val="none" w:sz="0" w:space="0" w:color="auto"/>
        <w:right w:val="none" w:sz="0" w:space="0" w:color="auto"/>
      </w:divBdr>
    </w:div>
    <w:div w:id="490364927">
      <w:bodyDiv w:val="1"/>
      <w:marLeft w:val="0"/>
      <w:marRight w:val="0"/>
      <w:marTop w:val="0"/>
      <w:marBottom w:val="0"/>
      <w:divBdr>
        <w:top w:val="none" w:sz="0" w:space="0" w:color="auto"/>
        <w:left w:val="none" w:sz="0" w:space="0" w:color="auto"/>
        <w:bottom w:val="none" w:sz="0" w:space="0" w:color="auto"/>
        <w:right w:val="none" w:sz="0" w:space="0" w:color="auto"/>
      </w:divBdr>
    </w:div>
    <w:div w:id="757599879">
      <w:bodyDiv w:val="1"/>
      <w:marLeft w:val="0"/>
      <w:marRight w:val="0"/>
      <w:marTop w:val="0"/>
      <w:marBottom w:val="0"/>
      <w:divBdr>
        <w:top w:val="none" w:sz="0" w:space="0" w:color="auto"/>
        <w:left w:val="none" w:sz="0" w:space="0" w:color="auto"/>
        <w:bottom w:val="none" w:sz="0" w:space="0" w:color="auto"/>
        <w:right w:val="none" w:sz="0" w:space="0" w:color="auto"/>
      </w:divBdr>
    </w:div>
    <w:div w:id="922375557">
      <w:bodyDiv w:val="1"/>
      <w:marLeft w:val="0"/>
      <w:marRight w:val="0"/>
      <w:marTop w:val="0"/>
      <w:marBottom w:val="0"/>
      <w:divBdr>
        <w:top w:val="none" w:sz="0" w:space="0" w:color="auto"/>
        <w:left w:val="none" w:sz="0" w:space="0" w:color="auto"/>
        <w:bottom w:val="none" w:sz="0" w:space="0" w:color="auto"/>
        <w:right w:val="none" w:sz="0" w:space="0" w:color="auto"/>
      </w:divBdr>
    </w:div>
    <w:div w:id="923537307">
      <w:bodyDiv w:val="1"/>
      <w:marLeft w:val="0"/>
      <w:marRight w:val="0"/>
      <w:marTop w:val="0"/>
      <w:marBottom w:val="0"/>
      <w:divBdr>
        <w:top w:val="none" w:sz="0" w:space="0" w:color="auto"/>
        <w:left w:val="none" w:sz="0" w:space="0" w:color="auto"/>
        <w:bottom w:val="none" w:sz="0" w:space="0" w:color="auto"/>
        <w:right w:val="none" w:sz="0" w:space="0" w:color="auto"/>
      </w:divBdr>
    </w:div>
    <w:div w:id="1239556344">
      <w:bodyDiv w:val="1"/>
      <w:marLeft w:val="0"/>
      <w:marRight w:val="0"/>
      <w:marTop w:val="0"/>
      <w:marBottom w:val="0"/>
      <w:divBdr>
        <w:top w:val="none" w:sz="0" w:space="0" w:color="auto"/>
        <w:left w:val="none" w:sz="0" w:space="0" w:color="auto"/>
        <w:bottom w:val="none" w:sz="0" w:space="0" w:color="auto"/>
        <w:right w:val="none" w:sz="0" w:space="0" w:color="auto"/>
      </w:divBdr>
    </w:div>
    <w:div w:id="1663200666">
      <w:bodyDiv w:val="1"/>
      <w:marLeft w:val="0"/>
      <w:marRight w:val="0"/>
      <w:marTop w:val="0"/>
      <w:marBottom w:val="0"/>
      <w:divBdr>
        <w:top w:val="none" w:sz="0" w:space="0" w:color="auto"/>
        <w:left w:val="none" w:sz="0" w:space="0" w:color="auto"/>
        <w:bottom w:val="none" w:sz="0" w:space="0" w:color="auto"/>
        <w:right w:val="none" w:sz="0" w:space="0" w:color="auto"/>
      </w:divBdr>
    </w:div>
    <w:div w:id="209751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sac.org/sl/tool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'Figure 1'!$B$1</c:f>
              <c:strCache>
                <c:ptCount val="1"/>
                <c:pt idx="0">
                  <c:v>Voice Commitments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cat>
            <c:strRef>
              <c:f>'Figure 1'!$A$2:$A$4</c:f>
              <c:strCache>
                <c:ptCount val="3"/>
                <c:pt idx="0">
                  <c:v>FY2014</c:v>
                </c:pt>
                <c:pt idx="1">
                  <c:v>FY2015</c:v>
                </c:pt>
                <c:pt idx="2">
                  <c:v>FY2016</c:v>
                </c:pt>
              </c:strCache>
            </c:strRef>
          </c:cat>
          <c:val>
            <c:numRef>
              <c:f>'Figure 1'!$B$2:$B$4</c:f>
              <c:numCache>
                <c:formatCode>"$"#,##0</c:formatCode>
                <c:ptCount val="3"/>
                <c:pt idx="0">
                  <c:v>707601797.77999997</c:v>
                </c:pt>
                <c:pt idx="1">
                  <c:v>465313726.68000001</c:v>
                </c:pt>
                <c:pt idx="2">
                  <c:v>274562030.25999999</c:v>
                </c:pt>
              </c:numCache>
            </c:numRef>
          </c:val>
          <c:extLst xmlns:c16r2="http://schemas.microsoft.com/office/drawing/2015/06/chart">
            <c:ext xmlns:c16="http://schemas.microsoft.com/office/drawing/2014/chart" uri="{C3380CC4-5D6E-409C-BE32-E72D297353CC}">
              <c16:uniqueId val="{00000000-E2AF-4B41-9CBD-4D3E73265824}"/>
            </c:ext>
          </c:extLst>
        </c:ser>
        <c:ser>
          <c:idx val="1"/>
          <c:order val="1"/>
          <c:tx>
            <c:strRef>
              <c:f>'Figure 1'!$C$1</c:f>
              <c:strCache>
                <c:ptCount val="1"/>
                <c:pt idx="0">
                  <c:v>C1 Non-Voice Commitments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cat>
            <c:strRef>
              <c:f>'Figure 1'!$A$2:$A$4</c:f>
              <c:strCache>
                <c:ptCount val="3"/>
                <c:pt idx="0">
                  <c:v>FY2014</c:v>
                </c:pt>
                <c:pt idx="1">
                  <c:v>FY2015</c:v>
                </c:pt>
                <c:pt idx="2">
                  <c:v>FY2016</c:v>
                </c:pt>
              </c:strCache>
            </c:strRef>
          </c:cat>
          <c:val>
            <c:numRef>
              <c:f>'Figure 1'!$C$2:$C$4</c:f>
              <c:numCache>
                <c:formatCode>"$"#,##0</c:formatCode>
                <c:ptCount val="3"/>
                <c:pt idx="0">
                  <c:v>1603924016.46</c:v>
                </c:pt>
                <c:pt idx="1">
                  <c:v>1519494100.6099999</c:v>
                </c:pt>
                <c:pt idx="2">
                  <c:v>1680793107.6800001</c:v>
                </c:pt>
              </c:numCache>
            </c:numRef>
          </c:val>
          <c:extLst xmlns:c16r2="http://schemas.microsoft.com/office/drawing/2015/06/chart">
            <c:ext xmlns:c16="http://schemas.microsoft.com/office/drawing/2014/chart" uri="{C3380CC4-5D6E-409C-BE32-E72D297353CC}">
              <c16:uniqueId val="{00000001-E2AF-4B41-9CBD-4D3E73265824}"/>
            </c:ext>
          </c:extLst>
        </c:ser>
        <c:ser>
          <c:idx val="2"/>
          <c:order val="2"/>
          <c:tx>
            <c:strRef>
              <c:f>'Figure 1'!$D$1</c:f>
              <c:strCache>
                <c:ptCount val="1"/>
                <c:pt idx="0">
                  <c:v>C2 Commitments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cat>
            <c:strRef>
              <c:f>'Figure 1'!$A$2:$A$4</c:f>
              <c:strCache>
                <c:ptCount val="3"/>
                <c:pt idx="0">
                  <c:v>FY2014</c:v>
                </c:pt>
                <c:pt idx="1">
                  <c:v>FY2015</c:v>
                </c:pt>
                <c:pt idx="2">
                  <c:v>FY2016</c:v>
                </c:pt>
              </c:strCache>
            </c:strRef>
          </c:cat>
          <c:val>
            <c:numRef>
              <c:f>'Figure 1'!$D$2:$D$4</c:f>
              <c:numCache>
                <c:formatCode>"$"#,##0</c:formatCode>
                <c:ptCount val="3"/>
                <c:pt idx="0">
                  <c:v>0</c:v>
                </c:pt>
                <c:pt idx="1">
                  <c:v>1287474745.5699999</c:v>
                </c:pt>
                <c:pt idx="2">
                  <c:v>950763996.09000003</c:v>
                </c:pt>
              </c:numCache>
            </c:numRef>
          </c:val>
          <c:extLst xmlns:c16r2="http://schemas.microsoft.com/office/drawing/2015/06/chart">
            <c:ext xmlns:c16="http://schemas.microsoft.com/office/drawing/2014/chart" uri="{C3380CC4-5D6E-409C-BE32-E72D297353CC}">
              <c16:uniqueId val="{00000002-E2AF-4B41-9CBD-4D3E73265824}"/>
            </c:ext>
          </c:extLst>
        </c:ser>
        <c:dLbls>
          <c:showLegendKey val="0"/>
          <c:showVal val="0"/>
          <c:showCatName val="0"/>
          <c:showSerName val="0"/>
          <c:showPercent val="0"/>
          <c:showBubbleSize val="0"/>
        </c:dLbls>
        <c:axId val="147011456"/>
        <c:axId val="147062784"/>
      </c:areaChart>
      <c:catAx>
        <c:axId val="147011456"/>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062784"/>
        <c:crosses val="autoZero"/>
        <c:auto val="1"/>
        <c:lblAlgn val="ctr"/>
        <c:lblOffset val="100"/>
        <c:noMultiLvlLbl val="0"/>
      </c:catAx>
      <c:valAx>
        <c:axId val="147062784"/>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011456"/>
        <c:crosses val="autoZero"/>
        <c:crossBetween val="midCat"/>
        <c:dispUnits>
          <c:builtInUnit val="millions"/>
          <c:dispUnitsLbl>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'Figure 2'!$B$1:$D$1</c:f>
              <c:strCache>
                <c:ptCount val="3"/>
                <c:pt idx="0">
                  <c:v>FY2014</c:v>
                </c:pt>
                <c:pt idx="1">
                  <c:v>FY2015</c:v>
                </c:pt>
                <c:pt idx="2">
                  <c:v>FY2016</c:v>
                </c:pt>
              </c:strCache>
            </c:strRef>
          </c:cat>
          <c:val>
            <c:numRef>
              <c:f>'Figure 2'!$B$2:$D$2</c:f>
              <c:numCache>
                <c:formatCode>_(* #,##0_);_(* \(#,##0\);_(* "-"??_);_(@_)</c:formatCode>
                <c:ptCount val="3"/>
                <c:pt idx="0">
                  <c:v>24575</c:v>
                </c:pt>
                <c:pt idx="1">
                  <c:v>24388</c:v>
                </c:pt>
                <c:pt idx="2">
                  <c:v>18884</c:v>
                </c:pt>
              </c:numCache>
            </c:numRef>
          </c:val>
          <c:extLst xmlns:c16r2="http://schemas.microsoft.com/office/drawing/2015/06/chart">
            <c:ext xmlns:c16="http://schemas.microsoft.com/office/drawing/2014/chart" uri="{C3380CC4-5D6E-409C-BE32-E72D297353CC}">
              <c16:uniqueId val="{00000000-84F7-496D-9AC5-464113CDF584}"/>
            </c:ext>
          </c:extLst>
        </c:ser>
        <c:dLbls>
          <c:showLegendKey val="0"/>
          <c:showVal val="0"/>
          <c:showCatName val="0"/>
          <c:showSerName val="0"/>
          <c:showPercent val="0"/>
          <c:showBubbleSize val="0"/>
        </c:dLbls>
        <c:gapWidth val="100"/>
        <c:overlap val="-24"/>
        <c:axId val="147628416"/>
        <c:axId val="147631488"/>
      </c:barChart>
      <c:catAx>
        <c:axId val="147628416"/>
        <c:scaling>
          <c:orientation val="minMax"/>
        </c:scaling>
        <c:delete val="0"/>
        <c:axPos val="b"/>
        <c:numFmt formatCode="General" sourceLinked="1"/>
        <c:majorTickMark val="none"/>
        <c:minorTickMark val="none"/>
        <c:tickLblPos val="nextTo"/>
        <c:spPr>
          <a:noFill/>
          <a:ln w="12697"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631488"/>
        <c:crosses val="autoZero"/>
        <c:auto val="1"/>
        <c:lblAlgn val="ctr"/>
        <c:lblOffset val="100"/>
        <c:noMultiLvlLbl val="0"/>
      </c:catAx>
      <c:valAx>
        <c:axId val="147631488"/>
        <c:scaling>
          <c:orientation val="minMax"/>
          <c:min val="0.1"/>
        </c:scaling>
        <c:delete val="0"/>
        <c:axPos val="l"/>
        <c:majorGridlines>
          <c:spPr>
            <a:ln w="9523" cap="flat" cmpd="sng" algn="ctr">
              <a:solidFill>
                <a:schemeClr val="tx1">
                  <a:lumMod val="15000"/>
                  <a:lumOff val="85000"/>
                </a:schemeClr>
              </a:solidFill>
              <a:round/>
            </a:ln>
            <a:effectLst/>
          </c:spPr>
        </c:majorGridlines>
        <c:title>
          <c:tx>
            <c:rich>
              <a:bodyPr/>
              <a:lstStyle/>
              <a:p>
                <a:pPr>
                  <a:defRPr sz="896" b="0" i="0" u="none" strike="noStrike" baseline="0">
                    <a:solidFill>
                      <a:srgbClr val="333333"/>
                    </a:solidFill>
                    <a:latin typeface="Calibri"/>
                    <a:ea typeface="Calibri"/>
                    <a:cs typeface="Calibri"/>
                  </a:defRPr>
                </a:pPr>
                <a:r>
                  <a:rPr lang="en-US"/>
                  <a:t>Applicants</a:t>
                </a:r>
              </a:p>
            </c:rich>
          </c:tx>
          <c:overlay val="0"/>
          <c:spPr>
            <a:noFill/>
            <a:ln w="25421">
              <a:noFill/>
            </a:ln>
          </c:spPr>
        </c:title>
        <c:numFmt formatCode="_(* #,##0_);_(* \(#,##0\);_(* &quot;-&quot;??_);_(@_)" sourceLinked="1"/>
        <c:majorTickMark val="none"/>
        <c:minorTickMark val="none"/>
        <c:tickLblPos val="nextTo"/>
        <c:spPr>
          <a:ln w="635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628416"/>
        <c:crosses val="autoZero"/>
        <c:crossBetween val="between"/>
      </c:valAx>
      <c:spPr>
        <a:noFill/>
        <a:ln w="25421">
          <a:noFill/>
        </a:ln>
      </c:spPr>
    </c:plotArea>
    <c:plotVisOnly val="1"/>
    <c:dispBlanksAs val="gap"/>
    <c:showDLblsOverMax val="0"/>
  </c:chart>
  <c:spPr>
    <a:solidFill>
      <a:schemeClr val="bg1"/>
    </a:solidFill>
    <a:ln w="9523"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'figure 3 - urban rural 2015 and'!$B$10</c:f>
              <c:strCache>
                <c:ptCount val="1"/>
                <c:pt idx="0">
                  <c:v>2015</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'figure 3 - urban rural 2015 and'!$A$11:$A$12</c:f>
              <c:strCache>
                <c:ptCount val="2"/>
                <c:pt idx="0">
                  <c:v>Rural</c:v>
                </c:pt>
                <c:pt idx="1">
                  <c:v>Urban</c:v>
                </c:pt>
              </c:strCache>
            </c:strRef>
          </c:cat>
          <c:val>
            <c:numRef>
              <c:f>'figure 3 - urban rural 2015 and'!$B$11:$B$12</c:f>
              <c:numCache>
                <c:formatCode>_("$"* #,##0_);_("$"* \(#,##0\);_("$"* "-"??_);_(@_)</c:formatCode>
                <c:ptCount val="2"/>
                <c:pt idx="0">
                  <c:v>103242144.31</c:v>
                </c:pt>
                <c:pt idx="1">
                  <c:v>236248552.40999901</c:v>
                </c:pt>
              </c:numCache>
            </c:numRef>
          </c:val>
          <c:extLst xmlns:c16r2="http://schemas.microsoft.com/office/drawing/2015/06/chart">
            <c:ext xmlns:c16="http://schemas.microsoft.com/office/drawing/2014/chart" uri="{C3380CC4-5D6E-409C-BE32-E72D297353CC}">
              <c16:uniqueId val="{00000000-B087-45FB-BFDA-1497E0C0B3D7}"/>
            </c:ext>
          </c:extLst>
        </c:ser>
        <c:ser>
          <c:idx val="1"/>
          <c:order val="1"/>
          <c:tx>
            <c:strRef>
              <c:f>'figure 3 - urban rural 2015 and'!$C$10</c:f>
              <c:strCache>
                <c:ptCount val="1"/>
                <c:pt idx="0">
                  <c:v>2016</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'figure 3 - urban rural 2015 and'!$A$11:$A$12</c:f>
              <c:strCache>
                <c:ptCount val="2"/>
                <c:pt idx="0">
                  <c:v>Rural</c:v>
                </c:pt>
                <c:pt idx="1">
                  <c:v>Urban</c:v>
                </c:pt>
              </c:strCache>
            </c:strRef>
          </c:cat>
          <c:val>
            <c:numRef>
              <c:f>'figure 3 - urban rural 2015 and'!$C$11:$C$12</c:f>
              <c:numCache>
                <c:formatCode>_("$"* #,##0_);_("$"* \(#,##0\);_("$"* "-"??_);_(@_)</c:formatCode>
                <c:ptCount val="2"/>
                <c:pt idx="0">
                  <c:v>58995656.719999999</c:v>
                </c:pt>
                <c:pt idx="1">
                  <c:v>135346099.40000001</c:v>
                </c:pt>
              </c:numCache>
            </c:numRef>
          </c:val>
          <c:extLst xmlns:c16r2="http://schemas.microsoft.com/office/drawing/2015/06/chart">
            <c:ext xmlns:c16="http://schemas.microsoft.com/office/drawing/2014/chart" uri="{C3380CC4-5D6E-409C-BE32-E72D297353CC}">
              <c16:uniqueId val="{00000001-B087-45FB-BFDA-1497E0C0B3D7}"/>
            </c:ext>
          </c:extLst>
        </c:ser>
        <c:dLbls>
          <c:showLegendKey val="0"/>
          <c:showVal val="0"/>
          <c:showCatName val="0"/>
          <c:showSerName val="0"/>
          <c:showPercent val="0"/>
          <c:showBubbleSize val="0"/>
        </c:dLbls>
        <c:gapWidth val="100"/>
        <c:overlap val="-24"/>
        <c:axId val="61879424"/>
        <c:axId val="61880960"/>
      </c:barChart>
      <c:catAx>
        <c:axId val="618794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880960"/>
        <c:crosses val="autoZero"/>
        <c:auto val="1"/>
        <c:lblAlgn val="ctr"/>
        <c:lblOffset val="100"/>
        <c:noMultiLvlLbl val="0"/>
      </c:catAx>
      <c:valAx>
        <c:axId val="61880960"/>
        <c:scaling>
          <c:orientation val="minMax"/>
          <c:min val="1.0000000000000002E-3"/>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879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'Figure 4 - Commitments by Disco'!$B$16</c:f>
              <c:strCache>
                <c:ptCount val="1"/>
                <c:pt idx="0">
                  <c:v>60% or less</c:v>
                </c:pt>
              </c:strCache>
            </c:strRef>
          </c:tx>
          <c:spPr>
            <a:ln w="34878" cap="rnd">
              <a:solidFill>
                <a:schemeClr val="accent1"/>
              </a:solidFill>
              <a:round/>
            </a:ln>
            <a:effectLst>
              <a:outerShdw blurRad="57150" dist="19050" dir="5400000" algn="ctr" rotWithShape="0">
                <a:srgbClr val="000000">
                  <a:alpha val="63000"/>
                </a:srgbClr>
              </a:outerShdw>
            </a:effectLst>
          </c:spPr>
          <c:marker>
            <c:symbol val="none"/>
          </c:marker>
          <c:cat>
            <c:numRef>
              <c:f>'Figure 4 - Commitments by Disco'!$A$17:$A$19</c:f>
              <c:numCache>
                <c:formatCode>General</c:formatCode>
                <c:ptCount val="3"/>
                <c:pt idx="0">
                  <c:v>2014</c:v>
                </c:pt>
                <c:pt idx="1">
                  <c:v>2015</c:v>
                </c:pt>
                <c:pt idx="2">
                  <c:v>2016</c:v>
                </c:pt>
              </c:numCache>
            </c:numRef>
          </c:cat>
          <c:val>
            <c:numRef>
              <c:f>'Figure 4 - Commitments by Disco'!$B$17:$B$19</c:f>
              <c:numCache>
                <c:formatCode>"$"#,##0</c:formatCode>
                <c:ptCount val="3"/>
                <c:pt idx="0">
                  <c:v>174680858.90999991</c:v>
                </c:pt>
                <c:pt idx="1">
                  <c:v>212408666.84999999</c:v>
                </c:pt>
                <c:pt idx="2">
                  <c:v>232040481.16000003</c:v>
                </c:pt>
              </c:numCache>
            </c:numRef>
          </c:val>
          <c:smooth val="0"/>
          <c:extLst xmlns:c16r2="http://schemas.microsoft.com/office/drawing/2015/06/chart">
            <c:ext xmlns:c16="http://schemas.microsoft.com/office/drawing/2014/chart" uri="{C3380CC4-5D6E-409C-BE32-E72D297353CC}">
              <c16:uniqueId val="{00000000-9CCF-40D3-AA9C-048DFC556D51}"/>
            </c:ext>
          </c:extLst>
        </c:ser>
        <c:ser>
          <c:idx val="1"/>
          <c:order val="1"/>
          <c:tx>
            <c:strRef>
              <c:f>'Figure 4 - Commitments by Disco'!$C$16</c:f>
              <c:strCache>
                <c:ptCount val="1"/>
                <c:pt idx="0">
                  <c:v>61% to 85%</c:v>
                </c:pt>
              </c:strCache>
            </c:strRef>
          </c:tx>
          <c:spPr>
            <a:ln w="34878" cap="rnd">
              <a:solidFill>
                <a:schemeClr val="accent2"/>
              </a:solidFill>
              <a:round/>
            </a:ln>
            <a:effectLst>
              <a:outerShdw blurRad="57150" dist="19050" dir="5400000" algn="ctr" rotWithShape="0">
                <a:srgbClr val="000000">
                  <a:alpha val="63000"/>
                </a:srgbClr>
              </a:outerShdw>
            </a:effectLst>
          </c:spPr>
          <c:marker>
            <c:symbol val="none"/>
          </c:marker>
          <c:cat>
            <c:numRef>
              <c:f>'Figure 4 - Commitments by Disco'!$A$17:$A$19</c:f>
              <c:numCache>
                <c:formatCode>General</c:formatCode>
                <c:ptCount val="3"/>
                <c:pt idx="0">
                  <c:v>2014</c:v>
                </c:pt>
                <c:pt idx="1">
                  <c:v>2015</c:v>
                </c:pt>
                <c:pt idx="2">
                  <c:v>2016</c:v>
                </c:pt>
              </c:numCache>
            </c:numRef>
          </c:cat>
          <c:val>
            <c:numRef>
              <c:f>'Figure 4 - Commitments by Disco'!$C$17:$C$19</c:f>
              <c:numCache>
                <c:formatCode>"$"#,##0</c:formatCode>
                <c:ptCount val="3"/>
                <c:pt idx="0">
                  <c:v>577563159.56999993</c:v>
                </c:pt>
                <c:pt idx="1">
                  <c:v>983090369.29999995</c:v>
                </c:pt>
                <c:pt idx="2">
                  <c:v>845512369.01999998</c:v>
                </c:pt>
              </c:numCache>
            </c:numRef>
          </c:val>
          <c:smooth val="0"/>
          <c:extLst xmlns:c16r2="http://schemas.microsoft.com/office/drawing/2015/06/chart">
            <c:ext xmlns:c16="http://schemas.microsoft.com/office/drawing/2014/chart" uri="{C3380CC4-5D6E-409C-BE32-E72D297353CC}">
              <c16:uniqueId val="{00000001-9CCF-40D3-AA9C-048DFC556D51}"/>
            </c:ext>
          </c:extLst>
        </c:ser>
        <c:ser>
          <c:idx val="2"/>
          <c:order val="2"/>
          <c:tx>
            <c:strRef>
              <c:f>'Figure 4 - Commitments by Disco'!$D$16</c:f>
              <c:strCache>
                <c:ptCount val="1"/>
                <c:pt idx="0">
                  <c:v>86% or higher</c:v>
                </c:pt>
              </c:strCache>
            </c:strRef>
          </c:tx>
          <c:spPr>
            <a:ln w="34878" cap="rnd">
              <a:solidFill>
                <a:schemeClr val="accent3"/>
              </a:solidFill>
              <a:round/>
            </a:ln>
            <a:effectLst>
              <a:outerShdw blurRad="57150" dist="19050" dir="5400000" algn="ctr" rotWithShape="0">
                <a:srgbClr val="000000">
                  <a:alpha val="63000"/>
                </a:srgbClr>
              </a:outerShdw>
            </a:effectLst>
          </c:spPr>
          <c:marker>
            <c:symbol val="none"/>
          </c:marker>
          <c:cat>
            <c:numRef>
              <c:f>'Figure 4 - Commitments by Disco'!$A$17:$A$19</c:f>
              <c:numCache>
                <c:formatCode>General</c:formatCode>
                <c:ptCount val="3"/>
                <c:pt idx="0">
                  <c:v>2014</c:v>
                </c:pt>
                <c:pt idx="1">
                  <c:v>2015</c:v>
                </c:pt>
                <c:pt idx="2">
                  <c:v>2016</c:v>
                </c:pt>
              </c:numCache>
            </c:numRef>
          </c:cat>
          <c:val>
            <c:numRef>
              <c:f>'Figure 4 - Commitments by Disco'!$D$17:$D$19</c:f>
              <c:numCache>
                <c:formatCode>"$"#,##0</c:formatCode>
                <c:ptCount val="3"/>
                <c:pt idx="0">
                  <c:v>465618262.61000001</c:v>
                </c:pt>
                <c:pt idx="1">
                  <c:v>641925233.3499999</c:v>
                </c:pt>
                <c:pt idx="2">
                  <c:v>436554611.48000002</c:v>
                </c:pt>
              </c:numCache>
            </c:numRef>
          </c:val>
          <c:smooth val="0"/>
          <c:extLst xmlns:c16r2="http://schemas.microsoft.com/office/drawing/2015/06/chart">
            <c:ext xmlns:c16="http://schemas.microsoft.com/office/drawing/2014/chart" uri="{C3380CC4-5D6E-409C-BE32-E72D297353CC}">
              <c16:uniqueId val="{00000002-9CCF-40D3-AA9C-048DFC556D51}"/>
            </c:ext>
          </c:extLst>
        </c:ser>
        <c:dLbls>
          <c:showLegendKey val="0"/>
          <c:showVal val="0"/>
          <c:showCatName val="0"/>
          <c:showSerName val="0"/>
          <c:showPercent val="0"/>
          <c:showBubbleSize val="0"/>
        </c:dLbls>
        <c:marker val="1"/>
        <c:smooth val="0"/>
        <c:axId val="61984768"/>
        <c:axId val="61986304"/>
      </c:lineChart>
      <c:catAx>
        <c:axId val="61984768"/>
        <c:scaling>
          <c:orientation val="minMax"/>
        </c:scaling>
        <c:delete val="0"/>
        <c:axPos val="b"/>
        <c:numFmt formatCode="General" sourceLinked="1"/>
        <c:majorTickMark val="none"/>
        <c:minorTickMark val="none"/>
        <c:tickLblPos val="nextTo"/>
        <c:spPr>
          <a:noFill/>
          <a:ln w="12683"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61986304"/>
        <c:crosses val="autoZero"/>
        <c:auto val="1"/>
        <c:lblAlgn val="ctr"/>
        <c:lblOffset val="100"/>
        <c:noMultiLvlLbl val="0"/>
      </c:catAx>
      <c:valAx>
        <c:axId val="61986304"/>
        <c:scaling>
          <c:orientation val="minMax"/>
        </c:scaling>
        <c:delete val="0"/>
        <c:axPos val="l"/>
        <c:majorGridlines>
          <c:spPr>
            <a:ln w="9513" cap="flat" cmpd="sng" algn="ctr">
              <a:solidFill>
                <a:schemeClr val="tx1">
                  <a:lumMod val="15000"/>
                  <a:lumOff val="85000"/>
                </a:schemeClr>
              </a:solidFill>
              <a:round/>
            </a:ln>
            <a:effectLst/>
          </c:spPr>
        </c:majorGridlines>
        <c:numFmt formatCode="&quot;$&quot;#,##0" sourceLinked="1"/>
        <c:majorTickMark val="none"/>
        <c:minorTickMark val="none"/>
        <c:tickLblPos val="nextTo"/>
        <c:spPr>
          <a:ln w="6348">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61984768"/>
        <c:crosses val="autoZero"/>
        <c:crossBetween val="between"/>
      </c:valAx>
      <c:spPr>
        <a:noFill/>
        <a:ln w="25391">
          <a:noFill/>
        </a:ln>
      </c:spPr>
    </c:plotArea>
    <c:legend>
      <c:legendPos val="b"/>
      <c:overlay val="0"/>
      <c:spPr>
        <a:noFill/>
        <a:ln w="25391">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13"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'Figure 5'!$A$2</c:f>
              <c:strCache>
                <c:ptCount val="1"/>
                <c:pt idx="0">
                  <c:v>POTS</c:v>
                </c:pt>
              </c:strCache>
            </c:strRef>
          </c:tx>
          <c:spPr>
            <a:ln w="34917" cap="rnd">
              <a:solidFill>
                <a:schemeClr val="accent1"/>
              </a:solidFill>
              <a:round/>
            </a:ln>
            <a:effectLst>
              <a:outerShdw blurRad="57150" dist="19050" dir="5400000" algn="ctr" rotWithShape="0">
                <a:srgbClr val="000000">
                  <a:alpha val="63000"/>
                </a:srgbClr>
              </a:outerShdw>
            </a:effectLst>
          </c:spPr>
          <c:marker>
            <c:symbol val="none"/>
          </c:marker>
          <c:cat>
            <c:strRef>
              <c:f>'Figure 5'!$B$1:$C$1</c:f>
              <c:strCache>
                <c:ptCount val="2"/>
                <c:pt idx="0">
                  <c:v>FY2014</c:v>
                </c:pt>
                <c:pt idx="1">
                  <c:v>FY2016</c:v>
                </c:pt>
              </c:strCache>
            </c:strRef>
          </c:cat>
          <c:val>
            <c:numRef>
              <c:f>'Figure 5'!$B$2:$C$2</c:f>
              <c:numCache>
                <c:formatCode>General</c:formatCode>
                <c:ptCount val="2"/>
                <c:pt idx="0">
                  <c:v>2429</c:v>
                </c:pt>
                <c:pt idx="1">
                  <c:v>2023</c:v>
                </c:pt>
              </c:numCache>
            </c:numRef>
          </c:val>
          <c:smooth val="0"/>
          <c:extLst xmlns:c16r2="http://schemas.microsoft.com/office/drawing/2015/06/chart">
            <c:ext xmlns:c16="http://schemas.microsoft.com/office/drawing/2014/chart" uri="{C3380CC4-5D6E-409C-BE32-E72D297353CC}">
              <c16:uniqueId val="{00000000-4235-41DD-889B-E65ED25767FD}"/>
            </c:ext>
          </c:extLst>
        </c:ser>
        <c:ser>
          <c:idx val="1"/>
          <c:order val="1"/>
          <c:tx>
            <c:strRef>
              <c:f>'Figure 5'!$A$3</c:f>
              <c:strCache>
                <c:ptCount val="1"/>
                <c:pt idx="0">
                  <c:v>VoIP</c:v>
                </c:pt>
              </c:strCache>
            </c:strRef>
          </c:tx>
          <c:spPr>
            <a:ln w="34917" cap="rnd">
              <a:solidFill>
                <a:schemeClr val="accent2"/>
              </a:solidFill>
              <a:round/>
            </a:ln>
            <a:effectLst>
              <a:outerShdw blurRad="57150" dist="19050" dir="5400000" algn="ctr" rotWithShape="0">
                <a:srgbClr val="000000">
                  <a:alpha val="63000"/>
                </a:srgbClr>
              </a:outerShdw>
            </a:effectLst>
          </c:spPr>
          <c:marker>
            <c:symbol val="none"/>
          </c:marker>
          <c:cat>
            <c:strRef>
              <c:f>'Figure 5'!$B$1:$C$1</c:f>
              <c:strCache>
                <c:ptCount val="2"/>
                <c:pt idx="0">
                  <c:v>FY2014</c:v>
                </c:pt>
                <c:pt idx="1">
                  <c:v>FY2016</c:v>
                </c:pt>
              </c:strCache>
            </c:strRef>
          </c:cat>
          <c:val>
            <c:numRef>
              <c:f>'Figure 5'!$B$3:$C$3</c:f>
              <c:numCache>
                <c:formatCode>General</c:formatCode>
                <c:ptCount val="2"/>
                <c:pt idx="0">
                  <c:v>1623</c:v>
                </c:pt>
                <c:pt idx="1">
                  <c:v>2960</c:v>
                </c:pt>
              </c:numCache>
            </c:numRef>
          </c:val>
          <c:smooth val="0"/>
          <c:extLst xmlns:c16r2="http://schemas.microsoft.com/office/drawing/2015/06/chart">
            <c:ext xmlns:c16="http://schemas.microsoft.com/office/drawing/2014/chart" uri="{C3380CC4-5D6E-409C-BE32-E72D297353CC}">
              <c16:uniqueId val="{00000001-4235-41DD-889B-E65ED25767FD}"/>
            </c:ext>
          </c:extLst>
        </c:ser>
        <c:dLbls>
          <c:showLegendKey val="0"/>
          <c:showVal val="0"/>
          <c:showCatName val="0"/>
          <c:showSerName val="0"/>
          <c:showPercent val="0"/>
          <c:showBubbleSize val="0"/>
        </c:dLbls>
        <c:marker val="1"/>
        <c:smooth val="0"/>
        <c:axId val="62560512"/>
        <c:axId val="62562304"/>
      </c:lineChart>
      <c:catAx>
        <c:axId val="62560512"/>
        <c:scaling>
          <c:orientation val="minMax"/>
        </c:scaling>
        <c:delete val="0"/>
        <c:axPos val="b"/>
        <c:numFmt formatCode="General" sourceLinked="1"/>
        <c:majorTickMark val="none"/>
        <c:minorTickMark val="none"/>
        <c:tickLblPos val="nextTo"/>
        <c:spPr>
          <a:noFill/>
          <a:ln w="12697"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562304"/>
        <c:crosses val="autoZero"/>
        <c:auto val="1"/>
        <c:lblAlgn val="ctr"/>
        <c:lblOffset val="100"/>
        <c:noMultiLvlLbl val="0"/>
      </c:catAx>
      <c:valAx>
        <c:axId val="62562304"/>
        <c:scaling>
          <c:orientation val="minMax"/>
        </c:scaling>
        <c:delete val="0"/>
        <c:axPos val="l"/>
        <c:majorGridlines>
          <c:spPr>
            <a:ln w="9523" cap="flat" cmpd="sng" algn="ctr">
              <a:solidFill>
                <a:schemeClr val="tx1">
                  <a:lumMod val="15000"/>
                  <a:lumOff val="85000"/>
                </a:schemeClr>
              </a:solidFill>
              <a:round/>
            </a:ln>
            <a:effectLst/>
          </c:spPr>
        </c:majorGridlines>
        <c:numFmt formatCode="General" sourceLinked="1"/>
        <c:majorTickMark val="none"/>
        <c:minorTickMark val="none"/>
        <c:tickLblPos val="nextTo"/>
        <c:spPr>
          <a:ln w="635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560512"/>
        <c:crosses val="autoZero"/>
        <c:crossBetween val="between"/>
      </c:valAx>
      <c:spPr>
        <a:noFill/>
        <a:ln w="25421">
          <a:noFill/>
        </a:ln>
      </c:spPr>
    </c:plotArea>
    <c:legend>
      <c:legendPos val="b"/>
      <c:overlay val="0"/>
      <c:spPr>
        <a:noFill/>
        <a:ln w="25421">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3"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0-23B2-496D-8DDE-8962D458ED51}"/>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23B2-496D-8DDE-8962D458ED51}"/>
              </c:ext>
            </c:extLst>
          </c:dPt>
          <c:dLbls>
            <c:dLbl>
              <c:idx val="0"/>
              <c:spPr>
                <a:noFill/>
                <a:ln w="25370">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bg1"/>
                      </a:solidFill>
                      <a:latin typeface="+mn-lt"/>
                      <a:ea typeface="+mn-ea"/>
                      <a:cs typeface="+mn-cs"/>
                    </a:defRPr>
                  </a:pPr>
                  <a:endParaRPr lang="en-US"/>
                </a:p>
              </c:txPr>
              <c:showLegendKey val="0"/>
              <c:showVal val="1"/>
              <c:showCatName val="0"/>
              <c:showSerName val="0"/>
              <c:showPercent val="1"/>
              <c:showBubbleSize val="0"/>
            </c:dLbl>
            <c:spPr>
              <a:noFill/>
              <a:ln w="25370">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showLeaderLines val="1"/>
            <c:leaderLines>
              <c:spPr>
                <a:ln w="9513"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'Figure 7'!$B$3:$B$4</c:f>
              <c:strCache>
                <c:ptCount val="2"/>
                <c:pt idx="0">
                  <c:v>Still participate in E-rate 2017</c:v>
                </c:pt>
                <c:pt idx="1">
                  <c:v>Opted out of E-rate</c:v>
                </c:pt>
              </c:strCache>
            </c:strRef>
          </c:cat>
          <c:val>
            <c:numRef>
              <c:f>'Figure 7'!$C$3:$C$4</c:f>
              <c:numCache>
                <c:formatCode>General</c:formatCode>
                <c:ptCount val="2"/>
                <c:pt idx="0">
                  <c:v>2900</c:v>
                </c:pt>
                <c:pt idx="1">
                  <c:v>1210</c:v>
                </c:pt>
              </c:numCache>
            </c:numRef>
          </c:val>
          <c:extLst xmlns:c16r2="http://schemas.microsoft.com/office/drawing/2015/06/chart">
            <c:ext xmlns:c16="http://schemas.microsoft.com/office/drawing/2014/chart" uri="{C3380CC4-5D6E-409C-BE32-E72D297353CC}">
              <c16:uniqueId val="{00000002-23B2-496D-8DDE-8962D458ED51}"/>
            </c:ext>
          </c:extLst>
        </c:ser>
        <c:dLbls>
          <c:showLegendKey val="0"/>
          <c:showVal val="0"/>
          <c:showCatName val="0"/>
          <c:showSerName val="0"/>
          <c:showPercent val="0"/>
          <c:showBubbleSize val="0"/>
          <c:showLeaderLines val="1"/>
        </c:dLbls>
        <c:firstSliceAng val="0"/>
      </c:pieChart>
      <c:spPr>
        <a:noFill/>
        <a:ln w="25370">
          <a:noFill/>
        </a:ln>
      </c:spPr>
    </c:plotArea>
    <c:legend>
      <c:legendPos val="b"/>
      <c:overlay val="0"/>
      <c:spPr>
        <a:noFill/>
        <a:ln w="25370">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13"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tx>
                <c:rich>
                  <a:bodyPr/>
                  <a:lstStyle/>
                  <a:p>
                    <a:fld id="{235CAAF7-D344-4922-9BAF-A4268872FE65}" type="VALUE">
                      <a:rPr lang="en-US">
                        <a:solidFill>
                          <a:schemeClr val="bg1"/>
                        </a:solidFill>
                      </a:rPr>
                      <a:pPr/>
                      <a:t>[VALUE]</a:t>
                    </a:fld>
                    <a:r>
                      <a:rPr lang="en-US" baseline="0">
                        <a:solidFill>
                          <a:schemeClr val="bg1"/>
                        </a:solidFill>
                      </a:rPr>
                      <a:t>, </a:t>
                    </a:r>
                    <a:fld id="{11EB4E16-33D0-488F-9260-4A1F3A039CE6}" type="PERCENTAGE">
                      <a:rPr lang="en-US" baseline="0">
                        <a:solidFill>
                          <a:schemeClr val="bg1"/>
                        </a:solidFill>
                      </a:rPr>
                      <a:pPr/>
                      <a:t>[PERCENTAGE]</a:t>
                    </a:fld>
                    <a:endParaRPr lang="en-US" baseline="0">
                      <a:solidFill>
                        <a:schemeClr val="bg1"/>
                      </a:solidFill>
                    </a:endParaRPr>
                  </a:p>
                </c:rich>
              </c:tx>
              <c:showLegendKey val="0"/>
              <c:showVal val="1"/>
              <c:showCatName val="0"/>
              <c:showSerName val="0"/>
              <c:showPercent val="1"/>
              <c:showBubbleSize val="0"/>
              <c:extLst>
                <c:ext xmlns:c15="http://schemas.microsoft.com/office/drawing/2012/chart" uri="{CE6537A1-D6FC-4f65-9D91-7224C49458BB}">
                  <c15:layout/>
                  <c15:dlblFieldTable/>
                  <c15:showDataLabelsRange val="0"/>
                </c:ext>
              </c:extLst>
            </c:dLbl>
            <c:dLbl>
              <c:idx val="2"/>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fld id="{FB03BD79-F357-441B-8D6F-B29749004C28}" type="VALUE">
                      <a:rPr lang="en-US">
                        <a:solidFill>
                          <a:schemeClr val="bg1"/>
                        </a:solidFill>
                      </a:rPr>
                      <a:pPr>
                        <a:defRPr sz="900" b="0" i="0" u="none" strike="noStrike" kern="1200" baseline="0">
                          <a:solidFill>
                            <a:schemeClr val="bg1"/>
                          </a:solidFill>
                          <a:latin typeface="+mn-lt"/>
                          <a:ea typeface="+mn-ea"/>
                          <a:cs typeface="+mn-cs"/>
                        </a:defRPr>
                      </a:pPr>
                      <a:t>[VALUE]</a:t>
                    </a:fld>
                    <a:r>
                      <a:rPr lang="en-US" baseline="0">
                        <a:solidFill>
                          <a:schemeClr val="bg1"/>
                        </a:solidFill>
                      </a:rPr>
                      <a:t>, </a:t>
                    </a:r>
                    <a:fld id="{5EFE8596-4FC8-4DBD-B2F5-8B2E52685C81}" type="PERCENTAGE">
                      <a:rPr lang="en-US" baseline="0">
                        <a:solidFill>
                          <a:schemeClr val="bg1"/>
                        </a:solidFill>
                      </a:rPr>
                      <a:pPr>
                        <a:defRPr sz="900" b="0" i="0" u="none" strike="noStrike" kern="1200" baseline="0">
                          <a:solidFill>
                            <a:schemeClr val="bg1"/>
                          </a:solidFill>
                          <a:latin typeface="+mn-lt"/>
                          <a:ea typeface="+mn-ea"/>
                          <a:cs typeface="+mn-cs"/>
                        </a:defRPr>
                      </a:pPr>
                      <a:t>[PERCENTAGE]</a:t>
                    </a:fld>
                    <a:endParaRPr lang="en-US" baseline="0">
                      <a:solidFill>
                        <a:schemeClr val="bg1"/>
                      </a:solidFill>
                    </a:endParaRPr>
                  </a:p>
                </c:rich>
              </c:tx>
              <c:spPr>
                <a:noFill/>
                <a:ln>
                  <a:noFill/>
                </a:ln>
                <a:effectLst/>
              </c:spPr>
              <c:showLegendKey val="0"/>
              <c:showVal val="1"/>
              <c:showCatName val="0"/>
              <c:showSerName val="0"/>
              <c:showPercent val="1"/>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'Figure 8'!$B$3:$B$5</c:f>
              <c:strCache>
                <c:ptCount val="3"/>
                <c:pt idx="0">
                  <c:v>Applied for Voice Only</c:v>
                </c:pt>
                <c:pt idx="1">
                  <c:v>Applied for Nonvoice Only</c:v>
                </c:pt>
                <c:pt idx="2">
                  <c:v>Applied for Voice and Nonvoice</c:v>
                </c:pt>
              </c:strCache>
            </c:strRef>
          </c:cat>
          <c:val>
            <c:numRef>
              <c:f>'Figure 8'!$C$3:$C$5</c:f>
              <c:numCache>
                <c:formatCode>General</c:formatCode>
                <c:ptCount val="3"/>
                <c:pt idx="0">
                  <c:v>537</c:v>
                </c:pt>
                <c:pt idx="1">
                  <c:v>1129</c:v>
                </c:pt>
                <c:pt idx="2">
                  <c:v>1234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6">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2339</Words>
  <Characters>13511</Characters>
  <Application>Microsoft Office Word</Application>
  <DocSecurity>0</DocSecurity>
  <Lines>707</Lines>
  <Paragraphs>517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15413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2017-10-10T13:39:00Z</dcterms:created>
  <dcterms:modified xsi:type="dcterms:W3CDTF">2017-10-10T13:39:00Z</dcterms:modified>
  <cp:category> </cp:category>
  <cp:contentStatus> </cp:contentStatus>
</cp:coreProperties>
</file>