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14" w:rsidRDefault="00471814" w:rsidP="00471814">
      <w:pPr>
        <w:jc w:val="center"/>
        <w:rPr>
          <w:b/>
        </w:rPr>
      </w:pPr>
      <w:bookmarkStart w:id="0" w:name="_GoBack"/>
      <w:bookmarkEnd w:id="0"/>
      <w:r>
        <w:rPr>
          <w:b/>
        </w:rPr>
        <w:t>Before the</w:t>
      </w:r>
    </w:p>
    <w:p w:rsidR="00471814" w:rsidRDefault="00471814" w:rsidP="00471814">
      <w:pPr>
        <w:jc w:val="center"/>
        <w:rPr>
          <w:b/>
        </w:rPr>
      </w:pPr>
      <w:r>
        <w:rPr>
          <w:b/>
        </w:rPr>
        <w:t>Federal Communications Commission</w:t>
      </w:r>
    </w:p>
    <w:p w:rsidR="00471814" w:rsidRDefault="00471814" w:rsidP="00471814">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471814" w:rsidRDefault="00471814" w:rsidP="00471814"/>
    <w:tbl>
      <w:tblPr>
        <w:tblW w:w="9648" w:type="dxa"/>
        <w:tblLayout w:type="fixed"/>
        <w:tblLook w:val="0000" w:firstRow="0" w:lastRow="0" w:firstColumn="0" w:lastColumn="0" w:noHBand="0" w:noVBand="0"/>
      </w:tblPr>
      <w:tblGrid>
        <w:gridCol w:w="4698"/>
        <w:gridCol w:w="630"/>
        <w:gridCol w:w="90"/>
        <w:gridCol w:w="4158"/>
        <w:gridCol w:w="72"/>
      </w:tblGrid>
      <w:tr w:rsidR="00471814" w:rsidTr="00CF5B62">
        <w:tc>
          <w:tcPr>
            <w:tcW w:w="4698" w:type="dxa"/>
          </w:tcPr>
          <w:p w:rsidR="00471814" w:rsidRDefault="00471814" w:rsidP="00CF5B62">
            <w:pPr>
              <w:tabs>
                <w:tab w:val="center" w:pos="4680"/>
              </w:tabs>
              <w:suppressAutoHyphens/>
              <w:rPr>
                <w:spacing w:val="-2"/>
              </w:rPr>
            </w:pPr>
          </w:p>
          <w:p w:rsidR="00317A33" w:rsidRDefault="00317A33" w:rsidP="00CF5B62">
            <w:pPr>
              <w:tabs>
                <w:tab w:val="center" w:pos="4680"/>
              </w:tabs>
              <w:suppressAutoHyphens/>
              <w:rPr>
                <w:spacing w:val="-2"/>
              </w:rPr>
            </w:pPr>
          </w:p>
          <w:p w:rsidR="00317A33" w:rsidRPr="007115F7" w:rsidRDefault="00317A33" w:rsidP="00CF5B62">
            <w:pPr>
              <w:tabs>
                <w:tab w:val="center" w:pos="4680"/>
              </w:tabs>
              <w:suppressAutoHyphens/>
              <w:rPr>
                <w:spacing w:val="-2"/>
              </w:rPr>
            </w:pPr>
          </w:p>
        </w:tc>
        <w:tc>
          <w:tcPr>
            <w:tcW w:w="720" w:type="dxa"/>
            <w:gridSpan w:val="2"/>
          </w:tcPr>
          <w:p w:rsidR="00471814" w:rsidRPr="00A7264C" w:rsidRDefault="00471814" w:rsidP="00CF5B62">
            <w:pPr>
              <w:tabs>
                <w:tab w:val="center" w:pos="4680"/>
              </w:tabs>
              <w:suppressAutoHyphens/>
              <w:rPr>
                <w:b/>
                <w:spacing w:val="-2"/>
              </w:rPr>
            </w:pPr>
          </w:p>
        </w:tc>
        <w:tc>
          <w:tcPr>
            <w:tcW w:w="4230" w:type="dxa"/>
            <w:gridSpan w:val="2"/>
          </w:tcPr>
          <w:p w:rsidR="00471814" w:rsidRDefault="00471814" w:rsidP="00CF5B62">
            <w:pPr>
              <w:tabs>
                <w:tab w:val="center" w:pos="4680"/>
              </w:tabs>
              <w:suppressAutoHyphens/>
              <w:rPr>
                <w:spacing w:val="-2"/>
              </w:rPr>
            </w:pPr>
          </w:p>
        </w:tc>
      </w:tr>
      <w:tr w:rsidR="00471814" w:rsidRPr="00AB6C6E" w:rsidTr="00CF5B62">
        <w:trPr>
          <w:gridAfter w:val="1"/>
          <w:wAfter w:w="72" w:type="dxa"/>
        </w:trPr>
        <w:tc>
          <w:tcPr>
            <w:tcW w:w="4698" w:type="dxa"/>
          </w:tcPr>
          <w:p w:rsidR="00471814" w:rsidRPr="00D72DE2" w:rsidRDefault="00471814" w:rsidP="00CF5B62">
            <w:pPr>
              <w:tabs>
                <w:tab w:val="center" w:pos="4680"/>
              </w:tabs>
              <w:suppressAutoHyphens/>
              <w:rPr>
                <w:spacing w:val="-2"/>
              </w:rPr>
            </w:pPr>
            <w:r w:rsidRPr="00170D42">
              <w:rPr>
                <w:spacing w:val="-2"/>
              </w:rPr>
              <w:t>In the Matter of</w:t>
            </w:r>
          </w:p>
          <w:p w:rsidR="00471814" w:rsidRPr="00D72DE2" w:rsidRDefault="00471814" w:rsidP="00CF5B62">
            <w:pPr>
              <w:tabs>
                <w:tab w:val="center" w:pos="4680"/>
              </w:tabs>
              <w:suppressAutoHyphens/>
              <w:rPr>
                <w:spacing w:val="-2"/>
              </w:rPr>
            </w:pPr>
          </w:p>
          <w:p w:rsidR="00471814" w:rsidRPr="00D72DE2" w:rsidRDefault="00471814" w:rsidP="00CF5B62">
            <w:pPr>
              <w:ind w:right="-18"/>
              <w:rPr>
                <w:szCs w:val="22"/>
              </w:rPr>
            </w:pPr>
            <w:r w:rsidRPr="00D72DE2">
              <w:rPr>
                <w:szCs w:val="22"/>
              </w:rPr>
              <w:t xml:space="preserve">Amendment of Parts 0, 1, 2, 15 and 18 of the Commission’s Rules regarding Authorization of Radiofrequency Equipment </w:t>
            </w:r>
          </w:p>
          <w:p w:rsidR="00471814" w:rsidRDefault="00471814" w:rsidP="00CF5B62">
            <w:pPr>
              <w:tabs>
                <w:tab w:val="center" w:pos="4680"/>
              </w:tabs>
              <w:suppressAutoHyphens/>
              <w:rPr>
                <w:spacing w:val="-2"/>
              </w:rPr>
            </w:pPr>
          </w:p>
          <w:p w:rsidR="00317A33" w:rsidRDefault="00317A33" w:rsidP="00CF5B62">
            <w:pPr>
              <w:tabs>
                <w:tab w:val="center" w:pos="4680"/>
              </w:tabs>
              <w:suppressAutoHyphens/>
              <w:rPr>
                <w:spacing w:val="-2"/>
              </w:rPr>
            </w:pPr>
          </w:p>
          <w:p w:rsidR="00317A33" w:rsidRPr="00D72DE2" w:rsidRDefault="00317A33" w:rsidP="00CF5B62">
            <w:pPr>
              <w:tabs>
                <w:tab w:val="center" w:pos="4680"/>
              </w:tabs>
              <w:suppressAutoHyphens/>
              <w:rPr>
                <w:spacing w:val="-2"/>
              </w:rPr>
            </w:pPr>
          </w:p>
          <w:p w:rsidR="00471814" w:rsidRPr="00D72DE2" w:rsidRDefault="00471814" w:rsidP="00CF5B62">
            <w:pPr>
              <w:ind w:right="-18"/>
              <w:rPr>
                <w:spacing w:val="-2"/>
              </w:rPr>
            </w:pPr>
          </w:p>
        </w:tc>
        <w:tc>
          <w:tcPr>
            <w:tcW w:w="630" w:type="dxa"/>
          </w:tcPr>
          <w:p w:rsidR="00471814" w:rsidRPr="00D72DE2" w:rsidRDefault="00471814" w:rsidP="00CF5B62">
            <w:pPr>
              <w:tabs>
                <w:tab w:val="center" w:pos="4680"/>
              </w:tabs>
              <w:suppressAutoHyphens/>
              <w:rPr>
                <w:b/>
                <w:spacing w:val="-2"/>
              </w:rPr>
            </w:pPr>
            <w:r w:rsidRPr="00D72DE2">
              <w:rPr>
                <w:b/>
                <w:spacing w:val="-2"/>
              </w:rPr>
              <w:t>)</w:t>
            </w:r>
          </w:p>
          <w:p w:rsidR="00471814" w:rsidRPr="00D72DE2" w:rsidRDefault="00471814" w:rsidP="00CF5B62">
            <w:pPr>
              <w:tabs>
                <w:tab w:val="center" w:pos="4680"/>
              </w:tabs>
              <w:suppressAutoHyphens/>
              <w:rPr>
                <w:b/>
                <w:spacing w:val="-2"/>
              </w:rPr>
            </w:pPr>
            <w:r w:rsidRPr="00D72DE2">
              <w:rPr>
                <w:b/>
                <w:spacing w:val="-2"/>
              </w:rPr>
              <w:t>)</w:t>
            </w:r>
          </w:p>
          <w:p w:rsidR="00471814" w:rsidRPr="00D72DE2" w:rsidRDefault="00471814" w:rsidP="00CF5B62">
            <w:pPr>
              <w:tabs>
                <w:tab w:val="center" w:pos="4680"/>
              </w:tabs>
              <w:suppressAutoHyphens/>
              <w:rPr>
                <w:b/>
                <w:spacing w:val="-2"/>
              </w:rPr>
            </w:pPr>
            <w:r w:rsidRPr="00D72DE2">
              <w:rPr>
                <w:b/>
                <w:spacing w:val="-2"/>
              </w:rPr>
              <w:t>)</w:t>
            </w:r>
          </w:p>
          <w:p w:rsidR="00471814" w:rsidRPr="00D72DE2" w:rsidRDefault="00471814" w:rsidP="00CF5B62">
            <w:pPr>
              <w:tabs>
                <w:tab w:val="center" w:pos="4680"/>
              </w:tabs>
              <w:suppressAutoHyphens/>
              <w:rPr>
                <w:b/>
                <w:spacing w:val="-2"/>
              </w:rPr>
            </w:pPr>
            <w:r w:rsidRPr="00D72DE2">
              <w:rPr>
                <w:b/>
                <w:spacing w:val="-2"/>
              </w:rPr>
              <w:t>)</w:t>
            </w:r>
          </w:p>
          <w:p w:rsidR="00471814" w:rsidRPr="00D72DE2" w:rsidRDefault="00471814" w:rsidP="00CF5B62">
            <w:pPr>
              <w:tabs>
                <w:tab w:val="center" w:pos="4680"/>
              </w:tabs>
              <w:suppressAutoHyphens/>
              <w:rPr>
                <w:b/>
                <w:spacing w:val="-2"/>
              </w:rPr>
            </w:pPr>
            <w:r w:rsidRPr="00D72DE2">
              <w:rPr>
                <w:b/>
                <w:spacing w:val="-2"/>
              </w:rPr>
              <w:t>)</w:t>
            </w:r>
          </w:p>
          <w:p w:rsidR="00471814" w:rsidRPr="00D72DE2" w:rsidRDefault="00471814" w:rsidP="00CF5B62">
            <w:pPr>
              <w:tabs>
                <w:tab w:val="center" w:pos="4680"/>
              </w:tabs>
              <w:suppressAutoHyphens/>
              <w:rPr>
                <w:spacing w:val="-2"/>
              </w:rPr>
            </w:pPr>
          </w:p>
        </w:tc>
        <w:tc>
          <w:tcPr>
            <w:tcW w:w="4248" w:type="dxa"/>
            <w:gridSpan w:val="2"/>
          </w:tcPr>
          <w:p w:rsidR="00471814" w:rsidRPr="006B59DF" w:rsidRDefault="00471814" w:rsidP="00CF5B62">
            <w:pPr>
              <w:tabs>
                <w:tab w:val="center" w:pos="4680"/>
              </w:tabs>
              <w:suppressAutoHyphens/>
              <w:rPr>
                <w:spacing w:val="-2"/>
              </w:rPr>
            </w:pPr>
          </w:p>
          <w:p w:rsidR="00471814" w:rsidRPr="006B59DF" w:rsidRDefault="00471814" w:rsidP="00CF5B62">
            <w:pPr>
              <w:tabs>
                <w:tab w:val="center" w:pos="4680"/>
              </w:tabs>
              <w:suppressAutoHyphens/>
              <w:rPr>
                <w:spacing w:val="-2"/>
              </w:rPr>
            </w:pPr>
          </w:p>
          <w:p w:rsidR="00471814" w:rsidRPr="006B59DF" w:rsidRDefault="00471814" w:rsidP="00CF5B62">
            <w:pPr>
              <w:tabs>
                <w:tab w:val="center" w:pos="4680"/>
              </w:tabs>
              <w:suppressAutoHyphens/>
              <w:rPr>
                <w:spacing w:val="-2"/>
              </w:rPr>
            </w:pPr>
            <w:r w:rsidRPr="006B59DF">
              <w:rPr>
                <w:spacing w:val="-2"/>
              </w:rPr>
              <w:t>ET Docket No. 15</w:t>
            </w:r>
            <w:r>
              <w:rPr>
                <w:spacing w:val="-2"/>
              </w:rPr>
              <w:t>-170</w:t>
            </w:r>
          </w:p>
          <w:p w:rsidR="00471814" w:rsidRPr="006B59DF" w:rsidRDefault="00471814" w:rsidP="00CF5B62">
            <w:pPr>
              <w:tabs>
                <w:tab w:val="center" w:pos="4680"/>
              </w:tabs>
              <w:suppressAutoHyphens/>
              <w:rPr>
                <w:spacing w:val="-2"/>
              </w:rPr>
            </w:pPr>
          </w:p>
          <w:p w:rsidR="00471814" w:rsidRPr="006B59DF" w:rsidRDefault="00471814" w:rsidP="00CF5B62">
            <w:pPr>
              <w:tabs>
                <w:tab w:val="center" w:pos="4680"/>
              </w:tabs>
              <w:suppressAutoHyphens/>
              <w:rPr>
                <w:spacing w:val="-2"/>
              </w:rPr>
            </w:pPr>
          </w:p>
          <w:p w:rsidR="00471814" w:rsidRPr="006B59DF" w:rsidRDefault="00471814" w:rsidP="00CF5B62">
            <w:pPr>
              <w:tabs>
                <w:tab w:val="center" w:pos="4680"/>
              </w:tabs>
              <w:suppressAutoHyphens/>
              <w:rPr>
                <w:spacing w:val="-2"/>
              </w:rPr>
            </w:pPr>
          </w:p>
          <w:p w:rsidR="00471814" w:rsidRPr="00AB6C6E" w:rsidRDefault="00471814" w:rsidP="00CF5B62">
            <w:pPr>
              <w:tabs>
                <w:tab w:val="center" w:pos="4680"/>
              </w:tabs>
              <w:suppressAutoHyphens/>
              <w:rPr>
                <w:spacing w:val="-2"/>
              </w:rPr>
            </w:pPr>
          </w:p>
        </w:tc>
      </w:tr>
    </w:tbl>
    <w:p w:rsidR="00471814" w:rsidRDefault="00471814" w:rsidP="00471814">
      <w:pPr>
        <w:spacing w:before="120"/>
        <w:ind w:left="720" w:hanging="720"/>
        <w:jc w:val="center"/>
        <w:rPr>
          <w:b/>
          <w:spacing w:val="-2"/>
        </w:rPr>
      </w:pPr>
      <w:r>
        <w:rPr>
          <w:b/>
          <w:spacing w:val="-2"/>
        </w:rPr>
        <w:t>ORDER</w:t>
      </w:r>
    </w:p>
    <w:p w:rsidR="00471814" w:rsidRDefault="00471814" w:rsidP="00471814">
      <w:pPr>
        <w:spacing w:before="120"/>
        <w:ind w:left="720" w:hanging="720"/>
        <w:jc w:val="center"/>
      </w:pPr>
    </w:p>
    <w:p w:rsidR="00317A33" w:rsidRDefault="00317A33" w:rsidP="00471814">
      <w:pPr>
        <w:tabs>
          <w:tab w:val="right" w:pos="9360"/>
        </w:tabs>
        <w:rPr>
          <w:b/>
        </w:rPr>
      </w:pPr>
    </w:p>
    <w:p w:rsidR="00317A33" w:rsidRDefault="00317A33" w:rsidP="00471814">
      <w:pPr>
        <w:tabs>
          <w:tab w:val="right" w:pos="9360"/>
        </w:tabs>
        <w:rPr>
          <w:b/>
        </w:rPr>
      </w:pPr>
    </w:p>
    <w:p w:rsidR="00471814" w:rsidRDefault="00471814" w:rsidP="00471814">
      <w:pPr>
        <w:tabs>
          <w:tab w:val="right" w:pos="9360"/>
        </w:tabs>
        <w:rPr>
          <w:b/>
        </w:rPr>
      </w:pPr>
      <w:r>
        <w:rPr>
          <w:b/>
        </w:rPr>
        <w:t xml:space="preserve">Adopted:  </w:t>
      </w:r>
      <w:r w:rsidR="002C1387">
        <w:rPr>
          <w:b/>
        </w:rPr>
        <w:t xml:space="preserve">September </w:t>
      </w:r>
      <w:r w:rsidR="00AC565C">
        <w:rPr>
          <w:b/>
        </w:rPr>
        <w:t>28</w:t>
      </w:r>
      <w:r>
        <w:rPr>
          <w:b/>
        </w:rPr>
        <w:t>, 201</w:t>
      </w:r>
      <w:r w:rsidR="005A7F33">
        <w:rPr>
          <w:b/>
        </w:rPr>
        <w:t>7</w:t>
      </w:r>
      <w:r>
        <w:rPr>
          <w:b/>
        </w:rPr>
        <w:tab/>
        <w:t xml:space="preserve">Released:  </w:t>
      </w:r>
      <w:r w:rsidR="002C1387">
        <w:rPr>
          <w:b/>
        </w:rPr>
        <w:t>Septe</w:t>
      </w:r>
      <w:r w:rsidR="00317A33">
        <w:rPr>
          <w:b/>
        </w:rPr>
        <w:t>m</w:t>
      </w:r>
      <w:r w:rsidR="002C1387">
        <w:rPr>
          <w:b/>
        </w:rPr>
        <w:t xml:space="preserve">ber </w:t>
      </w:r>
      <w:r w:rsidR="00AC565C">
        <w:rPr>
          <w:b/>
        </w:rPr>
        <w:t>28</w:t>
      </w:r>
      <w:r>
        <w:rPr>
          <w:b/>
        </w:rPr>
        <w:t>, 20</w:t>
      </w:r>
      <w:r w:rsidR="005A7F33">
        <w:rPr>
          <w:b/>
        </w:rPr>
        <w:t>17</w:t>
      </w:r>
    </w:p>
    <w:p w:rsidR="00471814" w:rsidRDefault="00471814" w:rsidP="00471814">
      <w:pPr>
        <w:tabs>
          <w:tab w:val="left" w:pos="5760"/>
        </w:tabs>
        <w:rPr>
          <w:b/>
        </w:rPr>
      </w:pPr>
    </w:p>
    <w:p w:rsidR="00471814" w:rsidRDefault="00471814" w:rsidP="00471814">
      <w:pPr>
        <w:tabs>
          <w:tab w:val="left" w:pos="5760"/>
        </w:tabs>
        <w:rPr>
          <w:spacing w:val="-2"/>
        </w:rPr>
      </w:pPr>
      <w:r>
        <w:t>By the C</w:t>
      </w:r>
      <w:r w:rsidR="005F264F">
        <w:t>hief, Office of Engineering and Technology</w:t>
      </w:r>
      <w:r>
        <w:t>:</w:t>
      </w:r>
      <w:r>
        <w:rPr>
          <w:spacing w:val="-2"/>
        </w:rPr>
        <w:t xml:space="preserve">  </w:t>
      </w:r>
    </w:p>
    <w:p w:rsidR="00471814" w:rsidRDefault="00471814" w:rsidP="00471814">
      <w:pPr>
        <w:tabs>
          <w:tab w:val="left" w:pos="5760"/>
        </w:tabs>
        <w:rPr>
          <w:spacing w:val="-2"/>
        </w:rPr>
      </w:pPr>
    </w:p>
    <w:p w:rsidR="00471814" w:rsidRDefault="00B20A4A" w:rsidP="002723D4">
      <w:pPr>
        <w:pStyle w:val="ParaNum"/>
      </w:pPr>
      <w:r>
        <w:t xml:space="preserve">For the reasons discussed below, we extend through </w:t>
      </w:r>
      <w:r w:rsidR="000B377D">
        <w:t xml:space="preserve">December </w:t>
      </w:r>
      <w:r>
        <w:t>30, 201</w:t>
      </w:r>
      <w:r w:rsidR="000B377D">
        <w:t>7</w:t>
      </w:r>
      <w:r w:rsidR="00C97B51">
        <w:t xml:space="preserve"> </w:t>
      </w:r>
      <w:r>
        <w:t>waiver</w:t>
      </w:r>
      <w:r w:rsidR="00350629">
        <w:t>s</w:t>
      </w:r>
      <w:r>
        <w:t xml:space="preserve"> of Sections 2.1203 and 2.1205 of the Commission’s rules that w</w:t>
      </w:r>
      <w:r w:rsidR="00350629">
        <w:t>ere</w:t>
      </w:r>
      <w:r>
        <w:t xml:space="preserve"> </w:t>
      </w:r>
      <w:r w:rsidR="00F00239">
        <w:t xml:space="preserve">previously </w:t>
      </w:r>
      <w:r w:rsidR="00851D8C">
        <w:t xml:space="preserve">granted by Commission Order </w:t>
      </w:r>
      <w:r>
        <w:t>in this docket.</w:t>
      </w:r>
      <w:r>
        <w:rPr>
          <w:rStyle w:val="FootnoteReference"/>
        </w:rPr>
        <w:footnoteReference w:id="2"/>
      </w:r>
      <w:r>
        <w:t xml:space="preserve">  </w:t>
      </w:r>
      <w:r w:rsidR="00874705">
        <w:t>Our action</w:t>
      </w:r>
      <w:r>
        <w:t xml:space="preserve"> </w:t>
      </w:r>
      <w:r w:rsidR="00350629">
        <w:t xml:space="preserve">continues </w:t>
      </w:r>
      <w:r w:rsidR="00F00239">
        <w:t>a</w:t>
      </w:r>
      <w:r>
        <w:t xml:space="preserve"> suspension of information collection requirements associated with FCC Form 740 and the importation of </w:t>
      </w:r>
      <w:r w:rsidR="00471814">
        <w:t>Radio Frequency (RF) devices</w:t>
      </w:r>
      <w:r>
        <w:t xml:space="preserve"> that was due to expire of </w:t>
      </w:r>
      <w:r w:rsidR="000B377D">
        <w:t xml:space="preserve">September </w:t>
      </w:r>
      <w:r w:rsidR="00697207">
        <w:t>30, 2017</w:t>
      </w:r>
      <w:r>
        <w:t>.</w:t>
      </w:r>
      <w:r w:rsidR="00697207">
        <w:rPr>
          <w:rStyle w:val="FootnoteReference"/>
        </w:rPr>
        <w:footnoteReference w:id="3"/>
      </w:r>
    </w:p>
    <w:p w:rsidR="00170499" w:rsidRDefault="00471814" w:rsidP="002723D4">
      <w:pPr>
        <w:pStyle w:val="ParaNum"/>
      </w:pPr>
      <w:r>
        <w:rPr>
          <w:spacing w:val="-2"/>
        </w:rPr>
        <w:t>S</w:t>
      </w:r>
      <w:r w:rsidRPr="00E8122B">
        <w:t>ection 2.1203 of our rules states that no RF device may be imported unless the importer or ultimate consignee (or their designated customs broker) declares that the device meets the conditions of entry set forth in our importation rules</w:t>
      </w:r>
      <w:r w:rsidR="00F00239">
        <w:t>.</w:t>
      </w:r>
      <w:r w:rsidR="0077163C">
        <w:t xml:space="preserve">  </w:t>
      </w:r>
      <w:r w:rsidRPr="00E8122B">
        <w:t xml:space="preserve">Section 2.1205 </w:t>
      </w:r>
      <w:r w:rsidR="0077163C">
        <w:t xml:space="preserve">addresses the filing of </w:t>
      </w:r>
      <w:r w:rsidRPr="00E8122B">
        <w:t>this declaration</w:t>
      </w:r>
      <w:r>
        <w:t>.</w:t>
      </w:r>
      <w:r w:rsidR="0077163C" w:rsidRPr="00E8122B">
        <w:rPr>
          <w:rStyle w:val="FootnoteReference"/>
        </w:rPr>
        <w:footnoteReference w:id="4"/>
      </w:r>
      <w:r w:rsidR="0077163C" w:rsidRPr="00E8122B">
        <w:t xml:space="preserve"> </w:t>
      </w:r>
      <w:r>
        <w:t xml:space="preserve"> </w:t>
      </w:r>
      <w:r w:rsidR="00F00239">
        <w:t xml:space="preserve">A </w:t>
      </w:r>
      <w:r w:rsidR="00B33DF2" w:rsidRPr="0053550C">
        <w:t>Notice of Proposed Rulemaking (</w:t>
      </w:r>
      <w:r w:rsidR="00B33DF2" w:rsidRPr="00B33DF2">
        <w:rPr>
          <w:i/>
        </w:rPr>
        <w:t>NPRM</w:t>
      </w:r>
      <w:r w:rsidR="00B33DF2" w:rsidRPr="0053550C">
        <w:t xml:space="preserve">) in the </w:t>
      </w:r>
      <w:r w:rsidR="0050139E">
        <w:t xml:space="preserve">instant </w:t>
      </w:r>
      <w:r w:rsidR="00F00239">
        <w:t xml:space="preserve">docket </w:t>
      </w:r>
      <w:r w:rsidR="000B377D">
        <w:t>proposed</w:t>
      </w:r>
      <w:r w:rsidR="0050139E">
        <w:t xml:space="preserve"> to</w:t>
      </w:r>
      <w:r w:rsidR="00B33DF2" w:rsidRPr="0053550C">
        <w:t xml:space="preserve"> update the rules that govern the evaluation and approval of RF devices</w:t>
      </w:r>
      <w:r w:rsidR="000F79C8">
        <w:t>.</w:t>
      </w:r>
      <w:r w:rsidR="00B33DF2" w:rsidRPr="0053550C">
        <w:rPr>
          <w:vertAlign w:val="superscript"/>
        </w:rPr>
        <w:footnoteReference w:id="5"/>
      </w:r>
      <w:r w:rsidR="000B377D">
        <w:t xml:space="preserve">  Among th</w:t>
      </w:r>
      <w:r w:rsidR="001F2C79">
        <w:t>e</w:t>
      </w:r>
      <w:r w:rsidR="000B377D">
        <w:t xml:space="preserve"> </w:t>
      </w:r>
      <w:r w:rsidR="000F79C8">
        <w:t xml:space="preserve">changes considered by the Commission </w:t>
      </w:r>
      <w:r w:rsidR="001F2C79">
        <w:t xml:space="preserve">were </w:t>
      </w:r>
      <w:r w:rsidR="000F79C8">
        <w:t xml:space="preserve">proposals to </w:t>
      </w:r>
      <w:r w:rsidR="00B33DF2" w:rsidRPr="0053550C">
        <w:t>eliminate the requirement</w:t>
      </w:r>
      <w:r w:rsidR="00D212AE">
        <w:t xml:space="preserve"> </w:t>
      </w:r>
      <w:r w:rsidR="0050139E">
        <w:t xml:space="preserve">to file FCC </w:t>
      </w:r>
      <w:r w:rsidR="003E49A9">
        <w:t>F</w:t>
      </w:r>
      <w:r w:rsidR="0050139E">
        <w:t xml:space="preserve">orm 740 </w:t>
      </w:r>
      <w:r w:rsidR="00D212AE">
        <w:t xml:space="preserve">by </w:t>
      </w:r>
      <w:r w:rsidR="00D212AE" w:rsidRPr="0053550C">
        <w:t>amend</w:t>
      </w:r>
      <w:r w:rsidR="00D212AE">
        <w:t>ing</w:t>
      </w:r>
      <w:r w:rsidR="00D212AE" w:rsidRPr="0053550C">
        <w:t xml:space="preserve"> </w:t>
      </w:r>
      <w:r w:rsidR="006855A9">
        <w:t>S</w:t>
      </w:r>
      <w:r w:rsidR="00D212AE" w:rsidRPr="0053550C">
        <w:t>ection 2.1203 and remov</w:t>
      </w:r>
      <w:r w:rsidR="00D212AE">
        <w:t>ing</w:t>
      </w:r>
      <w:r w:rsidR="00D212AE" w:rsidRPr="0053550C">
        <w:t xml:space="preserve"> </w:t>
      </w:r>
      <w:r w:rsidR="006855A9">
        <w:t>S</w:t>
      </w:r>
      <w:r w:rsidR="00D212AE" w:rsidRPr="0053550C">
        <w:t>ection 2.1205</w:t>
      </w:r>
      <w:r w:rsidR="00B33DF2" w:rsidRPr="0053550C">
        <w:t>.</w:t>
      </w:r>
      <w:r w:rsidR="00B33DF2" w:rsidRPr="0053550C">
        <w:rPr>
          <w:vertAlign w:val="superscript"/>
        </w:rPr>
        <w:footnoteReference w:id="6"/>
      </w:r>
      <w:r w:rsidR="001F2C79">
        <w:t xml:space="preserve">  These proposals were adopted by the Commission in the First Report and Order in this proceeding.</w:t>
      </w:r>
      <w:r w:rsidR="001F2C79">
        <w:rPr>
          <w:rStyle w:val="FootnoteReference"/>
        </w:rPr>
        <w:footnoteReference w:id="7"/>
      </w:r>
      <w:r w:rsidR="00317A33">
        <w:t xml:space="preserve">  However, as of this date, the actions amending Section 2.1203 and removing Section 2.1205 </w:t>
      </w:r>
      <w:r w:rsidR="00317A33">
        <w:lastRenderedPageBreak/>
        <w:t>are not yet effective.</w:t>
      </w:r>
      <w:r w:rsidR="00B33DF2">
        <w:t xml:space="preserve"> </w:t>
      </w:r>
    </w:p>
    <w:p w:rsidR="00471814" w:rsidRDefault="00471814" w:rsidP="002723D4">
      <w:pPr>
        <w:pStyle w:val="ParaNum"/>
      </w:pPr>
      <w:r>
        <w:t xml:space="preserve">Accordingly, </w:t>
      </w:r>
      <w:r w:rsidRPr="0035570D">
        <w:rPr>
          <w:spacing w:val="-2"/>
        </w:rPr>
        <w:t>IT</w:t>
      </w:r>
      <w:r>
        <w:t xml:space="preserve"> IS ORDERED, pursuant to </w:t>
      </w:r>
      <w:r w:rsidR="00B2390A">
        <w:t xml:space="preserve">authority delegated to the Office of Engineering and Technology by the Commission, </w:t>
      </w:r>
      <w:r>
        <w:t xml:space="preserve">that </w:t>
      </w:r>
      <w:r w:rsidR="00B2390A">
        <w:t>the waiver</w:t>
      </w:r>
      <w:r w:rsidR="0053550C">
        <w:t>s</w:t>
      </w:r>
      <w:r w:rsidR="00B2390A">
        <w:t xml:space="preserve"> </w:t>
      </w:r>
      <w:r w:rsidR="0053550C">
        <w:t xml:space="preserve">of </w:t>
      </w:r>
      <w:r>
        <w:t xml:space="preserve">Sections 2.1203 and 2.1205 of the Commission’s Rules and Regulations, </w:t>
      </w:r>
      <w:r w:rsidRPr="003C538E">
        <w:t>47 C.F.R. Sections</w:t>
      </w:r>
      <w:r>
        <w:t xml:space="preserve"> 2.1203 and 2.1205, </w:t>
      </w:r>
      <w:r w:rsidR="0053550C">
        <w:t xml:space="preserve">that were originally granted by the Commission on October 16, 2015, </w:t>
      </w:r>
      <w:r>
        <w:t xml:space="preserve">ARE </w:t>
      </w:r>
      <w:r w:rsidR="0053550C">
        <w:t xml:space="preserve">HEREBY EXTENDED through </w:t>
      </w:r>
      <w:r w:rsidR="00072658">
        <w:t>December</w:t>
      </w:r>
      <w:r w:rsidR="00D04781">
        <w:t xml:space="preserve"> </w:t>
      </w:r>
      <w:r w:rsidR="0053550C">
        <w:t>30</w:t>
      </w:r>
      <w:r>
        <w:t>, 201</w:t>
      </w:r>
      <w:r w:rsidR="0053550C">
        <w:t>7</w:t>
      </w:r>
      <w:r w:rsidR="00C97B51">
        <w:t>.</w:t>
      </w:r>
    </w:p>
    <w:p w:rsidR="00471814" w:rsidRDefault="00471814" w:rsidP="00471814"/>
    <w:p w:rsidR="00471814" w:rsidRDefault="00471814" w:rsidP="00471814">
      <w:r>
        <w:tab/>
      </w:r>
      <w:r>
        <w:tab/>
      </w:r>
      <w:r>
        <w:tab/>
      </w:r>
      <w:r>
        <w:tab/>
      </w:r>
      <w:r>
        <w:tab/>
      </w:r>
      <w:r>
        <w:tab/>
        <w:t>FEDERAL COMMUNICATIONS COMMISSION</w:t>
      </w:r>
    </w:p>
    <w:p w:rsidR="00471814" w:rsidRDefault="00471814" w:rsidP="00471814"/>
    <w:p w:rsidR="00471814" w:rsidRDefault="00471814" w:rsidP="00471814"/>
    <w:p w:rsidR="00471814" w:rsidRDefault="00471814" w:rsidP="00471814"/>
    <w:p w:rsidR="00471814" w:rsidRDefault="00471814" w:rsidP="00471814"/>
    <w:p w:rsidR="00471814" w:rsidRDefault="00471814" w:rsidP="00471814">
      <w:r>
        <w:tab/>
      </w:r>
      <w:r>
        <w:tab/>
      </w:r>
      <w:r>
        <w:tab/>
      </w:r>
      <w:r>
        <w:tab/>
      </w:r>
      <w:r>
        <w:tab/>
      </w:r>
      <w:r>
        <w:tab/>
      </w:r>
      <w:r w:rsidR="0053550C">
        <w:t>Julius P. Knapp</w:t>
      </w:r>
    </w:p>
    <w:p w:rsidR="00471814" w:rsidRDefault="00471814" w:rsidP="00471814">
      <w:r>
        <w:tab/>
      </w:r>
      <w:r>
        <w:tab/>
      </w:r>
      <w:r>
        <w:tab/>
      </w:r>
      <w:r>
        <w:tab/>
      </w:r>
      <w:r>
        <w:tab/>
      </w:r>
      <w:r>
        <w:tab/>
      </w:r>
      <w:r w:rsidR="0053550C">
        <w:t>Chief, Office of Engineering and Technology</w:t>
      </w:r>
    </w:p>
    <w:p w:rsidR="00471814" w:rsidRDefault="00471814" w:rsidP="00471814">
      <w:pPr>
        <w:rPr>
          <w:lang w:val="pt-BR"/>
        </w:rPr>
      </w:pPr>
    </w:p>
    <w:p w:rsidR="002C00E8" w:rsidRPr="00471814" w:rsidRDefault="002C00E8" w:rsidP="00471814"/>
    <w:sectPr w:rsidR="002C00E8" w:rsidRPr="00471814"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44E" w:rsidRDefault="00C2144E">
      <w:pPr>
        <w:spacing w:line="20" w:lineRule="exact"/>
      </w:pPr>
    </w:p>
  </w:endnote>
  <w:endnote w:type="continuationSeparator" w:id="0">
    <w:p w:rsidR="00C2144E" w:rsidRDefault="00C2144E">
      <w:r>
        <w:t xml:space="preserve"> </w:t>
      </w:r>
    </w:p>
  </w:endnote>
  <w:endnote w:type="continuationNotice" w:id="1">
    <w:p w:rsidR="00C2144E" w:rsidRDefault="00C2144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AC565C">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44E" w:rsidRDefault="00C2144E">
      <w:r>
        <w:separator/>
      </w:r>
    </w:p>
  </w:footnote>
  <w:footnote w:type="continuationSeparator" w:id="0">
    <w:p w:rsidR="00C2144E" w:rsidRDefault="00C2144E" w:rsidP="00C721AC">
      <w:pPr>
        <w:spacing w:before="120"/>
        <w:rPr>
          <w:sz w:val="20"/>
        </w:rPr>
      </w:pPr>
      <w:r>
        <w:rPr>
          <w:sz w:val="20"/>
        </w:rPr>
        <w:t xml:space="preserve">(Continued from previous page)  </w:t>
      </w:r>
      <w:r>
        <w:rPr>
          <w:sz w:val="20"/>
        </w:rPr>
        <w:separator/>
      </w:r>
    </w:p>
  </w:footnote>
  <w:footnote w:type="continuationNotice" w:id="1">
    <w:p w:rsidR="00C2144E" w:rsidRDefault="00C2144E" w:rsidP="00C721AC">
      <w:pPr>
        <w:jc w:val="right"/>
        <w:rPr>
          <w:sz w:val="20"/>
        </w:rPr>
      </w:pPr>
      <w:r>
        <w:rPr>
          <w:sz w:val="20"/>
        </w:rPr>
        <w:t>(continued….)</w:t>
      </w:r>
    </w:p>
  </w:footnote>
  <w:footnote w:id="2">
    <w:p w:rsidR="00B20A4A" w:rsidRDefault="00B20A4A" w:rsidP="00B20A4A">
      <w:pPr>
        <w:pStyle w:val="FootnoteText"/>
      </w:pPr>
      <w:r>
        <w:rPr>
          <w:rStyle w:val="FootnoteReference"/>
        </w:rPr>
        <w:footnoteRef/>
      </w:r>
      <w:r>
        <w:t xml:space="preserve"> </w:t>
      </w:r>
      <w:r w:rsidRPr="006B59DF">
        <w:t>Amendment of Parts 0, 1, 2, 15 and 18 of the Commission’s Rules Regarding Authorization of Radiofrequency Equipment, ET Docket No. 15-170</w:t>
      </w:r>
      <w:r>
        <w:t xml:space="preserve">, </w:t>
      </w:r>
      <w:r>
        <w:rPr>
          <w:i/>
        </w:rPr>
        <w:t>Order,</w:t>
      </w:r>
      <w:r w:rsidRPr="006B59DF">
        <w:t xml:space="preserve"> </w:t>
      </w:r>
      <w:r>
        <w:t>30 FCC Rcd 7725 (</w:t>
      </w:r>
      <w:r w:rsidRPr="006B59DF">
        <w:t>2015)</w:t>
      </w:r>
      <w:r>
        <w:t xml:space="preserve"> (</w:t>
      </w:r>
      <w:r>
        <w:rPr>
          <w:i/>
        </w:rPr>
        <w:t>Waiver Order</w:t>
      </w:r>
      <w:r>
        <w:t xml:space="preserve">).  </w:t>
      </w:r>
    </w:p>
  </w:footnote>
  <w:footnote w:id="3">
    <w:p w:rsidR="00697207" w:rsidRDefault="00697207">
      <w:pPr>
        <w:pStyle w:val="FootnoteText"/>
      </w:pPr>
      <w:r>
        <w:rPr>
          <w:rStyle w:val="FootnoteReference"/>
        </w:rPr>
        <w:footnoteRef/>
      </w:r>
      <w:r>
        <w:t xml:space="preserve"> </w:t>
      </w:r>
      <w:r w:rsidRPr="006B59DF">
        <w:t>Amendment of Parts 0, 1, 2, 15 and 18 of the Commission’s Rules Regarding Authorization of Radiofrequency Equipment, ET Docket No. 15-170</w:t>
      </w:r>
      <w:r>
        <w:t xml:space="preserve">, </w:t>
      </w:r>
      <w:r>
        <w:rPr>
          <w:i/>
        </w:rPr>
        <w:t>Order,</w:t>
      </w:r>
      <w:r w:rsidRPr="006B59DF">
        <w:t xml:space="preserve"> </w:t>
      </w:r>
      <w:r>
        <w:t>3</w:t>
      </w:r>
      <w:r w:rsidR="000B377D">
        <w:t>2</w:t>
      </w:r>
      <w:r>
        <w:t xml:space="preserve"> FCC Rcd </w:t>
      </w:r>
      <w:r w:rsidR="000B377D">
        <w:t>47</w:t>
      </w:r>
      <w:r>
        <w:t>16 (</w:t>
      </w:r>
      <w:r w:rsidR="001F2C79">
        <w:t xml:space="preserve">OET, </w:t>
      </w:r>
      <w:r w:rsidRPr="006B59DF">
        <w:t>201</w:t>
      </w:r>
      <w:r w:rsidR="000B377D">
        <w:t>7</w:t>
      </w:r>
      <w:r w:rsidRPr="006B59DF">
        <w:t>)</w:t>
      </w:r>
      <w:r>
        <w:t xml:space="preserve"> (</w:t>
      </w:r>
      <w:r w:rsidR="000B377D">
        <w:rPr>
          <w:i/>
        </w:rPr>
        <w:t xml:space="preserve">Second </w:t>
      </w:r>
      <w:r>
        <w:rPr>
          <w:i/>
        </w:rPr>
        <w:t>Waiver Extension Order</w:t>
      </w:r>
      <w:r>
        <w:t xml:space="preserve">).  </w:t>
      </w:r>
    </w:p>
  </w:footnote>
  <w:footnote w:id="4">
    <w:p w:rsidR="0077163C" w:rsidRDefault="0077163C" w:rsidP="0077163C">
      <w:pPr>
        <w:pStyle w:val="FootnoteText"/>
      </w:pPr>
      <w:r>
        <w:rPr>
          <w:rStyle w:val="FootnoteReference"/>
        </w:rPr>
        <w:footnoteRef/>
      </w:r>
      <w:r>
        <w:t xml:space="preserve"> 47 C.F.R. §§ 2.1203 and 2.1205.</w:t>
      </w:r>
    </w:p>
  </w:footnote>
  <w:footnote w:id="5">
    <w:p w:rsidR="00B33DF2" w:rsidRPr="003E36E1" w:rsidRDefault="00B33DF2" w:rsidP="00B33DF2">
      <w:pPr>
        <w:pStyle w:val="FootnoteText"/>
      </w:pPr>
      <w:r>
        <w:rPr>
          <w:rStyle w:val="FootnoteReference"/>
        </w:rPr>
        <w:footnoteRef/>
      </w:r>
      <w:r w:rsidR="001E5D04">
        <w:t xml:space="preserve"> </w:t>
      </w:r>
      <w:bookmarkStart w:id="1" w:name="_Hlk494115492"/>
      <w:r w:rsidRPr="006B59DF">
        <w:t>Amendment of Parts 0, 1, 2, 15 and 18 of the Commission’s Rules Regarding Authorization of Radiofrequency Equipment, ET Docket No. 15-170</w:t>
      </w:r>
      <w:r>
        <w:t xml:space="preserve">, </w:t>
      </w:r>
      <w:r w:rsidRPr="006B59DF">
        <w:rPr>
          <w:i/>
        </w:rPr>
        <w:t>Notice of Proposed Rulemaking</w:t>
      </w:r>
      <w:r w:rsidRPr="006B59DF">
        <w:t xml:space="preserve">, </w:t>
      </w:r>
      <w:r>
        <w:t>30 FCC Rcd 7725 (</w:t>
      </w:r>
      <w:r w:rsidRPr="006B59DF">
        <w:t>2015)</w:t>
      </w:r>
      <w:r>
        <w:t xml:space="preserve">.  </w:t>
      </w:r>
      <w:bookmarkEnd w:id="1"/>
    </w:p>
  </w:footnote>
  <w:footnote w:id="6">
    <w:p w:rsidR="00B33DF2" w:rsidRPr="00D65F06" w:rsidRDefault="00B33DF2" w:rsidP="00B33DF2">
      <w:pPr>
        <w:pStyle w:val="FootnoteText"/>
      </w:pPr>
      <w:r>
        <w:rPr>
          <w:rStyle w:val="FootnoteReference"/>
        </w:rPr>
        <w:footnoteRef/>
      </w:r>
      <w:r>
        <w:t xml:space="preserve"> </w:t>
      </w:r>
      <w:r w:rsidR="00847748">
        <w:rPr>
          <w:i/>
        </w:rPr>
        <w:t>Id.</w:t>
      </w:r>
      <w:r>
        <w:t>, 30 FCC Rcd at 7766-67, paras. 117-121</w:t>
      </w:r>
      <w:r w:rsidR="00D212AE">
        <w:t xml:space="preserve"> and proposed 47 C.F.R. § 2.1203 (Appx. A).</w:t>
      </w:r>
    </w:p>
  </w:footnote>
  <w:footnote w:id="7">
    <w:p w:rsidR="001F2C79" w:rsidRDefault="001F2C79">
      <w:pPr>
        <w:pStyle w:val="FootnoteText"/>
      </w:pPr>
      <w:r>
        <w:rPr>
          <w:rStyle w:val="FootnoteReference"/>
        </w:rPr>
        <w:footnoteRef/>
      </w:r>
      <w:r>
        <w:t xml:space="preserve"> </w:t>
      </w:r>
      <w:r w:rsidRPr="006B59DF">
        <w:t>Amendment of Parts 0, 1, 2, 15 and 18 of the Commission’s Rules Regarding Authorization of Radiofrequency Equipment, ET Docket No. 15-170</w:t>
      </w:r>
      <w:r>
        <w:t xml:space="preserve">, </w:t>
      </w:r>
      <w:r>
        <w:rPr>
          <w:i/>
        </w:rPr>
        <w:t>First Report and Order,</w:t>
      </w:r>
      <w:r w:rsidRPr="006B59DF">
        <w:t xml:space="preserve"> </w:t>
      </w:r>
      <w:r>
        <w:t>FCC 17-93 (July 14, 2017</w:t>
      </w:r>
      <w:r w:rsidRPr="006B59DF">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8C" w:rsidRDefault="000520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A9494D">
      <w:t>DA</w:t>
    </w:r>
    <w:r w:rsidR="00471814">
      <w:t xml:space="preserve"> 1</w:t>
    </w:r>
    <w:r w:rsidR="00AC565C">
      <w:t>7</w:t>
    </w:r>
    <w:r w:rsidR="00471814">
      <w:t>-</w:t>
    </w:r>
    <w:r w:rsidR="00AC565C">
      <w:t>945</w:t>
    </w:r>
  </w:p>
  <w:p w:rsidR="00D25FB5" w:rsidRDefault="00463A3A">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67AFEFC1" wp14:editId="638DB0B4">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87338A"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63A3A" w:rsidP="00810B6F">
    <w:pPr>
      <w:pStyle w:val="Header"/>
      <w:rPr>
        <w:b w:val="0"/>
      </w:rPr>
    </w:pPr>
    <w:r>
      <w:rPr>
        <w:noProof/>
      </w:rPr>
      <mc:AlternateContent>
        <mc:Choice Requires="wps">
          <w:drawing>
            <wp:anchor distT="0" distB="0" distL="114300" distR="114300" simplePos="0" relativeHeight="251658240" behindDoc="1" locked="0" layoutInCell="0" allowOverlap="1" wp14:anchorId="4DC0D151" wp14:editId="792AE7C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831F8E"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BA70C6">
      <w:rPr>
        <w:spacing w:val="-2"/>
      </w:rPr>
      <w:t xml:space="preserve">DA </w:t>
    </w:r>
    <w:r w:rsidR="00471814">
      <w:rPr>
        <w:spacing w:val="-2"/>
      </w:rPr>
      <w:t>1</w:t>
    </w:r>
    <w:r w:rsidR="005A7F33">
      <w:rPr>
        <w:spacing w:val="-2"/>
      </w:rPr>
      <w:t>7</w:t>
    </w:r>
    <w:r w:rsidR="00471814">
      <w:rPr>
        <w:spacing w:val="-2"/>
      </w:rPr>
      <w:t>-</w:t>
    </w:r>
    <w:r w:rsidR="00AC565C">
      <w:rPr>
        <w:spacing w:val="-2"/>
      </w:rPr>
      <w:t>945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2AC2"/>
    <w:rsid w:val="00035C08"/>
    <w:rsid w:val="00036039"/>
    <w:rsid w:val="0003777A"/>
    <w:rsid w:val="00037F90"/>
    <w:rsid w:val="000422A0"/>
    <w:rsid w:val="0005208C"/>
    <w:rsid w:val="000533F0"/>
    <w:rsid w:val="00055B9F"/>
    <w:rsid w:val="00072658"/>
    <w:rsid w:val="00083BCD"/>
    <w:rsid w:val="000875BF"/>
    <w:rsid w:val="00096D8C"/>
    <w:rsid w:val="000B377D"/>
    <w:rsid w:val="000C0B65"/>
    <w:rsid w:val="000E05FE"/>
    <w:rsid w:val="000E3D42"/>
    <w:rsid w:val="000F79C8"/>
    <w:rsid w:val="001218EA"/>
    <w:rsid w:val="00122BD5"/>
    <w:rsid w:val="00125569"/>
    <w:rsid w:val="00133F79"/>
    <w:rsid w:val="00161235"/>
    <w:rsid w:val="00170499"/>
    <w:rsid w:val="00194A66"/>
    <w:rsid w:val="0019640A"/>
    <w:rsid w:val="00197C06"/>
    <w:rsid w:val="001D6BCF"/>
    <w:rsid w:val="001E01CA"/>
    <w:rsid w:val="001E3B32"/>
    <w:rsid w:val="001E5D04"/>
    <w:rsid w:val="001F2C79"/>
    <w:rsid w:val="0024401E"/>
    <w:rsid w:val="002505A4"/>
    <w:rsid w:val="002723D4"/>
    <w:rsid w:val="00275CF5"/>
    <w:rsid w:val="0028301F"/>
    <w:rsid w:val="00285017"/>
    <w:rsid w:val="002A2D2E"/>
    <w:rsid w:val="002C00E8"/>
    <w:rsid w:val="002C1387"/>
    <w:rsid w:val="002E1D5E"/>
    <w:rsid w:val="00304408"/>
    <w:rsid w:val="00317A33"/>
    <w:rsid w:val="00343749"/>
    <w:rsid w:val="00350629"/>
    <w:rsid w:val="00355883"/>
    <w:rsid w:val="00364528"/>
    <w:rsid w:val="003660ED"/>
    <w:rsid w:val="00382E7E"/>
    <w:rsid w:val="003B0550"/>
    <w:rsid w:val="003B694F"/>
    <w:rsid w:val="003E49A9"/>
    <w:rsid w:val="003E62B8"/>
    <w:rsid w:val="003F171C"/>
    <w:rsid w:val="003F6EF4"/>
    <w:rsid w:val="00412FC5"/>
    <w:rsid w:val="00422276"/>
    <w:rsid w:val="004242F1"/>
    <w:rsid w:val="00443852"/>
    <w:rsid w:val="00445A00"/>
    <w:rsid w:val="00451B0F"/>
    <w:rsid w:val="00463A3A"/>
    <w:rsid w:val="00471814"/>
    <w:rsid w:val="00472809"/>
    <w:rsid w:val="004C2EE3"/>
    <w:rsid w:val="004D0CB7"/>
    <w:rsid w:val="004E4A22"/>
    <w:rsid w:val="00500BA7"/>
    <w:rsid w:val="0050139E"/>
    <w:rsid w:val="00511968"/>
    <w:rsid w:val="00512EC6"/>
    <w:rsid w:val="00517BAF"/>
    <w:rsid w:val="0052531F"/>
    <w:rsid w:val="0053550C"/>
    <w:rsid w:val="00543142"/>
    <w:rsid w:val="0055614C"/>
    <w:rsid w:val="005A7F33"/>
    <w:rsid w:val="005B20F4"/>
    <w:rsid w:val="005B2E19"/>
    <w:rsid w:val="005E14C2"/>
    <w:rsid w:val="005F264F"/>
    <w:rsid w:val="00607BA5"/>
    <w:rsid w:val="0061180A"/>
    <w:rsid w:val="00626EB6"/>
    <w:rsid w:val="00655D03"/>
    <w:rsid w:val="00683388"/>
    <w:rsid w:val="00683F84"/>
    <w:rsid w:val="006855A9"/>
    <w:rsid w:val="00697207"/>
    <w:rsid w:val="006A13EA"/>
    <w:rsid w:val="006A6A81"/>
    <w:rsid w:val="006B032B"/>
    <w:rsid w:val="006F7393"/>
    <w:rsid w:val="0070224F"/>
    <w:rsid w:val="007115F7"/>
    <w:rsid w:val="00730AFE"/>
    <w:rsid w:val="00731F8A"/>
    <w:rsid w:val="0077163C"/>
    <w:rsid w:val="00771F5C"/>
    <w:rsid w:val="00785689"/>
    <w:rsid w:val="00790954"/>
    <w:rsid w:val="0079754B"/>
    <w:rsid w:val="007A1E6D"/>
    <w:rsid w:val="007B0EB2"/>
    <w:rsid w:val="00810B6F"/>
    <w:rsid w:val="00822CE0"/>
    <w:rsid w:val="0082695A"/>
    <w:rsid w:val="00841AB1"/>
    <w:rsid w:val="00847748"/>
    <w:rsid w:val="00851D8C"/>
    <w:rsid w:val="00874705"/>
    <w:rsid w:val="008C68F1"/>
    <w:rsid w:val="008D6E58"/>
    <w:rsid w:val="00901B61"/>
    <w:rsid w:val="00905B9E"/>
    <w:rsid w:val="00921803"/>
    <w:rsid w:val="00926503"/>
    <w:rsid w:val="009726D8"/>
    <w:rsid w:val="009A6F1D"/>
    <w:rsid w:val="009F76DB"/>
    <w:rsid w:val="00A0707D"/>
    <w:rsid w:val="00A075B3"/>
    <w:rsid w:val="00A32C3B"/>
    <w:rsid w:val="00A45F4F"/>
    <w:rsid w:val="00A54D63"/>
    <w:rsid w:val="00A600A9"/>
    <w:rsid w:val="00A757DC"/>
    <w:rsid w:val="00A9299F"/>
    <w:rsid w:val="00A9494D"/>
    <w:rsid w:val="00AA55B7"/>
    <w:rsid w:val="00AA5B9E"/>
    <w:rsid w:val="00AB2407"/>
    <w:rsid w:val="00AB53DF"/>
    <w:rsid w:val="00AC565C"/>
    <w:rsid w:val="00AD26FC"/>
    <w:rsid w:val="00B07E5C"/>
    <w:rsid w:val="00B20A4A"/>
    <w:rsid w:val="00B2390A"/>
    <w:rsid w:val="00B33DF2"/>
    <w:rsid w:val="00B33F08"/>
    <w:rsid w:val="00B56FEB"/>
    <w:rsid w:val="00B811F7"/>
    <w:rsid w:val="00BA5510"/>
    <w:rsid w:val="00BA5DC6"/>
    <w:rsid w:val="00BA6196"/>
    <w:rsid w:val="00BA6CE1"/>
    <w:rsid w:val="00BA70C6"/>
    <w:rsid w:val="00BC6D8C"/>
    <w:rsid w:val="00C145C0"/>
    <w:rsid w:val="00C2144E"/>
    <w:rsid w:val="00C34006"/>
    <w:rsid w:val="00C35E1B"/>
    <w:rsid w:val="00C426B1"/>
    <w:rsid w:val="00C66160"/>
    <w:rsid w:val="00C721AC"/>
    <w:rsid w:val="00C73BF3"/>
    <w:rsid w:val="00C90D6A"/>
    <w:rsid w:val="00C97B51"/>
    <w:rsid w:val="00CA247E"/>
    <w:rsid w:val="00CC72B6"/>
    <w:rsid w:val="00CE1C50"/>
    <w:rsid w:val="00CF5D59"/>
    <w:rsid w:val="00D0218D"/>
    <w:rsid w:val="00D04781"/>
    <w:rsid w:val="00D17E0E"/>
    <w:rsid w:val="00D212AE"/>
    <w:rsid w:val="00D25FB5"/>
    <w:rsid w:val="00D30B90"/>
    <w:rsid w:val="00D44223"/>
    <w:rsid w:val="00DA2529"/>
    <w:rsid w:val="00DA2DC2"/>
    <w:rsid w:val="00DB130A"/>
    <w:rsid w:val="00DB2EBB"/>
    <w:rsid w:val="00DB4F21"/>
    <w:rsid w:val="00DC10A1"/>
    <w:rsid w:val="00DC655F"/>
    <w:rsid w:val="00DD0B59"/>
    <w:rsid w:val="00DD5B71"/>
    <w:rsid w:val="00DD7EBD"/>
    <w:rsid w:val="00DE230A"/>
    <w:rsid w:val="00DF62B6"/>
    <w:rsid w:val="00E07225"/>
    <w:rsid w:val="00E143EE"/>
    <w:rsid w:val="00E52026"/>
    <w:rsid w:val="00E5409F"/>
    <w:rsid w:val="00E77300"/>
    <w:rsid w:val="00E92F27"/>
    <w:rsid w:val="00EE6488"/>
    <w:rsid w:val="00F00239"/>
    <w:rsid w:val="00F021FA"/>
    <w:rsid w:val="00F36346"/>
    <w:rsid w:val="00F62E97"/>
    <w:rsid w:val="00F64209"/>
    <w:rsid w:val="00F7244C"/>
    <w:rsid w:val="00F93BF5"/>
    <w:rsid w:val="00FA7439"/>
    <w:rsid w:val="00FB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
    <w:link w:val="FootnoteTextChar"/>
    <w:rsid w:val="000E3D42"/>
    <w:pPr>
      <w:spacing w:after="120"/>
    </w:pPr>
  </w:style>
  <w:style w:type="character" w:styleId="FootnoteReference">
    <w:name w:val="footnote reference"/>
    <w:aliases w:val="Appel note de bas de p,o,fr,(NECG) Footnote Reference,Style 12,Style 124,Style 3,Style 17,FR,Style 13,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
    <w:link w:val="FootnoteText"/>
    <w:locked/>
    <w:rsid w:val="00471814"/>
  </w:style>
  <w:style w:type="character" w:customStyle="1" w:styleId="header1">
    <w:name w:val="header1"/>
    <w:rsid w:val="00471814"/>
  </w:style>
  <w:style w:type="paragraph" w:styleId="BalloonText">
    <w:name w:val="Balloon Text"/>
    <w:basedOn w:val="Normal"/>
    <w:link w:val="BalloonTextChar"/>
    <w:rsid w:val="002505A4"/>
    <w:rPr>
      <w:rFonts w:ascii="Segoe UI" w:hAnsi="Segoe UI" w:cs="Segoe UI"/>
      <w:sz w:val="18"/>
      <w:szCs w:val="18"/>
    </w:rPr>
  </w:style>
  <w:style w:type="character" w:customStyle="1" w:styleId="BalloonTextChar">
    <w:name w:val="Balloon Text Char"/>
    <w:basedOn w:val="DefaultParagraphFont"/>
    <w:link w:val="BalloonText"/>
    <w:rsid w:val="002505A4"/>
    <w:rPr>
      <w:rFonts w:ascii="Segoe UI" w:hAnsi="Segoe UI" w:cs="Segoe UI"/>
      <w:snapToGrid w:val="0"/>
      <w:kern w:val="28"/>
      <w:sz w:val="18"/>
      <w:szCs w:val="18"/>
    </w:rPr>
  </w:style>
  <w:style w:type="character" w:styleId="CommentReference">
    <w:name w:val="annotation reference"/>
    <w:basedOn w:val="DefaultParagraphFont"/>
    <w:semiHidden/>
    <w:unhideWhenUsed/>
    <w:rsid w:val="00032AC2"/>
    <w:rPr>
      <w:sz w:val="16"/>
      <w:szCs w:val="16"/>
    </w:rPr>
  </w:style>
  <w:style w:type="paragraph" w:styleId="CommentText">
    <w:name w:val="annotation text"/>
    <w:basedOn w:val="Normal"/>
    <w:link w:val="CommentTextChar"/>
    <w:semiHidden/>
    <w:unhideWhenUsed/>
    <w:rsid w:val="00032AC2"/>
    <w:rPr>
      <w:sz w:val="20"/>
    </w:rPr>
  </w:style>
  <w:style w:type="character" w:customStyle="1" w:styleId="CommentTextChar">
    <w:name w:val="Comment Text Char"/>
    <w:basedOn w:val="DefaultParagraphFont"/>
    <w:link w:val="CommentText"/>
    <w:semiHidden/>
    <w:rsid w:val="00032AC2"/>
    <w:rPr>
      <w:snapToGrid w:val="0"/>
      <w:kern w:val="28"/>
    </w:rPr>
  </w:style>
  <w:style w:type="paragraph" w:styleId="CommentSubject">
    <w:name w:val="annotation subject"/>
    <w:basedOn w:val="CommentText"/>
    <w:next w:val="CommentText"/>
    <w:link w:val="CommentSubjectChar"/>
    <w:semiHidden/>
    <w:unhideWhenUsed/>
    <w:rsid w:val="00032AC2"/>
    <w:rPr>
      <w:b/>
      <w:bCs/>
    </w:rPr>
  </w:style>
  <w:style w:type="character" w:customStyle="1" w:styleId="CommentSubjectChar">
    <w:name w:val="Comment Subject Char"/>
    <w:basedOn w:val="CommentTextChar"/>
    <w:link w:val="CommentSubject"/>
    <w:semiHidden/>
    <w:rsid w:val="00032AC2"/>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
    <w:link w:val="FootnoteTextChar"/>
    <w:rsid w:val="000E3D42"/>
    <w:pPr>
      <w:spacing w:after="120"/>
    </w:pPr>
  </w:style>
  <w:style w:type="character" w:styleId="FootnoteReference">
    <w:name w:val="footnote reference"/>
    <w:aliases w:val="Appel note de bas de p,o,fr,(NECG) Footnote Reference,Style 12,Style 124,Style 3,Style 17,FR,Style 13,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
    <w:link w:val="FootnoteText"/>
    <w:locked/>
    <w:rsid w:val="00471814"/>
  </w:style>
  <w:style w:type="character" w:customStyle="1" w:styleId="header1">
    <w:name w:val="header1"/>
    <w:rsid w:val="00471814"/>
  </w:style>
  <w:style w:type="paragraph" w:styleId="BalloonText">
    <w:name w:val="Balloon Text"/>
    <w:basedOn w:val="Normal"/>
    <w:link w:val="BalloonTextChar"/>
    <w:rsid w:val="002505A4"/>
    <w:rPr>
      <w:rFonts w:ascii="Segoe UI" w:hAnsi="Segoe UI" w:cs="Segoe UI"/>
      <w:sz w:val="18"/>
      <w:szCs w:val="18"/>
    </w:rPr>
  </w:style>
  <w:style w:type="character" w:customStyle="1" w:styleId="BalloonTextChar">
    <w:name w:val="Balloon Text Char"/>
    <w:basedOn w:val="DefaultParagraphFont"/>
    <w:link w:val="BalloonText"/>
    <w:rsid w:val="002505A4"/>
    <w:rPr>
      <w:rFonts w:ascii="Segoe UI" w:hAnsi="Segoe UI" w:cs="Segoe UI"/>
      <w:snapToGrid w:val="0"/>
      <w:kern w:val="28"/>
      <w:sz w:val="18"/>
      <w:szCs w:val="18"/>
    </w:rPr>
  </w:style>
  <w:style w:type="character" w:styleId="CommentReference">
    <w:name w:val="annotation reference"/>
    <w:basedOn w:val="DefaultParagraphFont"/>
    <w:semiHidden/>
    <w:unhideWhenUsed/>
    <w:rsid w:val="00032AC2"/>
    <w:rPr>
      <w:sz w:val="16"/>
      <w:szCs w:val="16"/>
    </w:rPr>
  </w:style>
  <w:style w:type="paragraph" w:styleId="CommentText">
    <w:name w:val="annotation text"/>
    <w:basedOn w:val="Normal"/>
    <w:link w:val="CommentTextChar"/>
    <w:semiHidden/>
    <w:unhideWhenUsed/>
    <w:rsid w:val="00032AC2"/>
    <w:rPr>
      <w:sz w:val="20"/>
    </w:rPr>
  </w:style>
  <w:style w:type="character" w:customStyle="1" w:styleId="CommentTextChar">
    <w:name w:val="Comment Text Char"/>
    <w:basedOn w:val="DefaultParagraphFont"/>
    <w:link w:val="CommentText"/>
    <w:semiHidden/>
    <w:rsid w:val="00032AC2"/>
    <w:rPr>
      <w:snapToGrid w:val="0"/>
      <w:kern w:val="28"/>
    </w:rPr>
  </w:style>
  <w:style w:type="paragraph" w:styleId="CommentSubject">
    <w:name w:val="annotation subject"/>
    <w:basedOn w:val="CommentText"/>
    <w:next w:val="CommentText"/>
    <w:link w:val="CommentSubjectChar"/>
    <w:semiHidden/>
    <w:unhideWhenUsed/>
    <w:rsid w:val="00032AC2"/>
    <w:rPr>
      <w:b/>
      <w:bCs/>
    </w:rPr>
  </w:style>
  <w:style w:type="character" w:customStyle="1" w:styleId="CommentSubjectChar">
    <w:name w:val="Comment Subject Char"/>
    <w:basedOn w:val="CommentTextChar"/>
    <w:link w:val="CommentSubject"/>
    <w:semiHidden/>
    <w:rsid w:val="00032AC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1719</Characters>
  <Application>Microsoft Office Word</Application>
  <DocSecurity>0</DocSecurity>
  <Lines>66</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2015-10-19T12:58:00Z</cp:lastPrinted>
  <dcterms:created xsi:type="dcterms:W3CDTF">2017-09-28T16:23:00Z</dcterms:created>
  <dcterms:modified xsi:type="dcterms:W3CDTF">2017-09-28T16:23:00Z</dcterms:modified>
  <cp:category> </cp:category>
  <cp:contentStatus> </cp:contentStatus>
</cp:coreProperties>
</file>