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FA41B6" w:rsidRPr="00FA41B6" w:rsidRDefault="00F01EF0" w:rsidP="00FA41B6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</w:t>
      </w:r>
      <w:r w:rsidR="00FA41B6">
        <w:rPr>
          <w:b/>
          <w:snapToGrid/>
          <w:color w:val="000000"/>
          <w:kern w:val="0"/>
          <w:sz w:val="24"/>
          <w:szCs w:val="24"/>
        </w:rPr>
        <w:t xml:space="preserve">     </w:t>
      </w:r>
      <w:r w:rsidR="001A6C9B">
        <w:rPr>
          <w:b/>
          <w:snapToGrid/>
          <w:color w:val="000000"/>
          <w:kern w:val="0"/>
          <w:sz w:val="24"/>
          <w:szCs w:val="24"/>
        </w:rPr>
        <w:t>DA 1</w:t>
      </w:r>
      <w:r w:rsidR="00442617">
        <w:rPr>
          <w:b/>
          <w:snapToGrid/>
          <w:color w:val="000000"/>
          <w:kern w:val="0"/>
          <w:sz w:val="24"/>
          <w:szCs w:val="24"/>
        </w:rPr>
        <w:t>7</w:t>
      </w:r>
      <w:r w:rsidR="001A6C9B">
        <w:rPr>
          <w:b/>
          <w:snapToGrid/>
          <w:color w:val="000000"/>
          <w:kern w:val="0"/>
          <w:sz w:val="24"/>
          <w:szCs w:val="24"/>
        </w:rPr>
        <w:t>-</w:t>
      </w:r>
      <w:r w:rsidR="00395FDB">
        <w:rPr>
          <w:b/>
          <w:snapToGrid/>
          <w:color w:val="000000"/>
          <w:kern w:val="0"/>
          <w:sz w:val="24"/>
          <w:szCs w:val="24"/>
        </w:rPr>
        <w:t>93</w:t>
      </w:r>
    </w:p>
    <w:p w:rsidR="00FA41B6" w:rsidRPr="00FA41B6" w:rsidRDefault="00442617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January </w:t>
      </w:r>
      <w:r w:rsidR="007771ED">
        <w:rPr>
          <w:b/>
          <w:snapToGrid/>
          <w:color w:val="000000"/>
          <w:kern w:val="0"/>
          <w:sz w:val="24"/>
          <w:szCs w:val="24"/>
        </w:rPr>
        <w:t>23</w:t>
      </w:r>
      <w:r w:rsidR="00FA41B6" w:rsidRPr="00FA41B6">
        <w:rPr>
          <w:b/>
          <w:snapToGrid/>
          <w:color w:val="000000"/>
          <w:kern w:val="0"/>
          <w:sz w:val="24"/>
          <w:szCs w:val="24"/>
        </w:rPr>
        <w:t>, 201</w:t>
      </w:r>
      <w:r w:rsidR="00110B50">
        <w:rPr>
          <w:b/>
          <w:snapToGrid/>
          <w:color w:val="000000"/>
          <w:kern w:val="0"/>
          <w:sz w:val="24"/>
          <w:szCs w:val="24"/>
        </w:rPr>
        <w:t>7</w:t>
      </w:r>
    </w:p>
    <w:p w:rsidR="00FA41B6" w:rsidRPr="00FA41B6" w:rsidRDefault="00FA41B6" w:rsidP="00FA41B6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 w:rsidRPr="00FA41B6"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Pr="00FA41B6"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FA41B6" w:rsidRPr="00FA41B6" w:rsidRDefault="00FA41B6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FA41B6" w:rsidRDefault="00E13452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="007771ED">
        <w:rPr>
          <w:b/>
          <w:snapToGrid/>
          <w:color w:val="000000"/>
          <w:kern w:val="0"/>
          <w:sz w:val="24"/>
          <w:szCs w:val="24"/>
        </w:rPr>
        <w:t>. 16-</w:t>
      </w:r>
      <w:r w:rsidR="00442617">
        <w:rPr>
          <w:b/>
          <w:snapToGrid/>
          <w:color w:val="000000"/>
          <w:kern w:val="0"/>
          <w:sz w:val="24"/>
          <w:szCs w:val="24"/>
        </w:rPr>
        <w:t>404</w:t>
      </w:r>
      <w:r w:rsidR="007771ED">
        <w:rPr>
          <w:b/>
          <w:snapToGrid/>
          <w:color w:val="000000"/>
          <w:kern w:val="0"/>
          <w:sz w:val="24"/>
          <w:szCs w:val="24"/>
        </w:rPr>
        <w:t>, 16-</w:t>
      </w:r>
      <w:r w:rsidR="00442617">
        <w:rPr>
          <w:b/>
          <w:snapToGrid/>
          <w:color w:val="000000"/>
          <w:kern w:val="0"/>
          <w:sz w:val="24"/>
          <w:szCs w:val="24"/>
        </w:rPr>
        <w:t>411</w:t>
      </w:r>
      <w:r w:rsidR="00327C60">
        <w:rPr>
          <w:b/>
          <w:snapToGrid/>
          <w:color w:val="000000"/>
          <w:kern w:val="0"/>
          <w:sz w:val="24"/>
          <w:szCs w:val="24"/>
        </w:rPr>
        <w:t>, 16-398</w:t>
      </w:r>
    </w:p>
    <w:p w:rsidR="00946E1C" w:rsidRDefault="00946E1C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</w:p>
    <w:p w:rsidR="00946E1C" w:rsidRPr="00946E1C" w:rsidRDefault="00FA41B6" w:rsidP="00946E1C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 w:rsidRPr="00FA41B6">
        <w:rPr>
          <w:snapToGrid/>
          <w:color w:val="000000"/>
          <w:kern w:val="0"/>
          <w:szCs w:val="22"/>
        </w:rPr>
        <w:tab/>
        <w:t>The Wireline Competition Bureau (Bureau) has granted the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 h</w:t>
      </w:r>
      <w:r w:rsidR="00946E1C">
        <w:rPr>
          <w:snapToGrid/>
          <w:color w:val="000000"/>
          <w:kern w:val="0"/>
          <w:szCs w:val="22"/>
        </w:rPr>
        <w:t>as determined that grant of these</w:t>
      </w:r>
      <w:r w:rsidRPr="00FA41B6">
        <w:rPr>
          <w:snapToGrid/>
          <w:color w:val="000000"/>
          <w:kern w:val="0"/>
          <w:szCs w:val="22"/>
        </w:rPr>
        <w:t xml:space="preserve">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serves the public interest.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2"/>
      </w:r>
      <w:r w:rsidRPr="00FA41B6"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3"/>
      </w:r>
      <w:r w:rsidRPr="00FA41B6">
        <w:rPr>
          <w:rFonts w:eastAsia="MS Mincho"/>
          <w:snapToGrid/>
          <w:color w:val="4F81BD"/>
          <w:kern w:val="0"/>
        </w:rPr>
        <w:t xml:space="preserve">  </w:t>
      </w:r>
      <w:r w:rsidRPr="00FA41B6"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F674B2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listed in this Public Notice shall be terminated, and the docket</w:t>
      </w:r>
      <w:r w:rsidR="00C12C93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will be closed.</w:t>
      </w:r>
    </w:p>
    <w:p w:rsidR="00946E1C" w:rsidRDefault="00946E1C" w:rsidP="00946E1C">
      <w:pPr>
        <w:widowControl/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</w:p>
    <w:p w:rsidR="00946E1C" w:rsidRDefault="00946E1C" w:rsidP="00442617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Domestic Section 214 Application Filed </w:t>
      </w:r>
      <w:r w:rsidR="007771ED" w:rsidRPr="007771ED">
        <w:rPr>
          <w:snapToGrid/>
          <w:kern w:val="0"/>
          <w:szCs w:val="22"/>
        </w:rPr>
        <w:t xml:space="preserve">for the </w:t>
      </w:r>
      <w:r w:rsidR="00442617" w:rsidRPr="00442617">
        <w:rPr>
          <w:snapToGrid/>
          <w:kern w:val="0"/>
          <w:szCs w:val="22"/>
        </w:rPr>
        <w:t>Acquisition of Assets of Interstate 35 Telephone Company and Southwest Telephone Exchange, Inc. by FMTC-I35, Inc., WC Docket No. 16-404</w:t>
      </w:r>
      <w:r w:rsidR="007771ED" w:rsidRPr="007771ED">
        <w:rPr>
          <w:snapToGrid/>
          <w:kern w:val="0"/>
          <w:szCs w:val="22"/>
        </w:rPr>
        <w:t xml:space="preserve">, </w:t>
      </w:r>
      <w:r>
        <w:rPr>
          <w:snapToGrid/>
          <w:kern w:val="0"/>
          <w:szCs w:val="22"/>
        </w:rPr>
        <w:t>Public Notice, DA 16-1</w:t>
      </w:r>
      <w:r w:rsidR="00442617">
        <w:rPr>
          <w:snapToGrid/>
          <w:kern w:val="0"/>
          <w:szCs w:val="22"/>
        </w:rPr>
        <w:t>418</w:t>
      </w:r>
      <w:r>
        <w:rPr>
          <w:snapToGrid/>
          <w:kern w:val="0"/>
          <w:szCs w:val="22"/>
        </w:rPr>
        <w:t xml:space="preserve"> (rel. </w:t>
      </w:r>
      <w:r w:rsidR="00442617">
        <w:rPr>
          <w:snapToGrid/>
          <w:kern w:val="0"/>
          <w:szCs w:val="22"/>
        </w:rPr>
        <w:t>Dec</w:t>
      </w:r>
      <w:r>
        <w:rPr>
          <w:snapToGrid/>
          <w:kern w:val="0"/>
          <w:szCs w:val="22"/>
        </w:rPr>
        <w:t>. 2</w:t>
      </w:r>
      <w:r w:rsidR="00442617">
        <w:rPr>
          <w:snapToGrid/>
          <w:kern w:val="0"/>
          <w:szCs w:val="22"/>
        </w:rPr>
        <w:t>0</w:t>
      </w:r>
      <w:r>
        <w:rPr>
          <w:snapToGrid/>
          <w:kern w:val="0"/>
          <w:szCs w:val="22"/>
        </w:rPr>
        <w:t xml:space="preserve">, 2016). 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946E1C" w:rsidRPr="00946E1C" w:rsidRDefault="007771ED" w:rsidP="00946E1C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110B50">
        <w:rPr>
          <w:b/>
          <w:bCs/>
          <w:snapToGrid/>
          <w:color w:val="000000"/>
          <w:kern w:val="0"/>
          <w:szCs w:val="22"/>
          <w:lang w:eastAsia="ja-JP"/>
        </w:rPr>
        <w:t>January</w:t>
      </w: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 2</w:t>
      </w:r>
      <w:r w:rsidR="00442617">
        <w:rPr>
          <w:b/>
          <w:bCs/>
          <w:snapToGrid/>
          <w:color w:val="000000"/>
          <w:kern w:val="0"/>
          <w:szCs w:val="22"/>
          <w:lang w:eastAsia="ja-JP"/>
        </w:rPr>
        <w:t>0</w:t>
      </w:r>
      <w:r w:rsidR="00946E1C" w:rsidRPr="00FA41B6">
        <w:rPr>
          <w:b/>
          <w:bCs/>
          <w:snapToGrid/>
          <w:color w:val="000000"/>
          <w:kern w:val="0"/>
          <w:szCs w:val="22"/>
          <w:lang w:eastAsia="ja-JP"/>
        </w:rPr>
        <w:t>, 201</w:t>
      </w:r>
      <w:r w:rsidR="00110B50">
        <w:rPr>
          <w:b/>
          <w:bCs/>
          <w:snapToGrid/>
          <w:color w:val="000000"/>
          <w:kern w:val="0"/>
          <w:szCs w:val="22"/>
          <w:lang w:eastAsia="ja-JP"/>
        </w:rPr>
        <w:t>7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5E4F0B" w:rsidRDefault="00E13452" w:rsidP="00442617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t xml:space="preserve">Domestic Section 214 </w:t>
      </w:r>
      <w:r w:rsidR="000F4BA1">
        <w:rPr>
          <w:snapToGrid/>
          <w:kern w:val="0"/>
          <w:szCs w:val="22"/>
        </w:rPr>
        <w:t xml:space="preserve">Application Filed </w:t>
      </w:r>
      <w:r w:rsidR="00442617">
        <w:rPr>
          <w:snapToGrid/>
          <w:kern w:val="0"/>
          <w:szCs w:val="22"/>
        </w:rPr>
        <w:t xml:space="preserve">for the </w:t>
      </w:r>
      <w:r w:rsidR="00442617" w:rsidRPr="00442617">
        <w:rPr>
          <w:snapToGrid/>
          <w:kern w:val="0"/>
          <w:szCs w:val="22"/>
        </w:rPr>
        <w:t>Transfer of Control of Accipiter Communications, Inc.</w:t>
      </w:r>
      <w:r w:rsidR="005E4F0B">
        <w:rPr>
          <w:snapToGrid/>
          <w:kern w:val="0"/>
          <w:szCs w:val="22"/>
        </w:rPr>
        <w:t xml:space="preserve"> (Debtor-in-Possession)</w:t>
      </w:r>
      <w:r w:rsidR="00442617" w:rsidRPr="00442617">
        <w:rPr>
          <w:snapToGrid/>
          <w:kern w:val="0"/>
          <w:szCs w:val="22"/>
        </w:rPr>
        <w:t xml:space="preserve"> to Pinpoint Holdings, Inc., </w:t>
      </w:r>
    </w:p>
    <w:p w:rsidR="00E13452" w:rsidRDefault="00442617" w:rsidP="00442617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442617">
        <w:rPr>
          <w:snapToGrid/>
          <w:kern w:val="0"/>
          <w:szCs w:val="22"/>
        </w:rPr>
        <w:t>WC Docket No. 16-411</w:t>
      </w:r>
      <w:r w:rsidR="00170710" w:rsidRPr="00525279">
        <w:rPr>
          <w:szCs w:val="22"/>
        </w:rPr>
        <w:t xml:space="preserve">, </w:t>
      </w:r>
      <w:r w:rsidR="00E13452">
        <w:rPr>
          <w:snapToGrid/>
          <w:kern w:val="0"/>
          <w:szCs w:val="22"/>
        </w:rPr>
        <w:t>Public Notice, DA 16-</w:t>
      </w:r>
      <w:r w:rsidR="0036047B">
        <w:rPr>
          <w:snapToGrid/>
          <w:kern w:val="0"/>
          <w:szCs w:val="22"/>
        </w:rPr>
        <w:t>1</w:t>
      </w:r>
      <w:r>
        <w:rPr>
          <w:snapToGrid/>
          <w:kern w:val="0"/>
          <w:szCs w:val="22"/>
        </w:rPr>
        <w:t>434</w:t>
      </w:r>
      <w:r w:rsidR="00E13452">
        <w:rPr>
          <w:snapToGrid/>
          <w:kern w:val="0"/>
          <w:szCs w:val="22"/>
        </w:rPr>
        <w:t xml:space="preserve"> (rel.</w:t>
      </w:r>
      <w:r w:rsidR="0024303F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>Dec</w:t>
      </w:r>
      <w:r w:rsidR="00170710">
        <w:rPr>
          <w:snapToGrid/>
          <w:kern w:val="0"/>
          <w:szCs w:val="22"/>
        </w:rPr>
        <w:t xml:space="preserve">. </w:t>
      </w:r>
      <w:r w:rsidR="0036047B">
        <w:rPr>
          <w:snapToGrid/>
          <w:kern w:val="0"/>
          <w:szCs w:val="22"/>
        </w:rPr>
        <w:t>2</w:t>
      </w:r>
      <w:r>
        <w:rPr>
          <w:snapToGrid/>
          <w:kern w:val="0"/>
          <w:szCs w:val="22"/>
        </w:rPr>
        <w:t>1</w:t>
      </w:r>
      <w:r w:rsidR="00E13452" w:rsidRPr="00E13452">
        <w:rPr>
          <w:snapToGrid/>
          <w:kern w:val="0"/>
          <w:szCs w:val="22"/>
        </w:rPr>
        <w:t>, 2016).</w:t>
      </w:r>
      <w:r w:rsidR="00117137">
        <w:rPr>
          <w:snapToGrid/>
          <w:kern w:val="0"/>
          <w:szCs w:val="22"/>
        </w:rPr>
        <w:t xml:space="preserve">  </w:t>
      </w:r>
    </w:p>
    <w:p w:rsidR="00FA614F" w:rsidRPr="00FA41B6" w:rsidRDefault="00FA614F" w:rsidP="00E13452">
      <w:pPr>
        <w:widowControl/>
      </w:pPr>
    </w:p>
    <w:p w:rsidR="00FA41B6" w:rsidRDefault="00E13452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</w:t>
      </w:r>
      <w:r w:rsidR="007771ED">
        <w:rPr>
          <w:b/>
          <w:bCs/>
          <w:snapToGrid/>
          <w:color w:val="000000"/>
          <w:kern w:val="0"/>
          <w:szCs w:val="22"/>
          <w:lang w:eastAsia="ja-JP"/>
        </w:rPr>
        <w:t xml:space="preserve"> </w:t>
      </w:r>
      <w:r w:rsidR="00110B50">
        <w:rPr>
          <w:b/>
          <w:bCs/>
          <w:snapToGrid/>
          <w:color w:val="000000"/>
          <w:kern w:val="0"/>
          <w:szCs w:val="22"/>
          <w:lang w:eastAsia="ja-JP"/>
        </w:rPr>
        <w:t>January</w:t>
      </w:r>
      <w:r w:rsidR="007771ED">
        <w:rPr>
          <w:b/>
          <w:bCs/>
          <w:snapToGrid/>
          <w:color w:val="000000"/>
          <w:kern w:val="0"/>
          <w:szCs w:val="22"/>
          <w:lang w:eastAsia="ja-JP"/>
        </w:rPr>
        <w:t xml:space="preserve"> 2</w:t>
      </w:r>
      <w:r w:rsidR="00442617">
        <w:rPr>
          <w:b/>
          <w:bCs/>
          <w:snapToGrid/>
          <w:color w:val="000000"/>
          <w:kern w:val="0"/>
          <w:szCs w:val="22"/>
          <w:lang w:eastAsia="ja-JP"/>
        </w:rPr>
        <w:t>1</w:t>
      </w:r>
      <w:r w:rsidR="00FA41B6" w:rsidRPr="00FA41B6">
        <w:rPr>
          <w:b/>
          <w:bCs/>
          <w:snapToGrid/>
          <w:color w:val="000000"/>
          <w:kern w:val="0"/>
          <w:szCs w:val="22"/>
          <w:lang w:eastAsia="ja-JP"/>
        </w:rPr>
        <w:t>, 201</w:t>
      </w:r>
      <w:r w:rsidR="00110B50">
        <w:rPr>
          <w:b/>
          <w:bCs/>
          <w:snapToGrid/>
          <w:color w:val="000000"/>
          <w:kern w:val="0"/>
          <w:szCs w:val="22"/>
          <w:lang w:eastAsia="ja-JP"/>
        </w:rPr>
        <w:t>7</w:t>
      </w:r>
    </w:p>
    <w:p w:rsidR="00327C60" w:rsidRDefault="00327C60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E4F0B" w:rsidRDefault="00327C60" w:rsidP="00327C60">
      <w:pPr>
        <w:widowControl/>
        <w:autoSpaceDE w:val="0"/>
        <w:autoSpaceDN w:val="0"/>
        <w:adjustRightInd w:val="0"/>
        <w:ind w:left="720" w:right="144"/>
        <w:rPr>
          <w:bCs/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t xml:space="preserve">Domestic Section 214 </w:t>
      </w:r>
      <w:r>
        <w:rPr>
          <w:snapToGrid/>
          <w:kern w:val="0"/>
          <w:szCs w:val="22"/>
        </w:rPr>
        <w:t xml:space="preserve">Application Filed for the </w:t>
      </w:r>
      <w:r w:rsidRPr="00327C60">
        <w:rPr>
          <w:bCs/>
          <w:snapToGrid/>
          <w:kern w:val="0"/>
          <w:szCs w:val="22"/>
        </w:rPr>
        <w:t xml:space="preserve">Transfer of Control of </w:t>
      </w:r>
    </w:p>
    <w:p w:rsidR="005E4F0B" w:rsidRDefault="00327C60" w:rsidP="00327C60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327C60">
        <w:rPr>
          <w:bCs/>
          <w:snapToGrid/>
          <w:kern w:val="0"/>
          <w:szCs w:val="22"/>
        </w:rPr>
        <w:t>Lynx Network Group, Inc. to Everstream GLC Holding Company, LLC</w:t>
      </w:r>
      <w:r w:rsidRPr="00442617">
        <w:rPr>
          <w:snapToGrid/>
          <w:kern w:val="0"/>
          <w:szCs w:val="22"/>
        </w:rPr>
        <w:t xml:space="preserve">, </w:t>
      </w:r>
    </w:p>
    <w:p w:rsidR="00327C60" w:rsidRPr="00327C60" w:rsidRDefault="00327C60" w:rsidP="00327C60">
      <w:pPr>
        <w:widowControl/>
        <w:autoSpaceDE w:val="0"/>
        <w:autoSpaceDN w:val="0"/>
        <w:adjustRightInd w:val="0"/>
        <w:ind w:left="720" w:right="144"/>
        <w:rPr>
          <w:bCs/>
          <w:snapToGrid/>
          <w:kern w:val="0"/>
          <w:szCs w:val="22"/>
        </w:rPr>
      </w:pPr>
      <w:r w:rsidRPr="00327C60">
        <w:rPr>
          <w:snapToGrid/>
          <w:kern w:val="0"/>
          <w:szCs w:val="22"/>
        </w:rPr>
        <w:t>WC Docket No. 16-398</w:t>
      </w:r>
      <w:r w:rsidRPr="00525279">
        <w:rPr>
          <w:szCs w:val="22"/>
        </w:rPr>
        <w:t xml:space="preserve">, </w:t>
      </w:r>
      <w:r>
        <w:rPr>
          <w:snapToGrid/>
          <w:kern w:val="0"/>
          <w:szCs w:val="22"/>
        </w:rPr>
        <w:t>Public Notice, DA 16-1445 (rel. Dec. 22</w:t>
      </w:r>
      <w:r w:rsidRPr="00E13452">
        <w:rPr>
          <w:snapToGrid/>
          <w:kern w:val="0"/>
          <w:szCs w:val="22"/>
        </w:rPr>
        <w:t>, 2016).</w:t>
      </w:r>
      <w:r>
        <w:rPr>
          <w:snapToGrid/>
          <w:kern w:val="0"/>
          <w:szCs w:val="22"/>
        </w:rPr>
        <w:t xml:space="preserve">  </w:t>
      </w:r>
    </w:p>
    <w:p w:rsidR="00327C60" w:rsidRPr="00FA41B6" w:rsidRDefault="00327C60" w:rsidP="00327C60">
      <w:pPr>
        <w:widowControl/>
      </w:pPr>
    </w:p>
    <w:p w:rsidR="00327C60" w:rsidRDefault="00327C60" w:rsidP="00327C60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January 22,</w:t>
      </w:r>
      <w:r w:rsidRPr="00FA41B6">
        <w:rPr>
          <w:b/>
          <w:bCs/>
          <w:snapToGrid/>
          <w:color w:val="000000"/>
          <w:kern w:val="0"/>
          <w:szCs w:val="22"/>
          <w:lang w:eastAsia="ja-JP"/>
        </w:rPr>
        <w:t xml:space="preserve"> 201</w:t>
      </w:r>
      <w:r>
        <w:rPr>
          <w:b/>
          <w:bCs/>
          <w:snapToGrid/>
          <w:color w:val="000000"/>
          <w:kern w:val="0"/>
          <w:szCs w:val="22"/>
          <w:lang w:eastAsia="ja-JP"/>
        </w:rPr>
        <w:t>7</w:t>
      </w:r>
    </w:p>
    <w:p w:rsidR="007771ED" w:rsidRDefault="007771ED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7771ED" w:rsidRDefault="007771ED" w:rsidP="007771ED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7771ED" w:rsidRDefault="007771ED" w:rsidP="007771ED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  <w:r w:rsidRPr="00FA41B6">
        <w:rPr>
          <w:snapToGrid/>
          <w:kern w:val="0"/>
        </w:rPr>
        <w:lastRenderedPageBreak/>
        <w:t>For further informati</w:t>
      </w:r>
      <w:r w:rsidR="008379CF">
        <w:rPr>
          <w:snapToGrid/>
          <w:kern w:val="0"/>
        </w:rPr>
        <w:t xml:space="preserve">on, please contact </w:t>
      </w:r>
      <w:r w:rsidR="0024303F">
        <w:rPr>
          <w:snapToGrid/>
          <w:kern w:val="0"/>
        </w:rPr>
        <w:t>Myrva Freeman</w:t>
      </w:r>
      <w:r w:rsidR="008379CF">
        <w:rPr>
          <w:snapToGrid/>
          <w:kern w:val="0"/>
        </w:rPr>
        <w:t xml:space="preserve"> at (202) 418-1</w:t>
      </w:r>
      <w:r w:rsidR="0024303F">
        <w:rPr>
          <w:snapToGrid/>
          <w:kern w:val="0"/>
        </w:rPr>
        <w:t>506</w:t>
      </w:r>
      <w:r w:rsidR="005E4F0B">
        <w:rPr>
          <w:snapToGrid/>
          <w:kern w:val="0"/>
        </w:rPr>
        <w:t>,</w:t>
      </w:r>
      <w:r w:rsidRPr="00FA41B6">
        <w:rPr>
          <w:snapToGrid/>
          <w:kern w:val="0"/>
        </w:rPr>
        <w:t xml:space="preserve"> </w:t>
      </w:r>
      <w:r w:rsidR="0024303F">
        <w:rPr>
          <w:snapToGrid/>
          <w:kern w:val="0"/>
        </w:rPr>
        <w:t>Gregory Kwan</w:t>
      </w:r>
      <w:r w:rsidR="00F01EF0">
        <w:rPr>
          <w:snapToGrid/>
          <w:kern w:val="0"/>
        </w:rPr>
        <w:t xml:space="preserve"> </w:t>
      </w:r>
      <w:r w:rsidR="0024303F">
        <w:rPr>
          <w:snapToGrid/>
          <w:kern w:val="0"/>
          <w:szCs w:val="22"/>
        </w:rPr>
        <w:t>at (202) 418-1191</w:t>
      </w:r>
      <w:r w:rsidRPr="00FA41B6">
        <w:rPr>
          <w:snapToGrid/>
          <w:kern w:val="0"/>
        </w:rPr>
        <w:t xml:space="preserve">, </w:t>
      </w:r>
      <w:r w:rsidR="005E4F0B">
        <w:rPr>
          <w:snapToGrid/>
          <w:kern w:val="0"/>
        </w:rPr>
        <w:t xml:space="preserve">or Dennis Johnson at (202) 418-0809, </w:t>
      </w:r>
      <w:r w:rsidRPr="00FA41B6">
        <w:rPr>
          <w:snapToGrid/>
          <w:kern w:val="0"/>
        </w:rPr>
        <w:t>Competition Policy Division, Wireline Competition Bureau.</w:t>
      </w: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</w:p>
    <w:p w:rsidR="00FA41B6" w:rsidRPr="00FA41B6" w:rsidRDefault="00FA41B6" w:rsidP="00FA41B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A41B6">
        <w:rPr>
          <w:snapToGrid/>
          <w:color w:val="000000"/>
          <w:kern w:val="0"/>
          <w:szCs w:val="22"/>
        </w:rPr>
        <w:t>-FCC-</w:t>
      </w:r>
    </w:p>
    <w:p w:rsidR="00FA41B6" w:rsidRPr="00FA41B6" w:rsidRDefault="00FA41B6" w:rsidP="00FA41B6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6A1F49" w:rsidRDefault="006A1F49" w:rsidP="00FA41B6">
      <w:pPr>
        <w:jc w:val="right"/>
        <w:rPr>
          <w:sz w:val="24"/>
        </w:rPr>
      </w:pPr>
    </w:p>
    <w:sectPr w:rsidR="006A1F49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7" w:rsidRDefault="00442617">
      <w:pPr>
        <w:spacing w:line="20" w:lineRule="exact"/>
      </w:pPr>
    </w:p>
  </w:endnote>
  <w:endnote w:type="continuationSeparator" w:id="0">
    <w:p w:rsidR="00442617" w:rsidRDefault="00442617">
      <w:r>
        <w:t xml:space="preserve"> </w:t>
      </w:r>
    </w:p>
  </w:endnote>
  <w:endnote w:type="continuationNotice" w:id="1">
    <w:p w:rsidR="00442617" w:rsidRDefault="004426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17" w:rsidRDefault="00442617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42617" w:rsidRDefault="00442617">
    <w:pPr>
      <w:pStyle w:val="Footer"/>
    </w:pPr>
  </w:p>
  <w:p w:rsidR="00442617" w:rsidRDefault="004426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17" w:rsidRDefault="00442617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E1768">
      <w:rPr>
        <w:noProof/>
      </w:rPr>
      <w:t>2</w:t>
    </w:r>
    <w:r>
      <w:fldChar w:fldCharType="end"/>
    </w:r>
  </w:p>
  <w:p w:rsidR="00442617" w:rsidRDefault="00442617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17" w:rsidRDefault="00442617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7" w:rsidRDefault="00442617">
      <w:r>
        <w:separator/>
      </w:r>
    </w:p>
  </w:footnote>
  <w:footnote w:type="continuationSeparator" w:id="0">
    <w:p w:rsidR="00442617" w:rsidRDefault="0044261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442617" w:rsidRDefault="0044261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442617" w:rsidRDefault="00442617" w:rsidP="00FA41B6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3">
    <w:p w:rsidR="00442617" w:rsidRDefault="00442617" w:rsidP="00FA41B6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56" w:rsidRDefault="006A1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56" w:rsidRDefault="006A1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17" w:rsidRPr="00B338A9" w:rsidRDefault="003E1768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.5pt;margin-top:58.35pt;width:244.8pt;height:50.4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<v:textbox>
            <w:txbxContent>
              <w:p w:rsidR="00442617" w:rsidRDefault="00442617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442617" w:rsidRDefault="00442617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442617" w:rsidRDefault="00442617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fcc_logo" style="position:absolute;margin-left:-51.25pt;margin-top:10.75pt;width:41.75pt;height:41.75pt;z-index:251659264;visibility:visible" o:allowincell="f">
          <v:imagedata r:id="rId1" o:title="fcc_logo"/>
          <w10:wrap type="topAndBottom"/>
        </v:shape>
      </w:pict>
    </w:r>
    <w:r w:rsidR="00442617" w:rsidRPr="00B338A9">
      <w:t>PUBLIC NOTICE</w:t>
    </w:r>
  </w:p>
  <w:p w:rsidR="00442617" w:rsidRDefault="003E1768" w:rsidP="00B338A9">
    <w:pPr>
      <w:pStyle w:val="Header"/>
    </w:pPr>
    <w:r>
      <w:rPr>
        <w:noProof/>
      </w:rPr>
      <w:pict>
        <v:line id="Line 4" o:spid="_x0000_s2050" style="position:absolute;z-index:251657216;visibility:visible;mso-position-horizontal:right;mso-position-horizontal-relative:margin" from="13754.4pt,56.7pt" to="14222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49" type="#_x0000_t202" style="position:absolute;margin-left:263.25pt;margin-top:14.05pt;width:207.9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442617" w:rsidRDefault="00442617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442617" w:rsidRDefault="00442617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 w:rsidR="003E1768">
                  <w:rPr>
                    <w:rFonts w:ascii="Arial" w:hAnsi="Arial"/>
                    <w:b/>
                    <w:sz w:val="16"/>
                  </w:rPr>
                  <w:instrText>HYPERLINK "https://www.fcc.gov/"</w:instrText>
                </w:r>
                <w:r w:rsidR="003E1768">
                  <w:rPr>
                    <w:rFonts w:ascii="Arial" w:hAnsi="Arial"/>
                    <w:b/>
                    <w:sz w:val="16"/>
                  </w:rPr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442617" w:rsidRDefault="00442617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67728D"/>
    <w:multiLevelType w:val="hybridMultilevel"/>
    <w:tmpl w:val="BC02266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D1673"/>
    <w:multiLevelType w:val="hybridMultilevel"/>
    <w:tmpl w:val="6098423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D24D9"/>
    <w:multiLevelType w:val="hybridMultilevel"/>
    <w:tmpl w:val="DB2846A4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B6"/>
    <w:rsid w:val="00036039"/>
    <w:rsid w:val="00037F90"/>
    <w:rsid w:val="000875BF"/>
    <w:rsid w:val="00096D8C"/>
    <w:rsid w:val="000C0B65"/>
    <w:rsid w:val="000E05FE"/>
    <w:rsid w:val="000E3D42"/>
    <w:rsid w:val="000F4BA1"/>
    <w:rsid w:val="00110B50"/>
    <w:rsid w:val="00117137"/>
    <w:rsid w:val="00122BD5"/>
    <w:rsid w:val="00133F79"/>
    <w:rsid w:val="0015589F"/>
    <w:rsid w:val="00170710"/>
    <w:rsid w:val="00175025"/>
    <w:rsid w:val="00194A66"/>
    <w:rsid w:val="001A6C9B"/>
    <w:rsid w:val="001D6BCF"/>
    <w:rsid w:val="001D6F51"/>
    <w:rsid w:val="001E01CA"/>
    <w:rsid w:val="0024303F"/>
    <w:rsid w:val="00275CF5"/>
    <w:rsid w:val="0028301F"/>
    <w:rsid w:val="00285017"/>
    <w:rsid w:val="002A2D2E"/>
    <w:rsid w:val="002C00E8"/>
    <w:rsid w:val="002F6B53"/>
    <w:rsid w:val="00327C60"/>
    <w:rsid w:val="00343749"/>
    <w:rsid w:val="0034763D"/>
    <w:rsid w:val="0036047B"/>
    <w:rsid w:val="003660ED"/>
    <w:rsid w:val="00370A85"/>
    <w:rsid w:val="00395FDB"/>
    <w:rsid w:val="003B0550"/>
    <w:rsid w:val="003B694F"/>
    <w:rsid w:val="003E1768"/>
    <w:rsid w:val="003F171C"/>
    <w:rsid w:val="00412FC5"/>
    <w:rsid w:val="00422276"/>
    <w:rsid w:val="004242F1"/>
    <w:rsid w:val="00425A43"/>
    <w:rsid w:val="00442617"/>
    <w:rsid w:val="00445A00"/>
    <w:rsid w:val="00446BB9"/>
    <w:rsid w:val="00451B0F"/>
    <w:rsid w:val="004C2EE3"/>
    <w:rsid w:val="004E4A22"/>
    <w:rsid w:val="004E63D8"/>
    <w:rsid w:val="004E6EF6"/>
    <w:rsid w:val="00511968"/>
    <w:rsid w:val="0055614C"/>
    <w:rsid w:val="005701C7"/>
    <w:rsid w:val="005B4B72"/>
    <w:rsid w:val="005E14C2"/>
    <w:rsid w:val="005E4F0B"/>
    <w:rsid w:val="00607BA5"/>
    <w:rsid w:val="0061180A"/>
    <w:rsid w:val="00622AE6"/>
    <w:rsid w:val="00626EB6"/>
    <w:rsid w:val="00655D03"/>
    <w:rsid w:val="00683388"/>
    <w:rsid w:val="00683F84"/>
    <w:rsid w:val="00685754"/>
    <w:rsid w:val="006952AD"/>
    <w:rsid w:val="006A1356"/>
    <w:rsid w:val="006A1F49"/>
    <w:rsid w:val="006A6A81"/>
    <w:rsid w:val="006B1456"/>
    <w:rsid w:val="006B4935"/>
    <w:rsid w:val="006F7393"/>
    <w:rsid w:val="0070224F"/>
    <w:rsid w:val="007115F7"/>
    <w:rsid w:val="00747605"/>
    <w:rsid w:val="00754062"/>
    <w:rsid w:val="00771228"/>
    <w:rsid w:val="007771ED"/>
    <w:rsid w:val="00785689"/>
    <w:rsid w:val="0079754B"/>
    <w:rsid w:val="007A1E6D"/>
    <w:rsid w:val="007B0EB2"/>
    <w:rsid w:val="007F413A"/>
    <w:rsid w:val="00810B6F"/>
    <w:rsid w:val="00822CE0"/>
    <w:rsid w:val="008379CF"/>
    <w:rsid w:val="00841AB1"/>
    <w:rsid w:val="00850B1B"/>
    <w:rsid w:val="00886DF1"/>
    <w:rsid w:val="008C68F1"/>
    <w:rsid w:val="00921803"/>
    <w:rsid w:val="00926503"/>
    <w:rsid w:val="00946E1C"/>
    <w:rsid w:val="00955F8C"/>
    <w:rsid w:val="009726D8"/>
    <w:rsid w:val="009D4905"/>
    <w:rsid w:val="009D69B9"/>
    <w:rsid w:val="009F76DB"/>
    <w:rsid w:val="00A10C68"/>
    <w:rsid w:val="00A22AD1"/>
    <w:rsid w:val="00A27507"/>
    <w:rsid w:val="00A32C3B"/>
    <w:rsid w:val="00A45F4F"/>
    <w:rsid w:val="00A46DE2"/>
    <w:rsid w:val="00A600A9"/>
    <w:rsid w:val="00A860CD"/>
    <w:rsid w:val="00AA55B7"/>
    <w:rsid w:val="00AA5B9E"/>
    <w:rsid w:val="00AB09F7"/>
    <w:rsid w:val="00AB2407"/>
    <w:rsid w:val="00AB53DF"/>
    <w:rsid w:val="00AC424B"/>
    <w:rsid w:val="00AF46DC"/>
    <w:rsid w:val="00B03904"/>
    <w:rsid w:val="00B07E5C"/>
    <w:rsid w:val="00B20363"/>
    <w:rsid w:val="00B338A9"/>
    <w:rsid w:val="00B3746E"/>
    <w:rsid w:val="00B679AB"/>
    <w:rsid w:val="00B767AC"/>
    <w:rsid w:val="00B76DB8"/>
    <w:rsid w:val="00B811F7"/>
    <w:rsid w:val="00BA5DC6"/>
    <w:rsid w:val="00BA6196"/>
    <w:rsid w:val="00BC4F68"/>
    <w:rsid w:val="00BC6D8C"/>
    <w:rsid w:val="00BF476E"/>
    <w:rsid w:val="00C12C93"/>
    <w:rsid w:val="00C34006"/>
    <w:rsid w:val="00C426B1"/>
    <w:rsid w:val="00C66160"/>
    <w:rsid w:val="00C721AC"/>
    <w:rsid w:val="00C90D6A"/>
    <w:rsid w:val="00CA247E"/>
    <w:rsid w:val="00CC1B9C"/>
    <w:rsid w:val="00CC72B6"/>
    <w:rsid w:val="00CC776F"/>
    <w:rsid w:val="00CE5154"/>
    <w:rsid w:val="00D0218D"/>
    <w:rsid w:val="00D25FB5"/>
    <w:rsid w:val="00D411C6"/>
    <w:rsid w:val="00D44223"/>
    <w:rsid w:val="00D47505"/>
    <w:rsid w:val="00DA2529"/>
    <w:rsid w:val="00DA5C0A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3452"/>
    <w:rsid w:val="00E478A6"/>
    <w:rsid w:val="00E5409F"/>
    <w:rsid w:val="00E6507A"/>
    <w:rsid w:val="00E71A21"/>
    <w:rsid w:val="00E7226C"/>
    <w:rsid w:val="00EB4ACC"/>
    <w:rsid w:val="00EE6488"/>
    <w:rsid w:val="00F01EF0"/>
    <w:rsid w:val="00F021FA"/>
    <w:rsid w:val="00F355D8"/>
    <w:rsid w:val="00F62E97"/>
    <w:rsid w:val="00F64209"/>
    <w:rsid w:val="00F674B2"/>
    <w:rsid w:val="00F857F8"/>
    <w:rsid w:val="00F8591E"/>
    <w:rsid w:val="00F93BF5"/>
    <w:rsid w:val="00F95A6B"/>
    <w:rsid w:val="00FA41B6"/>
    <w:rsid w:val="00FA614F"/>
    <w:rsid w:val="00FA7770"/>
    <w:rsid w:val="00FB1C7B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cey.Wilson\AppData\Local\Microsoft\Windows\Temporary%20Internet%20Files\Content.MSO\203182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20318249</Template>
  <TotalTime>0</TotalTime>
  <Pages>2</Pages>
  <Words>276</Words>
  <Characters>1575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1860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2017-01-23T14:53:00Z</dcterms:created>
  <dcterms:modified xsi:type="dcterms:W3CDTF">2017-01-23T14:53:00Z</dcterms:modified>
  <cp:category> </cp:category>
  <cp:contentStatus> </cp:contentStatus>
</cp:coreProperties>
</file>