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FA19A2" w:rsidP="00B338A9">
      <w:pPr>
        <w:spacing w:before="120" w:after="240"/>
        <w:rPr>
          <w:b/>
          <w:sz w:val="24"/>
        </w:rPr>
      </w:pPr>
      <w:bookmarkStart w:id="0" w:name="_GoBack"/>
      <w:bookmarkEnd w:id="0"/>
      <w:r>
        <w:rPr>
          <w:b/>
          <w:sz w:val="24"/>
        </w:rPr>
        <w:t xml:space="preserve"> </w:t>
      </w:r>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1C3917">
        <w:rPr>
          <w:b/>
          <w:color w:val="000000"/>
        </w:rPr>
        <w:t>DA 17</w:t>
      </w:r>
      <w:r w:rsidR="004F7405" w:rsidRPr="004F7405">
        <w:rPr>
          <w:b/>
          <w:color w:val="000000"/>
        </w:rPr>
        <w:t>-</w:t>
      </w:r>
      <w:r w:rsidR="001C3917">
        <w:rPr>
          <w:b/>
          <w:color w:val="000000"/>
        </w:rPr>
        <w:t>92</w:t>
      </w:r>
    </w:p>
    <w:p w:rsidR="004F7405" w:rsidRPr="004F7405" w:rsidRDefault="00F56017" w:rsidP="004F7405">
      <w:pPr>
        <w:widowControl/>
        <w:suppressAutoHyphens/>
        <w:spacing w:after="240"/>
        <w:jc w:val="right"/>
        <w:rPr>
          <w:b/>
          <w:color w:val="000000"/>
        </w:rPr>
      </w:pPr>
      <w:r>
        <w:rPr>
          <w:b/>
          <w:color w:val="000000"/>
        </w:rPr>
        <w:t xml:space="preserve">Released:  January </w:t>
      </w:r>
      <w:r w:rsidR="009E4BD0">
        <w:rPr>
          <w:b/>
          <w:color w:val="000000"/>
        </w:rPr>
        <w:t>19</w:t>
      </w:r>
      <w:r>
        <w:rPr>
          <w:b/>
          <w:color w:val="000000"/>
        </w:rPr>
        <w:t>, 2017</w:t>
      </w:r>
    </w:p>
    <w:p w:rsidR="00513791" w:rsidRPr="00513791" w:rsidRDefault="00513791" w:rsidP="00513791">
      <w:pPr>
        <w:widowControl/>
        <w:jc w:val="center"/>
        <w:rPr>
          <w:b/>
          <w:bCs/>
          <w:snapToGrid/>
          <w:kern w:val="0"/>
          <w:szCs w:val="22"/>
        </w:rPr>
      </w:pPr>
      <w:r w:rsidRPr="00513791">
        <w:rPr>
          <w:b/>
          <w:bCs/>
          <w:snapToGrid/>
          <w:kern w:val="0"/>
          <w:szCs w:val="22"/>
        </w:rPr>
        <w:t xml:space="preserve">DOMESTIC </w:t>
      </w:r>
      <w:r w:rsidR="00A226C7">
        <w:rPr>
          <w:b/>
          <w:bCs/>
          <w:snapToGrid/>
          <w:kern w:val="0"/>
          <w:szCs w:val="22"/>
        </w:rPr>
        <w:t xml:space="preserve">AND INTERNATIONAL </w:t>
      </w:r>
      <w:r w:rsidRPr="00513791">
        <w:rPr>
          <w:b/>
          <w:bCs/>
          <w:snapToGrid/>
          <w:kern w:val="0"/>
          <w:szCs w:val="22"/>
        </w:rPr>
        <w:t>SECTION 214 APPLICATION</w:t>
      </w:r>
      <w:r w:rsidR="00A46097">
        <w:rPr>
          <w:b/>
          <w:bCs/>
          <w:snapToGrid/>
          <w:kern w:val="0"/>
          <w:szCs w:val="22"/>
        </w:rPr>
        <w:t>S</w:t>
      </w:r>
      <w:r w:rsidRPr="00513791">
        <w:rPr>
          <w:b/>
          <w:bCs/>
          <w:snapToGrid/>
          <w:kern w:val="0"/>
          <w:szCs w:val="22"/>
        </w:rPr>
        <w:t xml:space="preserve"> </w:t>
      </w:r>
      <w:r>
        <w:rPr>
          <w:b/>
          <w:bCs/>
          <w:snapToGrid/>
          <w:kern w:val="0"/>
          <w:szCs w:val="22"/>
        </w:rPr>
        <w:t xml:space="preserve">GRANTED </w:t>
      </w:r>
      <w:r w:rsidRPr="00513791">
        <w:rPr>
          <w:b/>
          <w:bCs/>
          <w:snapToGrid/>
          <w:kern w:val="0"/>
          <w:szCs w:val="22"/>
        </w:rPr>
        <w:t xml:space="preserve">FOR THE </w:t>
      </w:r>
    </w:p>
    <w:p w:rsidR="00102EFB" w:rsidRDefault="00513791" w:rsidP="00102EFB">
      <w:pPr>
        <w:widowControl/>
        <w:jc w:val="center"/>
        <w:rPr>
          <w:b/>
          <w:bCs/>
          <w:snapToGrid/>
          <w:kern w:val="0"/>
          <w:szCs w:val="22"/>
        </w:rPr>
      </w:pPr>
      <w:r w:rsidRPr="00513791">
        <w:rPr>
          <w:b/>
          <w:bCs/>
          <w:snapToGrid/>
          <w:kern w:val="0"/>
          <w:szCs w:val="22"/>
        </w:rPr>
        <w:t xml:space="preserve">TRANSFER OF CONTROL OF </w:t>
      </w:r>
      <w:r w:rsidR="00102EFB">
        <w:rPr>
          <w:b/>
          <w:bCs/>
          <w:snapToGrid/>
          <w:kern w:val="0"/>
          <w:szCs w:val="22"/>
        </w:rPr>
        <w:t xml:space="preserve">EARTHLINK HOLDINGS CORP. </w:t>
      </w:r>
    </w:p>
    <w:p w:rsidR="004F7405" w:rsidRPr="004F7405" w:rsidRDefault="00102EFB" w:rsidP="00102EFB">
      <w:pPr>
        <w:widowControl/>
        <w:jc w:val="center"/>
        <w:rPr>
          <w:b/>
          <w:szCs w:val="22"/>
        </w:rPr>
      </w:pPr>
      <w:r>
        <w:rPr>
          <w:b/>
          <w:bCs/>
          <w:snapToGrid/>
          <w:kern w:val="0"/>
          <w:szCs w:val="22"/>
        </w:rPr>
        <w:t>TO WINDSTREAM HOLDINGS, INC.</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 xml:space="preserve">WC </w:t>
      </w:r>
      <w:r w:rsidR="00397D7B">
        <w:rPr>
          <w:b/>
          <w:color w:val="000000"/>
          <w:szCs w:val="22"/>
        </w:rPr>
        <w:t>Docket No. 16</w:t>
      </w:r>
      <w:r w:rsidR="00BF7F36">
        <w:rPr>
          <w:b/>
          <w:color w:val="000000"/>
          <w:szCs w:val="22"/>
        </w:rPr>
        <w:t>-393</w:t>
      </w:r>
    </w:p>
    <w:p w:rsidR="00102EFB" w:rsidRDefault="00102EFB" w:rsidP="00102EFB">
      <w:pPr>
        <w:widowControl/>
        <w:autoSpaceDE w:val="0"/>
        <w:autoSpaceDN w:val="0"/>
        <w:adjustRightInd w:val="0"/>
        <w:ind w:firstLine="720"/>
        <w:rPr>
          <w:snapToGrid/>
          <w:color w:val="231F20"/>
          <w:kern w:val="0"/>
          <w:szCs w:val="22"/>
        </w:rPr>
      </w:pPr>
      <w:r w:rsidRPr="00102EFB">
        <w:rPr>
          <w:snapToGrid/>
          <w:color w:val="231F20"/>
          <w:kern w:val="0"/>
          <w:szCs w:val="22"/>
        </w:rPr>
        <w:t>Windstream Holdings, Inc. (Windstream) and EarthLink Holdings Corp. (EarthLink) (together, Applicants) filed applications, pursuant to section 214 of the Communications</w:t>
      </w:r>
      <w:r w:rsidR="00FE2241">
        <w:rPr>
          <w:snapToGrid/>
          <w:color w:val="231F20"/>
          <w:kern w:val="0"/>
          <w:szCs w:val="22"/>
        </w:rPr>
        <w:t xml:space="preserve"> Act of 1934, as amended (Act),</w:t>
      </w:r>
      <w:r w:rsidRPr="00102EFB">
        <w:rPr>
          <w:snapToGrid/>
          <w:color w:val="231F20"/>
          <w:kern w:val="0"/>
          <w:szCs w:val="22"/>
        </w:rPr>
        <w:t xml:space="preserve"> </w:t>
      </w:r>
      <w:r w:rsidR="00CD6DDA">
        <w:rPr>
          <w:snapToGrid/>
          <w:color w:val="231F20"/>
          <w:kern w:val="0"/>
          <w:szCs w:val="22"/>
        </w:rPr>
        <w:t xml:space="preserve">and </w:t>
      </w:r>
      <w:r w:rsidRPr="00102EFB">
        <w:rPr>
          <w:snapToGrid/>
          <w:color w:val="231F20"/>
          <w:kern w:val="0"/>
          <w:szCs w:val="22"/>
        </w:rPr>
        <w:t>sections 63.04, 63.18, and 63.24 of the Commission’s rules,</w:t>
      </w:r>
      <w:r w:rsidRPr="00102EFB">
        <w:rPr>
          <w:snapToGrid/>
          <w:color w:val="231F20"/>
          <w:kern w:val="0"/>
          <w:szCs w:val="22"/>
          <w:vertAlign w:val="superscript"/>
        </w:rPr>
        <w:footnoteReference w:id="2"/>
      </w:r>
      <w:r w:rsidRPr="00102EFB">
        <w:rPr>
          <w:snapToGrid/>
          <w:color w:val="231F20"/>
          <w:kern w:val="0"/>
          <w:szCs w:val="22"/>
        </w:rPr>
        <w:t xml:space="preserve"> seeking approval to transfer control of various licenses and authorizations held by EarthLink’s wholly o</w:t>
      </w:r>
      <w:r>
        <w:rPr>
          <w:snapToGrid/>
          <w:color w:val="231F20"/>
          <w:kern w:val="0"/>
          <w:szCs w:val="22"/>
        </w:rPr>
        <w:t xml:space="preserve">wned subsidiaries to Windstream through a transaction resulting in </w:t>
      </w:r>
      <w:r w:rsidRPr="00102EFB">
        <w:rPr>
          <w:snapToGrid/>
          <w:color w:val="231F20"/>
          <w:kern w:val="0"/>
          <w:szCs w:val="22"/>
        </w:rPr>
        <w:t>EarthLink becoming a wholly owned, indirect subsidiary of Windstream.</w:t>
      </w:r>
      <w:r w:rsidRPr="00102EFB">
        <w:rPr>
          <w:snapToGrid/>
          <w:color w:val="231F20"/>
          <w:kern w:val="0"/>
          <w:szCs w:val="22"/>
          <w:vertAlign w:val="superscript"/>
        </w:rPr>
        <w:footnoteReference w:id="3"/>
      </w:r>
    </w:p>
    <w:p w:rsidR="00102EFB" w:rsidRPr="00102EFB" w:rsidRDefault="00102EFB" w:rsidP="00102EFB">
      <w:pPr>
        <w:widowControl/>
        <w:autoSpaceDE w:val="0"/>
        <w:autoSpaceDN w:val="0"/>
        <w:adjustRightInd w:val="0"/>
        <w:ind w:firstLine="720"/>
        <w:rPr>
          <w:snapToGrid/>
          <w:color w:val="231F20"/>
          <w:kern w:val="0"/>
          <w:szCs w:val="22"/>
        </w:rPr>
      </w:pPr>
    </w:p>
    <w:p w:rsidR="00102EFB" w:rsidRPr="00102EFB" w:rsidRDefault="00102EFB" w:rsidP="001337B8">
      <w:pPr>
        <w:widowControl/>
        <w:autoSpaceDE w:val="0"/>
        <w:autoSpaceDN w:val="0"/>
        <w:adjustRightInd w:val="0"/>
        <w:ind w:firstLine="720"/>
        <w:rPr>
          <w:szCs w:val="22"/>
        </w:rPr>
      </w:pPr>
      <w:r w:rsidRPr="00102EFB">
        <w:rPr>
          <w:szCs w:val="22"/>
        </w:rPr>
        <w:t>EarthLink, a publicly traded Delaware corporation, is authorized to provide telecommunications services in all 50 states.</w:t>
      </w:r>
      <w:r w:rsidRPr="00102EFB">
        <w:rPr>
          <w:szCs w:val="22"/>
          <w:vertAlign w:val="superscript"/>
        </w:rPr>
        <w:footnoteReference w:id="4"/>
      </w:r>
      <w:r w:rsidRPr="00102EFB">
        <w:rPr>
          <w:szCs w:val="22"/>
        </w:rPr>
        <w:t xml:space="preserve">  Applicants state that EarthLink’s subsidiaries offer telecommunications services to small and medium-sized business, enterprise, and wholesale customers.</w:t>
      </w:r>
      <w:r w:rsidRPr="00102EFB">
        <w:rPr>
          <w:szCs w:val="22"/>
          <w:vertAlign w:val="superscript"/>
        </w:rPr>
        <w:footnoteReference w:id="5"/>
      </w:r>
      <w:r w:rsidRPr="00102EFB">
        <w:rPr>
          <w:szCs w:val="22"/>
        </w:rPr>
        <w:t xml:space="preserve">  Windstream, a publicly traded Delaware corporation, provides telecommunications services and broadband services </w:t>
      </w:r>
      <w:r w:rsidR="00F56017">
        <w:rPr>
          <w:szCs w:val="22"/>
        </w:rPr>
        <w:t xml:space="preserve">as an incumbent LEC </w:t>
      </w:r>
      <w:r w:rsidRPr="00102EFB">
        <w:rPr>
          <w:szCs w:val="22"/>
        </w:rPr>
        <w:t>to approximately 1.4 million residential customers primarily located in rural areas of Alabama, Arkansas, Florida, Georgia, Iowa, Kentucky, Minnesota, Mississippi, Missouri, Nebraska, New Mexico, New York, North Carolina, Ohio, Oklahoma, Pennsylvania, South Carolina, and Texas.</w:t>
      </w:r>
      <w:r w:rsidRPr="00102EFB">
        <w:rPr>
          <w:szCs w:val="22"/>
          <w:vertAlign w:val="superscript"/>
        </w:rPr>
        <w:footnoteReference w:id="6"/>
      </w:r>
      <w:r w:rsidRPr="00102EFB">
        <w:rPr>
          <w:szCs w:val="22"/>
        </w:rPr>
        <w:t xml:space="preserve">  </w:t>
      </w:r>
      <w:r w:rsidR="005C47DF" w:rsidRPr="005C47DF">
        <w:rPr>
          <w:szCs w:val="22"/>
        </w:rPr>
        <w:t>Windstream’s competitive LEC subsidiaries offer services in portions of all states except Alaska.</w:t>
      </w:r>
      <w:r w:rsidR="005C47DF" w:rsidRPr="005C47DF">
        <w:rPr>
          <w:szCs w:val="22"/>
          <w:vertAlign w:val="superscript"/>
        </w:rPr>
        <w:footnoteReference w:id="7"/>
      </w:r>
    </w:p>
    <w:p w:rsidR="004F7405" w:rsidRPr="004F7405" w:rsidRDefault="004F7405" w:rsidP="004F7405">
      <w:pPr>
        <w:ind w:firstLine="720"/>
        <w:jc w:val="both"/>
        <w:rPr>
          <w:szCs w:val="22"/>
        </w:rPr>
      </w:pPr>
    </w:p>
    <w:p w:rsidR="00F04CE3" w:rsidRDefault="00347D49" w:rsidP="001A7F4A">
      <w:pPr>
        <w:widowControl/>
        <w:ind w:firstLine="720"/>
        <w:rPr>
          <w:szCs w:val="22"/>
        </w:rPr>
      </w:pPr>
      <w:r>
        <w:rPr>
          <w:szCs w:val="22"/>
        </w:rPr>
        <w:t>On December 2</w:t>
      </w:r>
      <w:r w:rsidR="0053307A">
        <w:rPr>
          <w:szCs w:val="22"/>
        </w:rPr>
        <w:t>, 2016</w:t>
      </w:r>
      <w:r w:rsidR="004F7405" w:rsidRPr="004F7405">
        <w:rPr>
          <w:szCs w:val="22"/>
        </w:rPr>
        <w:t xml:space="preserve">, the Wireline Competition Bureau </w:t>
      </w:r>
      <w:r w:rsidR="002C2A61">
        <w:rPr>
          <w:szCs w:val="22"/>
        </w:rPr>
        <w:t xml:space="preserve">and the International Bureau </w:t>
      </w:r>
      <w:r w:rsidR="004F7405" w:rsidRPr="004F7405">
        <w:rPr>
          <w:szCs w:val="22"/>
        </w:rPr>
        <w:t>(</w:t>
      </w:r>
      <w:r w:rsidR="002C2A61">
        <w:rPr>
          <w:szCs w:val="22"/>
        </w:rPr>
        <w:t xml:space="preserve">the </w:t>
      </w:r>
      <w:r w:rsidR="004F7405" w:rsidRPr="004F7405">
        <w:rPr>
          <w:szCs w:val="22"/>
        </w:rPr>
        <w:t>Bureau</w:t>
      </w:r>
      <w:r w:rsidR="002C2A61">
        <w:rPr>
          <w:szCs w:val="22"/>
        </w:rPr>
        <w:t>s</w:t>
      </w:r>
      <w:r w:rsidR="004F7405" w:rsidRPr="004F7405">
        <w:rPr>
          <w:szCs w:val="22"/>
        </w:rPr>
        <w:t xml:space="preserve">) released a Public Notice requesting comment on the </w:t>
      </w:r>
      <w:r w:rsidR="00E01966">
        <w:rPr>
          <w:szCs w:val="22"/>
        </w:rPr>
        <w:t>a</w:t>
      </w:r>
      <w:r w:rsidR="004F7405" w:rsidRPr="004F7405">
        <w:rPr>
          <w:szCs w:val="22"/>
        </w:rPr>
        <w:t>pplication</w:t>
      </w:r>
      <w:r w:rsidR="00E01966">
        <w:rPr>
          <w:szCs w:val="22"/>
        </w:rPr>
        <w:t>s</w:t>
      </w:r>
      <w:r w:rsidR="004F7405" w:rsidRPr="004F7405">
        <w:rPr>
          <w:szCs w:val="22"/>
        </w:rPr>
        <w:t>.</w:t>
      </w:r>
      <w:r w:rsidR="004F7405" w:rsidRPr="004F7405">
        <w:rPr>
          <w:szCs w:val="22"/>
          <w:vertAlign w:val="superscript"/>
        </w:rPr>
        <w:footnoteReference w:id="8"/>
      </w:r>
      <w:r w:rsidR="009775AA">
        <w:rPr>
          <w:szCs w:val="22"/>
        </w:rPr>
        <w:t xml:space="preserve">  </w:t>
      </w:r>
      <w:r w:rsidR="002C2A61">
        <w:rPr>
          <w:szCs w:val="22"/>
        </w:rPr>
        <w:t xml:space="preserve">No comments were filed in opposition to </w:t>
      </w:r>
      <w:r w:rsidR="009E4BD0">
        <w:rPr>
          <w:szCs w:val="22"/>
        </w:rPr>
        <w:t xml:space="preserve">a </w:t>
      </w:r>
      <w:r w:rsidR="002C2A61">
        <w:rPr>
          <w:szCs w:val="22"/>
        </w:rPr>
        <w:t xml:space="preserve">grant of the proposed transaction.  </w:t>
      </w:r>
      <w:r w:rsidR="007A221A" w:rsidRPr="007A221A">
        <w:rPr>
          <w:szCs w:val="22"/>
        </w:rPr>
        <w:t>The Bureau</w:t>
      </w:r>
      <w:r w:rsidR="002C5163">
        <w:rPr>
          <w:szCs w:val="22"/>
        </w:rPr>
        <w:t>s</w:t>
      </w:r>
      <w:r w:rsidR="007A221A" w:rsidRPr="007A221A">
        <w:rPr>
          <w:szCs w:val="22"/>
        </w:rPr>
        <w:t xml:space="preserve"> find, upon consideration of the record, that grant of the </w:t>
      </w:r>
      <w:r w:rsidR="00E01966">
        <w:rPr>
          <w:szCs w:val="22"/>
        </w:rPr>
        <w:t>a</w:t>
      </w:r>
      <w:r w:rsidR="007A221A" w:rsidRPr="007A221A">
        <w:rPr>
          <w:szCs w:val="22"/>
        </w:rPr>
        <w:t>pplication</w:t>
      </w:r>
      <w:r w:rsidR="00E01966">
        <w:rPr>
          <w:szCs w:val="22"/>
        </w:rPr>
        <w:t>s</w:t>
      </w:r>
      <w:bookmarkStart w:id="1" w:name="SR;414"/>
      <w:bookmarkStart w:id="2" w:name="SR;416"/>
      <w:bookmarkEnd w:id="1"/>
      <w:bookmarkEnd w:id="2"/>
      <w:r w:rsidR="007A221A" w:rsidRPr="007A221A">
        <w:rPr>
          <w:szCs w:val="22"/>
        </w:rPr>
        <w:t xml:space="preserve"> will serve the public interest, convenience, and necessity.</w:t>
      </w:r>
      <w:r w:rsidR="00C54617">
        <w:rPr>
          <w:rStyle w:val="FootnoteReference"/>
          <w:szCs w:val="22"/>
        </w:rPr>
        <w:footnoteReference w:id="9"/>
      </w:r>
      <w:r w:rsidR="007A221A" w:rsidRPr="007A221A">
        <w:rPr>
          <w:szCs w:val="22"/>
        </w:rPr>
        <w:t xml:space="preserve">  </w:t>
      </w:r>
      <w:r w:rsidR="00504DE9">
        <w:rPr>
          <w:szCs w:val="22"/>
        </w:rPr>
        <w:t>We find that the proposed transaction presents no significant competitive harms</w:t>
      </w:r>
      <w:r w:rsidR="00FF701B">
        <w:rPr>
          <w:rStyle w:val="FootnoteReference"/>
          <w:szCs w:val="22"/>
        </w:rPr>
        <w:footnoteReference w:id="10"/>
      </w:r>
      <w:r w:rsidR="00504DE9">
        <w:rPr>
          <w:szCs w:val="22"/>
        </w:rPr>
        <w:t xml:space="preserve"> and should likely result in some </w:t>
      </w:r>
      <w:r w:rsidR="00453064">
        <w:rPr>
          <w:szCs w:val="22"/>
        </w:rPr>
        <w:t xml:space="preserve">public interest </w:t>
      </w:r>
      <w:r w:rsidR="00504DE9">
        <w:rPr>
          <w:szCs w:val="22"/>
        </w:rPr>
        <w:t xml:space="preserve">benefits related to </w:t>
      </w:r>
      <w:r w:rsidR="00453064">
        <w:rPr>
          <w:szCs w:val="22"/>
        </w:rPr>
        <w:t xml:space="preserve">network efficiencies </w:t>
      </w:r>
      <w:r w:rsidR="00FF701B">
        <w:rPr>
          <w:szCs w:val="22"/>
        </w:rPr>
        <w:t>and</w:t>
      </w:r>
      <w:r w:rsidR="00717FB8">
        <w:rPr>
          <w:szCs w:val="22"/>
        </w:rPr>
        <w:t xml:space="preserve"> the increased ability of the combined company to serve customers on its own facilities.</w:t>
      </w:r>
      <w:r w:rsidR="00717FB8">
        <w:rPr>
          <w:rStyle w:val="FootnoteReference"/>
          <w:szCs w:val="22"/>
        </w:rPr>
        <w:footnoteReference w:id="11"/>
      </w:r>
      <w:r w:rsidR="00717FB8">
        <w:rPr>
          <w:szCs w:val="22"/>
        </w:rPr>
        <w:t xml:space="preserve"> </w:t>
      </w:r>
      <w:r w:rsidR="00FF701B">
        <w:rPr>
          <w:szCs w:val="22"/>
        </w:rPr>
        <w:t xml:space="preserve"> </w:t>
      </w:r>
      <w:r w:rsidR="007A221A" w:rsidRPr="007A221A">
        <w:rPr>
          <w:szCs w:val="22"/>
        </w:rPr>
        <w:t xml:space="preserve">Therefore, pursuant to section 214 of the Act, 47 U.S.C. § 214, and sections </w:t>
      </w:r>
      <w:r w:rsidR="00E01966">
        <w:rPr>
          <w:szCs w:val="22"/>
        </w:rPr>
        <w:t xml:space="preserve">0.51, </w:t>
      </w:r>
      <w:r w:rsidR="007A221A" w:rsidRPr="007A221A">
        <w:rPr>
          <w:szCs w:val="22"/>
        </w:rPr>
        <w:t>0.91</w:t>
      </w:r>
      <w:r w:rsidR="00E01966">
        <w:rPr>
          <w:szCs w:val="22"/>
        </w:rPr>
        <w:t>, 0.261,</w:t>
      </w:r>
      <w:r w:rsidR="007A221A" w:rsidRPr="007A221A">
        <w:rPr>
          <w:szCs w:val="22"/>
        </w:rPr>
        <w:t xml:space="preserve"> and 0.291 of the Commission's rules, 47 CFR §§ </w:t>
      </w:r>
      <w:r w:rsidR="00E01966">
        <w:rPr>
          <w:szCs w:val="22"/>
        </w:rPr>
        <w:t xml:space="preserve">0.51, </w:t>
      </w:r>
      <w:r w:rsidR="007A221A" w:rsidRPr="007A221A">
        <w:rPr>
          <w:szCs w:val="22"/>
        </w:rPr>
        <w:t xml:space="preserve">0.91, </w:t>
      </w:r>
      <w:r w:rsidR="002D6AFD">
        <w:rPr>
          <w:szCs w:val="22"/>
        </w:rPr>
        <w:t xml:space="preserve">0.261, </w:t>
      </w:r>
      <w:r w:rsidR="007A221A" w:rsidRPr="007A221A">
        <w:rPr>
          <w:szCs w:val="22"/>
        </w:rPr>
        <w:t>0.291, the Bureau</w:t>
      </w:r>
      <w:r w:rsidR="00E01966">
        <w:rPr>
          <w:szCs w:val="22"/>
        </w:rPr>
        <w:t>s</w:t>
      </w:r>
      <w:r w:rsidR="007A221A" w:rsidRPr="007A221A">
        <w:rPr>
          <w:szCs w:val="22"/>
        </w:rPr>
        <w:t xml:space="preserve"> hereby grant the </w:t>
      </w:r>
      <w:r w:rsidR="00E01966">
        <w:rPr>
          <w:szCs w:val="22"/>
        </w:rPr>
        <w:t>a</w:t>
      </w:r>
      <w:r w:rsidR="007A221A" w:rsidRPr="007A221A">
        <w:rPr>
          <w:szCs w:val="22"/>
        </w:rPr>
        <w:t>pplication</w:t>
      </w:r>
      <w:r w:rsidR="00E01966">
        <w:rPr>
          <w:szCs w:val="22"/>
        </w:rPr>
        <w:t>s</w:t>
      </w:r>
      <w:r w:rsidR="007A221A" w:rsidRPr="007A221A">
        <w:rPr>
          <w:szCs w:val="22"/>
        </w:rPr>
        <w:t xml:space="preserve"> </w:t>
      </w:r>
      <w:r w:rsidR="00E01966">
        <w:rPr>
          <w:szCs w:val="22"/>
        </w:rPr>
        <w:t>listed</w:t>
      </w:r>
      <w:r w:rsidR="007A221A" w:rsidRPr="007A221A">
        <w:rPr>
          <w:szCs w:val="22"/>
        </w:rPr>
        <w:t xml:space="preserve"> in this Public Notice</w:t>
      </w:r>
      <w:r w:rsidR="00F04CE3">
        <w:rPr>
          <w:szCs w:val="22"/>
        </w:rPr>
        <w:t>.</w:t>
      </w:r>
      <w:r w:rsidR="007A221A" w:rsidRPr="007A221A">
        <w:rPr>
          <w:szCs w:val="22"/>
        </w:rPr>
        <w:t xml:space="preserve">   </w:t>
      </w:r>
      <w:bookmarkStart w:id="3" w:name="sp_999_1"/>
      <w:bookmarkStart w:id="4" w:name="SDU_1"/>
      <w:bookmarkEnd w:id="3"/>
      <w:bookmarkEnd w:id="4"/>
    </w:p>
    <w:p w:rsidR="004F7405" w:rsidRPr="004F7405" w:rsidRDefault="00B47E79" w:rsidP="004F7405">
      <w:pPr>
        <w:ind w:firstLine="720"/>
        <w:rPr>
          <w:color w:val="000000"/>
          <w:szCs w:val="22"/>
        </w:rPr>
      </w:pPr>
      <w:r>
        <w:rPr>
          <w:color w:val="000000"/>
          <w:szCs w:val="22"/>
        </w:rPr>
        <w:t xml:space="preserve"> </w:t>
      </w:r>
    </w:p>
    <w:p w:rsidR="002D6AFD" w:rsidRDefault="004F7405" w:rsidP="007E6327">
      <w:pPr>
        <w:ind w:firstLine="720"/>
        <w:rPr>
          <w:color w:val="000000"/>
          <w:szCs w:val="22"/>
        </w:rPr>
      </w:pPr>
      <w:r w:rsidRPr="004F7405">
        <w:rPr>
          <w:color w:val="000000"/>
          <w:szCs w:val="22"/>
        </w:rPr>
        <w:t>Pursuant to section 1.103 of the Commission's rules, 47 CFR § 1.103, the grant is effective upon release of this Public Notice.</w:t>
      </w:r>
      <w:bookmarkStart w:id="5" w:name="FN[FN11]"/>
      <w:bookmarkEnd w:id="5"/>
      <w:r w:rsidRPr="004F7405">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6" w:name="FN[FN12]"/>
      <w:bookmarkEnd w:id="6"/>
      <w:r w:rsidR="002D6AFD">
        <w:rPr>
          <w:color w:val="000000"/>
          <w:szCs w:val="22"/>
        </w:rPr>
        <w:t xml:space="preserve">  Should no petitions for reconsideration, applications for review, or petitions for judicial review be timely filed, the proceeding listed in this Public Notice shall be terminated, and the docket will be closed.</w:t>
      </w:r>
      <w:r w:rsidR="007E6327">
        <w:rPr>
          <w:color w:val="000000"/>
          <w:szCs w:val="22"/>
        </w:rPr>
        <w:t xml:space="preserve">  </w:t>
      </w:r>
      <w:bookmarkStart w:id="7" w:name="sp_999_2"/>
      <w:bookmarkStart w:id="8" w:name="SDU_2"/>
      <w:bookmarkEnd w:id="7"/>
      <w:bookmarkEnd w:id="8"/>
      <w:r w:rsidRPr="004F7405">
        <w:rPr>
          <w:color w:val="000000"/>
          <w:szCs w:val="22"/>
        </w:rPr>
        <w:t>For further informat</w:t>
      </w:r>
      <w:r w:rsidR="00306EBF">
        <w:rPr>
          <w:color w:val="000000"/>
          <w:szCs w:val="22"/>
        </w:rPr>
        <w:t>ion, please contact Dennis Johnson</w:t>
      </w:r>
      <w:r w:rsidRPr="004F7405">
        <w:rPr>
          <w:color w:val="000000"/>
          <w:szCs w:val="22"/>
        </w:rPr>
        <w:t>, Wireline Competition Bureau, (202) 418-0809</w:t>
      </w:r>
      <w:r w:rsidR="00E01966">
        <w:rPr>
          <w:color w:val="000000"/>
          <w:szCs w:val="22"/>
        </w:rPr>
        <w:t>, o</w:t>
      </w:r>
      <w:r w:rsidR="00504DE9">
        <w:rPr>
          <w:color w:val="000000"/>
          <w:szCs w:val="22"/>
        </w:rPr>
        <w:t xml:space="preserve">r David Krech, </w:t>
      </w:r>
      <w:r w:rsidR="00E01966">
        <w:rPr>
          <w:color w:val="000000"/>
          <w:szCs w:val="22"/>
        </w:rPr>
        <w:t>International Bureau, at (202) 418-7443</w:t>
      </w:r>
      <w:r w:rsidRPr="004F7405">
        <w:rPr>
          <w:color w:val="000000"/>
          <w:szCs w:val="22"/>
        </w:rPr>
        <w:t>.</w:t>
      </w:r>
    </w:p>
    <w:p w:rsidR="001C3917" w:rsidRDefault="001C3917" w:rsidP="007E6327">
      <w:pPr>
        <w:ind w:firstLine="720"/>
        <w:rPr>
          <w:color w:val="000000"/>
          <w:szCs w:val="22"/>
        </w:rPr>
      </w:pPr>
    </w:p>
    <w:p w:rsidR="001C3917" w:rsidRDefault="001C3917" w:rsidP="001C3917">
      <w:pPr>
        <w:ind w:firstLine="720"/>
        <w:jc w:val="center"/>
        <w:rPr>
          <w:color w:val="000000"/>
          <w:szCs w:val="22"/>
        </w:rPr>
      </w:pPr>
      <w:r w:rsidRPr="001C3917">
        <w:rPr>
          <w:color w:val="000000"/>
          <w:szCs w:val="22"/>
        </w:rPr>
        <w:t>-FCC-</w:t>
      </w:r>
    </w:p>
    <w:p w:rsidR="001C3917" w:rsidRDefault="001C3917" w:rsidP="007E6327">
      <w:pPr>
        <w:ind w:firstLine="720"/>
        <w:rPr>
          <w:color w:val="000000"/>
          <w:szCs w:val="22"/>
        </w:rPr>
      </w:pPr>
    </w:p>
    <w:p w:rsidR="00E01966" w:rsidRPr="00E01966" w:rsidRDefault="00E01966" w:rsidP="00CF151F">
      <w:pPr>
        <w:keepNext/>
        <w:jc w:val="center"/>
        <w:rPr>
          <w:color w:val="000000"/>
          <w:szCs w:val="22"/>
        </w:rPr>
      </w:pPr>
      <w:r w:rsidRPr="00E01966">
        <w:rPr>
          <w:b/>
          <w:color w:val="000000"/>
          <w:szCs w:val="22"/>
        </w:rPr>
        <w:lastRenderedPageBreak/>
        <w:t>SECTION 214 AUTHORIZATIONS</w:t>
      </w:r>
    </w:p>
    <w:p w:rsidR="00E01966" w:rsidRPr="00E01966" w:rsidRDefault="00E01966" w:rsidP="00E01966">
      <w:pPr>
        <w:keepNext/>
        <w:rPr>
          <w:color w:val="000000"/>
          <w:szCs w:val="22"/>
        </w:rPr>
      </w:pPr>
    </w:p>
    <w:p w:rsidR="00E01966" w:rsidRPr="00E01966" w:rsidRDefault="00E01966" w:rsidP="00E01966">
      <w:pPr>
        <w:keepNext/>
        <w:ind w:firstLine="720"/>
        <w:rPr>
          <w:b/>
          <w:color w:val="000000"/>
          <w:szCs w:val="22"/>
        </w:rPr>
      </w:pPr>
      <w:r w:rsidRPr="00E01966">
        <w:rPr>
          <w:b/>
          <w:color w:val="000000"/>
          <w:szCs w:val="22"/>
        </w:rPr>
        <w:t>A.</w:t>
      </w:r>
      <w:r w:rsidRPr="00E01966">
        <w:rPr>
          <w:b/>
          <w:color w:val="000000"/>
          <w:szCs w:val="22"/>
        </w:rPr>
        <w:tab/>
        <w:t>International</w:t>
      </w:r>
    </w:p>
    <w:p w:rsidR="00E01966" w:rsidRPr="00E01966" w:rsidRDefault="00E01966" w:rsidP="00E01966">
      <w:pPr>
        <w:keepNext/>
        <w:rPr>
          <w:color w:val="000000"/>
          <w:szCs w:val="22"/>
        </w:rPr>
      </w:pPr>
    </w:p>
    <w:p w:rsidR="00E01966" w:rsidRPr="00E01966" w:rsidRDefault="00E01966" w:rsidP="00E01966">
      <w:pPr>
        <w:spacing w:after="240"/>
        <w:ind w:firstLine="720"/>
        <w:rPr>
          <w:color w:val="000000"/>
          <w:szCs w:val="22"/>
        </w:rPr>
      </w:pPr>
      <w:r w:rsidRPr="00E01966">
        <w:rPr>
          <w:color w:val="000000"/>
          <w:szCs w:val="22"/>
        </w:rPr>
        <w:t xml:space="preserve">The applications for consent to the transfer of control of the international section 214 authorizations from EarthLink to Windstream </w:t>
      </w:r>
      <w:r>
        <w:rPr>
          <w:color w:val="000000"/>
          <w:szCs w:val="22"/>
        </w:rPr>
        <w:t>are granted.</w:t>
      </w:r>
    </w:p>
    <w:tbl>
      <w:tblPr>
        <w:tblW w:w="4898" w:type="pct"/>
        <w:tblCellMar>
          <w:left w:w="115" w:type="dxa"/>
          <w:right w:w="115" w:type="dxa"/>
        </w:tblCellMar>
        <w:tblLook w:val="01E0" w:firstRow="1" w:lastRow="1" w:firstColumn="1" w:lastColumn="1" w:noHBand="0" w:noVBand="0"/>
      </w:tblPr>
      <w:tblGrid>
        <w:gridCol w:w="2856"/>
        <w:gridCol w:w="3111"/>
        <w:gridCol w:w="3427"/>
      </w:tblGrid>
      <w:tr w:rsidR="00E01966" w:rsidRPr="00E01966" w:rsidTr="001D269A">
        <w:trPr>
          <w:trHeight w:val="495"/>
        </w:trPr>
        <w:tc>
          <w:tcPr>
            <w:tcW w:w="1520" w:type="pct"/>
          </w:tcPr>
          <w:p w:rsidR="00E01966" w:rsidRPr="00E01966" w:rsidRDefault="00E01966" w:rsidP="00E01966">
            <w:pPr>
              <w:tabs>
                <w:tab w:val="left" w:pos="100"/>
              </w:tabs>
              <w:rPr>
                <w:b/>
                <w:color w:val="000000"/>
                <w:szCs w:val="22"/>
              </w:rPr>
            </w:pPr>
            <w:r w:rsidRPr="00E01966">
              <w:rPr>
                <w:b/>
                <w:color w:val="000000"/>
                <w:szCs w:val="22"/>
                <w:u w:val="single"/>
              </w:rPr>
              <w:t>File Number</w:t>
            </w:r>
          </w:p>
        </w:tc>
        <w:tc>
          <w:tcPr>
            <w:tcW w:w="1656" w:type="pct"/>
          </w:tcPr>
          <w:p w:rsidR="00E01966" w:rsidRPr="00E01966" w:rsidRDefault="00E01966" w:rsidP="00E01966">
            <w:pPr>
              <w:ind w:left="180"/>
              <w:rPr>
                <w:b/>
                <w:color w:val="000000"/>
                <w:szCs w:val="22"/>
              </w:rPr>
            </w:pPr>
            <w:r w:rsidRPr="00E01966">
              <w:rPr>
                <w:b/>
                <w:color w:val="000000"/>
                <w:szCs w:val="22"/>
                <w:u w:val="single"/>
              </w:rPr>
              <w:t>Authorization Holder</w:t>
            </w:r>
          </w:p>
        </w:tc>
        <w:tc>
          <w:tcPr>
            <w:tcW w:w="1824" w:type="pct"/>
          </w:tcPr>
          <w:p w:rsidR="00E01966" w:rsidRPr="00E01966" w:rsidRDefault="00E01966" w:rsidP="00E01966">
            <w:pPr>
              <w:rPr>
                <w:b/>
                <w:color w:val="000000"/>
                <w:szCs w:val="22"/>
                <w:u w:val="single"/>
              </w:rPr>
            </w:pPr>
            <w:r w:rsidRPr="00E01966">
              <w:rPr>
                <w:b/>
                <w:color w:val="000000"/>
                <w:szCs w:val="22"/>
                <w:u w:val="single"/>
              </w:rPr>
              <w:t>Authorization Number</w:t>
            </w:r>
          </w:p>
          <w:p w:rsidR="00E01966" w:rsidRPr="00E01966" w:rsidRDefault="00E01966" w:rsidP="00E01966">
            <w:pPr>
              <w:rPr>
                <w:b/>
                <w:color w:val="000000"/>
                <w:szCs w:val="22"/>
                <w:u w:val="single"/>
              </w:rPr>
            </w:pPr>
          </w:p>
        </w:tc>
      </w:tr>
      <w:tr w:rsidR="00E01966" w:rsidRPr="00E01966" w:rsidTr="001D269A">
        <w:trPr>
          <w:trHeight w:val="183"/>
        </w:trPr>
        <w:tc>
          <w:tcPr>
            <w:tcW w:w="1520" w:type="pct"/>
          </w:tcPr>
          <w:p w:rsidR="00E01966" w:rsidRPr="00E01966" w:rsidRDefault="00E01966" w:rsidP="00E01966">
            <w:pPr>
              <w:rPr>
                <w:szCs w:val="22"/>
              </w:rPr>
            </w:pPr>
            <w:r w:rsidRPr="00E01966">
              <w:rPr>
                <w:color w:val="000000"/>
                <w:szCs w:val="22"/>
              </w:rPr>
              <w:t>ITC-T/C-20161117-00328</w:t>
            </w:r>
          </w:p>
        </w:tc>
        <w:tc>
          <w:tcPr>
            <w:tcW w:w="1656" w:type="pct"/>
          </w:tcPr>
          <w:p w:rsidR="00E01966" w:rsidRPr="00E01966" w:rsidRDefault="00E01966" w:rsidP="00E01966">
            <w:pPr>
              <w:ind w:left="180"/>
              <w:rPr>
                <w:szCs w:val="22"/>
              </w:rPr>
            </w:pPr>
            <w:r w:rsidRPr="00E01966">
              <w:rPr>
                <w:szCs w:val="22"/>
              </w:rPr>
              <w:t>EarthLink Carrier, LLC</w:t>
            </w:r>
          </w:p>
        </w:tc>
        <w:tc>
          <w:tcPr>
            <w:tcW w:w="1824" w:type="pct"/>
          </w:tcPr>
          <w:p w:rsidR="00E01966" w:rsidRPr="00E01966" w:rsidRDefault="00E01966" w:rsidP="00E01966">
            <w:pPr>
              <w:rPr>
                <w:color w:val="000000"/>
                <w:szCs w:val="22"/>
              </w:rPr>
            </w:pPr>
            <w:r w:rsidRPr="00E01966">
              <w:rPr>
                <w:color w:val="000000"/>
                <w:szCs w:val="22"/>
              </w:rPr>
              <w:t>ITC-214-20070427-00165</w:t>
            </w:r>
          </w:p>
        </w:tc>
      </w:tr>
      <w:tr w:rsidR="00E01966" w:rsidRPr="00E01966" w:rsidTr="001D269A">
        <w:trPr>
          <w:trHeight w:val="187"/>
        </w:trPr>
        <w:tc>
          <w:tcPr>
            <w:tcW w:w="1520" w:type="pct"/>
          </w:tcPr>
          <w:p w:rsidR="00E01966" w:rsidRPr="00E01966" w:rsidRDefault="00E01966" w:rsidP="00E01966">
            <w:pPr>
              <w:rPr>
                <w:color w:val="000000"/>
                <w:szCs w:val="22"/>
              </w:rPr>
            </w:pPr>
            <w:r w:rsidRPr="00E01966">
              <w:rPr>
                <w:color w:val="000000"/>
                <w:szCs w:val="22"/>
              </w:rPr>
              <w:t>ITC-T/C-20161117-00329</w:t>
            </w:r>
          </w:p>
        </w:tc>
        <w:tc>
          <w:tcPr>
            <w:tcW w:w="1656" w:type="pct"/>
          </w:tcPr>
          <w:p w:rsidR="00E01966" w:rsidRPr="00E01966" w:rsidRDefault="00E01966" w:rsidP="00E01966">
            <w:pPr>
              <w:ind w:left="180"/>
              <w:rPr>
                <w:szCs w:val="22"/>
              </w:rPr>
            </w:pPr>
            <w:r w:rsidRPr="00E01966">
              <w:rPr>
                <w:szCs w:val="22"/>
              </w:rPr>
              <w:t>Business Telecom, LLC</w:t>
            </w:r>
          </w:p>
        </w:tc>
        <w:tc>
          <w:tcPr>
            <w:tcW w:w="1824" w:type="pct"/>
          </w:tcPr>
          <w:p w:rsidR="00E01966" w:rsidRPr="00E01966" w:rsidRDefault="00E01966" w:rsidP="00E01966">
            <w:pPr>
              <w:rPr>
                <w:color w:val="000000"/>
                <w:szCs w:val="22"/>
              </w:rPr>
            </w:pPr>
            <w:r w:rsidRPr="00E01966">
              <w:rPr>
                <w:color w:val="000000"/>
                <w:szCs w:val="22"/>
              </w:rPr>
              <w:t>ITC-214-20040708-00260</w:t>
            </w:r>
          </w:p>
        </w:tc>
      </w:tr>
      <w:tr w:rsidR="00E01966" w:rsidRPr="00E01966" w:rsidTr="001D269A">
        <w:trPr>
          <w:trHeight w:val="128"/>
        </w:trPr>
        <w:tc>
          <w:tcPr>
            <w:tcW w:w="1520" w:type="pct"/>
          </w:tcPr>
          <w:p w:rsidR="00E01966" w:rsidRPr="00E01966" w:rsidRDefault="00E01966" w:rsidP="00E01966">
            <w:pPr>
              <w:rPr>
                <w:color w:val="000000"/>
                <w:szCs w:val="22"/>
              </w:rPr>
            </w:pPr>
            <w:r w:rsidRPr="00E01966">
              <w:rPr>
                <w:color w:val="000000"/>
                <w:szCs w:val="22"/>
              </w:rPr>
              <w:t>ITC-T/C-20161117-00330</w:t>
            </w:r>
          </w:p>
        </w:tc>
        <w:tc>
          <w:tcPr>
            <w:tcW w:w="1656" w:type="pct"/>
          </w:tcPr>
          <w:p w:rsidR="00E01966" w:rsidRPr="00E01966" w:rsidRDefault="00E01966" w:rsidP="00E01966">
            <w:pPr>
              <w:ind w:left="180"/>
              <w:rPr>
                <w:szCs w:val="22"/>
              </w:rPr>
            </w:pPr>
            <w:r w:rsidRPr="00E01966">
              <w:rPr>
                <w:szCs w:val="22"/>
              </w:rPr>
              <w:t>DeltaComm, LLC</w:t>
            </w:r>
          </w:p>
        </w:tc>
        <w:tc>
          <w:tcPr>
            <w:tcW w:w="1824" w:type="pct"/>
          </w:tcPr>
          <w:p w:rsidR="00E01966" w:rsidRPr="00E01966" w:rsidRDefault="00E01966" w:rsidP="00E01966">
            <w:pPr>
              <w:rPr>
                <w:szCs w:val="22"/>
              </w:rPr>
            </w:pPr>
            <w:r w:rsidRPr="00E01966">
              <w:rPr>
                <w:szCs w:val="22"/>
              </w:rPr>
              <w:t>ITC-214-20050325-00139</w:t>
            </w:r>
          </w:p>
        </w:tc>
      </w:tr>
      <w:tr w:rsidR="00E01966" w:rsidRPr="00E01966" w:rsidTr="001D269A">
        <w:trPr>
          <w:trHeight w:val="187"/>
        </w:trPr>
        <w:tc>
          <w:tcPr>
            <w:tcW w:w="1520" w:type="pct"/>
          </w:tcPr>
          <w:p w:rsidR="00E01966" w:rsidRPr="00E01966" w:rsidRDefault="00E01966" w:rsidP="00E01966">
            <w:pPr>
              <w:rPr>
                <w:color w:val="000000"/>
                <w:szCs w:val="22"/>
              </w:rPr>
            </w:pPr>
            <w:r w:rsidRPr="00E01966">
              <w:rPr>
                <w:color w:val="000000"/>
                <w:szCs w:val="22"/>
              </w:rPr>
              <w:t>ITC-T/C-20161117-00331</w:t>
            </w:r>
          </w:p>
        </w:tc>
        <w:tc>
          <w:tcPr>
            <w:tcW w:w="1656" w:type="pct"/>
          </w:tcPr>
          <w:p w:rsidR="00E01966" w:rsidRPr="00E01966" w:rsidRDefault="00E01966" w:rsidP="00E01966">
            <w:pPr>
              <w:ind w:left="180"/>
              <w:rPr>
                <w:szCs w:val="22"/>
              </w:rPr>
            </w:pPr>
            <w:r w:rsidRPr="00E01966">
              <w:rPr>
                <w:szCs w:val="22"/>
              </w:rPr>
              <w:t>EarthLink Business, LLC</w:t>
            </w:r>
          </w:p>
        </w:tc>
        <w:tc>
          <w:tcPr>
            <w:tcW w:w="1824" w:type="pct"/>
          </w:tcPr>
          <w:p w:rsidR="00E01966" w:rsidRPr="00E01966" w:rsidRDefault="00E01966" w:rsidP="00E01966">
            <w:pPr>
              <w:rPr>
                <w:szCs w:val="22"/>
              </w:rPr>
            </w:pPr>
            <w:r w:rsidRPr="00E01966">
              <w:rPr>
                <w:szCs w:val="22"/>
              </w:rPr>
              <w:t>ITC-214-20050514-00229</w:t>
            </w:r>
          </w:p>
        </w:tc>
      </w:tr>
    </w:tbl>
    <w:p w:rsidR="00E01966" w:rsidRPr="00E01966" w:rsidRDefault="00E01966" w:rsidP="00E01966">
      <w:pPr>
        <w:keepNext/>
        <w:ind w:firstLine="720"/>
        <w:rPr>
          <w:b/>
          <w:color w:val="000000"/>
          <w:szCs w:val="22"/>
        </w:rPr>
      </w:pPr>
    </w:p>
    <w:p w:rsidR="00E01966" w:rsidRPr="00E01966" w:rsidRDefault="00E01966" w:rsidP="00E01966">
      <w:pPr>
        <w:keepNext/>
        <w:ind w:firstLine="720"/>
        <w:rPr>
          <w:b/>
          <w:color w:val="000000"/>
          <w:szCs w:val="22"/>
        </w:rPr>
      </w:pPr>
      <w:r w:rsidRPr="00E01966">
        <w:rPr>
          <w:b/>
          <w:color w:val="000000"/>
          <w:szCs w:val="22"/>
        </w:rPr>
        <w:t>B.</w:t>
      </w:r>
      <w:r w:rsidRPr="00E01966">
        <w:rPr>
          <w:b/>
          <w:color w:val="000000"/>
          <w:szCs w:val="22"/>
        </w:rPr>
        <w:tab/>
        <w:t>Domestic</w:t>
      </w:r>
    </w:p>
    <w:p w:rsidR="00E01966" w:rsidRPr="00E01966" w:rsidRDefault="00E01966" w:rsidP="00E01966">
      <w:pPr>
        <w:keepNext/>
        <w:ind w:firstLine="720"/>
        <w:rPr>
          <w:b/>
          <w:color w:val="000000"/>
          <w:szCs w:val="22"/>
        </w:rPr>
      </w:pPr>
    </w:p>
    <w:p w:rsidR="00E01966" w:rsidRPr="004F7405" w:rsidRDefault="00E01966" w:rsidP="00E01966">
      <w:pPr>
        <w:ind w:firstLine="720"/>
        <w:rPr>
          <w:color w:val="000000"/>
          <w:szCs w:val="22"/>
        </w:rPr>
      </w:pPr>
      <w:r>
        <w:rPr>
          <w:color w:val="000000"/>
          <w:szCs w:val="22"/>
        </w:rPr>
        <w:t xml:space="preserve">The Wireline Competition Bureau grants the </w:t>
      </w:r>
      <w:r w:rsidRPr="00E01966">
        <w:rPr>
          <w:color w:val="000000"/>
          <w:szCs w:val="22"/>
        </w:rPr>
        <w:t>application to transfer control of domestic section 214 authority in connection with the proposed transaction.</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C4" w:rsidRDefault="006447C4">
      <w:pPr>
        <w:spacing w:line="20" w:lineRule="exact"/>
      </w:pPr>
    </w:p>
  </w:endnote>
  <w:endnote w:type="continuationSeparator" w:id="0">
    <w:p w:rsidR="006447C4" w:rsidRDefault="006447C4">
      <w:r>
        <w:t xml:space="preserve"> </w:t>
      </w:r>
    </w:p>
  </w:endnote>
  <w:endnote w:type="continuationNotice" w:id="1">
    <w:p w:rsidR="006447C4" w:rsidRDefault="006447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C0BAB">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C4" w:rsidRDefault="006447C4">
      <w:r>
        <w:separator/>
      </w:r>
    </w:p>
  </w:footnote>
  <w:footnote w:type="continuationSeparator" w:id="0">
    <w:p w:rsidR="006447C4" w:rsidRDefault="006447C4" w:rsidP="00C721AC">
      <w:pPr>
        <w:spacing w:before="120"/>
        <w:rPr>
          <w:sz w:val="20"/>
        </w:rPr>
      </w:pPr>
      <w:r>
        <w:rPr>
          <w:sz w:val="20"/>
        </w:rPr>
        <w:t xml:space="preserve">(Continued from previous page)  </w:t>
      </w:r>
      <w:r>
        <w:rPr>
          <w:sz w:val="20"/>
        </w:rPr>
        <w:separator/>
      </w:r>
    </w:p>
  </w:footnote>
  <w:footnote w:type="continuationNotice" w:id="1">
    <w:p w:rsidR="006447C4" w:rsidRDefault="006447C4" w:rsidP="00C721AC">
      <w:pPr>
        <w:jc w:val="right"/>
        <w:rPr>
          <w:sz w:val="20"/>
        </w:rPr>
      </w:pPr>
      <w:r>
        <w:rPr>
          <w:sz w:val="20"/>
        </w:rPr>
        <w:t>(continued….)</w:t>
      </w:r>
    </w:p>
  </w:footnote>
  <w:footnote w:id="2">
    <w:p w:rsidR="00102EFB" w:rsidRPr="002C3BB7" w:rsidRDefault="00102EFB" w:rsidP="00102EFB">
      <w:pPr>
        <w:pStyle w:val="FootnoteText"/>
      </w:pPr>
      <w:r w:rsidRPr="002C3BB7">
        <w:rPr>
          <w:rStyle w:val="FootnoteReference"/>
        </w:rPr>
        <w:footnoteRef/>
      </w:r>
      <w:r w:rsidRPr="002C3BB7">
        <w:t xml:space="preserve"> 47 U.S.C. §§ 214, 310(d); 47 CFR §§ 63.04, 63.18, 63.24.  Consolidated Applications for Transfer of Control of International and Domestic Section 214 Authority, WC Docket No. 16-393 (filed Nov. 17, 2016) (Ap</w:t>
      </w:r>
      <w:r w:rsidR="001A7F4A">
        <w:t xml:space="preserve">plication).  Applicants filed </w:t>
      </w:r>
      <w:r w:rsidRPr="002C3BB7">
        <w:t>supplement</w:t>
      </w:r>
      <w:r w:rsidR="001A7F4A">
        <w:t>s</w:t>
      </w:r>
      <w:r w:rsidRPr="002C3BB7">
        <w:t xml:space="preserve"> to their application on December 1, 2016</w:t>
      </w:r>
      <w:r w:rsidR="00312EEA">
        <w:t>,</w:t>
      </w:r>
      <w:r w:rsidR="00CA2601">
        <w:t xml:space="preserve"> January 4, 2017</w:t>
      </w:r>
      <w:r w:rsidR="00312EEA">
        <w:t>, and January 13, 2017</w:t>
      </w:r>
      <w:r w:rsidRPr="002C3BB7">
        <w:t>.  Letter from Julie A. Veach, Counsel to Windstream Holdings, Inc., to Marlene H. Dortch, Secretary, FCC, WC Docket No. 16-393 (filed Dec. 1</w:t>
      </w:r>
      <w:r w:rsidR="00160E26">
        <w:t>, 2016)</w:t>
      </w:r>
      <w:r w:rsidR="00CA2601">
        <w:t xml:space="preserve">; </w:t>
      </w:r>
      <w:r w:rsidR="00CA2601" w:rsidRPr="002C3BB7">
        <w:t xml:space="preserve">Letter from Julie A. Veach, Counsel to Windstream Holdings, Inc., to Marlene H. Dortch, Secretary, FCC, WC Docket No. 16-393 (filed </w:t>
      </w:r>
      <w:r w:rsidR="00CA2601">
        <w:t>Jan. 4, 2017</w:t>
      </w:r>
      <w:r w:rsidR="00E11237">
        <w:t>)</w:t>
      </w:r>
      <w:r w:rsidR="00312EEA">
        <w:t xml:space="preserve">; </w:t>
      </w:r>
      <w:r w:rsidR="00312EEA" w:rsidRPr="002C3BB7">
        <w:t xml:space="preserve">Letter from Julie A. Veach, Counsel to Windstream Holdings, Inc., to Marlene H. Dortch, Secretary, FCC, WC Docket No. 16-393 (filed </w:t>
      </w:r>
      <w:r w:rsidR="00312EEA">
        <w:t>Jan. 13, 2017)</w:t>
      </w:r>
      <w:r w:rsidR="009E4BD0">
        <w:t xml:space="preserve"> (</w:t>
      </w:r>
      <w:r w:rsidR="009E4BD0">
        <w:rPr>
          <w:szCs w:val="22"/>
        </w:rPr>
        <w:t xml:space="preserve">Applicants’ Jan. 13 </w:t>
      </w:r>
      <w:r w:rsidR="009E4BD0" w:rsidRPr="007E6A6A">
        <w:rPr>
          <w:i/>
          <w:szCs w:val="22"/>
        </w:rPr>
        <w:t>Ex Parte</w:t>
      </w:r>
      <w:r w:rsidR="009E4BD0">
        <w:rPr>
          <w:szCs w:val="22"/>
        </w:rPr>
        <w:t xml:space="preserve"> Letter)</w:t>
      </w:r>
      <w:r w:rsidR="004435C1">
        <w:t xml:space="preserve">. </w:t>
      </w:r>
      <w:r w:rsidR="00CA2601">
        <w:t xml:space="preserve"> Applicants also filed reply comments.  Applicants’ Reply Comments in Support of Consolidated Applications for Transfer of Control of International and Domestic Section 214 Authority, WC Docket No. 16-393 (filed Dec. 23, 2016).</w:t>
      </w:r>
      <w:r w:rsidRPr="002C3BB7">
        <w:t xml:space="preserve"> </w:t>
      </w:r>
    </w:p>
  </w:footnote>
  <w:footnote w:id="3">
    <w:p w:rsidR="00102EFB" w:rsidRPr="002C3BB7" w:rsidRDefault="00102EFB" w:rsidP="00102EFB">
      <w:pPr>
        <w:pStyle w:val="FootnoteText"/>
      </w:pPr>
      <w:r w:rsidRPr="002C3BB7">
        <w:rPr>
          <w:rStyle w:val="FootnoteReference"/>
        </w:rPr>
        <w:footnoteRef/>
      </w:r>
      <w:r w:rsidRPr="002C3BB7">
        <w:t xml:space="preserve"> Application Exh. 1, Public Interest Statement (Public Interest Statement) at 4.</w:t>
      </w:r>
      <w:r w:rsidR="00F56017">
        <w:t xml:space="preserve">  </w:t>
      </w:r>
    </w:p>
  </w:footnote>
  <w:footnote w:id="4">
    <w:p w:rsidR="00102EFB" w:rsidRPr="002C3BB7" w:rsidRDefault="00102EFB" w:rsidP="00102EFB">
      <w:pPr>
        <w:pStyle w:val="FootnoteText"/>
      </w:pPr>
      <w:r w:rsidRPr="002C3BB7">
        <w:rPr>
          <w:rStyle w:val="FootnoteReference"/>
        </w:rPr>
        <w:footnoteRef/>
      </w:r>
      <w:r w:rsidRPr="002C3BB7">
        <w:t xml:space="preserve"> </w:t>
      </w:r>
      <w:r w:rsidR="00F96E32">
        <w:t>Application at 11</w:t>
      </w:r>
      <w:r w:rsidR="002D6AFD">
        <w:t>; Public Interest Statement at 3</w:t>
      </w:r>
      <w:r w:rsidRPr="002C3BB7">
        <w:t>.</w:t>
      </w:r>
    </w:p>
  </w:footnote>
  <w:footnote w:id="5">
    <w:p w:rsidR="00102EFB" w:rsidRPr="002C3BB7" w:rsidRDefault="00102EFB" w:rsidP="00102EFB">
      <w:pPr>
        <w:pStyle w:val="FootnoteText"/>
      </w:pPr>
      <w:r w:rsidRPr="002C3BB7">
        <w:rPr>
          <w:rStyle w:val="FootnoteReference"/>
        </w:rPr>
        <w:footnoteRef/>
      </w:r>
      <w:r w:rsidRPr="002C3BB7">
        <w:t xml:space="preserve"> </w:t>
      </w:r>
      <w:r w:rsidR="002D6AFD">
        <w:t>Application at 11; Public Interest Statement at 3</w:t>
      </w:r>
      <w:r w:rsidRPr="002C3BB7">
        <w:t>.</w:t>
      </w:r>
      <w:r w:rsidR="006171AC">
        <w:t xml:space="preserve">  EarthLink also offers Internet access services to approximately 400,000 residential customers over a mix of facilities leased from incumbent local exchange carriers (LECs) and cable operators. </w:t>
      </w:r>
      <w:r w:rsidR="00F96E32">
        <w:t xml:space="preserve"> </w:t>
      </w:r>
      <w:r w:rsidR="002D6AFD">
        <w:t>Application at 11; Public Interest Statement at 3</w:t>
      </w:r>
      <w:r w:rsidR="00F96E32">
        <w:t>.</w:t>
      </w:r>
      <w:r w:rsidR="006171AC">
        <w:t xml:space="preserve"> </w:t>
      </w:r>
    </w:p>
  </w:footnote>
  <w:footnote w:id="6">
    <w:p w:rsidR="00102EFB" w:rsidRPr="002C3BB7" w:rsidRDefault="00102EFB" w:rsidP="00312EEA">
      <w:pPr>
        <w:pStyle w:val="FootnoteText"/>
      </w:pPr>
      <w:r w:rsidRPr="002C3BB7">
        <w:rPr>
          <w:rStyle w:val="FootnoteReference"/>
        </w:rPr>
        <w:footnoteRef/>
      </w:r>
      <w:r w:rsidRPr="002C3BB7">
        <w:t xml:space="preserve"> </w:t>
      </w:r>
      <w:r w:rsidR="00F96E32">
        <w:t xml:space="preserve">Application </w:t>
      </w:r>
      <w:r w:rsidRPr="002C3BB7">
        <w:t>at 11; Public Interest Statement at 2, n.2.</w:t>
      </w:r>
      <w:r w:rsidR="004435C1">
        <w:t xml:space="preserve">  </w:t>
      </w:r>
      <w:r w:rsidR="00312EEA" w:rsidRPr="00CB16CB">
        <w:rPr>
          <w:szCs w:val="22"/>
        </w:rPr>
        <w:t xml:space="preserve">According to Applicants, Windstream currently has </w:t>
      </w:r>
      <w:r w:rsidR="007E6327">
        <w:rPr>
          <w:szCs w:val="22"/>
        </w:rPr>
        <w:t xml:space="preserve">only </w:t>
      </w:r>
      <w:r w:rsidR="00312EEA" w:rsidRPr="00CB16CB">
        <w:rPr>
          <w:szCs w:val="22"/>
        </w:rPr>
        <w:t xml:space="preserve">one 10 percent or greater interest holder, The Vanguard </w:t>
      </w:r>
      <w:r w:rsidR="00312EEA">
        <w:rPr>
          <w:szCs w:val="22"/>
        </w:rPr>
        <w:t>Group, Inc. (Vanguard Group) (15.9</w:t>
      </w:r>
      <w:r w:rsidR="00312EEA" w:rsidRPr="00CB16CB">
        <w:rPr>
          <w:szCs w:val="22"/>
        </w:rPr>
        <w:t xml:space="preserve"> percent), a U.S.-based investment management company.</w:t>
      </w:r>
      <w:r w:rsidR="00312EEA">
        <w:t xml:space="preserve">  Applicants state that Vanguard Group also holds a 13.9 percent interest of EarthLink common stock.  Applicants state that, if at the time of closing, Vanguard’s holdings remain at those levels, Vanguard Group would hold, post-consummation, </w:t>
      </w:r>
      <w:r w:rsidR="00312EEA">
        <w:rPr>
          <w:szCs w:val="22"/>
        </w:rPr>
        <w:t>approximately a 14.9 percent interest of the combined entity.  Applicants</w:t>
      </w:r>
      <w:r w:rsidR="009E4BD0">
        <w:rPr>
          <w:szCs w:val="22"/>
        </w:rPr>
        <w:t>’</w:t>
      </w:r>
      <w:r w:rsidR="00312EEA">
        <w:rPr>
          <w:szCs w:val="22"/>
        </w:rPr>
        <w:t xml:space="preserve"> Jan. 13 </w:t>
      </w:r>
      <w:r w:rsidR="00312EEA" w:rsidRPr="007E6A6A">
        <w:rPr>
          <w:i/>
          <w:szCs w:val="22"/>
        </w:rPr>
        <w:t>Ex Parte</w:t>
      </w:r>
      <w:r w:rsidR="00312EEA">
        <w:rPr>
          <w:szCs w:val="22"/>
        </w:rPr>
        <w:t xml:space="preserve"> Letter at 1.</w:t>
      </w:r>
      <w:r w:rsidR="004435C1">
        <w:t xml:space="preserve">  </w:t>
      </w:r>
      <w:r w:rsidR="001337B8">
        <w:t xml:space="preserve">  </w:t>
      </w:r>
      <w:r w:rsidR="001337B8">
        <w:rPr>
          <w:szCs w:val="22"/>
        </w:rPr>
        <w:t xml:space="preserve">  </w:t>
      </w:r>
    </w:p>
  </w:footnote>
  <w:footnote w:id="7">
    <w:p w:rsidR="005C47DF" w:rsidRPr="002C3BB7" w:rsidRDefault="005C47DF" w:rsidP="005C47DF">
      <w:pPr>
        <w:pStyle w:val="FootnoteText"/>
      </w:pPr>
      <w:r w:rsidRPr="002C3BB7">
        <w:rPr>
          <w:rStyle w:val="FootnoteReference"/>
        </w:rPr>
        <w:footnoteRef/>
      </w:r>
      <w:r w:rsidR="0002695C">
        <w:t xml:space="preserve"> </w:t>
      </w:r>
      <w:r w:rsidR="00F96E32">
        <w:t>Public Interest Statement at 2, n.2.</w:t>
      </w:r>
    </w:p>
  </w:footnote>
  <w:footnote w:id="8">
    <w:p w:rsidR="004F7405" w:rsidRPr="00F4539B" w:rsidRDefault="004F7405" w:rsidP="004F7405">
      <w:pPr>
        <w:pStyle w:val="FootnoteText"/>
        <w:rPr>
          <w:i/>
        </w:rPr>
      </w:pPr>
      <w:r w:rsidRPr="00F4539B">
        <w:rPr>
          <w:rStyle w:val="FootnoteReference"/>
        </w:rPr>
        <w:footnoteRef/>
      </w:r>
      <w:r w:rsidRPr="00F4539B">
        <w:t xml:space="preserve"> </w:t>
      </w:r>
      <w:r w:rsidR="00161966" w:rsidRPr="00F4539B">
        <w:rPr>
          <w:i/>
        </w:rPr>
        <w:t>Domestic Section 214 Application</w:t>
      </w:r>
      <w:r w:rsidR="000E306C">
        <w:rPr>
          <w:i/>
        </w:rPr>
        <w:t>s</w:t>
      </w:r>
      <w:r w:rsidR="00161966" w:rsidRPr="00F4539B">
        <w:rPr>
          <w:i/>
        </w:rPr>
        <w:t xml:space="preserve"> Filed for the Transfer of Control of </w:t>
      </w:r>
      <w:r w:rsidR="000E306C">
        <w:rPr>
          <w:i/>
        </w:rPr>
        <w:t>EarthLink Holdings Corp. to Windstream Holdings, Inc.</w:t>
      </w:r>
      <w:r w:rsidR="00161966" w:rsidRPr="00F4539B">
        <w:rPr>
          <w:i/>
          <w:iCs/>
        </w:rPr>
        <w:t xml:space="preserve">, </w:t>
      </w:r>
      <w:r w:rsidR="00161966" w:rsidRPr="00F4539B">
        <w:t>WC</w:t>
      </w:r>
      <w:r w:rsidR="000E306C">
        <w:t xml:space="preserve"> Docket No. 16-393</w:t>
      </w:r>
      <w:r w:rsidR="008C0898" w:rsidRPr="00F4539B">
        <w:t xml:space="preserve">, Public Notice, </w:t>
      </w:r>
      <w:r w:rsidR="00BF23BE">
        <w:t>DA 16-1341 (WCB 2016</w:t>
      </w:r>
      <w:r w:rsidR="0034068F" w:rsidRPr="00F4539B">
        <w:t>)</w:t>
      </w:r>
      <w:r w:rsidR="00161966" w:rsidRPr="00F4539B">
        <w:t>.</w:t>
      </w:r>
    </w:p>
  </w:footnote>
  <w:footnote w:id="9">
    <w:p w:rsidR="00C54617" w:rsidRPr="00F4539B" w:rsidRDefault="00C54617">
      <w:pPr>
        <w:pStyle w:val="FootnoteText"/>
      </w:pPr>
      <w:r w:rsidRPr="00F4539B">
        <w:rPr>
          <w:rStyle w:val="FootnoteReference"/>
        </w:rPr>
        <w:footnoteRef/>
      </w:r>
      <w:r w:rsidRPr="00F4539B">
        <w:t xml:space="preserve"> </w:t>
      </w:r>
      <w:r w:rsidR="000F4B49">
        <w:t xml:space="preserve">47 U.S.C. § 214(a); </w:t>
      </w:r>
      <w:r w:rsidRPr="00F4539B">
        <w:t xml:space="preserve">47 CFR § 63.03(b); </w:t>
      </w:r>
      <w:r w:rsidRPr="00F4539B">
        <w:rPr>
          <w:i/>
        </w:rPr>
        <w:t>see</w:t>
      </w:r>
      <w:r w:rsidR="0034068F" w:rsidRPr="00F4539B">
        <w:rPr>
          <w:i/>
        </w:rPr>
        <w:t>,</w:t>
      </w:r>
      <w:r w:rsidRPr="00F4539B">
        <w:rPr>
          <w:i/>
        </w:rPr>
        <w:t xml:space="preserve"> </w:t>
      </w:r>
      <w:r w:rsidR="0034068F" w:rsidRPr="00F4539B">
        <w:rPr>
          <w:i/>
        </w:rPr>
        <w:t>e.g.</w:t>
      </w:r>
      <w:r w:rsidR="0034068F" w:rsidRPr="00F4539B">
        <w:t>,</w:t>
      </w:r>
      <w:r w:rsidRPr="00F4539B">
        <w:rPr>
          <w:i/>
        </w:rPr>
        <w:t xml:space="preserve"> Applications Filed for the Transfer of Control of tw telecom inc. to Level 3 Communications, Inc.</w:t>
      </w:r>
      <w:r w:rsidRPr="00F4539B">
        <w:t xml:space="preserve">, Memorandum Opinion and Order, 29 FCC Rcd 12842, 12847, para. 14 (WCB/IB 2014) (finding that the combination of two </w:t>
      </w:r>
      <w:r w:rsidR="00F04CE3">
        <w:t>smaller</w:t>
      </w:r>
      <w:r w:rsidRPr="00F4539B">
        <w:t xml:space="preserve"> LECs with largely complimentary networks could be a stronger competitor to large national providers, thereby resulting in benefits for consumers).</w:t>
      </w:r>
    </w:p>
  </w:footnote>
  <w:footnote w:id="10">
    <w:p w:rsidR="00FF701B" w:rsidRDefault="00FF701B">
      <w:pPr>
        <w:pStyle w:val="FootnoteText"/>
      </w:pPr>
      <w:r>
        <w:rPr>
          <w:rStyle w:val="FootnoteReference"/>
        </w:rPr>
        <w:footnoteRef/>
      </w:r>
      <w:r>
        <w:t xml:space="preserve"> </w:t>
      </w:r>
      <w:r w:rsidR="00A11498">
        <w:rPr>
          <w:i/>
        </w:rPr>
        <w:t xml:space="preserve">See </w:t>
      </w:r>
      <w:r w:rsidR="009D6A4A">
        <w:t>Public Interest Statement</w:t>
      </w:r>
      <w:r>
        <w:t xml:space="preserve"> at </w:t>
      </w:r>
      <w:r w:rsidR="002C69A4">
        <w:t>10-15 (</w:t>
      </w:r>
      <w:r w:rsidR="000662C1">
        <w:t>E</w:t>
      </w:r>
      <w:r w:rsidR="002C69A4">
        <w:t>arthLink has no dedicated last mile facilities within Windstream’s incumbent LEC service area or to buildings or other locations that Windstream serves as a competitive LEC over its own last</w:t>
      </w:r>
      <w:r w:rsidR="00717FB8">
        <w:t xml:space="preserve"> </w:t>
      </w:r>
      <w:r w:rsidR="002C69A4">
        <w:t>mile facilities</w:t>
      </w:r>
      <w:r w:rsidR="00A11498">
        <w:t>;</w:t>
      </w:r>
      <w:r w:rsidR="000662C1">
        <w:t xml:space="preserve"> the majority of EarthLink’s fiber network does not overlap with Windstream’</w:t>
      </w:r>
      <w:r w:rsidR="002D6AFD">
        <w:t>s network</w:t>
      </w:r>
      <w:r w:rsidR="00A11498">
        <w:t>;</w:t>
      </w:r>
      <w:r w:rsidR="006171AC">
        <w:t xml:space="preserve"> and there are a only a small number of EarthLink residential broadband customers within Windstream’s incumbent LEC territory that EarthLink serves over leased cable facilities</w:t>
      </w:r>
      <w:r w:rsidR="000662C1">
        <w:t>).</w:t>
      </w:r>
    </w:p>
  </w:footnote>
  <w:footnote w:id="11">
    <w:p w:rsidR="00717FB8" w:rsidRPr="00717FB8" w:rsidRDefault="00717FB8" w:rsidP="00312EEA">
      <w:pPr>
        <w:widowControl/>
        <w:autoSpaceDE w:val="0"/>
        <w:autoSpaceDN w:val="0"/>
        <w:adjustRightInd w:val="0"/>
      </w:pPr>
      <w:r>
        <w:rPr>
          <w:rStyle w:val="FootnoteReference"/>
        </w:rPr>
        <w:footnoteRef/>
      </w:r>
      <w:r>
        <w:t xml:space="preserve"> </w:t>
      </w:r>
      <w:r w:rsidR="009D6A4A">
        <w:rPr>
          <w:i/>
          <w:sz w:val="20"/>
        </w:rPr>
        <w:t>Id</w:t>
      </w:r>
      <w:r w:rsidR="009D6A4A">
        <w:rPr>
          <w:sz w:val="20"/>
        </w:rPr>
        <w:t>.</w:t>
      </w:r>
      <w:r w:rsidR="000662C1" w:rsidRPr="00312EEA">
        <w:rPr>
          <w:sz w:val="20"/>
        </w:rPr>
        <w:t xml:space="preserve"> at 6-9 (asserting that the proposed transaction will expand service offerings, increase network efficiencies by bringin</w:t>
      </w:r>
      <w:r w:rsidR="006171AC" w:rsidRPr="00312EEA">
        <w:rPr>
          <w:sz w:val="20"/>
        </w:rPr>
        <w:t>g</w:t>
      </w:r>
      <w:r w:rsidR="000662C1" w:rsidRPr="00312EEA">
        <w:rPr>
          <w:sz w:val="20"/>
        </w:rPr>
        <w:t xml:space="preserve"> customer</w:t>
      </w:r>
      <w:r w:rsidR="006171AC" w:rsidRPr="00312EEA">
        <w:rPr>
          <w:sz w:val="20"/>
        </w:rPr>
        <w:t>s</w:t>
      </w:r>
      <w:r w:rsidR="000662C1" w:rsidRPr="00312EEA">
        <w:rPr>
          <w:sz w:val="20"/>
        </w:rPr>
        <w:t xml:space="preserve"> on-net and combining fiber connections and equipment, and by expanding the </w:t>
      </w:r>
      <w:r w:rsidR="006171AC" w:rsidRPr="00312EEA">
        <w:rPr>
          <w:sz w:val="20"/>
        </w:rPr>
        <w:t xml:space="preserve">companies’ </w:t>
      </w:r>
      <w:r w:rsidR="000662C1" w:rsidRPr="00312EEA">
        <w:rPr>
          <w:sz w:val="20"/>
        </w:rPr>
        <w:t>fiber networks</w:t>
      </w:r>
      <w:r w:rsidR="006171AC" w:rsidRPr="00312EEA">
        <w:rPr>
          <w:sz w:val="20"/>
        </w:rPr>
        <w:t xml:space="preserve">).  </w:t>
      </w:r>
      <w:r w:rsidRPr="00312EEA">
        <w:rPr>
          <w:i/>
          <w:sz w:val="20"/>
        </w:rPr>
        <w:t>See</w:t>
      </w:r>
      <w:r w:rsidRPr="00312EEA">
        <w:rPr>
          <w:sz w:val="20"/>
        </w:rPr>
        <w:t xml:space="preserve"> </w:t>
      </w:r>
      <w:r w:rsidRPr="00312EEA">
        <w:rPr>
          <w:i/>
          <w:sz w:val="20"/>
        </w:rPr>
        <w:t xml:space="preserve">Applications of XO Holdings and Verizon Communications, Inc. for Consent to </w:t>
      </w:r>
      <w:r w:rsidR="000662C1" w:rsidRPr="00312EEA">
        <w:rPr>
          <w:i/>
          <w:sz w:val="20"/>
        </w:rPr>
        <w:t>T</w:t>
      </w:r>
      <w:r w:rsidRPr="00312EEA">
        <w:rPr>
          <w:i/>
          <w:sz w:val="20"/>
        </w:rPr>
        <w:t>ransfer Control of Licenses and Authorizations</w:t>
      </w:r>
      <w:r w:rsidRPr="00312EEA">
        <w:rPr>
          <w:sz w:val="20"/>
        </w:rPr>
        <w:t>, Memorandum Opinion and Order, DA 16-1281, para. 61 (WCB/IB/WTB 2016)</w:t>
      </w:r>
      <w:r w:rsidR="009E4BD0">
        <w:rPr>
          <w:sz w:val="20"/>
        </w:rPr>
        <w:t xml:space="preserve"> (</w:t>
      </w:r>
      <w:r w:rsidR="009E4BD0">
        <w:rPr>
          <w:i/>
          <w:sz w:val="20"/>
        </w:rPr>
        <w:t>Verizon/XO Order</w:t>
      </w:r>
      <w:r w:rsidR="009E4BD0">
        <w:rPr>
          <w:sz w:val="20"/>
        </w:rPr>
        <w:t>)</w:t>
      </w:r>
      <w:r w:rsidRPr="00312EEA">
        <w:rPr>
          <w:sz w:val="20"/>
        </w:rPr>
        <w:t xml:space="preserve"> (finding that Verizon’s acquisition of XO’s fiber network would deepen and expand Verizon’s fiber facilities to better serve customers).  </w:t>
      </w:r>
      <w:r w:rsidR="000662C1" w:rsidRPr="00312EEA">
        <w:rPr>
          <w:sz w:val="20"/>
        </w:rPr>
        <w:t>While we a</w:t>
      </w:r>
      <w:r w:rsidR="00312EEA">
        <w:rPr>
          <w:sz w:val="20"/>
        </w:rPr>
        <w:t>scribe some weight to Applicant</w:t>
      </w:r>
      <w:r w:rsidR="000662C1" w:rsidRPr="00312EEA">
        <w:rPr>
          <w:sz w:val="20"/>
        </w:rPr>
        <w:t>s</w:t>
      </w:r>
      <w:r w:rsidR="00312EEA">
        <w:rPr>
          <w:sz w:val="20"/>
        </w:rPr>
        <w:t>’</w:t>
      </w:r>
      <w:r w:rsidR="000662C1" w:rsidRPr="00312EEA">
        <w:rPr>
          <w:sz w:val="20"/>
        </w:rPr>
        <w:t xml:space="preserve"> claimed benefits, </w:t>
      </w:r>
      <w:r w:rsidR="00A11498" w:rsidRPr="00312EEA">
        <w:rPr>
          <w:sz w:val="20"/>
        </w:rPr>
        <w:t xml:space="preserve">the Applicants </w:t>
      </w:r>
      <w:r w:rsidR="000662C1" w:rsidRPr="00312EEA">
        <w:rPr>
          <w:sz w:val="20"/>
        </w:rPr>
        <w:t xml:space="preserve">did not provide quantifiable evidence to determine the full extent of the benefits.  </w:t>
      </w:r>
      <w:r w:rsidR="00A11498" w:rsidRPr="00312EEA">
        <w:rPr>
          <w:sz w:val="20"/>
        </w:rPr>
        <w:t xml:space="preserve">Consistent with the Commission’s “sliding scale” approach to evaluating the public benefits of a transaction, </w:t>
      </w:r>
      <w:r w:rsidR="00A11498" w:rsidRPr="00312EEA">
        <w:rPr>
          <w:i/>
          <w:sz w:val="20"/>
        </w:rPr>
        <w:t xml:space="preserve">see Charter Communications, Inc., Time Warner Cable Inc., and Advance/Newhouse Partnership For Consent to Assign or Transfer Control of Licenses and Authorizations, </w:t>
      </w:r>
      <w:r w:rsidR="00A11498" w:rsidRPr="00312EEA">
        <w:rPr>
          <w:sz w:val="20"/>
        </w:rPr>
        <w:t xml:space="preserve">Memorandum Opinion and Order, 31 FCC Rcd 6327, 6480, para. 319 (2016); </w:t>
      </w:r>
      <w:r w:rsidR="004A692C">
        <w:rPr>
          <w:i/>
          <w:sz w:val="20"/>
        </w:rPr>
        <w:t>Verizon/XO Order</w:t>
      </w:r>
      <w:r w:rsidR="004A692C">
        <w:rPr>
          <w:sz w:val="20"/>
        </w:rPr>
        <w:t xml:space="preserve"> at para. 65</w:t>
      </w:r>
      <w:r w:rsidR="00A11498" w:rsidRPr="00312EEA">
        <w:rPr>
          <w:sz w:val="20"/>
        </w:rPr>
        <w:t>, w</w:t>
      </w:r>
      <w:r w:rsidR="000662C1" w:rsidRPr="00312EEA">
        <w:rPr>
          <w:sz w:val="20"/>
        </w:rPr>
        <w:t xml:space="preserve">e accept this </w:t>
      </w:r>
      <w:r w:rsidR="006171AC" w:rsidRPr="00312EEA">
        <w:rPr>
          <w:sz w:val="20"/>
        </w:rPr>
        <w:t xml:space="preserve">lesser </w:t>
      </w:r>
      <w:r w:rsidR="000662C1" w:rsidRPr="00312EEA">
        <w:rPr>
          <w:sz w:val="20"/>
        </w:rPr>
        <w:t>showing where we have found no material public interest harms.</w:t>
      </w:r>
      <w:r w:rsidR="00A11498">
        <w:rPr>
          <w:i/>
        </w:rPr>
        <w:t xml:space="preserve"> </w:t>
      </w:r>
      <w:r w:rsidR="000662C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5" w:rsidRDefault="009C4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15" w:rsidRDefault="009C4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6F5C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3C0BAB">
                            <w:rPr>
                              <w:rFonts w:ascii="Arial" w:hAnsi="Arial"/>
                              <w:b/>
                              <w:sz w:val="16"/>
                            </w:rPr>
                            <w:instrText>HYPERLINK "https://www.fcc.gov/"</w:instrText>
                          </w:r>
                          <w:r w:rsidR="003C0BA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0" w:name="_Hlt233824"/>
                    <w:r w:rsidR="007F413A">
                      <w:rPr>
                        <w:rFonts w:ascii="Arial" w:hAnsi="Arial"/>
                        <w:b/>
                        <w:sz w:val="16"/>
                      </w:rPr>
                      <w:fldChar w:fldCharType="begin"/>
                    </w:r>
                    <w:r w:rsidR="003C0BAB">
                      <w:rPr>
                        <w:rFonts w:ascii="Arial" w:hAnsi="Arial"/>
                        <w:b/>
                        <w:sz w:val="16"/>
                      </w:rPr>
                      <w:instrText>HYPERLINK "https://www.fcc.gov/"</w:instrText>
                    </w:r>
                    <w:r w:rsidR="003C0BA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0"/>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2695C"/>
    <w:rsid w:val="00036039"/>
    <w:rsid w:val="00037F90"/>
    <w:rsid w:val="000662C1"/>
    <w:rsid w:val="00084938"/>
    <w:rsid w:val="000875BF"/>
    <w:rsid w:val="00096D8C"/>
    <w:rsid w:val="000C0B65"/>
    <w:rsid w:val="000E05FE"/>
    <w:rsid w:val="000E306C"/>
    <w:rsid w:val="000E3D42"/>
    <w:rsid w:val="000F4B49"/>
    <w:rsid w:val="00102EFB"/>
    <w:rsid w:val="00122BD5"/>
    <w:rsid w:val="001337B8"/>
    <w:rsid w:val="00133F79"/>
    <w:rsid w:val="00160E26"/>
    <w:rsid w:val="00161966"/>
    <w:rsid w:val="00194A66"/>
    <w:rsid w:val="001A15C9"/>
    <w:rsid w:val="001A7F4A"/>
    <w:rsid w:val="001C3917"/>
    <w:rsid w:val="001C4B90"/>
    <w:rsid w:val="001C7BBB"/>
    <w:rsid w:val="001D6BCF"/>
    <w:rsid w:val="001E01CA"/>
    <w:rsid w:val="001F1EB1"/>
    <w:rsid w:val="00222454"/>
    <w:rsid w:val="00266CB2"/>
    <w:rsid w:val="00275CF5"/>
    <w:rsid w:val="0028301F"/>
    <w:rsid w:val="00285017"/>
    <w:rsid w:val="00285653"/>
    <w:rsid w:val="002975EB"/>
    <w:rsid w:val="002A2D2E"/>
    <w:rsid w:val="002C00E8"/>
    <w:rsid w:val="002C2A61"/>
    <w:rsid w:val="002C5163"/>
    <w:rsid w:val="002C69A4"/>
    <w:rsid w:val="002D6AFD"/>
    <w:rsid w:val="00306EBF"/>
    <w:rsid w:val="00312EEA"/>
    <w:rsid w:val="0034068F"/>
    <w:rsid w:val="00343749"/>
    <w:rsid w:val="00347D49"/>
    <w:rsid w:val="003660ED"/>
    <w:rsid w:val="00373656"/>
    <w:rsid w:val="00397D7B"/>
    <w:rsid w:val="003B0550"/>
    <w:rsid w:val="003B694F"/>
    <w:rsid w:val="003C0BAB"/>
    <w:rsid w:val="003F171C"/>
    <w:rsid w:val="00412FC5"/>
    <w:rsid w:val="00422276"/>
    <w:rsid w:val="004242F1"/>
    <w:rsid w:val="004435C1"/>
    <w:rsid w:val="00443EEE"/>
    <w:rsid w:val="00445A00"/>
    <w:rsid w:val="00451B0F"/>
    <w:rsid w:val="00453064"/>
    <w:rsid w:val="004A692C"/>
    <w:rsid w:val="004C2EE3"/>
    <w:rsid w:val="004D2290"/>
    <w:rsid w:val="004E4A22"/>
    <w:rsid w:val="004E4E57"/>
    <w:rsid w:val="004F7405"/>
    <w:rsid w:val="0050269A"/>
    <w:rsid w:val="00504DE9"/>
    <w:rsid w:val="00511968"/>
    <w:rsid w:val="0051223E"/>
    <w:rsid w:val="00513791"/>
    <w:rsid w:val="00527AB2"/>
    <w:rsid w:val="0053307A"/>
    <w:rsid w:val="005417AB"/>
    <w:rsid w:val="0055614C"/>
    <w:rsid w:val="00576A41"/>
    <w:rsid w:val="005811A9"/>
    <w:rsid w:val="005A7A58"/>
    <w:rsid w:val="005C47DF"/>
    <w:rsid w:val="005E14C2"/>
    <w:rsid w:val="00607BA5"/>
    <w:rsid w:val="0061180A"/>
    <w:rsid w:val="00616F1B"/>
    <w:rsid w:val="006171AC"/>
    <w:rsid w:val="00626EB6"/>
    <w:rsid w:val="00630C94"/>
    <w:rsid w:val="006447C4"/>
    <w:rsid w:val="00655D03"/>
    <w:rsid w:val="00662B3D"/>
    <w:rsid w:val="00683388"/>
    <w:rsid w:val="00683F84"/>
    <w:rsid w:val="00690FF6"/>
    <w:rsid w:val="006A117D"/>
    <w:rsid w:val="006A1F49"/>
    <w:rsid w:val="006A59B6"/>
    <w:rsid w:val="006A6A81"/>
    <w:rsid w:val="006B1456"/>
    <w:rsid w:val="006F3F08"/>
    <w:rsid w:val="006F7393"/>
    <w:rsid w:val="0070224F"/>
    <w:rsid w:val="007115F7"/>
    <w:rsid w:val="00717FB8"/>
    <w:rsid w:val="007530A7"/>
    <w:rsid w:val="007672D3"/>
    <w:rsid w:val="00771A91"/>
    <w:rsid w:val="00774FDC"/>
    <w:rsid w:val="00785689"/>
    <w:rsid w:val="00796AE7"/>
    <w:rsid w:val="0079754B"/>
    <w:rsid w:val="007A1E6D"/>
    <w:rsid w:val="007A221A"/>
    <w:rsid w:val="007B0EB2"/>
    <w:rsid w:val="007D568C"/>
    <w:rsid w:val="007D5730"/>
    <w:rsid w:val="007E6327"/>
    <w:rsid w:val="007F413A"/>
    <w:rsid w:val="00810B6F"/>
    <w:rsid w:val="00822CE0"/>
    <w:rsid w:val="00841AB1"/>
    <w:rsid w:val="008458D9"/>
    <w:rsid w:val="00877D39"/>
    <w:rsid w:val="00881426"/>
    <w:rsid w:val="008C0898"/>
    <w:rsid w:val="008C68F1"/>
    <w:rsid w:val="00921803"/>
    <w:rsid w:val="00926503"/>
    <w:rsid w:val="00944598"/>
    <w:rsid w:val="009726D8"/>
    <w:rsid w:val="009775AA"/>
    <w:rsid w:val="009C4A15"/>
    <w:rsid w:val="009D1A56"/>
    <w:rsid w:val="009D6A4A"/>
    <w:rsid w:val="009E4BD0"/>
    <w:rsid w:val="009F76DB"/>
    <w:rsid w:val="00A11498"/>
    <w:rsid w:val="00A17DB5"/>
    <w:rsid w:val="00A226C7"/>
    <w:rsid w:val="00A32C3B"/>
    <w:rsid w:val="00A45F4F"/>
    <w:rsid w:val="00A46097"/>
    <w:rsid w:val="00A600A9"/>
    <w:rsid w:val="00A802D1"/>
    <w:rsid w:val="00AA55B7"/>
    <w:rsid w:val="00AA5B9E"/>
    <w:rsid w:val="00AB2407"/>
    <w:rsid w:val="00AB53DF"/>
    <w:rsid w:val="00AC38BA"/>
    <w:rsid w:val="00AC424B"/>
    <w:rsid w:val="00AF46DC"/>
    <w:rsid w:val="00B07E5C"/>
    <w:rsid w:val="00B20363"/>
    <w:rsid w:val="00B24A1C"/>
    <w:rsid w:val="00B338A9"/>
    <w:rsid w:val="00B47E79"/>
    <w:rsid w:val="00B6131C"/>
    <w:rsid w:val="00B679AB"/>
    <w:rsid w:val="00B76DB8"/>
    <w:rsid w:val="00B77CE9"/>
    <w:rsid w:val="00B811F7"/>
    <w:rsid w:val="00BA5DC6"/>
    <w:rsid w:val="00BA6196"/>
    <w:rsid w:val="00BC2965"/>
    <w:rsid w:val="00BC6D8C"/>
    <w:rsid w:val="00BE272B"/>
    <w:rsid w:val="00BF23BE"/>
    <w:rsid w:val="00BF7F36"/>
    <w:rsid w:val="00C34006"/>
    <w:rsid w:val="00C426B1"/>
    <w:rsid w:val="00C54617"/>
    <w:rsid w:val="00C63458"/>
    <w:rsid w:val="00C66160"/>
    <w:rsid w:val="00C721AC"/>
    <w:rsid w:val="00C765ED"/>
    <w:rsid w:val="00C90D6A"/>
    <w:rsid w:val="00CA247E"/>
    <w:rsid w:val="00CA2601"/>
    <w:rsid w:val="00CC7005"/>
    <w:rsid w:val="00CC72B6"/>
    <w:rsid w:val="00CC776F"/>
    <w:rsid w:val="00CD6DDA"/>
    <w:rsid w:val="00CF151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1966"/>
    <w:rsid w:val="00E07225"/>
    <w:rsid w:val="00E11237"/>
    <w:rsid w:val="00E11C94"/>
    <w:rsid w:val="00E5409F"/>
    <w:rsid w:val="00EB4ACC"/>
    <w:rsid w:val="00EE6488"/>
    <w:rsid w:val="00F021FA"/>
    <w:rsid w:val="00F04CE3"/>
    <w:rsid w:val="00F16D65"/>
    <w:rsid w:val="00F21457"/>
    <w:rsid w:val="00F4539B"/>
    <w:rsid w:val="00F56017"/>
    <w:rsid w:val="00F62E97"/>
    <w:rsid w:val="00F64209"/>
    <w:rsid w:val="00F8591E"/>
    <w:rsid w:val="00F93BF5"/>
    <w:rsid w:val="00F96E32"/>
    <w:rsid w:val="00FA19A2"/>
    <w:rsid w:val="00FA41B6"/>
    <w:rsid w:val="00FC4690"/>
    <w:rsid w:val="00FC47CF"/>
    <w:rsid w:val="00FE2241"/>
    <w:rsid w:val="00FE2C64"/>
    <w:rsid w:val="00FF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516</Words>
  <Characters>3263</Characters>
  <Application>Microsoft Office Word</Application>
  <DocSecurity>0</DocSecurity>
  <Lines>71</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2016-05-09T14:42:00Z</cp:lastPrinted>
  <dcterms:created xsi:type="dcterms:W3CDTF">2017-01-19T21:01:00Z</dcterms:created>
  <dcterms:modified xsi:type="dcterms:W3CDTF">2017-01-19T21:01:00Z</dcterms:modified>
  <cp:category> </cp:category>
  <cp:contentStatus> </cp:contentStatus>
</cp:coreProperties>
</file>