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94F8B"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B2D7CFB" w14:textId="77777777" w:rsidR="00921803" w:rsidRDefault="00921803" w:rsidP="00921803">
      <w:pPr>
        <w:pStyle w:val="StyleBoldCentered"/>
      </w:pPr>
      <w:r>
        <w:t>F</w:t>
      </w:r>
      <w:r>
        <w:rPr>
          <w:caps w:val="0"/>
        </w:rPr>
        <w:t>ederal Communications Commission</w:t>
      </w:r>
    </w:p>
    <w:p w14:paraId="1B20A232" w14:textId="77777777" w:rsidR="004C2EE3" w:rsidRDefault="00810B6F" w:rsidP="00096D8C">
      <w:pPr>
        <w:pStyle w:val="StyleBoldCentered"/>
      </w:pPr>
      <w:r>
        <w:rPr>
          <w:caps w:val="0"/>
        </w:rPr>
        <w:t>Washington, D.C. 20554</w:t>
      </w:r>
    </w:p>
    <w:p w14:paraId="4DFB1920" w14:textId="77777777" w:rsidR="004C2EE3" w:rsidRDefault="004C2EE3" w:rsidP="0070224F"/>
    <w:p w14:paraId="34FFCCF9"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2A338F41" w14:textId="77777777">
        <w:tc>
          <w:tcPr>
            <w:tcW w:w="4698" w:type="dxa"/>
          </w:tcPr>
          <w:p w14:paraId="546738F5" w14:textId="77777777" w:rsidR="004C2EE3" w:rsidRDefault="004C2EE3">
            <w:pPr>
              <w:tabs>
                <w:tab w:val="center" w:pos="4680"/>
              </w:tabs>
              <w:suppressAutoHyphens/>
              <w:rPr>
                <w:spacing w:val="-2"/>
              </w:rPr>
            </w:pPr>
            <w:r>
              <w:rPr>
                <w:spacing w:val="-2"/>
              </w:rPr>
              <w:t>In the Matter of</w:t>
            </w:r>
          </w:p>
          <w:p w14:paraId="1700FA4E" w14:textId="77777777" w:rsidR="004C2EE3" w:rsidRDefault="004C2EE3">
            <w:pPr>
              <w:tabs>
                <w:tab w:val="center" w:pos="4680"/>
              </w:tabs>
              <w:suppressAutoHyphens/>
              <w:rPr>
                <w:spacing w:val="-2"/>
              </w:rPr>
            </w:pPr>
          </w:p>
          <w:p w14:paraId="12D706ED" w14:textId="5C9F75E3" w:rsidR="004C2EE3" w:rsidRDefault="00425BF9" w:rsidP="007115F7">
            <w:pPr>
              <w:tabs>
                <w:tab w:val="center" w:pos="4680"/>
              </w:tabs>
              <w:suppressAutoHyphens/>
              <w:rPr>
                <w:spacing w:val="-2"/>
              </w:rPr>
            </w:pPr>
            <w:r>
              <w:rPr>
                <w:spacing w:val="-2"/>
              </w:rPr>
              <w:t>Lifeline and Link Up Reform and Modernization</w:t>
            </w:r>
          </w:p>
          <w:p w14:paraId="7A054AAE" w14:textId="74136EBB" w:rsidR="00425BF9" w:rsidRDefault="00425BF9" w:rsidP="007115F7">
            <w:pPr>
              <w:tabs>
                <w:tab w:val="center" w:pos="4680"/>
              </w:tabs>
              <w:suppressAutoHyphens/>
              <w:rPr>
                <w:spacing w:val="-2"/>
              </w:rPr>
            </w:pPr>
          </w:p>
          <w:p w14:paraId="288BF399" w14:textId="39511BDE" w:rsidR="00425BF9" w:rsidRDefault="00425BF9" w:rsidP="007115F7">
            <w:pPr>
              <w:tabs>
                <w:tab w:val="center" w:pos="4680"/>
              </w:tabs>
              <w:suppressAutoHyphens/>
              <w:rPr>
                <w:spacing w:val="-2"/>
              </w:rPr>
            </w:pPr>
            <w:r>
              <w:rPr>
                <w:spacing w:val="-2"/>
              </w:rPr>
              <w:t>Telecommunications Carriers Eligible for Universal Service Support</w:t>
            </w:r>
          </w:p>
          <w:p w14:paraId="5901D31B" w14:textId="77777777" w:rsidR="00425BF9" w:rsidRDefault="00425BF9" w:rsidP="007115F7">
            <w:pPr>
              <w:tabs>
                <w:tab w:val="center" w:pos="4680"/>
              </w:tabs>
              <w:suppressAutoHyphens/>
              <w:rPr>
                <w:spacing w:val="-2"/>
              </w:rPr>
            </w:pPr>
          </w:p>
          <w:p w14:paraId="1B8F3A03" w14:textId="01871680" w:rsidR="00425BF9" w:rsidRPr="007115F7" w:rsidRDefault="00425BF9" w:rsidP="007115F7">
            <w:pPr>
              <w:tabs>
                <w:tab w:val="center" w:pos="4680"/>
              </w:tabs>
              <w:suppressAutoHyphens/>
              <w:rPr>
                <w:spacing w:val="-2"/>
              </w:rPr>
            </w:pPr>
            <w:r>
              <w:rPr>
                <w:spacing w:val="-2"/>
              </w:rPr>
              <w:t>Connect America Fund</w:t>
            </w:r>
          </w:p>
        </w:tc>
        <w:tc>
          <w:tcPr>
            <w:tcW w:w="630" w:type="dxa"/>
          </w:tcPr>
          <w:p w14:paraId="60B136FE" w14:textId="77777777" w:rsidR="004C2EE3" w:rsidRDefault="004C2EE3">
            <w:pPr>
              <w:tabs>
                <w:tab w:val="center" w:pos="4680"/>
              </w:tabs>
              <w:suppressAutoHyphens/>
              <w:rPr>
                <w:b/>
                <w:spacing w:val="-2"/>
              </w:rPr>
            </w:pPr>
            <w:r>
              <w:rPr>
                <w:b/>
                <w:spacing w:val="-2"/>
              </w:rPr>
              <w:t>)</w:t>
            </w:r>
          </w:p>
          <w:p w14:paraId="09978711" w14:textId="77777777" w:rsidR="004C2EE3" w:rsidRDefault="004C2EE3">
            <w:pPr>
              <w:tabs>
                <w:tab w:val="center" w:pos="4680"/>
              </w:tabs>
              <w:suppressAutoHyphens/>
              <w:rPr>
                <w:b/>
                <w:spacing w:val="-2"/>
              </w:rPr>
            </w:pPr>
            <w:r>
              <w:rPr>
                <w:b/>
                <w:spacing w:val="-2"/>
              </w:rPr>
              <w:t>)</w:t>
            </w:r>
          </w:p>
          <w:p w14:paraId="15255405" w14:textId="77777777" w:rsidR="004C2EE3" w:rsidRDefault="004C2EE3">
            <w:pPr>
              <w:tabs>
                <w:tab w:val="center" w:pos="4680"/>
              </w:tabs>
              <w:suppressAutoHyphens/>
              <w:rPr>
                <w:b/>
                <w:spacing w:val="-2"/>
              </w:rPr>
            </w:pPr>
            <w:r>
              <w:rPr>
                <w:b/>
                <w:spacing w:val="-2"/>
              </w:rPr>
              <w:t>)</w:t>
            </w:r>
          </w:p>
          <w:p w14:paraId="54150A2C" w14:textId="77777777" w:rsidR="004C2EE3" w:rsidRDefault="004C2EE3">
            <w:pPr>
              <w:tabs>
                <w:tab w:val="center" w:pos="4680"/>
              </w:tabs>
              <w:suppressAutoHyphens/>
              <w:rPr>
                <w:b/>
                <w:spacing w:val="-2"/>
              </w:rPr>
            </w:pPr>
            <w:r>
              <w:rPr>
                <w:b/>
                <w:spacing w:val="-2"/>
              </w:rPr>
              <w:t>)</w:t>
            </w:r>
          </w:p>
          <w:p w14:paraId="46342954" w14:textId="77777777" w:rsidR="004C2EE3" w:rsidRDefault="004C2EE3">
            <w:pPr>
              <w:tabs>
                <w:tab w:val="center" w:pos="4680"/>
              </w:tabs>
              <w:suppressAutoHyphens/>
              <w:rPr>
                <w:b/>
                <w:spacing w:val="-2"/>
              </w:rPr>
            </w:pPr>
            <w:r>
              <w:rPr>
                <w:b/>
                <w:spacing w:val="-2"/>
              </w:rPr>
              <w:t>)</w:t>
            </w:r>
          </w:p>
          <w:p w14:paraId="5A225235" w14:textId="77777777" w:rsidR="004C2EE3" w:rsidRDefault="004C2EE3">
            <w:pPr>
              <w:tabs>
                <w:tab w:val="center" w:pos="4680"/>
              </w:tabs>
              <w:suppressAutoHyphens/>
              <w:rPr>
                <w:b/>
                <w:spacing w:val="-2"/>
              </w:rPr>
            </w:pPr>
            <w:r>
              <w:rPr>
                <w:b/>
                <w:spacing w:val="-2"/>
              </w:rPr>
              <w:t>)</w:t>
            </w:r>
          </w:p>
          <w:p w14:paraId="71B89B29" w14:textId="77777777" w:rsidR="004C2EE3" w:rsidRDefault="004C2EE3">
            <w:pPr>
              <w:tabs>
                <w:tab w:val="center" w:pos="4680"/>
              </w:tabs>
              <w:suppressAutoHyphens/>
              <w:rPr>
                <w:b/>
                <w:spacing w:val="-2"/>
              </w:rPr>
            </w:pPr>
            <w:r>
              <w:rPr>
                <w:b/>
                <w:spacing w:val="-2"/>
              </w:rPr>
              <w:t>)</w:t>
            </w:r>
          </w:p>
          <w:p w14:paraId="522560EA" w14:textId="77777777" w:rsidR="004C2EE3" w:rsidRDefault="004C2EE3">
            <w:pPr>
              <w:tabs>
                <w:tab w:val="center" w:pos="4680"/>
              </w:tabs>
              <w:suppressAutoHyphens/>
              <w:rPr>
                <w:b/>
                <w:spacing w:val="-2"/>
              </w:rPr>
            </w:pPr>
            <w:r>
              <w:rPr>
                <w:b/>
                <w:spacing w:val="-2"/>
              </w:rPr>
              <w:t>)</w:t>
            </w:r>
          </w:p>
          <w:p w14:paraId="7F03D5EF" w14:textId="77777777" w:rsidR="004C2EE3" w:rsidRDefault="004C2EE3">
            <w:pPr>
              <w:tabs>
                <w:tab w:val="center" w:pos="4680"/>
              </w:tabs>
              <w:suppressAutoHyphens/>
              <w:rPr>
                <w:spacing w:val="-2"/>
              </w:rPr>
            </w:pPr>
            <w:r>
              <w:rPr>
                <w:b/>
                <w:spacing w:val="-2"/>
              </w:rPr>
              <w:t>)</w:t>
            </w:r>
          </w:p>
        </w:tc>
        <w:tc>
          <w:tcPr>
            <w:tcW w:w="4248" w:type="dxa"/>
          </w:tcPr>
          <w:p w14:paraId="5133255D" w14:textId="77777777" w:rsidR="004C2EE3" w:rsidRDefault="004C2EE3">
            <w:pPr>
              <w:tabs>
                <w:tab w:val="center" w:pos="4680"/>
              </w:tabs>
              <w:suppressAutoHyphens/>
              <w:rPr>
                <w:spacing w:val="-2"/>
              </w:rPr>
            </w:pPr>
          </w:p>
          <w:p w14:paraId="322D3E39" w14:textId="77777777" w:rsidR="004C2EE3" w:rsidRDefault="004C2EE3">
            <w:pPr>
              <w:pStyle w:val="TOAHeading"/>
              <w:tabs>
                <w:tab w:val="clear" w:pos="9360"/>
                <w:tab w:val="center" w:pos="4680"/>
              </w:tabs>
              <w:rPr>
                <w:spacing w:val="-2"/>
              </w:rPr>
            </w:pPr>
          </w:p>
          <w:p w14:paraId="4A3E1D71" w14:textId="77777777" w:rsidR="004C2EE3" w:rsidRDefault="00425BF9">
            <w:pPr>
              <w:tabs>
                <w:tab w:val="center" w:pos="4680"/>
              </w:tabs>
              <w:suppressAutoHyphens/>
              <w:rPr>
                <w:spacing w:val="-2"/>
              </w:rPr>
            </w:pPr>
            <w:r>
              <w:rPr>
                <w:spacing w:val="-2"/>
              </w:rPr>
              <w:t>WC Docket No. 11-42</w:t>
            </w:r>
          </w:p>
          <w:p w14:paraId="09F6B472" w14:textId="77777777" w:rsidR="00425BF9" w:rsidRDefault="00425BF9">
            <w:pPr>
              <w:tabs>
                <w:tab w:val="center" w:pos="4680"/>
              </w:tabs>
              <w:suppressAutoHyphens/>
              <w:rPr>
                <w:spacing w:val="-2"/>
              </w:rPr>
            </w:pPr>
          </w:p>
          <w:p w14:paraId="01CFD6B8" w14:textId="77777777" w:rsidR="00425BF9" w:rsidRDefault="00425BF9">
            <w:pPr>
              <w:tabs>
                <w:tab w:val="center" w:pos="4680"/>
              </w:tabs>
              <w:suppressAutoHyphens/>
              <w:rPr>
                <w:spacing w:val="-2"/>
              </w:rPr>
            </w:pPr>
            <w:r>
              <w:rPr>
                <w:spacing w:val="-2"/>
              </w:rPr>
              <w:t>WC Docket No. 09-197</w:t>
            </w:r>
          </w:p>
          <w:p w14:paraId="7D156B5D" w14:textId="77777777" w:rsidR="00425BF9" w:rsidRDefault="00425BF9">
            <w:pPr>
              <w:tabs>
                <w:tab w:val="center" w:pos="4680"/>
              </w:tabs>
              <w:suppressAutoHyphens/>
              <w:rPr>
                <w:spacing w:val="-2"/>
              </w:rPr>
            </w:pPr>
          </w:p>
          <w:p w14:paraId="31228142" w14:textId="77777777" w:rsidR="00425BF9" w:rsidRDefault="00425BF9">
            <w:pPr>
              <w:tabs>
                <w:tab w:val="center" w:pos="4680"/>
              </w:tabs>
              <w:suppressAutoHyphens/>
              <w:rPr>
                <w:spacing w:val="-2"/>
              </w:rPr>
            </w:pPr>
          </w:p>
          <w:p w14:paraId="0CB8D798" w14:textId="061ABBD3" w:rsidR="00425BF9" w:rsidRDefault="00425BF9">
            <w:pPr>
              <w:tabs>
                <w:tab w:val="center" w:pos="4680"/>
              </w:tabs>
              <w:suppressAutoHyphens/>
              <w:rPr>
                <w:spacing w:val="-2"/>
              </w:rPr>
            </w:pPr>
            <w:r>
              <w:rPr>
                <w:spacing w:val="-2"/>
              </w:rPr>
              <w:t>WC Docket No. 10-90</w:t>
            </w:r>
          </w:p>
        </w:tc>
      </w:tr>
    </w:tbl>
    <w:p w14:paraId="170B6A76" w14:textId="77777777" w:rsidR="004C2EE3" w:rsidRDefault="004C2EE3" w:rsidP="0070224F"/>
    <w:p w14:paraId="2BFFED09" w14:textId="77777777" w:rsidR="00841AB1" w:rsidRDefault="00846C7B" w:rsidP="00F021FA">
      <w:pPr>
        <w:pStyle w:val="StyleBoldCentered"/>
      </w:pPr>
      <w:r>
        <w:t>Order</w:t>
      </w:r>
    </w:p>
    <w:p w14:paraId="143546A4" w14:textId="77777777" w:rsidR="004C2EE3" w:rsidRDefault="004C2EE3">
      <w:pPr>
        <w:tabs>
          <w:tab w:val="left" w:pos="-720"/>
        </w:tabs>
        <w:suppressAutoHyphens/>
        <w:spacing w:line="227" w:lineRule="auto"/>
        <w:rPr>
          <w:spacing w:val="-2"/>
        </w:rPr>
      </w:pPr>
    </w:p>
    <w:p w14:paraId="5AE3C948" w14:textId="5BE92166" w:rsidR="004C2EE3" w:rsidRDefault="004C2EE3" w:rsidP="00133F79">
      <w:pPr>
        <w:tabs>
          <w:tab w:val="left" w:pos="720"/>
          <w:tab w:val="right" w:pos="9360"/>
        </w:tabs>
        <w:suppressAutoHyphens/>
        <w:spacing w:line="227" w:lineRule="auto"/>
        <w:rPr>
          <w:spacing w:val="-2"/>
        </w:rPr>
      </w:pPr>
      <w:r>
        <w:rPr>
          <w:b/>
          <w:spacing w:val="-2"/>
        </w:rPr>
        <w:t xml:space="preserve">Adopted:  </w:t>
      </w:r>
      <w:r w:rsidR="00A447C4">
        <w:rPr>
          <w:b/>
          <w:spacing w:val="-2"/>
        </w:rPr>
        <w:t xml:space="preserve">September </w:t>
      </w:r>
      <w:r w:rsidR="00AE0C1B">
        <w:rPr>
          <w:b/>
          <w:spacing w:val="-2"/>
        </w:rPr>
        <w:t>7, 2017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E0C1B">
        <w:rPr>
          <w:b/>
          <w:spacing w:val="-2"/>
        </w:rPr>
        <w:t>September 7, 2017</w:t>
      </w:r>
    </w:p>
    <w:p w14:paraId="6FADC8D6" w14:textId="77777777" w:rsidR="00822CE0" w:rsidRDefault="00822CE0"/>
    <w:p w14:paraId="78FEB958" w14:textId="77777777" w:rsidR="004C2EE3" w:rsidRDefault="004C2EE3">
      <w:pPr>
        <w:rPr>
          <w:spacing w:val="-2"/>
        </w:rPr>
      </w:pPr>
      <w:r>
        <w:t xml:space="preserve">By </w:t>
      </w:r>
      <w:r w:rsidR="004E4A22">
        <w:t>the</w:t>
      </w:r>
      <w:r w:rsidR="00E04965">
        <w:rPr>
          <w:spacing w:val="-2"/>
        </w:rPr>
        <w:t xml:space="preserve"> Chief, Wireline Competition Bureau</w:t>
      </w:r>
    </w:p>
    <w:p w14:paraId="5F194BB2" w14:textId="77777777" w:rsidR="00822CE0" w:rsidRDefault="00822CE0">
      <w:pPr>
        <w:rPr>
          <w:spacing w:val="-2"/>
        </w:rPr>
      </w:pPr>
    </w:p>
    <w:p w14:paraId="6879C6B3" w14:textId="77777777" w:rsidR="00412FC5" w:rsidRDefault="00412FC5" w:rsidP="00412FC5"/>
    <w:p w14:paraId="08E67A6A" w14:textId="3F8D9BB4" w:rsidR="00E04965" w:rsidRDefault="00E04965" w:rsidP="00E04965">
      <w:pPr>
        <w:pStyle w:val="ParaNum"/>
      </w:pPr>
      <w:r>
        <w:t xml:space="preserve">In this Order, the Wireline Competition </w:t>
      </w:r>
      <w:r w:rsidR="00425BF9">
        <w:t xml:space="preserve">Bureau (Bureau) grants </w:t>
      </w:r>
      <w:r w:rsidR="00361217">
        <w:t xml:space="preserve">in part </w:t>
      </w:r>
      <w:r w:rsidR="00425BF9">
        <w:t>Telrite Corporation’s (Telrite)</w:t>
      </w:r>
      <w:r>
        <w:t xml:space="preserve"> request for a temporary waiver of the Lifeline Program’s non-usage and recertification rules for Lifeline customers </w:t>
      </w:r>
      <w:r w:rsidR="00361217">
        <w:t xml:space="preserve">residing </w:t>
      </w:r>
      <w:r>
        <w:t>in Puerto Rico and the U.S. Virgin Islands</w:t>
      </w:r>
      <w:r w:rsidR="00FD0430">
        <w:t>.</w:t>
      </w:r>
      <w:r w:rsidR="00425BF9">
        <w:rPr>
          <w:rStyle w:val="FootnoteReference"/>
        </w:rPr>
        <w:footnoteReference w:id="2"/>
      </w:r>
      <w:r w:rsidR="00FD0430">
        <w:t xml:space="preserve">  </w:t>
      </w:r>
      <w:r>
        <w:t xml:space="preserve">Based on the record before us, we </w:t>
      </w:r>
      <w:r w:rsidR="00B07AED">
        <w:t>find that good cause</w:t>
      </w:r>
      <w:r w:rsidR="00C572A9">
        <w:t xml:space="preserve"> exists to </w:t>
      </w:r>
      <w:r w:rsidR="00137C6C">
        <w:t xml:space="preserve">waive </w:t>
      </w:r>
      <w:r w:rsidR="0038209D">
        <w:t xml:space="preserve">for </w:t>
      </w:r>
      <w:r w:rsidR="00330295">
        <w:t>90</w:t>
      </w:r>
      <w:r w:rsidR="0038209D">
        <w:t xml:space="preserve"> days following the release of this Order </w:t>
      </w:r>
      <w:r w:rsidR="00137C6C">
        <w:t>sections 54.405(e)(3), 54.405(e)(4), 54.407(c)(2), and 54.410(f) of the Commission’s rules for eligible telecommunications carriers (ETCs) serving Lifeline subscribers residing in the U.S. Virgin Islands or Puerto Rico.</w:t>
      </w:r>
      <w:r w:rsidR="00293190">
        <w:rPr>
          <w:rStyle w:val="FootnoteReference"/>
        </w:rPr>
        <w:footnoteReference w:id="3"/>
      </w:r>
      <w:r w:rsidR="005371BD">
        <w:t xml:space="preserve"> </w:t>
      </w:r>
      <w:r w:rsidR="00137C6C">
        <w:t xml:space="preserve"> S</w:t>
      </w:r>
      <w:r w:rsidR="00C572A9">
        <w:t>trict compliance with these rules would be i</w:t>
      </w:r>
      <w:r w:rsidR="008E1B61">
        <w:t>mpracticable</w:t>
      </w:r>
      <w:r w:rsidR="008E747A">
        <w:t xml:space="preserve"> and would risk </w:t>
      </w:r>
      <w:r w:rsidR="0038209D">
        <w:t xml:space="preserve">de-enrollment </w:t>
      </w:r>
      <w:r w:rsidR="00C131AC">
        <w:t xml:space="preserve">of </w:t>
      </w:r>
      <w:r w:rsidR="008E747A">
        <w:t>Lifeline subscribers</w:t>
      </w:r>
      <w:r w:rsidR="00936C7D">
        <w:t xml:space="preserve"> in the immediate aftermath of Hurricane Irma</w:t>
      </w:r>
      <w:r w:rsidR="005371BD">
        <w:t xml:space="preserve">. </w:t>
      </w:r>
    </w:p>
    <w:p w14:paraId="6DB85575" w14:textId="25A991C6" w:rsidR="00A0394B" w:rsidRDefault="008E1B61" w:rsidP="00A0394B">
      <w:pPr>
        <w:pStyle w:val="ParaNum"/>
      </w:pPr>
      <w:r w:rsidRPr="008F1A82">
        <w:t xml:space="preserve">Hurricane Irma, a Category 5 hurricane, </w:t>
      </w:r>
      <w:r w:rsidR="00A83BC9">
        <w:t xml:space="preserve">is moving through the Caribbean, </w:t>
      </w:r>
      <w:r w:rsidR="00C131AC">
        <w:t xml:space="preserve">impacting </w:t>
      </w:r>
      <w:r w:rsidRPr="008F1A82">
        <w:t>Puerto Rico and the U.S. Virgin Islands</w:t>
      </w:r>
      <w:r w:rsidR="00936C7D">
        <w:t>.</w:t>
      </w:r>
      <w:r w:rsidR="00A83BC9">
        <w:t xml:space="preserve">  Hurricane Irma has caused significant damage in the areas within its path, including storm surge, wind damage, and flooding.  </w:t>
      </w:r>
      <w:r w:rsidR="00C95082">
        <w:t>It also appears to have caused substantial damage to the communications network</w:t>
      </w:r>
      <w:r w:rsidR="009B1A53">
        <w:t>,</w:t>
      </w:r>
      <w:r w:rsidR="00C95082">
        <w:t xml:space="preserve"> resulting in service disruptions and outages throughout these areas.</w:t>
      </w:r>
      <w:r w:rsidR="00936C7D">
        <w:t xml:space="preserve">  </w:t>
      </w:r>
      <w:r>
        <w:t xml:space="preserve">As of </w:t>
      </w:r>
      <w:r w:rsidR="00771E9D">
        <w:t>June 2017</w:t>
      </w:r>
      <w:r>
        <w:t xml:space="preserve">, there were approximately </w:t>
      </w:r>
      <w:r w:rsidR="00771E9D" w:rsidRPr="00D758C7">
        <w:t>518,000</w:t>
      </w:r>
      <w:r>
        <w:t xml:space="preserve"> Lifeline subscribers in Puerto Rico and </w:t>
      </w:r>
      <w:r w:rsidR="00771E9D">
        <w:t>2,500 Lifeline subscribers in the U.S.</w:t>
      </w:r>
      <w:r>
        <w:t xml:space="preserve"> Virgin Islands.</w:t>
      </w:r>
      <w:r w:rsidR="00771E9D">
        <w:rPr>
          <w:rStyle w:val="FootnoteReference"/>
        </w:rPr>
        <w:footnoteReference w:id="4"/>
      </w:r>
      <w:r>
        <w:t xml:space="preserve"> </w:t>
      </w:r>
    </w:p>
    <w:p w14:paraId="61906327" w14:textId="41FA4C7B" w:rsidR="00E41051" w:rsidRDefault="00425BF9" w:rsidP="00A0394B">
      <w:pPr>
        <w:pStyle w:val="ParaNum"/>
      </w:pPr>
      <w:r>
        <w:t>On September 6</w:t>
      </w:r>
      <w:r w:rsidR="001C20B5">
        <w:t>,</w:t>
      </w:r>
      <w:r>
        <w:t xml:space="preserve"> 2017</w:t>
      </w:r>
      <w:r w:rsidR="001C20B5">
        <w:t xml:space="preserve"> Telrite submitted a request for temporary waiver of the Lifeline non-usage and recertification rules for subscribers in Puerto Rico and the </w:t>
      </w:r>
      <w:r w:rsidR="005661B3">
        <w:t xml:space="preserve">U.S. </w:t>
      </w:r>
      <w:r w:rsidR="001C20B5">
        <w:t xml:space="preserve">Virgin Islands because </w:t>
      </w:r>
      <w:r w:rsidR="00CB5A0B">
        <w:t>Hurrica</w:t>
      </w:r>
      <w:r w:rsidR="002F3B1E">
        <w:t>ne Irma was expected to cause power and network outages, and displacements</w:t>
      </w:r>
      <w:r w:rsidR="00CB5A0B">
        <w:t xml:space="preserve"> </w:t>
      </w:r>
      <w:r w:rsidR="002F3B1E">
        <w:t>in both areas</w:t>
      </w:r>
      <w:r w:rsidR="001C20B5">
        <w:t>.</w:t>
      </w:r>
      <w:r w:rsidR="002F3B1E">
        <w:rPr>
          <w:rStyle w:val="FootnoteReference"/>
        </w:rPr>
        <w:footnoteReference w:id="5"/>
      </w:r>
      <w:r w:rsidR="001C20B5">
        <w:t xml:space="preserve"> </w:t>
      </w:r>
      <w:r w:rsidR="00936C7D">
        <w:t xml:space="preserve"> Telrite </w:t>
      </w:r>
      <w:r w:rsidR="00E41051">
        <w:t>requests a waiver of these rules “</w:t>
      </w:r>
      <w:r w:rsidR="00E41051" w:rsidRPr="00E41051">
        <w:t xml:space="preserve">for a minimum of 60 days following Hurricane Irma and until such time that the Commission assesses the totality of circumstances in Puerto Rico and the U.S. Virgin </w:t>
      </w:r>
      <w:r w:rsidR="00E41051" w:rsidRPr="00E41051">
        <w:lastRenderedPageBreak/>
        <w:t>Islands and determines that lifting the waiver is in the public interest.</w:t>
      </w:r>
      <w:r w:rsidR="00E41051">
        <w:t>”</w:t>
      </w:r>
      <w:r w:rsidR="002F3B1E">
        <w:rPr>
          <w:rStyle w:val="FootnoteReference"/>
        </w:rPr>
        <w:footnoteReference w:id="6"/>
      </w:r>
    </w:p>
    <w:p w14:paraId="2FEC2F52" w14:textId="77777777" w:rsidR="00CA3DEB" w:rsidRPr="008F1A82" w:rsidRDefault="00CA3DEB" w:rsidP="00E04965">
      <w:pPr>
        <w:pStyle w:val="ParaNum"/>
      </w:pPr>
      <w:r>
        <w:t>Generally, the Commission’s rules may be waived for good cause shown.</w:t>
      </w:r>
      <w:r>
        <w:rPr>
          <w:rStyle w:val="FootnoteReference"/>
        </w:rPr>
        <w:footnoteReference w:id="7"/>
      </w:r>
      <w:r>
        <w:t xml:space="preserve">  The Commission may exercise its discretion to waive a rule where the particular facts make strict compliance inconsistent with the public interest.</w:t>
      </w:r>
      <w:r>
        <w:rPr>
          <w:rStyle w:val="FootnoteReference"/>
        </w:rPr>
        <w:footnoteReference w:id="8"/>
      </w:r>
      <w:r w:rsidR="00C575B4">
        <w:t xml:space="preserve">  In addition, the Commission may take into account considerations of hardship, equity, or more effective implementation of overall policy on an overall basis.</w:t>
      </w:r>
      <w:r w:rsidR="00C575B4">
        <w:rPr>
          <w:rStyle w:val="FootnoteReference"/>
        </w:rPr>
        <w:footnoteReference w:id="9"/>
      </w:r>
      <w:r w:rsidR="00820F04">
        <w:t xml:space="preserve">  Waiver of the Commission’s rules is therefore, appropriate only if special circumstances warrant a deviation from the general rule, and such deviation will serve the public interest.</w:t>
      </w:r>
      <w:r w:rsidR="00820F04">
        <w:rPr>
          <w:rStyle w:val="FootnoteReference"/>
        </w:rPr>
        <w:footnoteReference w:id="10"/>
      </w:r>
    </w:p>
    <w:p w14:paraId="3BDC4FD8" w14:textId="088CDBB0" w:rsidR="009023D5" w:rsidRDefault="00C748DD" w:rsidP="00C064C0">
      <w:pPr>
        <w:pStyle w:val="ParaNum"/>
      </w:pPr>
      <w:r>
        <w:t>In order to promote the maintenance and rebuilding of communities affected by Hurricane Irma and to facilitate</w:t>
      </w:r>
      <w:r w:rsidR="00EA3DF9">
        <w:t xml:space="preserve"> continued access to telecommunications services for disaster victims, it is in the public interest to temporarily waive sections 54.405(e)(3) and 54.407(c)(2) of the Commission’s rules.</w:t>
      </w:r>
      <w:r w:rsidR="00EA3DF9">
        <w:rPr>
          <w:rStyle w:val="FootnoteReference"/>
        </w:rPr>
        <w:footnoteReference w:id="11"/>
      </w:r>
      <w:r w:rsidR="00EA3DF9">
        <w:t xml:space="preserve">  Under these rules, ETCs must de-enroll Lifeline subscribers who </w:t>
      </w:r>
      <w:r w:rsidR="004C1005">
        <w:t>do not pay a monthly fee for their Lifeline-supported service and do not use that service for 30 consecutive days.</w:t>
      </w:r>
      <w:r w:rsidR="004C1005">
        <w:rPr>
          <w:rStyle w:val="FootnoteReference"/>
        </w:rPr>
        <w:footnoteReference w:id="12"/>
      </w:r>
      <w:r w:rsidR="00CA32F4">
        <w:t xml:space="preserve">  Waiver of these rules </w:t>
      </w:r>
      <w:r w:rsidR="00CA78D9">
        <w:t xml:space="preserve">will help low-income consumers retain access to emergency communications services during this natural disaster, and </w:t>
      </w:r>
      <w:r w:rsidR="00CA32F4">
        <w:t>allows ETCs to continue providing Lifeline service to disaster victims in the affected areas without requiring those subscribers to de-enroll and re-enroll in the program as they are rebuilding from the devastation of a hurricane.</w:t>
      </w:r>
      <w:r w:rsidR="00356118">
        <w:t xml:space="preserve">  </w:t>
      </w:r>
      <w:r w:rsidR="003F752C">
        <w:t>At the expiration of the waiver period, Lifeline subscribers who are subject to the non-usage rule will have 30 days to use their Lifeline service for the purposes of section 54.405(e)(3) of the Commission’s rules.</w:t>
      </w:r>
    </w:p>
    <w:p w14:paraId="6DA1633B" w14:textId="65A421D2" w:rsidR="00EA3DF9" w:rsidRDefault="00EA3DF9" w:rsidP="00C064C0">
      <w:pPr>
        <w:pStyle w:val="ParaNum"/>
      </w:pPr>
      <w:r>
        <w:t>It is also in the public interest to temporarily waive sections 54.405(e)(4) and 54.410(f) of the Commission’s rules</w:t>
      </w:r>
      <w:r w:rsidR="001A2611">
        <w:t xml:space="preserve"> for ETCs with subscribers whose service anniversary dates fall within the next </w:t>
      </w:r>
      <w:r w:rsidR="00330295">
        <w:t>90</w:t>
      </w:r>
      <w:r w:rsidR="001A2611">
        <w:t xml:space="preserve"> days</w:t>
      </w:r>
      <w:r>
        <w:t>.</w:t>
      </w:r>
      <w:r>
        <w:rPr>
          <w:rStyle w:val="FootnoteReference"/>
        </w:rPr>
        <w:footnoteReference w:id="13"/>
      </w:r>
      <w:r w:rsidR="003C46F0">
        <w:t xml:space="preserve">  Waiver of these rules will allow ETCs serving Lifeline subscribers in Puerto Rico and the U.S. Virgin Islands additional time to complete the recertification process for those subscribers whose </w:t>
      </w:r>
      <w:r w:rsidR="00356118">
        <w:t>service anniversary</w:t>
      </w:r>
      <w:r w:rsidR="003C46F0">
        <w:t xml:space="preserve"> dates fall </w:t>
      </w:r>
      <w:r w:rsidR="00356118">
        <w:t>with</w:t>
      </w:r>
      <w:r w:rsidR="003C46F0">
        <w:t xml:space="preserve">in the next </w:t>
      </w:r>
      <w:r w:rsidR="00330295">
        <w:t>9</w:t>
      </w:r>
      <w:r w:rsidR="003C46F0">
        <w:t xml:space="preserve">0 days.  </w:t>
      </w:r>
      <w:r w:rsidR="007D15A4">
        <w:t>D</w:t>
      </w:r>
      <w:r w:rsidR="00CA78D9">
        <w:t>isruptions to telephone and Internet service resulting from Hurricane Irma will make it difficult, if not impossible, for Lifeline subscribers to receive and respond to service provider recertification requests and reminders</w:t>
      </w:r>
      <w:r w:rsidR="007D15A4">
        <w:t>, and ETCs are unlikely to have reliable access to Puerto Rico’s eligibility database in the near future</w:t>
      </w:r>
      <w:r w:rsidR="0019728A">
        <w:t xml:space="preserve"> to conduct automated </w:t>
      </w:r>
      <w:r w:rsidR="003A4336">
        <w:t>eligibility re</w:t>
      </w:r>
      <w:r w:rsidR="0019728A">
        <w:t>verifications</w:t>
      </w:r>
      <w:r w:rsidR="00CA78D9">
        <w:t>.</w:t>
      </w:r>
      <w:r w:rsidR="00CA78D9">
        <w:rPr>
          <w:rStyle w:val="FootnoteReference"/>
        </w:rPr>
        <w:footnoteReference w:id="14"/>
      </w:r>
      <w:r w:rsidR="00356118">
        <w:t xml:space="preserve">  </w:t>
      </w:r>
      <w:r w:rsidR="003F752C">
        <w:t xml:space="preserve">At the expiration of the waiver period, subscribers whose service anniversary dates fell during the waiver period will have 60 days to respond to their ETC’s recertification efforts.  </w:t>
      </w:r>
    </w:p>
    <w:p w14:paraId="24CFDD51" w14:textId="12CA4BDD" w:rsidR="00EA3DF9" w:rsidRDefault="001A2611" w:rsidP="00E826BE">
      <w:pPr>
        <w:pStyle w:val="ParaNum"/>
      </w:pPr>
      <w:r>
        <w:t>Finally</w:t>
      </w:r>
      <w:r w:rsidR="003A4336">
        <w:t>, we decline to grant Telrite’s request for an indefinite waiver of the rules, absent further action from the Commission.</w:t>
      </w:r>
      <w:r w:rsidR="003A4336">
        <w:rPr>
          <w:rStyle w:val="FootnoteReference"/>
        </w:rPr>
        <w:footnoteReference w:id="15"/>
      </w:r>
      <w:r w:rsidR="003A4336">
        <w:t xml:space="preserve">  We find that </w:t>
      </w:r>
      <w:r w:rsidR="00330295">
        <w:t>a</w:t>
      </w:r>
      <w:r w:rsidR="00CF311D">
        <w:t xml:space="preserve"> </w:t>
      </w:r>
      <w:r w:rsidR="00330295">
        <w:t>9</w:t>
      </w:r>
      <w:r w:rsidR="003A4336">
        <w:t xml:space="preserve">0-day </w:t>
      </w:r>
      <w:r w:rsidR="00FF0042">
        <w:t>waiver period</w:t>
      </w:r>
      <w:r w:rsidR="003A4336">
        <w:t xml:space="preserve"> is an appropriate time period that accommodates the extraordinary circumstances of Hurricane Irma while continuing to protect program integrity.</w:t>
      </w:r>
      <w:r w:rsidR="00E12EEF">
        <w:t xml:space="preserve">  </w:t>
      </w:r>
      <w:r w:rsidR="003A4336">
        <w:t xml:space="preserve">ETCs in the affected areas </w:t>
      </w:r>
      <w:r>
        <w:t xml:space="preserve">that </w:t>
      </w:r>
      <w:r w:rsidR="003A4336">
        <w:t>are unable to comply with the Lifeline non-usage and recertification requirements at the end of this period</w:t>
      </w:r>
      <w:r>
        <w:t xml:space="preserve"> for specific households </w:t>
      </w:r>
      <w:r w:rsidR="003A4336">
        <w:t>may request additional</w:t>
      </w:r>
      <w:r>
        <w:t>, narrowly tailored</w:t>
      </w:r>
      <w:r w:rsidR="003A4336">
        <w:t xml:space="preserve"> relief from </w:t>
      </w:r>
      <w:r>
        <w:t xml:space="preserve">these requirements from </w:t>
      </w:r>
      <w:r w:rsidR="003A4336">
        <w:t>the Wireline Competition Bureau.</w:t>
      </w:r>
      <w:r w:rsidR="00356118" w:rsidDel="00356118">
        <w:t xml:space="preserve"> </w:t>
      </w:r>
    </w:p>
    <w:p w14:paraId="0F693287" w14:textId="00B664EA" w:rsidR="00C064C0" w:rsidRDefault="00C064C0" w:rsidP="00C064C0">
      <w:pPr>
        <w:pStyle w:val="ParaNum"/>
      </w:pPr>
      <w:r>
        <w:lastRenderedPageBreak/>
        <w:t xml:space="preserve">ACCORDINGLY IT IS ORDERED, pursuant to the authority contained in sections 1-4 and 254 of the Communications Act of 1934, as amended, 47 U.S.C. §§ 151-154 and 254, and sections </w:t>
      </w:r>
      <w:r w:rsidR="00005900">
        <w:t>0</w:t>
      </w:r>
      <w:r>
        <w:t xml:space="preserve">.91, </w:t>
      </w:r>
      <w:r w:rsidR="00005900">
        <w:t>0</w:t>
      </w:r>
      <w:r>
        <w:t xml:space="preserve">.291, and 1.3 of the Commission’s rules, 47 CFR §§ </w:t>
      </w:r>
      <w:r w:rsidR="00005900">
        <w:t>0</w:t>
      </w:r>
      <w:r>
        <w:t xml:space="preserve">.91, </w:t>
      </w:r>
      <w:r w:rsidR="00005900">
        <w:t>0</w:t>
      </w:r>
      <w:r>
        <w:t>.291, and 1.3, that the request for waiver filed by Telrite IS GRANTED</w:t>
      </w:r>
      <w:r w:rsidR="00005900">
        <w:t xml:space="preserve"> IN PART AND DENIED IN PART</w:t>
      </w:r>
      <w:r w:rsidRPr="008B66EF">
        <w:t>.</w:t>
      </w:r>
      <w:r>
        <w:t xml:space="preserve">  </w:t>
      </w:r>
    </w:p>
    <w:p w14:paraId="3B3F271F" w14:textId="12935E1C" w:rsidR="00C064C0" w:rsidRDefault="00C064C0" w:rsidP="00C064C0">
      <w:pPr>
        <w:pStyle w:val="ParaNum"/>
      </w:pPr>
      <w:r>
        <w:t xml:space="preserve">IT IS FURTHER ORDERED, pursuant to the authority contained in sections 1-4 and 254 of the Communications Act of 1934, as amended, 47 47 U.S.C. §§ 151-154 and 254, and sections </w:t>
      </w:r>
      <w:r w:rsidR="00005900">
        <w:t>0</w:t>
      </w:r>
      <w:r>
        <w:t xml:space="preserve">.91, </w:t>
      </w:r>
      <w:r w:rsidR="00005900">
        <w:t>0</w:t>
      </w:r>
      <w:r>
        <w:t>.291, and 1.3 of the Commission’s rules, 47 CFR</w:t>
      </w:r>
      <w:r w:rsidR="008B66EF">
        <w:t xml:space="preserve"> §§</w:t>
      </w:r>
      <w:r>
        <w:t xml:space="preserve"> </w:t>
      </w:r>
      <w:r w:rsidR="00005900">
        <w:t>0</w:t>
      </w:r>
      <w:r>
        <w:t xml:space="preserve">.91, </w:t>
      </w:r>
      <w:r w:rsidR="00005900">
        <w:t>0</w:t>
      </w:r>
      <w:r>
        <w:t xml:space="preserve">.291, and 1.3, that sections </w:t>
      </w:r>
      <w:r w:rsidR="00BC2D43">
        <w:t xml:space="preserve">54.405(e)(3), 54.405(e)(4), 54.407(c)(2), and 54.410(f) </w:t>
      </w:r>
      <w:r>
        <w:t xml:space="preserve">of the Commission’s rules are waived to the limited extent provided herein.  </w:t>
      </w:r>
    </w:p>
    <w:p w14:paraId="51CC9A79" w14:textId="2C86C2C1" w:rsidR="00C064C0" w:rsidRDefault="00C064C0" w:rsidP="00C064C0">
      <w:pPr>
        <w:pStyle w:val="ParaNum"/>
      </w:pPr>
      <w:r>
        <w:t xml:space="preserve">IT IS FURTHER ORDERED, that pursuant to section 1.102(b)(1) of the Commission’s rules, 47 CFR § 1.102(b)(1), this Order SHALL BE EFFECTIVE upon release.  </w:t>
      </w:r>
    </w:p>
    <w:p w14:paraId="41579D02" w14:textId="77777777" w:rsidR="00C064C0" w:rsidRDefault="00C064C0" w:rsidP="00C064C0">
      <w:pPr>
        <w:pStyle w:val="ParaNum"/>
        <w:numPr>
          <w:ilvl w:val="0"/>
          <w:numId w:val="0"/>
        </w:numPr>
        <w:ind w:left="4320" w:firstLine="720"/>
      </w:pPr>
    </w:p>
    <w:p w14:paraId="0DB91F65" w14:textId="7018F21D" w:rsidR="00C064C0" w:rsidRDefault="00C064C0" w:rsidP="00C064C0">
      <w:pPr>
        <w:pStyle w:val="ParaNum"/>
        <w:numPr>
          <w:ilvl w:val="0"/>
          <w:numId w:val="0"/>
        </w:numPr>
        <w:ind w:left="4320"/>
      </w:pPr>
      <w:r>
        <w:t>FEDERAL COMMUNICATIONS COMMISSION</w:t>
      </w:r>
    </w:p>
    <w:p w14:paraId="080D3182" w14:textId="491E5DC0" w:rsidR="00C064C0" w:rsidRDefault="00C064C0" w:rsidP="00C064C0">
      <w:pPr>
        <w:pStyle w:val="ParaNum"/>
        <w:numPr>
          <w:ilvl w:val="0"/>
          <w:numId w:val="0"/>
        </w:numPr>
        <w:ind w:left="4320"/>
      </w:pPr>
    </w:p>
    <w:p w14:paraId="2CFF6CB6" w14:textId="7708818F" w:rsidR="00C064C0" w:rsidRDefault="00C064C0" w:rsidP="00C064C0">
      <w:pPr>
        <w:pStyle w:val="ParaNum"/>
        <w:numPr>
          <w:ilvl w:val="0"/>
          <w:numId w:val="0"/>
        </w:numPr>
        <w:ind w:left="4320"/>
      </w:pPr>
    </w:p>
    <w:p w14:paraId="1C5F5246" w14:textId="288871D4" w:rsidR="00C064C0" w:rsidRDefault="00C064C0" w:rsidP="00295E86">
      <w:pPr>
        <w:pStyle w:val="ParaNum"/>
        <w:numPr>
          <w:ilvl w:val="0"/>
          <w:numId w:val="0"/>
        </w:numPr>
        <w:spacing w:after="0"/>
        <w:ind w:left="4320"/>
      </w:pPr>
      <w:r>
        <w:t>Kris A. Monteith</w:t>
      </w:r>
    </w:p>
    <w:p w14:paraId="15838BB7" w14:textId="531229A5" w:rsidR="00C064C0" w:rsidRDefault="00C064C0" w:rsidP="00295E86">
      <w:pPr>
        <w:pStyle w:val="ParaNum"/>
        <w:numPr>
          <w:ilvl w:val="0"/>
          <w:numId w:val="0"/>
        </w:numPr>
        <w:spacing w:after="0"/>
        <w:ind w:left="4320"/>
      </w:pPr>
      <w:r>
        <w:t>Chief</w:t>
      </w:r>
    </w:p>
    <w:p w14:paraId="765ACFFA" w14:textId="104ABC60" w:rsidR="00C064C0" w:rsidRDefault="00C064C0" w:rsidP="00295E86">
      <w:pPr>
        <w:pStyle w:val="ParaNum"/>
        <w:numPr>
          <w:ilvl w:val="0"/>
          <w:numId w:val="0"/>
        </w:numPr>
        <w:spacing w:after="0"/>
        <w:ind w:left="4320"/>
      </w:pPr>
      <w:r>
        <w:t>Wireline Competition Bureau</w:t>
      </w:r>
    </w:p>
    <w:p w14:paraId="7DBD8464" w14:textId="77777777" w:rsidR="00C064C0" w:rsidRPr="00C064C0" w:rsidRDefault="00C064C0" w:rsidP="00C064C0">
      <w:pPr>
        <w:pStyle w:val="ParaNum"/>
        <w:numPr>
          <w:ilvl w:val="0"/>
          <w:numId w:val="0"/>
        </w:numPr>
        <w:ind w:left="4320" w:firstLine="720"/>
      </w:pPr>
    </w:p>
    <w:sectPr w:rsidR="00C064C0" w:rsidRPr="00C064C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5B395" w14:textId="77777777" w:rsidR="001C5046" w:rsidRDefault="001C5046">
      <w:pPr>
        <w:spacing w:line="20" w:lineRule="exact"/>
      </w:pPr>
    </w:p>
  </w:endnote>
  <w:endnote w:type="continuationSeparator" w:id="0">
    <w:p w14:paraId="59F10002" w14:textId="77777777" w:rsidR="001C5046" w:rsidRDefault="001C5046">
      <w:r>
        <w:t xml:space="preserve"> </w:t>
      </w:r>
    </w:p>
  </w:endnote>
  <w:endnote w:type="continuationNotice" w:id="1">
    <w:p w14:paraId="6DF17868" w14:textId="77777777" w:rsidR="001C5046" w:rsidRDefault="001C50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303B" w14:textId="77777777" w:rsidR="001C5046" w:rsidRDefault="001C5046" w:rsidP="0055614C">
    <w:pPr>
      <w:pStyle w:val="Footer"/>
      <w:framePr w:wrap="around" w:vAnchor="text" w:hAnchor="margin" w:xAlign="center" w:y="1"/>
    </w:pPr>
    <w:r>
      <w:fldChar w:fldCharType="begin"/>
    </w:r>
    <w:r>
      <w:instrText xml:space="preserve">PAGE  </w:instrText>
    </w:r>
    <w:r>
      <w:fldChar w:fldCharType="end"/>
    </w:r>
  </w:p>
  <w:p w14:paraId="539327F1" w14:textId="77777777" w:rsidR="001C5046" w:rsidRDefault="001C5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F2B1B" w14:textId="58D5FB50" w:rsidR="001C5046" w:rsidRDefault="001C5046" w:rsidP="0055614C">
    <w:pPr>
      <w:pStyle w:val="Footer"/>
      <w:framePr w:wrap="around" w:vAnchor="text" w:hAnchor="margin" w:xAlign="center" w:y="1"/>
    </w:pPr>
    <w:r>
      <w:fldChar w:fldCharType="begin"/>
    </w:r>
    <w:r>
      <w:instrText xml:space="preserve">PAGE  </w:instrText>
    </w:r>
    <w:r>
      <w:fldChar w:fldCharType="separate"/>
    </w:r>
    <w:r w:rsidR="00AD6075">
      <w:rPr>
        <w:noProof/>
      </w:rPr>
      <w:t>2</w:t>
    </w:r>
    <w:r>
      <w:fldChar w:fldCharType="end"/>
    </w:r>
  </w:p>
  <w:p w14:paraId="44457403" w14:textId="77777777" w:rsidR="001C5046" w:rsidRDefault="001C504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A04F" w14:textId="77777777" w:rsidR="001C5046" w:rsidRDefault="001C5046">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9EF78" w14:textId="77777777" w:rsidR="001C5046" w:rsidRDefault="001C5046">
      <w:r>
        <w:separator/>
      </w:r>
    </w:p>
  </w:footnote>
  <w:footnote w:type="continuationSeparator" w:id="0">
    <w:p w14:paraId="3B7E2B21" w14:textId="77777777" w:rsidR="001C5046" w:rsidRDefault="001C5046" w:rsidP="00C721AC">
      <w:pPr>
        <w:spacing w:before="120"/>
        <w:rPr>
          <w:sz w:val="20"/>
        </w:rPr>
      </w:pPr>
      <w:r>
        <w:rPr>
          <w:sz w:val="20"/>
        </w:rPr>
        <w:t xml:space="preserve">(Continued from previous page)  </w:t>
      </w:r>
      <w:r>
        <w:rPr>
          <w:sz w:val="20"/>
        </w:rPr>
        <w:separator/>
      </w:r>
    </w:p>
  </w:footnote>
  <w:footnote w:type="continuationNotice" w:id="1">
    <w:p w14:paraId="0307960C" w14:textId="77777777" w:rsidR="001C5046" w:rsidRDefault="001C5046" w:rsidP="00C721AC">
      <w:pPr>
        <w:jc w:val="right"/>
        <w:rPr>
          <w:sz w:val="20"/>
        </w:rPr>
      </w:pPr>
      <w:r>
        <w:rPr>
          <w:sz w:val="20"/>
        </w:rPr>
        <w:t>(continued….)</w:t>
      </w:r>
    </w:p>
  </w:footnote>
  <w:footnote w:id="2">
    <w:p w14:paraId="2A3DD985" w14:textId="220757D0" w:rsidR="001C5046" w:rsidRDefault="001C5046">
      <w:pPr>
        <w:pStyle w:val="FootnoteText"/>
      </w:pPr>
      <w:r>
        <w:rPr>
          <w:rStyle w:val="FootnoteReference"/>
        </w:rPr>
        <w:footnoteRef/>
      </w:r>
      <w:r>
        <w:t xml:space="preserve"> Telrite Corporation Emergency Petition for Temporary Suspension and Waiver, WC Docket Nos. 11-42, 09-197, 10-90 (filed Sept. 6, 2017) (Telrite Petition).</w:t>
      </w:r>
    </w:p>
  </w:footnote>
  <w:footnote w:id="3">
    <w:p w14:paraId="27E9C9FA" w14:textId="31BBBEEF" w:rsidR="00293190" w:rsidRPr="00293190" w:rsidRDefault="00293190">
      <w:pPr>
        <w:pStyle w:val="FootnoteText"/>
      </w:pPr>
      <w:r>
        <w:rPr>
          <w:rStyle w:val="FootnoteReference"/>
        </w:rPr>
        <w:footnoteRef/>
      </w:r>
      <w:r>
        <w:t xml:space="preserve"> </w:t>
      </w:r>
      <w:r>
        <w:rPr>
          <w:i/>
        </w:rPr>
        <w:t>See</w:t>
      </w:r>
      <w:r>
        <w:t xml:space="preserve"> 47 CFR §§ 54.405(e)(3), 54.405(e)(4), 54.407(c)(2), 54.410(f).</w:t>
      </w:r>
    </w:p>
  </w:footnote>
  <w:footnote w:id="4">
    <w:p w14:paraId="1780D710" w14:textId="4BDD5B48" w:rsidR="00771E9D" w:rsidRPr="00771E9D" w:rsidRDefault="00771E9D">
      <w:pPr>
        <w:pStyle w:val="FootnoteText"/>
      </w:pPr>
      <w:r>
        <w:rPr>
          <w:rStyle w:val="FootnoteReference"/>
        </w:rPr>
        <w:footnoteRef/>
      </w:r>
      <w:r>
        <w:t xml:space="preserve"> </w:t>
      </w:r>
      <w:r>
        <w:rPr>
          <w:i/>
        </w:rPr>
        <w:t>See</w:t>
      </w:r>
      <w:r>
        <w:t xml:space="preserve"> Universal Service Administrative Company, 2017 Fourth Quarter Filings, LI08 Lifeline Subscribers by State or Jurisdiction – January 2017 through June 2017 (last visited Sept. 6, 2017), </w:t>
      </w:r>
      <w:hyperlink r:id="rId1" w:history="1">
        <w:r w:rsidRPr="001009F3">
          <w:rPr>
            <w:rStyle w:val="Hyperlink"/>
          </w:rPr>
          <w:t>http://www.usac.org/about/tools/fcc/filings/2017/Q4/LI08%20Lifeline%20Subscribers%20by%20State%20or%20Jurisdiction%20-%20January%202017%20through%20June%202017.xlsx</w:t>
        </w:r>
      </w:hyperlink>
      <w:r>
        <w:t xml:space="preserve">. </w:t>
      </w:r>
    </w:p>
  </w:footnote>
  <w:footnote w:id="5">
    <w:p w14:paraId="0334BA9A" w14:textId="4930C326" w:rsidR="002F3B1E" w:rsidRDefault="002F3B1E">
      <w:pPr>
        <w:pStyle w:val="FootnoteText"/>
      </w:pPr>
      <w:r>
        <w:rPr>
          <w:rStyle w:val="FootnoteReference"/>
        </w:rPr>
        <w:footnoteRef/>
      </w:r>
      <w:r>
        <w:t xml:space="preserve"> Te</w:t>
      </w:r>
      <w:r w:rsidR="007263AD">
        <w:t>l</w:t>
      </w:r>
      <w:r>
        <w:t xml:space="preserve">rite Petition at 1, 7-8. </w:t>
      </w:r>
    </w:p>
  </w:footnote>
  <w:footnote w:id="6">
    <w:p w14:paraId="556A75F0" w14:textId="17690EF5" w:rsidR="002F3B1E" w:rsidRDefault="002F3B1E">
      <w:pPr>
        <w:pStyle w:val="FootnoteText"/>
      </w:pPr>
      <w:r>
        <w:rPr>
          <w:rStyle w:val="FootnoteReference"/>
        </w:rPr>
        <w:footnoteRef/>
      </w:r>
      <w:r>
        <w:t xml:space="preserve"> Telrite Petition at 2, 5.  </w:t>
      </w:r>
    </w:p>
  </w:footnote>
  <w:footnote w:id="7">
    <w:p w14:paraId="055CECEA" w14:textId="77777777" w:rsidR="001C5046" w:rsidRDefault="001C5046">
      <w:pPr>
        <w:pStyle w:val="FootnoteText"/>
      </w:pPr>
      <w:r>
        <w:rPr>
          <w:rStyle w:val="FootnoteReference"/>
        </w:rPr>
        <w:footnoteRef/>
      </w:r>
      <w:r>
        <w:t xml:space="preserve"> 47 CFR § 1.3.  </w:t>
      </w:r>
    </w:p>
  </w:footnote>
  <w:footnote w:id="8">
    <w:p w14:paraId="58F977F1" w14:textId="77777777" w:rsidR="001C5046" w:rsidRPr="00CA3DEB" w:rsidRDefault="001C5046">
      <w:pPr>
        <w:pStyle w:val="FootnoteText"/>
      </w:pPr>
      <w:r>
        <w:rPr>
          <w:rStyle w:val="FootnoteReference"/>
        </w:rPr>
        <w:footnoteRef/>
      </w:r>
      <w:r>
        <w:t xml:space="preserve"> </w:t>
      </w:r>
      <w:r>
        <w:rPr>
          <w:i/>
        </w:rPr>
        <w:t>Northeast Cellular Telephone Co. v. FCC</w:t>
      </w:r>
      <w:r>
        <w:t xml:space="preserve">, 897 F.2d 1164, 1166 (D.C. Cir. 1990).  </w:t>
      </w:r>
    </w:p>
  </w:footnote>
  <w:footnote w:id="9">
    <w:p w14:paraId="757B3575" w14:textId="00D628CC" w:rsidR="001C5046" w:rsidRPr="00C575B4" w:rsidRDefault="001C5046">
      <w:pPr>
        <w:pStyle w:val="FootnoteText"/>
      </w:pPr>
      <w:r>
        <w:rPr>
          <w:rStyle w:val="FootnoteReference"/>
        </w:rPr>
        <w:footnoteRef/>
      </w:r>
      <w:r>
        <w:t xml:space="preserve"> </w:t>
      </w:r>
      <w:r>
        <w:rPr>
          <w:i/>
        </w:rPr>
        <w:t>WAIT Radio v. FCC</w:t>
      </w:r>
      <w:r>
        <w:t xml:space="preserve">, 418 F.2d 1153, 1159 (D.C. Cir. 1969); </w:t>
      </w:r>
      <w:r>
        <w:rPr>
          <w:i/>
        </w:rPr>
        <w:t>Northeast Cellular</w:t>
      </w:r>
      <w:r>
        <w:t xml:space="preserve">, 897 F.2d </w:t>
      </w:r>
      <w:r w:rsidR="00813166">
        <w:t xml:space="preserve">at </w:t>
      </w:r>
      <w:r>
        <w:t xml:space="preserve">1166. </w:t>
      </w:r>
    </w:p>
  </w:footnote>
  <w:footnote w:id="10">
    <w:p w14:paraId="12BED2B3" w14:textId="02AF1704" w:rsidR="001C5046" w:rsidRDefault="001C5046">
      <w:pPr>
        <w:pStyle w:val="FootnoteText"/>
      </w:pPr>
      <w:r>
        <w:rPr>
          <w:rStyle w:val="FootnoteReference"/>
        </w:rPr>
        <w:footnoteRef/>
      </w:r>
      <w:r>
        <w:t xml:space="preserve"> </w:t>
      </w:r>
      <w:r w:rsidRPr="00820F04">
        <w:rPr>
          <w:i/>
        </w:rPr>
        <w:t>Northeast Cellular</w:t>
      </w:r>
      <w:r>
        <w:t xml:space="preserve">, </w:t>
      </w:r>
      <w:r w:rsidRPr="00820F04">
        <w:t>897</w:t>
      </w:r>
      <w:r>
        <w:t xml:space="preserve"> F.2d </w:t>
      </w:r>
      <w:r w:rsidR="00813166">
        <w:t xml:space="preserve">at </w:t>
      </w:r>
      <w:r>
        <w:t xml:space="preserve">1166.  </w:t>
      </w:r>
    </w:p>
  </w:footnote>
  <w:footnote w:id="11">
    <w:p w14:paraId="0C231179" w14:textId="37E3DFC5" w:rsidR="00EA3DF9" w:rsidRDefault="00EA3DF9">
      <w:pPr>
        <w:pStyle w:val="FootnoteText"/>
      </w:pPr>
      <w:r>
        <w:rPr>
          <w:rStyle w:val="FootnoteReference"/>
        </w:rPr>
        <w:footnoteRef/>
      </w:r>
      <w:r>
        <w:t xml:space="preserve"> 47 CFR §§ 54.405(e)(3), 54.407(c)(2).</w:t>
      </w:r>
    </w:p>
  </w:footnote>
  <w:footnote w:id="12">
    <w:p w14:paraId="63AF6E01" w14:textId="7B36A3E6" w:rsidR="004C1005" w:rsidRPr="00D758C7" w:rsidRDefault="004C1005">
      <w:pPr>
        <w:pStyle w:val="FootnoteText"/>
        <w:rPr>
          <w:i/>
        </w:rPr>
      </w:pPr>
      <w:r>
        <w:rPr>
          <w:rStyle w:val="FootnoteReference"/>
        </w:rPr>
        <w:footnoteRef/>
      </w:r>
      <w:r>
        <w:t xml:space="preserve"> </w:t>
      </w:r>
      <w:r>
        <w:rPr>
          <w:i/>
        </w:rPr>
        <w:t>See id.</w:t>
      </w:r>
    </w:p>
  </w:footnote>
  <w:footnote w:id="13">
    <w:p w14:paraId="7CD7934D" w14:textId="598F2ACA" w:rsidR="00EA3DF9" w:rsidRDefault="00EA3DF9">
      <w:pPr>
        <w:pStyle w:val="FootnoteText"/>
      </w:pPr>
      <w:r>
        <w:rPr>
          <w:rStyle w:val="FootnoteReference"/>
        </w:rPr>
        <w:footnoteRef/>
      </w:r>
      <w:r>
        <w:t xml:space="preserve"> 47 CFR §§ 54.405(e)(4), 54.410(f).</w:t>
      </w:r>
    </w:p>
  </w:footnote>
  <w:footnote w:id="14">
    <w:p w14:paraId="6EBFAF0A" w14:textId="77777777" w:rsidR="00CA78D9" w:rsidRDefault="00CA78D9" w:rsidP="00CA78D9">
      <w:pPr>
        <w:pStyle w:val="FootnoteText"/>
      </w:pPr>
      <w:r>
        <w:rPr>
          <w:rStyle w:val="FootnoteReference"/>
        </w:rPr>
        <w:footnoteRef/>
      </w:r>
      <w:r>
        <w:t xml:space="preserve"> Telrite Petition at 7-8. </w:t>
      </w:r>
    </w:p>
  </w:footnote>
  <w:footnote w:id="15">
    <w:p w14:paraId="05A30186" w14:textId="3459C5F1" w:rsidR="003A4336" w:rsidRPr="003A4336" w:rsidRDefault="003A4336">
      <w:pPr>
        <w:pStyle w:val="FootnoteText"/>
      </w:pPr>
      <w:r>
        <w:rPr>
          <w:rStyle w:val="FootnoteReference"/>
        </w:rPr>
        <w:footnoteRef/>
      </w:r>
      <w:r>
        <w:t xml:space="preserve"> </w:t>
      </w:r>
      <w:r>
        <w:rPr>
          <w:i/>
        </w:rPr>
        <w:t>See</w:t>
      </w:r>
      <w:r>
        <w:t xml:space="preserve"> Telrite Petition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1D794" w14:textId="77777777" w:rsidR="00355DE6" w:rsidRDefault="00355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053E9" w14:textId="6EB572D4" w:rsidR="00AE0C1B" w:rsidRPr="00AE0C1B" w:rsidRDefault="001C5046" w:rsidP="00810B6F">
    <w:pPr>
      <w:pStyle w:val="Header"/>
    </w:pPr>
    <w:r>
      <w:tab/>
      <w:t>Federal Communications Commission</w:t>
    </w:r>
    <w:r>
      <w:tab/>
    </w:r>
    <w:r w:rsidR="00AE0C1B">
      <w:t>DA 17-860</w:t>
    </w:r>
  </w:p>
  <w:p w14:paraId="384FBDE6" w14:textId="77777777" w:rsidR="001C5046" w:rsidRDefault="001C504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8FB5418" wp14:editId="1CD5F9B5">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9FEADC1"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634EEB4" w14:textId="77777777" w:rsidR="001C5046" w:rsidRDefault="001C504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26D7B" w14:textId="444B94CC" w:rsidR="001C5046" w:rsidRDefault="001C5046" w:rsidP="00810B6F">
    <w:pPr>
      <w:pStyle w:val="Header"/>
      <w:rPr>
        <w:b w:val="0"/>
      </w:rPr>
    </w:pPr>
    <w:r>
      <w:rPr>
        <w:noProof/>
      </w:rPr>
      <mc:AlternateContent>
        <mc:Choice Requires="wps">
          <w:drawing>
            <wp:anchor distT="0" distB="0" distL="114300" distR="114300" simplePos="0" relativeHeight="251658241" behindDoc="1" locked="0" layoutInCell="0" allowOverlap="1" wp14:anchorId="57D95830" wp14:editId="4819158F">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B88AA63"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DA 17-</w:t>
    </w:r>
    <w:r w:rsidR="00AE0C1B">
      <w:rPr>
        <w:spacing w:val="-2"/>
      </w:rPr>
      <w:t>860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F9B"/>
    <w:rsid w:val="00005900"/>
    <w:rsid w:val="00036039"/>
    <w:rsid w:val="00037F90"/>
    <w:rsid w:val="00081E08"/>
    <w:rsid w:val="00082BDB"/>
    <w:rsid w:val="000875BF"/>
    <w:rsid w:val="00096D8C"/>
    <w:rsid w:val="000A222F"/>
    <w:rsid w:val="000C0B65"/>
    <w:rsid w:val="000D6A59"/>
    <w:rsid w:val="000E05FE"/>
    <w:rsid w:val="000E3D42"/>
    <w:rsid w:val="000E3DCE"/>
    <w:rsid w:val="000E780E"/>
    <w:rsid w:val="00122BD5"/>
    <w:rsid w:val="00133F79"/>
    <w:rsid w:val="00137C6C"/>
    <w:rsid w:val="00184DBC"/>
    <w:rsid w:val="00194A66"/>
    <w:rsid w:val="0019728A"/>
    <w:rsid w:val="001A2611"/>
    <w:rsid w:val="001C18F3"/>
    <w:rsid w:val="001C20B5"/>
    <w:rsid w:val="001C3B67"/>
    <w:rsid w:val="001C5046"/>
    <w:rsid w:val="001D3A9C"/>
    <w:rsid w:val="001D6BCF"/>
    <w:rsid w:val="001E01CA"/>
    <w:rsid w:val="001F7F9B"/>
    <w:rsid w:val="00205DF1"/>
    <w:rsid w:val="00236FD3"/>
    <w:rsid w:val="002531C0"/>
    <w:rsid w:val="00275CF5"/>
    <w:rsid w:val="0028301F"/>
    <w:rsid w:val="00285017"/>
    <w:rsid w:val="00293190"/>
    <w:rsid w:val="00295E86"/>
    <w:rsid w:val="002A2D2E"/>
    <w:rsid w:val="002C00E8"/>
    <w:rsid w:val="002C72AA"/>
    <w:rsid w:val="002F3B1E"/>
    <w:rsid w:val="00330295"/>
    <w:rsid w:val="003426DA"/>
    <w:rsid w:val="00343749"/>
    <w:rsid w:val="00355DE6"/>
    <w:rsid w:val="00356118"/>
    <w:rsid w:val="00361217"/>
    <w:rsid w:val="003660ED"/>
    <w:rsid w:val="0038209D"/>
    <w:rsid w:val="003938CA"/>
    <w:rsid w:val="003A4336"/>
    <w:rsid w:val="003B0550"/>
    <w:rsid w:val="003B694F"/>
    <w:rsid w:val="003C46F0"/>
    <w:rsid w:val="003C59E0"/>
    <w:rsid w:val="003F171C"/>
    <w:rsid w:val="003F752C"/>
    <w:rsid w:val="00401990"/>
    <w:rsid w:val="004116C7"/>
    <w:rsid w:val="00412FC5"/>
    <w:rsid w:val="00422276"/>
    <w:rsid w:val="004242F1"/>
    <w:rsid w:val="00425BF9"/>
    <w:rsid w:val="00426A08"/>
    <w:rsid w:val="00445A00"/>
    <w:rsid w:val="00451B0F"/>
    <w:rsid w:val="00497F76"/>
    <w:rsid w:val="004C1005"/>
    <w:rsid w:val="004C2EE3"/>
    <w:rsid w:val="004E4A22"/>
    <w:rsid w:val="00511968"/>
    <w:rsid w:val="005371BD"/>
    <w:rsid w:val="0055614C"/>
    <w:rsid w:val="005661B3"/>
    <w:rsid w:val="005E14C2"/>
    <w:rsid w:val="00601D5D"/>
    <w:rsid w:val="00607BA5"/>
    <w:rsid w:val="0061180A"/>
    <w:rsid w:val="00624381"/>
    <w:rsid w:val="00626EB6"/>
    <w:rsid w:val="00655D03"/>
    <w:rsid w:val="00683388"/>
    <w:rsid w:val="00683F84"/>
    <w:rsid w:val="006A6A81"/>
    <w:rsid w:val="006F51AC"/>
    <w:rsid w:val="006F7393"/>
    <w:rsid w:val="0070224F"/>
    <w:rsid w:val="007115F7"/>
    <w:rsid w:val="007263AD"/>
    <w:rsid w:val="00771E9D"/>
    <w:rsid w:val="00785689"/>
    <w:rsid w:val="0079754B"/>
    <w:rsid w:val="007A1E6D"/>
    <w:rsid w:val="007B0EB2"/>
    <w:rsid w:val="007D15A4"/>
    <w:rsid w:val="00810B6F"/>
    <w:rsid w:val="00813166"/>
    <w:rsid w:val="00820F04"/>
    <w:rsid w:val="00822CE0"/>
    <w:rsid w:val="00841AB1"/>
    <w:rsid w:val="00846C7B"/>
    <w:rsid w:val="008B66EF"/>
    <w:rsid w:val="008C68F1"/>
    <w:rsid w:val="008D4112"/>
    <w:rsid w:val="008E1B61"/>
    <w:rsid w:val="008E747A"/>
    <w:rsid w:val="008F1A82"/>
    <w:rsid w:val="009023D5"/>
    <w:rsid w:val="00920FDA"/>
    <w:rsid w:val="00921803"/>
    <w:rsid w:val="00926503"/>
    <w:rsid w:val="00936C7D"/>
    <w:rsid w:val="00943047"/>
    <w:rsid w:val="00947042"/>
    <w:rsid w:val="009726D8"/>
    <w:rsid w:val="0099067F"/>
    <w:rsid w:val="009954A4"/>
    <w:rsid w:val="009B1A53"/>
    <w:rsid w:val="009F76DB"/>
    <w:rsid w:val="00A0394B"/>
    <w:rsid w:val="00A06E52"/>
    <w:rsid w:val="00A10C25"/>
    <w:rsid w:val="00A32C3B"/>
    <w:rsid w:val="00A447C4"/>
    <w:rsid w:val="00A45F4F"/>
    <w:rsid w:val="00A5704E"/>
    <w:rsid w:val="00A600A9"/>
    <w:rsid w:val="00A83BC9"/>
    <w:rsid w:val="00AA09EA"/>
    <w:rsid w:val="00AA55B7"/>
    <w:rsid w:val="00AA5B9E"/>
    <w:rsid w:val="00AA7E3F"/>
    <w:rsid w:val="00AB2407"/>
    <w:rsid w:val="00AB53DF"/>
    <w:rsid w:val="00AC1D0C"/>
    <w:rsid w:val="00AC28D6"/>
    <w:rsid w:val="00AC5BC3"/>
    <w:rsid w:val="00AD6075"/>
    <w:rsid w:val="00AE0C1B"/>
    <w:rsid w:val="00B07AED"/>
    <w:rsid w:val="00B07E5C"/>
    <w:rsid w:val="00B811F7"/>
    <w:rsid w:val="00B86A2C"/>
    <w:rsid w:val="00BA5DC6"/>
    <w:rsid w:val="00BA6196"/>
    <w:rsid w:val="00BC2D43"/>
    <w:rsid w:val="00BC6D8C"/>
    <w:rsid w:val="00BD1CA9"/>
    <w:rsid w:val="00BE12CA"/>
    <w:rsid w:val="00BE6EEF"/>
    <w:rsid w:val="00C030AD"/>
    <w:rsid w:val="00C064C0"/>
    <w:rsid w:val="00C131AC"/>
    <w:rsid w:val="00C177D1"/>
    <w:rsid w:val="00C34006"/>
    <w:rsid w:val="00C34F4F"/>
    <w:rsid w:val="00C426B1"/>
    <w:rsid w:val="00C572A9"/>
    <w:rsid w:val="00C575B4"/>
    <w:rsid w:val="00C61BBD"/>
    <w:rsid w:val="00C66160"/>
    <w:rsid w:val="00C721AC"/>
    <w:rsid w:val="00C748DD"/>
    <w:rsid w:val="00C83D27"/>
    <w:rsid w:val="00C90D6A"/>
    <w:rsid w:val="00C95082"/>
    <w:rsid w:val="00CA247E"/>
    <w:rsid w:val="00CA32F4"/>
    <w:rsid w:val="00CA3DEB"/>
    <w:rsid w:val="00CA78D9"/>
    <w:rsid w:val="00CB5A0B"/>
    <w:rsid w:val="00CC5807"/>
    <w:rsid w:val="00CC72B6"/>
    <w:rsid w:val="00CE45A4"/>
    <w:rsid w:val="00CF311D"/>
    <w:rsid w:val="00CF64F6"/>
    <w:rsid w:val="00D0218D"/>
    <w:rsid w:val="00D1617D"/>
    <w:rsid w:val="00D25FB5"/>
    <w:rsid w:val="00D44223"/>
    <w:rsid w:val="00D66D20"/>
    <w:rsid w:val="00D758C7"/>
    <w:rsid w:val="00DA2529"/>
    <w:rsid w:val="00DB130A"/>
    <w:rsid w:val="00DB2EBB"/>
    <w:rsid w:val="00DC10A1"/>
    <w:rsid w:val="00DC655F"/>
    <w:rsid w:val="00DD0B59"/>
    <w:rsid w:val="00DD7EBD"/>
    <w:rsid w:val="00DF1261"/>
    <w:rsid w:val="00DF62B6"/>
    <w:rsid w:val="00E04965"/>
    <w:rsid w:val="00E07225"/>
    <w:rsid w:val="00E12EEF"/>
    <w:rsid w:val="00E41051"/>
    <w:rsid w:val="00E5409F"/>
    <w:rsid w:val="00E73809"/>
    <w:rsid w:val="00E826BE"/>
    <w:rsid w:val="00E901F2"/>
    <w:rsid w:val="00EA3DF9"/>
    <w:rsid w:val="00EE4017"/>
    <w:rsid w:val="00EE6488"/>
    <w:rsid w:val="00F021FA"/>
    <w:rsid w:val="00F062B1"/>
    <w:rsid w:val="00F27F66"/>
    <w:rsid w:val="00F62E97"/>
    <w:rsid w:val="00F63F32"/>
    <w:rsid w:val="00F64209"/>
    <w:rsid w:val="00F8581F"/>
    <w:rsid w:val="00F93BF5"/>
    <w:rsid w:val="00FB0671"/>
    <w:rsid w:val="00FD0430"/>
    <w:rsid w:val="00FF0042"/>
    <w:rsid w:val="43F2C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7B7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8E1B61"/>
    <w:rPr>
      <w:sz w:val="16"/>
      <w:szCs w:val="16"/>
    </w:rPr>
  </w:style>
  <w:style w:type="paragraph" w:styleId="CommentText">
    <w:name w:val="annotation text"/>
    <w:basedOn w:val="Normal"/>
    <w:link w:val="CommentTextChar"/>
    <w:rsid w:val="008E1B61"/>
    <w:rPr>
      <w:sz w:val="20"/>
    </w:rPr>
  </w:style>
  <w:style w:type="character" w:customStyle="1" w:styleId="CommentTextChar">
    <w:name w:val="Comment Text Char"/>
    <w:basedOn w:val="DefaultParagraphFont"/>
    <w:link w:val="CommentText"/>
    <w:rsid w:val="008E1B61"/>
    <w:rPr>
      <w:snapToGrid w:val="0"/>
      <w:kern w:val="28"/>
    </w:rPr>
  </w:style>
  <w:style w:type="paragraph" w:styleId="CommentSubject">
    <w:name w:val="annotation subject"/>
    <w:basedOn w:val="CommentText"/>
    <w:next w:val="CommentText"/>
    <w:link w:val="CommentSubjectChar"/>
    <w:rsid w:val="008E1B61"/>
    <w:rPr>
      <w:b/>
      <w:bCs/>
    </w:rPr>
  </w:style>
  <w:style w:type="character" w:customStyle="1" w:styleId="CommentSubjectChar">
    <w:name w:val="Comment Subject Char"/>
    <w:basedOn w:val="CommentTextChar"/>
    <w:link w:val="CommentSubject"/>
    <w:rsid w:val="008E1B61"/>
    <w:rPr>
      <w:b/>
      <w:bCs/>
      <w:snapToGrid w:val="0"/>
      <w:kern w:val="28"/>
    </w:rPr>
  </w:style>
  <w:style w:type="paragraph" w:styleId="BalloonText">
    <w:name w:val="Balloon Text"/>
    <w:basedOn w:val="Normal"/>
    <w:link w:val="BalloonTextChar"/>
    <w:rsid w:val="008E1B61"/>
    <w:rPr>
      <w:rFonts w:ascii="Segoe UI" w:hAnsi="Segoe UI" w:cs="Segoe UI"/>
      <w:sz w:val="18"/>
      <w:szCs w:val="18"/>
    </w:rPr>
  </w:style>
  <w:style w:type="character" w:customStyle="1" w:styleId="BalloonTextChar">
    <w:name w:val="Balloon Text Char"/>
    <w:basedOn w:val="DefaultParagraphFont"/>
    <w:link w:val="BalloonText"/>
    <w:rsid w:val="008E1B61"/>
    <w:rPr>
      <w:rFonts w:ascii="Segoe UI" w:hAnsi="Segoe UI" w:cs="Segoe UI"/>
      <w:snapToGrid w:val="0"/>
      <w:kern w:val="28"/>
      <w:sz w:val="18"/>
      <w:szCs w:val="18"/>
    </w:rPr>
  </w:style>
  <w:style w:type="character" w:customStyle="1" w:styleId="Mention">
    <w:name w:val="Mention"/>
    <w:basedOn w:val="DefaultParagraphFont"/>
    <w:uiPriority w:val="99"/>
    <w:semiHidden/>
    <w:unhideWhenUsed/>
    <w:rsid w:val="00771E9D"/>
    <w:rPr>
      <w:color w:val="2B579A"/>
      <w:shd w:val="clear" w:color="auto" w:fill="E6E6E6"/>
    </w:rPr>
  </w:style>
  <w:style w:type="paragraph" w:styleId="Revision">
    <w:name w:val="Revision"/>
    <w:hidden/>
    <w:uiPriority w:val="99"/>
    <w:semiHidden/>
    <w:rsid w:val="0035611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8E1B61"/>
    <w:rPr>
      <w:sz w:val="16"/>
      <w:szCs w:val="16"/>
    </w:rPr>
  </w:style>
  <w:style w:type="paragraph" w:styleId="CommentText">
    <w:name w:val="annotation text"/>
    <w:basedOn w:val="Normal"/>
    <w:link w:val="CommentTextChar"/>
    <w:rsid w:val="008E1B61"/>
    <w:rPr>
      <w:sz w:val="20"/>
    </w:rPr>
  </w:style>
  <w:style w:type="character" w:customStyle="1" w:styleId="CommentTextChar">
    <w:name w:val="Comment Text Char"/>
    <w:basedOn w:val="DefaultParagraphFont"/>
    <w:link w:val="CommentText"/>
    <w:rsid w:val="008E1B61"/>
    <w:rPr>
      <w:snapToGrid w:val="0"/>
      <w:kern w:val="28"/>
    </w:rPr>
  </w:style>
  <w:style w:type="paragraph" w:styleId="CommentSubject">
    <w:name w:val="annotation subject"/>
    <w:basedOn w:val="CommentText"/>
    <w:next w:val="CommentText"/>
    <w:link w:val="CommentSubjectChar"/>
    <w:rsid w:val="008E1B61"/>
    <w:rPr>
      <w:b/>
      <w:bCs/>
    </w:rPr>
  </w:style>
  <w:style w:type="character" w:customStyle="1" w:styleId="CommentSubjectChar">
    <w:name w:val="Comment Subject Char"/>
    <w:basedOn w:val="CommentTextChar"/>
    <w:link w:val="CommentSubject"/>
    <w:rsid w:val="008E1B61"/>
    <w:rPr>
      <w:b/>
      <w:bCs/>
      <w:snapToGrid w:val="0"/>
      <w:kern w:val="28"/>
    </w:rPr>
  </w:style>
  <w:style w:type="paragraph" w:styleId="BalloonText">
    <w:name w:val="Balloon Text"/>
    <w:basedOn w:val="Normal"/>
    <w:link w:val="BalloonTextChar"/>
    <w:rsid w:val="008E1B61"/>
    <w:rPr>
      <w:rFonts w:ascii="Segoe UI" w:hAnsi="Segoe UI" w:cs="Segoe UI"/>
      <w:sz w:val="18"/>
      <w:szCs w:val="18"/>
    </w:rPr>
  </w:style>
  <w:style w:type="character" w:customStyle="1" w:styleId="BalloonTextChar">
    <w:name w:val="Balloon Text Char"/>
    <w:basedOn w:val="DefaultParagraphFont"/>
    <w:link w:val="BalloonText"/>
    <w:rsid w:val="008E1B61"/>
    <w:rPr>
      <w:rFonts w:ascii="Segoe UI" w:hAnsi="Segoe UI" w:cs="Segoe UI"/>
      <w:snapToGrid w:val="0"/>
      <w:kern w:val="28"/>
      <w:sz w:val="18"/>
      <w:szCs w:val="18"/>
    </w:rPr>
  </w:style>
  <w:style w:type="character" w:customStyle="1" w:styleId="Mention">
    <w:name w:val="Mention"/>
    <w:basedOn w:val="DefaultParagraphFont"/>
    <w:uiPriority w:val="99"/>
    <w:semiHidden/>
    <w:unhideWhenUsed/>
    <w:rsid w:val="00771E9D"/>
    <w:rPr>
      <w:color w:val="2B579A"/>
      <w:shd w:val="clear" w:color="auto" w:fill="E6E6E6"/>
    </w:rPr>
  </w:style>
  <w:style w:type="paragraph" w:styleId="Revision">
    <w:name w:val="Revision"/>
    <w:hidden/>
    <w:uiPriority w:val="99"/>
    <w:semiHidden/>
    <w:rsid w:val="0035611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about/tools/fcc/filings/2017/Q4/LI08%20Lifeline%20Subscribers%20by%20State%20or%20Jurisdiction%20-%20January%202017%20through%20June%202017.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3</Pages>
  <Words>998</Words>
  <Characters>5530</Characters>
  <Application>Microsoft Office Word</Application>
  <DocSecurity>0</DocSecurity>
  <Lines>109</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6522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2017-09-07T19:37:00Z</dcterms:created>
  <dcterms:modified xsi:type="dcterms:W3CDTF">2017-09-07T19:37:00Z</dcterms:modified>
  <cp:category> </cp:category>
  <cp:contentStatus> </cp:contentStatus>
</cp:coreProperties>
</file>