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D7" w:rsidRDefault="003262D7" w:rsidP="003262D7">
      <w:pPr>
        <w:tabs>
          <w:tab w:val="left" w:pos="1170"/>
        </w:tabs>
        <w:contextualSpacing/>
        <w:jc w:val="center"/>
        <w:rPr>
          <w:b/>
          <w:szCs w:val="22"/>
        </w:rPr>
      </w:pPr>
      <w:bookmarkStart w:id="0" w:name="_GoBack"/>
      <w:bookmarkEnd w:id="0"/>
    </w:p>
    <w:p w:rsidR="003262D7" w:rsidRPr="0053584A" w:rsidRDefault="003262D7" w:rsidP="003262D7">
      <w:pPr>
        <w:tabs>
          <w:tab w:val="left" w:pos="1170"/>
        </w:tabs>
        <w:contextualSpacing/>
        <w:jc w:val="center"/>
        <w:rPr>
          <w:b/>
          <w:szCs w:val="22"/>
        </w:rPr>
      </w:pPr>
      <w:r w:rsidRPr="0053584A">
        <w:rPr>
          <w:b/>
          <w:szCs w:val="22"/>
        </w:rPr>
        <w:t>Before the</w:t>
      </w:r>
    </w:p>
    <w:p w:rsidR="003262D7" w:rsidRPr="0053584A" w:rsidRDefault="003262D7" w:rsidP="003262D7">
      <w:pPr>
        <w:pStyle w:val="StyleBoldCentered"/>
        <w:contextualSpacing/>
        <w:rPr>
          <w:rFonts w:ascii="Times New Roman" w:hAnsi="Times New Roman"/>
        </w:rPr>
      </w:pPr>
      <w:r w:rsidRPr="0053584A">
        <w:rPr>
          <w:rFonts w:ascii="Times New Roman" w:hAnsi="Times New Roman"/>
        </w:rPr>
        <w:t>F</w:t>
      </w:r>
      <w:r w:rsidRPr="0053584A">
        <w:rPr>
          <w:rFonts w:ascii="Times New Roman" w:hAnsi="Times New Roman"/>
          <w:caps w:val="0"/>
        </w:rPr>
        <w:t>ederal Communications Commission</w:t>
      </w:r>
    </w:p>
    <w:p w:rsidR="003262D7" w:rsidRPr="0053584A" w:rsidRDefault="003262D7" w:rsidP="003262D7">
      <w:pPr>
        <w:pStyle w:val="StyleBoldCentered"/>
        <w:contextualSpacing/>
        <w:rPr>
          <w:rFonts w:ascii="Times New Roman" w:hAnsi="Times New Roman"/>
        </w:rPr>
      </w:pPr>
      <w:r w:rsidRPr="0053584A">
        <w:rPr>
          <w:rFonts w:ascii="Times New Roman" w:hAnsi="Times New Roman"/>
          <w:caps w:val="0"/>
        </w:rPr>
        <w:t>Washington, D.C. 20554</w:t>
      </w:r>
    </w:p>
    <w:p w:rsidR="003262D7" w:rsidRDefault="003262D7" w:rsidP="003262D7">
      <w:pPr>
        <w:contextualSpacing/>
        <w:rPr>
          <w:szCs w:val="22"/>
        </w:rPr>
      </w:pPr>
    </w:p>
    <w:p w:rsidR="003262D7" w:rsidRPr="0053584A" w:rsidRDefault="003262D7" w:rsidP="003262D7">
      <w:pPr>
        <w:contextualSpacing/>
        <w:rPr>
          <w:szCs w:val="22"/>
        </w:rPr>
      </w:pPr>
    </w:p>
    <w:tbl>
      <w:tblPr>
        <w:tblW w:w="0" w:type="auto"/>
        <w:tblLayout w:type="fixed"/>
        <w:tblLook w:val="0000" w:firstRow="0" w:lastRow="0" w:firstColumn="0" w:lastColumn="0" w:noHBand="0" w:noVBand="0"/>
      </w:tblPr>
      <w:tblGrid>
        <w:gridCol w:w="4698"/>
        <w:gridCol w:w="630"/>
        <w:gridCol w:w="4248"/>
      </w:tblGrid>
      <w:tr w:rsidR="003262D7" w:rsidRPr="0053584A" w:rsidTr="00760EAA">
        <w:tc>
          <w:tcPr>
            <w:tcW w:w="4698" w:type="dxa"/>
          </w:tcPr>
          <w:p w:rsidR="003262D7" w:rsidRPr="0053584A" w:rsidRDefault="003262D7" w:rsidP="00760EAA">
            <w:pPr>
              <w:tabs>
                <w:tab w:val="center" w:pos="4680"/>
              </w:tabs>
              <w:suppressAutoHyphens/>
              <w:contextualSpacing/>
              <w:rPr>
                <w:spacing w:val="-2"/>
                <w:szCs w:val="22"/>
              </w:rPr>
            </w:pPr>
            <w:r w:rsidRPr="0053584A">
              <w:rPr>
                <w:spacing w:val="-2"/>
                <w:szCs w:val="22"/>
              </w:rPr>
              <w:t>In the Matter of</w:t>
            </w:r>
          </w:p>
          <w:p w:rsidR="003262D7" w:rsidRPr="0053584A" w:rsidRDefault="003262D7" w:rsidP="00760EAA">
            <w:pPr>
              <w:tabs>
                <w:tab w:val="center" w:pos="4680"/>
              </w:tabs>
              <w:suppressAutoHyphens/>
              <w:ind w:left="4680" w:hanging="4680"/>
              <w:contextualSpacing/>
              <w:rPr>
                <w:spacing w:val="-2"/>
                <w:szCs w:val="22"/>
              </w:rPr>
            </w:pPr>
          </w:p>
          <w:p w:rsidR="003262D7" w:rsidRPr="00814873" w:rsidRDefault="003262D7" w:rsidP="00760EAA">
            <w:pPr>
              <w:tabs>
                <w:tab w:val="center" w:pos="4680"/>
              </w:tabs>
              <w:suppressAutoHyphens/>
              <w:contextualSpacing/>
              <w:rPr>
                <w:spacing w:val="-2"/>
                <w:szCs w:val="22"/>
              </w:rPr>
            </w:pPr>
            <w:r w:rsidRPr="00814873">
              <w:rPr>
                <w:spacing w:val="-2"/>
                <w:szCs w:val="22"/>
              </w:rPr>
              <w:t xml:space="preserve">Petition of </w:t>
            </w:r>
            <w:r>
              <w:rPr>
                <w:spacing w:val="-2"/>
                <w:szCs w:val="22"/>
              </w:rPr>
              <w:t>AT&amp;T</w:t>
            </w:r>
            <w:r w:rsidRPr="00814873">
              <w:rPr>
                <w:spacing w:val="-2"/>
                <w:szCs w:val="22"/>
              </w:rPr>
              <w:t xml:space="preserve"> for Forbearance Under 47</w:t>
            </w:r>
          </w:p>
          <w:p w:rsidR="003262D7" w:rsidRPr="0053584A" w:rsidRDefault="003262D7" w:rsidP="00760EAA">
            <w:pPr>
              <w:tabs>
                <w:tab w:val="center" w:pos="4680"/>
              </w:tabs>
              <w:suppressAutoHyphens/>
              <w:contextualSpacing/>
              <w:rPr>
                <w:spacing w:val="-2"/>
                <w:szCs w:val="22"/>
              </w:rPr>
            </w:pPr>
            <w:r w:rsidRPr="00814873">
              <w:rPr>
                <w:spacing w:val="-2"/>
                <w:szCs w:val="22"/>
              </w:rPr>
              <w:t>U.S.C. § 160(c) from Certain Rules for Switched Access Services an</w:t>
            </w:r>
            <w:r>
              <w:rPr>
                <w:spacing w:val="-2"/>
                <w:szCs w:val="22"/>
              </w:rPr>
              <w:t>d Toll Free Database Dip Charge</w:t>
            </w:r>
            <w:r w:rsidRPr="00EE3543">
              <w:rPr>
                <w:spacing w:val="-2"/>
                <w:szCs w:val="22"/>
              </w:rPr>
              <w:t>s</w:t>
            </w:r>
          </w:p>
          <w:p w:rsidR="003262D7" w:rsidRPr="0053584A" w:rsidRDefault="003262D7" w:rsidP="00760EAA">
            <w:pPr>
              <w:tabs>
                <w:tab w:val="center" w:pos="4680"/>
              </w:tabs>
              <w:suppressAutoHyphens/>
              <w:contextualSpacing/>
              <w:rPr>
                <w:spacing w:val="-2"/>
                <w:szCs w:val="22"/>
              </w:rPr>
            </w:pPr>
          </w:p>
        </w:tc>
        <w:tc>
          <w:tcPr>
            <w:tcW w:w="630" w:type="dxa"/>
          </w:tcPr>
          <w:p w:rsidR="003262D7" w:rsidRPr="0053584A" w:rsidRDefault="003262D7" w:rsidP="00760EAA">
            <w:pPr>
              <w:tabs>
                <w:tab w:val="center" w:pos="4680"/>
              </w:tabs>
              <w:suppressAutoHyphens/>
              <w:contextualSpacing/>
              <w:rPr>
                <w:b/>
                <w:spacing w:val="-2"/>
                <w:szCs w:val="22"/>
              </w:rPr>
            </w:pPr>
            <w:r w:rsidRPr="0053584A">
              <w:rPr>
                <w:b/>
                <w:spacing w:val="-2"/>
                <w:szCs w:val="22"/>
              </w:rPr>
              <w:t>)</w:t>
            </w:r>
          </w:p>
          <w:p w:rsidR="003262D7" w:rsidRPr="0053584A" w:rsidRDefault="003262D7" w:rsidP="00760EAA">
            <w:pPr>
              <w:tabs>
                <w:tab w:val="center" w:pos="4680"/>
              </w:tabs>
              <w:suppressAutoHyphens/>
              <w:contextualSpacing/>
              <w:rPr>
                <w:b/>
                <w:spacing w:val="-2"/>
                <w:szCs w:val="22"/>
              </w:rPr>
            </w:pPr>
            <w:r w:rsidRPr="0053584A">
              <w:rPr>
                <w:b/>
                <w:spacing w:val="-2"/>
                <w:szCs w:val="22"/>
              </w:rPr>
              <w:t>)</w:t>
            </w:r>
          </w:p>
          <w:p w:rsidR="003262D7" w:rsidRPr="0053584A" w:rsidRDefault="003262D7" w:rsidP="00760EAA">
            <w:pPr>
              <w:tabs>
                <w:tab w:val="center" w:pos="4680"/>
              </w:tabs>
              <w:suppressAutoHyphens/>
              <w:contextualSpacing/>
              <w:rPr>
                <w:b/>
                <w:spacing w:val="-2"/>
                <w:szCs w:val="22"/>
              </w:rPr>
            </w:pPr>
            <w:r w:rsidRPr="0053584A">
              <w:rPr>
                <w:b/>
                <w:spacing w:val="-2"/>
                <w:szCs w:val="22"/>
              </w:rPr>
              <w:t>)</w:t>
            </w:r>
          </w:p>
          <w:p w:rsidR="003262D7" w:rsidRDefault="003262D7" w:rsidP="00760EAA">
            <w:pPr>
              <w:tabs>
                <w:tab w:val="center" w:pos="4680"/>
              </w:tabs>
              <w:suppressAutoHyphens/>
              <w:contextualSpacing/>
              <w:rPr>
                <w:b/>
                <w:spacing w:val="-2"/>
                <w:szCs w:val="22"/>
              </w:rPr>
            </w:pPr>
            <w:r w:rsidRPr="0053584A">
              <w:rPr>
                <w:b/>
                <w:spacing w:val="-2"/>
                <w:szCs w:val="22"/>
              </w:rPr>
              <w:t>)</w:t>
            </w:r>
          </w:p>
          <w:p w:rsidR="003262D7" w:rsidRDefault="003262D7" w:rsidP="00760EAA">
            <w:pPr>
              <w:tabs>
                <w:tab w:val="center" w:pos="4680"/>
              </w:tabs>
              <w:suppressAutoHyphens/>
              <w:contextualSpacing/>
              <w:rPr>
                <w:b/>
                <w:spacing w:val="-2"/>
                <w:szCs w:val="22"/>
              </w:rPr>
            </w:pPr>
            <w:r>
              <w:rPr>
                <w:b/>
                <w:spacing w:val="-2"/>
                <w:szCs w:val="22"/>
              </w:rPr>
              <w:t>)</w:t>
            </w:r>
          </w:p>
          <w:p w:rsidR="003262D7" w:rsidRPr="0053584A" w:rsidRDefault="003262D7" w:rsidP="00760EAA">
            <w:pPr>
              <w:tabs>
                <w:tab w:val="center" w:pos="4680"/>
              </w:tabs>
              <w:suppressAutoHyphens/>
              <w:contextualSpacing/>
              <w:rPr>
                <w:b/>
                <w:spacing w:val="-2"/>
                <w:szCs w:val="22"/>
              </w:rPr>
            </w:pPr>
            <w:r>
              <w:rPr>
                <w:b/>
                <w:spacing w:val="-2"/>
                <w:szCs w:val="22"/>
              </w:rPr>
              <w:t>)</w:t>
            </w:r>
          </w:p>
          <w:p w:rsidR="003262D7" w:rsidRPr="0053584A" w:rsidRDefault="003262D7" w:rsidP="00760EAA">
            <w:pPr>
              <w:tabs>
                <w:tab w:val="center" w:pos="4680"/>
              </w:tabs>
              <w:suppressAutoHyphens/>
              <w:contextualSpacing/>
              <w:rPr>
                <w:spacing w:val="-2"/>
                <w:szCs w:val="22"/>
              </w:rPr>
            </w:pPr>
          </w:p>
        </w:tc>
        <w:tc>
          <w:tcPr>
            <w:tcW w:w="4248" w:type="dxa"/>
          </w:tcPr>
          <w:p w:rsidR="003262D7" w:rsidRPr="0053584A" w:rsidRDefault="003262D7" w:rsidP="00760EAA">
            <w:pPr>
              <w:tabs>
                <w:tab w:val="center" w:pos="4680"/>
              </w:tabs>
              <w:suppressAutoHyphens/>
              <w:contextualSpacing/>
              <w:rPr>
                <w:spacing w:val="-2"/>
                <w:szCs w:val="22"/>
              </w:rPr>
            </w:pPr>
          </w:p>
          <w:p w:rsidR="003262D7" w:rsidRPr="0053584A" w:rsidRDefault="003262D7" w:rsidP="00760EAA">
            <w:pPr>
              <w:pStyle w:val="TOAHeading"/>
              <w:tabs>
                <w:tab w:val="clear" w:pos="9360"/>
                <w:tab w:val="center" w:pos="4680"/>
              </w:tabs>
              <w:contextualSpacing/>
              <w:rPr>
                <w:spacing w:val="-2"/>
                <w:szCs w:val="22"/>
              </w:rPr>
            </w:pPr>
          </w:p>
          <w:p w:rsidR="003262D7" w:rsidRPr="0053584A" w:rsidRDefault="003262D7" w:rsidP="00760EAA">
            <w:pPr>
              <w:tabs>
                <w:tab w:val="center" w:pos="4680"/>
              </w:tabs>
              <w:suppressAutoHyphens/>
              <w:contextualSpacing/>
              <w:rPr>
                <w:spacing w:val="-2"/>
                <w:szCs w:val="22"/>
              </w:rPr>
            </w:pPr>
            <w:r>
              <w:rPr>
                <w:spacing w:val="-2"/>
                <w:szCs w:val="22"/>
              </w:rPr>
              <w:t>WC Docket No. 16-363</w:t>
            </w:r>
          </w:p>
          <w:p w:rsidR="003262D7" w:rsidRPr="0053584A" w:rsidRDefault="003262D7" w:rsidP="00760EAA">
            <w:pPr>
              <w:tabs>
                <w:tab w:val="center" w:pos="4680"/>
              </w:tabs>
              <w:suppressAutoHyphens/>
              <w:contextualSpacing/>
              <w:rPr>
                <w:spacing w:val="-2"/>
                <w:szCs w:val="22"/>
              </w:rPr>
            </w:pPr>
          </w:p>
          <w:p w:rsidR="003262D7" w:rsidRPr="0053584A" w:rsidRDefault="003262D7" w:rsidP="00760EAA">
            <w:pPr>
              <w:tabs>
                <w:tab w:val="center" w:pos="4680"/>
              </w:tabs>
              <w:suppressAutoHyphens/>
              <w:contextualSpacing/>
              <w:rPr>
                <w:spacing w:val="-2"/>
                <w:szCs w:val="22"/>
              </w:rPr>
            </w:pPr>
          </w:p>
        </w:tc>
      </w:tr>
    </w:tbl>
    <w:p w:rsidR="003262D7" w:rsidRPr="0053584A" w:rsidRDefault="003262D7" w:rsidP="003262D7">
      <w:pPr>
        <w:pStyle w:val="StyleBoldCentered"/>
        <w:contextualSpacing/>
        <w:rPr>
          <w:rFonts w:ascii="Times New Roman" w:hAnsi="Times New Roman"/>
        </w:rPr>
      </w:pPr>
      <w:r w:rsidRPr="0053584A">
        <w:rPr>
          <w:rFonts w:ascii="Times New Roman" w:hAnsi="Times New Roman"/>
        </w:rPr>
        <w:t>Order</w:t>
      </w:r>
    </w:p>
    <w:p w:rsidR="003262D7" w:rsidRPr="0053584A" w:rsidRDefault="003262D7" w:rsidP="003262D7">
      <w:pPr>
        <w:tabs>
          <w:tab w:val="left" w:pos="-720"/>
        </w:tabs>
        <w:suppressAutoHyphens/>
        <w:contextualSpacing/>
        <w:rPr>
          <w:spacing w:val="-2"/>
          <w:szCs w:val="22"/>
        </w:rPr>
      </w:pPr>
    </w:p>
    <w:p w:rsidR="003262D7" w:rsidRPr="0053584A" w:rsidRDefault="003262D7" w:rsidP="003262D7">
      <w:pPr>
        <w:tabs>
          <w:tab w:val="left" w:pos="720"/>
          <w:tab w:val="right" w:pos="9360"/>
        </w:tabs>
        <w:suppressAutoHyphens/>
        <w:contextualSpacing/>
        <w:rPr>
          <w:spacing w:val="-2"/>
          <w:szCs w:val="22"/>
        </w:rPr>
      </w:pPr>
      <w:r w:rsidRPr="0053584A">
        <w:rPr>
          <w:b/>
          <w:spacing w:val="-2"/>
          <w:szCs w:val="22"/>
        </w:rPr>
        <w:t xml:space="preserve">Adopted:  </w:t>
      </w:r>
      <w:r>
        <w:rPr>
          <w:b/>
          <w:spacing w:val="-2"/>
          <w:szCs w:val="22"/>
        </w:rPr>
        <w:t>August 18, 2017</w:t>
      </w:r>
      <w:r w:rsidRPr="0053584A">
        <w:rPr>
          <w:b/>
          <w:spacing w:val="-2"/>
          <w:szCs w:val="22"/>
        </w:rPr>
        <w:tab/>
        <w:t xml:space="preserve">Released:  </w:t>
      </w:r>
      <w:r>
        <w:rPr>
          <w:b/>
          <w:spacing w:val="-2"/>
          <w:szCs w:val="22"/>
        </w:rPr>
        <w:t>August 18, 201</w:t>
      </w:r>
      <w:r w:rsidR="002F2A65">
        <w:rPr>
          <w:b/>
          <w:spacing w:val="-2"/>
          <w:szCs w:val="22"/>
        </w:rPr>
        <w:t>7</w:t>
      </w:r>
    </w:p>
    <w:p w:rsidR="003262D7" w:rsidRPr="0053584A" w:rsidRDefault="003262D7" w:rsidP="003262D7">
      <w:pPr>
        <w:contextualSpacing/>
        <w:rPr>
          <w:szCs w:val="22"/>
        </w:rPr>
      </w:pPr>
    </w:p>
    <w:p w:rsidR="003262D7" w:rsidRPr="0053584A" w:rsidRDefault="003262D7" w:rsidP="003262D7">
      <w:pPr>
        <w:contextualSpacing/>
        <w:rPr>
          <w:szCs w:val="22"/>
        </w:rPr>
      </w:pPr>
      <w:r w:rsidRPr="0053584A">
        <w:rPr>
          <w:szCs w:val="22"/>
        </w:rPr>
        <w:t>By the</w:t>
      </w:r>
      <w:r>
        <w:rPr>
          <w:szCs w:val="22"/>
        </w:rPr>
        <w:t xml:space="preserve"> </w:t>
      </w:r>
      <w:r w:rsidRPr="0053584A">
        <w:rPr>
          <w:szCs w:val="22"/>
        </w:rPr>
        <w:t>Chief, Wireline Competition Bureau:</w:t>
      </w:r>
    </w:p>
    <w:p w:rsidR="003262D7" w:rsidRPr="0053584A" w:rsidRDefault="003262D7" w:rsidP="003262D7">
      <w:pPr>
        <w:tabs>
          <w:tab w:val="left" w:pos="946"/>
        </w:tabs>
        <w:contextualSpacing/>
        <w:rPr>
          <w:szCs w:val="22"/>
        </w:rPr>
      </w:pPr>
      <w:r>
        <w:rPr>
          <w:szCs w:val="22"/>
        </w:rPr>
        <w:tab/>
      </w:r>
    </w:p>
    <w:p w:rsidR="003262D7" w:rsidRPr="00814873" w:rsidRDefault="003262D7" w:rsidP="003262D7">
      <w:pPr>
        <w:pStyle w:val="ParaNum"/>
      </w:pPr>
      <w:r w:rsidRPr="005512FB">
        <w:t xml:space="preserve">In </w:t>
      </w:r>
      <w:r>
        <w:t>this Order, pursuant to section 10(c) of the Communications Act of 1934, as amended (the Act),</w:t>
      </w:r>
      <w:r>
        <w:rPr>
          <w:rStyle w:val="FootnoteReference"/>
        </w:rPr>
        <w:footnoteReference w:id="2"/>
      </w:r>
      <w:r>
        <w:t xml:space="preserve"> the Wireline Competition Bureau (Bureau) extends by 90 days the date by which </w:t>
      </w:r>
      <w:r>
        <w:rPr>
          <w:szCs w:val="22"/>
        </w:rPr>
        <w:t>AT&amp;T Services, Inc.’s (AT&amp;T’s)</w:t>
      </w:r>
      <w:r>
        <w:t xml:space="preserve"> petition for forbearance</w:t>
      </w:r>
      <w:r>
        <w:rPr>
          <w:rStyle w:val="FootnoteReference"/>
        </w:rPr>
        <w:footnoteReference w:id="3"/>
      </w:r>
      <w:r>
        <w:t xml:space="preserve"> shall be deemed granted in the absence of a Commission decision that </w:t>
      </w:r>
      <w:r w:rsidRPr="00DF5584">
        <w:t xml:space="preserve">the petition fails to meet the standards for forbearance under </w:t>
      </w:r>
      <w:r>
        <w:t>s</w:t>
      </w:r>
      <w:r w:rsidRPr="00DF5584">
        <w:t>ection 10(a) of the Act.</w:t>
      </w:r>
      <w:r w:rsidRPr="00DF5584">
        <w:rPr>
          <w:rStyle w:val="FootnoteReference"/>
        </w:rPr>
        <w:footnoteReference w:id="4"/>
      </w:r>
      <w:r w:rsidRPr="00DF5584">
        <w:t xml:space="preserve">  Accordingly, the date on which the AT&amp;T Petition will be deemed granted in the absence of a Commission denial is December 29, 2017.</w:t>
      </w:r>
      <w:r w:rsidRPr="00814873">
        <w:rPr>
          <w:i/>
        </w:rPr>
        <w:t xml:space="preserve"> </w:t>
      </w:r>
    </w:p>
    <w:p w:rsidR="003262D7" w:rsidRPr="00FB12A2" w:rsidRDefault="003262D7" w:rsidP="003262D7">
      <w:pPr>
        <w:pStyle w:val="ParaNum"/>
        <w:widowControl/>
      </w:pPr>
      <w:r>
        <w:t xml:space="preserve">On September 30, 2016, AT&amp;T filed a petition pursuant to section 10 of the Act requesting that the Commission forbear </w:t>
      </w:r>
      <w:r w:rsidRPr="008B42B2">
        <w:t>“from the tariffing requirements of the Act and its rules as to all tandem switching and tandem-switched transport charges on all traffic to or from [</w:t>
      </w:r>
      <w:r>
        <w:t>local exchange carriers (LECs)</w:t>
      </w:r>
      <w:r w:rsidRPr="008B42B2">
        <w:t>] engaged in access stimulation.”</w:t>
      </w:r>
      <w:r>
        <w:rPr>
          <w:rStyle w:val="FootnoteReference"/>
        </w:rPr>
        <w:footnoteReference w:id="5"/>
      </w:r>
      <w:r w:rsidRPr="008B42B2">
        <w:t xml:space="preserve">   The petition also asks that the Commission forbear from enforcing “all of its rules that allow LECs to tariff a charge bil</w:t>
      </w:r>
      <w:r>
        <w:t>led to [interexchange carriers</w:t>
      </w:r>
      <w:r w:rsidRPr="008B42B2">
        <w:t>] fo</w:t>
      </w:r>
      <w:r>
        <w:t>r toll-free database queries.”</w:t>
      </w:r>
      <w:r>
        <w:rPr>
          <w:rStyle w:val="FootnoteReference"/>
        </w:rPr>
        <w:footnoteReference w:id="6"/>
      </w:r>
      <w:r>
        <w:t xml:space="preserve">  Pursuant to section 10(c) of the Act, a petition for forbearance shall be deemed granted if the Commission does not deny the petition within one year after the Commission receives it, unless the Commission extends the one-year period.</w:t>
      </w:r>
      <w:r>
        <w:rPr>
          <w:rStyle w:val="FootnoteReference"/>
        </w:rPr>
        <w:footnoteReference w:id="7"/>
      </w:r>
      <w:r>
        <w:t xml:space="preserve">  The Commission may extend the initial one-year </w:t>
      </w:r>
      <w:r>
        <w:lastRenderedPageBreak/>
        <w:t xml:space="preserve">period by an additional 90 days if the </w:t>
      </w:r>
      <w:r w:rsidRPr="00FB12A2">
        <w:t xml:space="preserve">Commission finds that an extension is necessary to meet the requirements of </w:t>
      </w:r>
      <w:r>
        <w:t>s</w:t>
      </w:r>
      <w:r w:rsidRPr="00FB12A2">
        <w:t>ection 10(a).</w:t>
      </w:r>
      <w:r w:rsidRPr="00FB12A2">
        <w:rPr>
          <w:rStyle w:val="FootnoteReference"/>
        </w:rPr>
        <w:footnoteReference w:id="8"/>
      </w:r>
    </w:p>
    <w:p w:rsidR="003262D7" w:rsidRDefault="003262D7" w:rsidP="003262D7">
      <w:pPr>
        <w:pStyle w:val="ParaNum"/>
        <w:widowControl/>
      </w:pPr>
      <w:r w:rsidRPr="00FB12A2">
        <w:t>The AT&amp;T Petition raises significant questions about whether forbearance from the application of numerous statutory and regulatory requirements in the provision of telecommunications services meets the statutory requirements set forth</w:t>
      </w:r>
      <w:r>
        <w:t xml:space="preserve"> in section 10(a) of the Act.</w:t>
      </w:r>
      <w:r>
        <w:rPr>
          <w:rStyle w:val="FootnoteReference"/>
        </w:rPr>
        <w:footnoteReference w:id="9"/>
      </w:r>
      <w:r>
        <w:t xml:space="preserve">  We conclude that additional time is required to fully examine whether the forbearance requested by AT&amp;T meets those statutory requirements.  We therefore find that a 90-day extension is warranted under section 10(c) of the Act.</w:t>
      </w:r>
    </w:p>
    <w:p w:rsidR="003262D7" w:rsidRDefault="003262D7" w:rsidP="003262D7">
      <w:pPr>
        <w:pStyle w:val="ParaNum"/>
      </w:pPr>
      <w:r>
        <w:t>Accordingly, IT IS ORDERED that, pursuant to section 10 of the Communications Act of 1934, as amended, 47 U.S.C. § 160, and sections 0.91 and 0.291 of the Commission’s rules, 47 CFR §§ 0.91, 0.291, the date on which the petition seeking forbearance filed by AT&amp;T shall be deemed granted, in the absence of a Commission denial of the petition for failure to meet the statutory standards for forbearance, IS EXTENDED to December 29, 2017.</w:t>
      </w:r>
    </w:p>
    <w:p w:rsidR="003262D7" w:rsidRPr="00EE3543" w:rsidRDefault="003262D7" w:rsidP="003262D7">
      <w:pPr>
        <w:pStyle w:val="ParaNum"/>
      </w:pPr>
      <w:r>
        <w:t>IT IS FURTHER ORDERED that, pursuant to section 1.102(b)(1) of the Commission’s rules, 47 CFR § 1.102(b)(1), this order SHALL BE EFFECTIVE upon release.</w:t>
      </w:r>
    </w:p>
    <w:p w:rsidR="003262D7" w:rsidRPr="00EE3543" w:rsidRDefault="003262D7" w:rsidP="003262D7">
      <w:pPr>
        <w:pStyle w:val="ParaNum"/>
        <w:numPr>
          <w:ilvl w:val="0"/>
          <w:numId w:val="0"/>
        </w:numPr>
        <w:ind w:left="720"/>
      </w:pPr>
    </w:p>
    <w:p w:rsidR="003262D7" w:rsidRPr="0053584A" w:rsidRDefault="003262D7" w:rsidP="003262D7">
      <w:pPr>
        <w:pStyle w:val="ParaNum"/>
        <w:numPr>
          <w:ilvl w:val="0"/>
          <w:numId w:val="0"/>
        </w:numPr>
      </w:pPr>
      <w:r w:rsidRPr="0053584A">
        <w:tab/>
      </w:r>
      <w:r w:rsidRPr="0053584A">
        <w:tab/>
      </w:r>
      <w:r w:rsidRPr="0053584A">
        <w:tab/>
      </w:r>
      <w:r w:rsidRPr="0053584A">
        <w:tab/>
      </w:r>
      <w:r w:rsidRPr="0053584A">
        <w:tab/>
      </w:r>
      <w:r w:rsidRPr="0053584A">
        <w:tab/>
        <w:t>FEDERAL COMMUNICATIONS COMMISSION</w:t>
      </w:r>
    </w:p>
    <w:p w:rsidR="003262D7" w:rsidRPr="0053584A" w:rsidRDefault="003262D7" w:rsidP="003262D7">
      <w:pPr>
        <w:rPr>
          <w:szCs w:val="22"/>
        </w:rPr>
      </w:pPr>
    </w:p>
    <w:p w:rsidR="003262D7" w:rsidRPr="0053584A" w:rsidRDefault="003262D7" w:rsidP="003262D7">
      <w:pPr>
        <w:rPr>
          <w:szCs w:val="22"/>
        </w:rPr>
      </w:pPr>
    </w:p>
    <w:p w:rsidR="003262D7" w:rsidRPr="0053584A" w:rsidRDefault="003262D7" w:rsidP="003262D7">
      <w:pPr>
        <w:rPr>
          <w:szCs w:val="22"/>
        </w:rPr>
      </w:pPr>
    </w:p>
    <w:p w:rsidR="003262D7" w:rsidRPr="0053584A" w:rsidRDefault="003262D7" w:rsidP="003262D7">
      <w:pPr>
        <w:rPr>
          <w:szCs w:val="22"/>
        </w:rPr>
      </w:pPr>
    </w:p>
    <w:p w:rsidR="003262D7" w:rsidRPr="0053584A" w:rsidRDefault="003262D7" w:rsidP="003262D7">
      <w:pPr>
        <w:ind w:left="3600" w:firstLine="720"/>
        <w:rPr>
          <w:szCs w:val="22"/>
        </w:rPr>
      </w:pPr>
      <w:r>
        <w:rPr>
          <w:szCs w:val="22"/>
        </w:rPr>
        <w:t xml:space="preserve">Kris Anne </w:t>
      </w:r>
      <w:r w:rsidRPr="009E371A">
        <w:rPr>
          <w:szCs w:val="22"/>
        </w:rPr>
        <w:t>Monteith</w:t>
      </w:r>
    </w:p>
    <w:p w:rsidR="003262D7" w:rsidRPr="0053584A" w:rsidRDefault="003262D7" w:rsidP="003262D7">
      <w:pPr>
        <w:ind w:left="3600" w:firstLine="720"/>
        <w:rPr>
          <w:szCs w:val="22"/>
        </w:rPr>
      </w:pPr>
      <w:r w:rsidRPr="0053584A">
        <w:rPr>
          <w:szCs w:val="22"/>
        </w:rPr>
        <w:t>Chief</w:t>
      </w:r>
    </w:p>
    <w:p w:rsidR="003262D7" w:rsidRPr="003E521F" w:rsidRDefault="003262D7" w:rsidP="003262D7">
      <w:pPr>
        <w:ind w:left="3600" w:firstLine="720"/>
        <w:rPr>
          <w:szCs w:val="22"/>
        </w:rPr>
      </w:pPr>
      <w:r w:rsidRPr="0053584A">
        <w:rPr>
          <w:szCs w:val="22"/>
        </w:rPr>
        <w:t>Wireline Competition Bureau</w:t>
      </w:r>
    </w:p>
    <w:p w:rsidR="002C00E8" w:rsidRPr="003262D7" w:rsidRDefault="002C00E8" w:rsidP="003262D7"/>
    <w:sectPr w:rsidR="002C00E8" w:rsidRPr="003262D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245" w:rsidRDefault="004E5245">
      <w:pPr>
        <w:spacing w:line="20" w:lineRule="exact"/>
      </w:pPr>
    </w:p>
  </w:endnote>
  <w:endnote w:type="continuationSeparator" w:id="0">
    <w:p w:rsidR="004E5245" w:rsidRDefault="004E5245">
      <w:r>
        <w:t xml:space="preserve"> </w:t>
      </w:r>
    </w:p>
  </w:endnote>
  <w:endnote w:type="continuationNotice" w:id="1">
    <w:p w:rsidR="004E5245" w:rsidRDefault="004E52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2052E">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245" w:rsidRDefault="004E5245">
      <w:r>
        <w:separator/>
      </w:r>
    </w:p>
  </w:footnote>
  <w:footnote w:type="continuationSeparator" w:id="0">
    <w:p w:rsidR="004E5245" w:rsidRDefault="004E5245" w:rsidP="00C721AC">
      <w:pPr>
        <w:spacing w:before="120"/>
        <w:rPr>
          <w:sz w:val="20"/>
        </w:rPr>
      </w:pPr>
      <w:r>
        <w:rPr>
          <w:sz w:val="20"/>
        </w:rPr>
        <w:t xml:space="preserve">(Continued from previous page)  </w:t>
      </w:r>
      <w:r>
        <w:rPr>
          <w:sz w:val="20"/>
        </w:rPr>
        <w:separator/>
      </w:r>
    </w:p>
  </w:footnote>
  <w:footnote w:type="continuationNotice" w:id="1">
    <w:p w:rsidR="004E5245" w:rsidRDefault="004E5245" w:rsidP="00C721AC">
      <w:pPr>
        <w:jc w:val="right"/>
        <w:rPr>
          <w:sz w:val="20"/>
        </w:rPr>
      </w:pPr>
      <w:r>
        <w:rPr>
          <w:sz w:val="20"/>
        </w:rPr>
        <w:t>(continued….)</w:t>
      </w:r>
    </w:p>
  </w:footnote>
  <w:footnote w:id="2">
    <w:p w:rsidR="003262D7" w:rsidRDefault="003262D7" w:rsidP="003262D7">
      <w:pPr>
        <w:pStyle w:val="FootnoteText"/>
      </w:pPr>
      <w:r>
        <w:rPr>
          <w:rStyle w:val="FootnoteReference"/>
        </w:rPr>
        <w:footnoteRef/>
      </w:r>
      <w:r>
        <w:t xml:space="preserve"> </w:t>
      </w:r>
      <w:r w:rsidRPr="00814873">
        <w:t>47 U.S.C. § 160(c).</w:t>
      </w:r>
    </w:p>
  </w:footnote>
  <w:footnote w:id="3">
    <w:p w:rsidR="003262D7" w:rsidRDefault="003262D7" w:rsidP="003262D7">
      <w:pPr>
        <w:pStyle w:val="FootnoteText"/>
      </w:pPr>
      <w:r>
        <w:rPr>
          <w:rStyle w:val="FootnoteReference"/>
        </w:rPr>
        <w:footnoteRef/>
      </w:r>
      <w:r>
        <w:t xml:space="preserve"> </w:t>
      </w:r>
      <w:r w:rsidRPr="00814873">
        <w:rPr>
          <w:i/>
        </w:rPr>
        <w:t>AT&amp;T Services, Inc., Petition of AT&amp;T Services, Inc. for Forbearance Under 47 U.S.C. § 160(c)</w:t>
      </w:r>
      <w:r w:rsidRPr="001B64A7">
        <w:t>, WC Docket No. 16-</w:t>
      </w:r>
      <w:r>
        <w:t>363</w:t>
      </w:r>
      <w:r w:rsidRPr="001B64A7">
        <w:t xml:space="preserve"> (filed Sept. 30, 2016) (</w:t>
      </w:r>
      <w:r>
        <w:t xml:space="preserve">AT&amp;T </w:t>
      </w:r>
      <w:r w:rsidRPr="001B64A7">
        <w:t>Petition).</w:t>
      </w:r>
    </w:p>
  </w:footnote>
  <w:footnote w:id="4">
    <w:p w:rsidR="003262D7" w:rsidRDefault="003262D7" w:rsidP="003262D7">
      <w:pPr>
        <w:widowControl/>
        <w:autoSpaceDE w:val="0"/>
        <w:autoSpaceDN w:val="0"/>
        <w:adjustRightInd w:val="0"/>
        <w:spacing w:after="120"/>
      </w:pPr>
      <w:r>
        <w:rPr>
          <w:rStyle w:val="FootnoteReference"/>
        </w:rPr>
        <w:footnoteRef/>
      </w:r>
      <w:r>
        <w:t xml:space="preserve"> </w:t>
      </w:r>
      <w:r w:rsidRPr="001F683C">
        <w:rPr>
          <w:sz w:val="20"/>
        </w:rPr>
        <w:t xml:space="preserve">47 U.S.C. § 160(a), (c).  </w:t>
      </w:r>
      <w:r w:rsidRPr="001F683C">
        <w:rPr>
          <w:i/>
          <w:sz w:val="20"/>
        </w:rPr>
        <w:t>See also,</w:t>
      </w:r>
      <w:r w:rsidRPr="001F683C">
        <w:rPr>
          <w:sz w:val="20"/>
        </w:rPr>
        <w:t xml:space="preserve"> </w:t>
      </w:r>
      <w:r w:rsidRPr="001F683C">
        <w:rPr>
          <w:i/>
          <w:sz w:val="20"/>
        </w:rPr>
        <w:t>e.g.</w:t>
      </w:r>
      <w:r w:rsidRPr="001F683C">
        <w:rPr>
          <w:sz w:val="20"/>
        </w:rPr>
        <w:t xml:space="preserve">, </w:t>
      </w:r>
      <w:r w:rsidRPr="001F683C">
        <w:rPr>
          <w:i/>
          <w:sz w:val="20"/>
        </w:rPr>
        <w:t>Petition of USTelecom for Forbearance Under 47 U.S.C. § 160(c) from Obsolete ILEC Regulatory Obligations that Inhibit Deployment of Next-Generation Networks</w:t>
      </w:r>
      <w:r w:rsidRPr="001F683C">
        <w:rPr>
          <w:sz w:val="20"/>
        </w:rPr>
        <w:t xml:space="preserve">, WC Docket No. 14-192, Order, 30 FCC Rcd. 10149 (WCB Sept. 25, 2015) (extension by the Bureau of the </w:t>
      </w:r>
      <w:r>
        <w:rPr>
          <w:sz w:val="20"/>
        </w:rPr>
        <w:t xml:space="preserve">initial </w:t>
      </w:r>
      <w:r w:rsidRPr="001F683C">
        <w:rPr>
          <w:sz w:val="20"/>
        </w:rPr>
        <w:t xml:space="preserve">one year deadline for acting on forbearance petitions); </w:t>
      </w:r>
      <w:r w:rsidRPr="001F683C">
        <w:rPr>
          <w:i/>
          <w:sz w:val="20"/>
        </w:rPr>
        <w:t>Petition of CenturyLink for Forbearance Pursuant to 47 U.S.C. § 160(c) from Dominant Carrier &amp; Certain Computer Inquiry Requirements on Enterprise Broadband Services</w:t>
      </w:r>
      <w:r w:rsidRPr="001F683C">
        <w:rPr>
          <w:sz w:val="20"/>
        </w:rPr>
        <w:t>, WC Docket No. 14-9, Order, 29 FCC Rcd. 13746 (WCB Nov. 7, 2014) (</w:t>
      </w:r>
      <w:r>
        <w:rPr>
          <w:sz w:val="20"/>
        </w:rPr>
        <w:t xml:space="preserve">extension by the </w:t>
      </w:r>
      <w:r w:rsidRPr="001F683C">
        <w:rPr>
          <w:sz w:val="20"/>
        </w:rPr>
        <w:t xml:space="preserve">Bureau </w:t>
      </w:r>
      <w:r>
        <w:rPr>
          <w:sz w:val="20"/>
        </w:rPr>
        <w:t xml:space="preserve">of </w:t>
      </w:r>
      <w:r w:rsidRPr="001F683C">
        <w:rPr>
          <w:sz w:val="20"/>
        </w:rPr>
        <w:t xml:space="preserve">initial one-year </w:t>
      </w:r>
      <w:r>
        <w:rPr>
          <w:sz w:val="20"/>
        </w:rPr>
        <w:t xml:space="preserve">deadline for acting on forbearance petitions </w:t>
      </w:r>
      <w:r w:rsidRPr="001F683C">
        <w:rPr>
          <w:sz w:val="20"/>
        </w:rPr>
        <w:t xml:space="preserve">by 90 days </w:t>
      </w:r>
      <w:r w:rsidRPr="001F683C">
        <w:rPr>
          <w:snapToGrid/>
          <w:kern w:val="0"/>
          <w:sz w:val="20"/>
        </w:rPr>
        <w:t>to fully examine whether</w:t>
      </w:r>
      <w:r w:rsidRPr="001F683C">
        <w:rPr>
          <w:snapToGrid/>
          <w:kern w:val="0"/>
          <w:szCs w:val="22"/>
        </w:rPr>
        <w:t xml:space="preserve"> </w:t>
      </w:r>
      <w:r w:rsidRPr="001F683C">
        <w:rPr>
          <w:snapToGrid/>
          <w:kern w:val="0"/>
          <w:sz w:val="20"/>
        </w:rPr>
        <w:t>the forbearance requested meets the statutory requirements set forth in section 10(a) of the Act</w:t>
      </w:r>
      <w:r w:rsidRPr="001F683C">
        <w:rPr>
          <w:sz w:val="20"/>
        </w:rPr>
        <w:t>).</w:t>
      </w:r>
    </w:p>
  </w:footnote>
  <w:footnote w:id="5">
    <w:p w:rsidR="003262D7" w:rsidRDefault="003262D7" w:rsidP="003262D7">
      <w:pPr>
        <w:pStyle w:val="FootnoteText"/>
      </w:pPr>
      <w:r>
        <w:rPr>
          <w:rStyle w:val="FootnoteReference"/>
        </w:rPr>
        <w:footnoteRef/>
      </w:r>
      <w:r>
        <w:t xml:space="preserve"> AT&amp;T Petition at 13.</w:t>
      </w:r>
    </w:p>
  </w:footnote>
  <w:footnote w:id="6">
    <w:p w:rsidR="003262D7" w:rsidRDefault="003262D7" w:rsidP="003262D7">
      <w:pPr>
        <w:pStyle w:val="FootnoteText"/>
      </w:pPr>
      <w:r>
        <w:rPr>
          <w:rStyle w:val="FootnoteReference"/>
        </w:rPr>
        <w:footnoteRef/>
      </w:r>
      <w:r>
        <w:t xml:space="preserve"> Petition at 20.  </w:t>
      </w:r>
      <w:r w:rsidRPr="008B42B2">
        <w:t>Specifically, AT&amp;T seeks forbearan</w:t>
      </w:r>
      <w:r>
        <w:t>ce from 47 U.S.C. § 203, 47 CFR</w:t>
      </w:r>
      <w:r w:rsidRPr="008B42B2">
        <w:t xml:space="preserve"> §§ 51.901 </w:t>
      </w:r>
      <w:r w:rsidRPr="008B42B2">
        <w:rPr>
          <w:i/>
        </w:rPr>
        <w:t>et seq.</w:t>
      </w:r>
      <w:r w:rsidRPr="008B42B2">
        <w:t xml:space="preserve">, 51.913, 61.1, 61.26, 61.47, 69.1 </w:t>
      </w:r>
      <w:r w:rsidRPr="001F683C">
        <w:rPr>
          <w:i/>
        </w:rPr>
        <w:t>et seq</w:t>
      </w:r>
      <w:r w:rsidRPr="008B42B2">
        <w:t xml:space="preserve">., 69.108, 69.111, 69.118 </w:t>
      </w:r>
      <w:r w:rsidRPr="001F683C">
        <w:rPr>
          <w:i/>
        </w:rPr>
        <w:t>et seq</w:t>
      </w:r>
      <w:r w:rsidRPr="008B42B2">
        <w:t xml:space="preserve">. and requirements from related Commission Orders, “including, but not limited to </w:t>
      </w:r>
      <w:r w:rsidRPr="008B42B2">
        <w:rPr>
          <w:i/>
        </w:rPr>
        <w:t>In re Provision of Access for 800 Service</w:t>
      </w:r>
      <w:r w:rsidRPr="008B42B2">
        <w:t>, 8 FCC Rcd 907 (1993).”</w:t>
      </w:r>
      <w:r>
        <w:t xml:space="preserve">  </w:t>
      </w:r>
      <w:r w:rsidRPr="001B64A7">
        <w:rPr>
          <w:i/>
        </w:rPr>
        <w:t>See</w:t>
      </w:r>
      <w:r w:rsidRPr="001B64A7">
        <w:t xml:space="preserve"> </w:t>
      </w:r>
      <w:r w:rsidRPr="001B64A7">
        <w:rPr>
          <w:i/>
        </w:rPr>
        <w:t>id.</w:t>
      </w:r>
      <w:r w:rsidRPr="001B64A7">
        <w:t xml:space="preserve"> at Appx. A.</w:t>
      </w:r>
    </w:p>
  </w:footnote>
  <w:footnote w:id="7">
    <w:p w:rsidR="003262D7" w:rsidRDefault="003262D7" w:rsidP="003262D7">
      <w:pPr>
        <w:pStyle w:val="FootnoteText"/>
      </w:pPr>
      <w:r>
        <w:rPr>
          <w:rStyle w:val="FootnoteReference"/>
        </w:rPr>
        <w:footnoteRef/>
      </w:r>
      <w:r>
        <w:t xml:space="preserve"> </w:t>
      </w:r>
      <w:r>
        <w:rPr>
          <w:rFonts w:ascii="TimesNewRoman" w:hAnsi="TimesNewRoman" w:cs="TimesNewRoman"/>
          <w:color w:val="010101"/>
        </w:rPr>
        <w:t>47 U.S.C. § 160(c).</w:t>
      </w:r>
    </w:p>
  </w:footnote>
  <w:footnote w:id="8">
    <w:p w:rsidR="003262D7" w:rsidRDefault="003262D7" w:rsidP="003262D7">
      <w:pPr>
        <w:widowControl/>
        <w:autoSpaceDE w:val="0"/>
        <w:autoSpaceDN w:val="0"/>
        <w:adjustRightInd w:val="0"/>
        <w:rPr>
          <w:rFonts w:ascii="TimesNewRoman,Italic" w:hAnsi="TimesNewRoman,Italic" w:cs="TimesNewRoman,Italic"/>
          <w:i/>
          <w:iCs/>
          <w:snapToGrid/>
          <w:color w:val="010101"/>
          <w:kern w:val="0"/>
          <w:sz w:val="20"/>
        </w:rPr>
      </w:pPr>
      <w:r>
        <w:rPr>
          <w:rStyle w:val="FootnoteReference"/>
        </w:rPr>
        <w:footnoteRef/>
      </w:r>
      <w:r>
        <w:t xml:space="preserve"> </w:t>
      </w:r>
      <w:r>
        <w:rPr>
          <w:rFonts w:ascii="TimesNewRoman,Italic" w:hAnsi="TimesNewRoman,Italic" w:cs="TimesNewRoman,Italic"/>
          <w:i/>
          <w:iCs/>
          <w:snapToGrid/>
          <w:color w:val="010101"/>
          <w:kern w:val="0"/>
          <w:sz w:val="20"/>
        </w:rPr>
        <w:t>Id</w:t>
      </w:r>
      <w:r>
        <w:rPr>
          <w:rFonts w:ascii="TimesNewRoman" w:hAnsi="TimesNewRoman" w:cs="TimesNewRoman"/>
          <w:snapToGrid/>
          <w:color w:val="010101"/>
          <w:kern w:val="0"/>
          <w:sz w:val="20"/>
        </w:rPr>
        <w:t xml:space="preserve">.; </w:t>
      </w:r>
      <w:r>
        <w:rPr>
          <w:rFonts w:ascii="TimesNewRoman,Italic" w:hAnsi="TimesNewRoman,Italic" w:cs="TimesNewRoman,Italic"/>
          <w:i/>
          <w:iCs/>
          <w:snapToGrid/>
          <w:color w:val="010101"/>
          <w:kern w:val="0"/>
          <w:sz w:val="20"/>
        </w:rPr>
        <w:t>see also</w:t>
      </w:r>
      <w:r>
        <w:rPr>
          <w:rFonts w:ascii="TimesNewRoman" w:hAnsi="TimesNewRoman" w:cs="TimesNewRoman"/>
          <w:snapToGrid/>
          <w:color w:val="010101"/>
          <w:kern w:val="0"/>
          <w:sz w:val="20"/>
        </w:rPr>
        <w:t xml:space="preserve">, </w:t>
      </w:r>
      <w:r>
        <w:rPr>
          <w:rFonts w:ascii="TimesNewRoman,Italic" w:hAnsi="TimesNewRoman,Italic" w:cs="TimesNewRoman,Italic"/>
          <w:i/>
          <w:iCs/>
          <w:snapToGrid/>
          <w:color w:val="010101"/>
          <w:kern w:val="0"/>
          <w:sz w:val="20"/>
        </w:rPr>
        <w:t>e.g</w:t>
      </w:r>
      <w:r>
        <w:rPr>
          <w:rFonts w:ascii="TimesNewRoman" w:hAnsi="TimesNewRoman" w:cs="TimesNewRoman"/>
          <w:snapToGrid/>
          <w:color w:val="010101"/>
          <w:kern w:val="0"/>
          <w:sz w:val="20"/>
        </w:rPr>
        <w:t xml:space="preserve">., </w:t>
      </w:r>
      <w:r>
        <w:rPr>
          <w:rFonts w:ascii="TimesNewRoman,Italic" w:hAnsi="TimesNewRoman,Italic" w:cs="TimesNewRoman,Italic"/>
          <w:i/>
          <w:iCs/>
          <w:snapToGrid/>
          <w:color w:val="010101"/>
          <w:kern w:val="0"/>
          <w:sz w:val="20"/>
        </w:rPr>
        <w:t>Petition of Ameritech Corporation for Forbearance from Enforcement of Section 275(a) of the</w:t>
      </w:r>
    </w:p>
    <w:p w:rsidR="003262D7" w:rsidRDefault="003262D7" w:rsidP="003262D7">
      <w:pPr>
        <w:pStyle w:val="FootnoteText"/>
      </w:pPr>
      <w:r>
        <w:rPr>
          <w:rFonts w:ascii="TimesNewRoman,Italic" w:hAnsi="TimesNewRoman,Italic" w:cs="TimesNewRoman,Italic"/>
          <w:i/>
          <w:iCs/>
          <w:color w:val="010101"/>
        </w:rPr>
        <w:t>Communications Act of 1934, as Amended</w:t>
      </w:r>
      <w:r>
        <w:rPr>
          <w:rFonts w:ascii="TimesNewRoman" w:hAnsi="TimesNewRoman" w:cs="TimesNewRoman"/>
          <w:color w:val="010101"/>
        </w:rPr>
        <w:t>, CC Docket No. 98-65, Order, 14 FCC Rcd 6415 (Com. Car. Bur. 1999).</w:t>
      </w:r>
    </w:p>
  </w:footnote>
  <w:footnote w:id="9">
    <w:p w:rsidR="003262D7" w:rsidRDefault="003262D7" w:rsidP="003262D7">
      <w:pPr>
        <w:pStyle w:val="FootnoteText"/>
      </w:pPr>
      <w:r>
        <w:rPr>
          <w:rStyle w:val="FootnoteReference"/>
        </w:rPr>
        <w:footnoteRef/>
      </w:r>
      <w:r>
        <w:t xml:space="preserve"> </w:t>
      </w:r>
      <w:r>
        <w:rPr>
          <w:rFonts w:ascii="TimesNewRoman,Italic" w:hAnsi="TimesNewRoman,Italic" w:cs="TimesNewRoman,Italic"/>
          <w:i/>
          <w:iCs/>
          <w:color w:val="010101"/>
        </w:rPr>
        <w:t xml:space="preserve">See </w:t>
      </w:r>
      <w:r>
        <w:rPr>
          <w:rFonts w:ascii="TimesNewRoman" w:hAnsi="TimesNewRoman" w:cs="TimesNewRoman"/>
          <w:color w:val="010101"/>
        </w:rPr>
        <w:t>47 U.S.C. § 160(a).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76" w:rsidRDefault="00F55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9610D">
      <w:t>DA 17-789</w:t>
    </w:r>
  </w:p>
  <w:p w:rsidR="00D25FB5" w:rsidRDefault="0012052E">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2052E"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2267AE">
      <w:rPr>
        <w:spacing w:val="-2"/>
      </w:rPr>
      <w:t>DA 17-</w:t>
    </w:r>
    <w:r w:rsidR="0029610D">
      <w:rPr>
        <w:spacing w:val="-2"/>
      </w:rPr>
      <w:t>789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62D7"/>
    <w:rsid w:val="00036039"/>
    <w:rsid w:val="00037F90"/>
    <w:rsid w:val="000875BF"/>
    <w:rsid w:val="00087ED9"/>
    <w:rsid w:val="00096D8C"/>
    <w:rsid w:val="000C0B65"/>
    <w:rsid w:val="000E05FE"/>
    <w:rsid w:val="000E3D42"/>
    <w:rsid w:val="0012052E"/>
    <w:rsid w:val="00122BD5"/>
    <w:rsid w:val="00133F79"/>
    <w:rsid w:val="00194A66"/>
    <w:rsid w:val="001D6BCF"/>
    <w:rsid w:val="001E01CA"/>
    <w:rsid w:val="002267AE"/>
    <w:rsid w:val="00275CF5"/>
    <w:rsid w:val="0028301F"/>
    <w:rsid w:val="00285017"/>
    <w:rsid w:val="0029610D"/>
    <w:rsid w:val="002A2D2E"/>
    <w:rsid w:val="002C00E8"/>
    <w:rsid w:val="002F2A65"/>
    <w:rsid w:val="003262D7"/>
    <w:rsid w:val="00343749"/>
    <w:rsid w:val="003660ED"/>
    <w:rsid w:val="003B0550"/>
    <w:rsid w:val="003B694F"/>
    <w:rsid w:val="003F171C"/>
    <w:rsid w:val="00412FC5"/>
    <w:rsid w:val="00422276"/>
    <w:rsid w:val="004242F1"/>
    <w:rsid w:val="00445A00"/>
    <w:rsid w:val="00451B0F"/>
    <w:rsid w:val="004C2EE3"/>
    <w:rsid w:val="004E4A22"/>
    <w:rsid w:val="004E5245"/>
    <w:rsid w:val="00511968"/>
    <w:rsid w:val="0055614C"/>
    <w:rsid w:val="005E14C2"/>
    <w:rsid w:val="00607BA5"/>
    <w:rsid w:val="0061180A"/>
    <w:rsid w:val="00626EB6"/>
    <w:rsid w:val="00655D03"/>
    <w:rsid w:val="00680D41"/>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E7255"/>
    <w:rsid w:val="00921803"/>
    <w:rsid w:val="00926503"/>
    <w:rsid w:val="009726D8"/>
    <w:rsid w:val="009F76DB"/>
    <w:rsid w:val="00A32C3B"/>
    <w:rsid w:val="00A45F4F"/>
    <w:rsid w:val="00A600A9"/>
    <w:rsid w:val="00AA55B7"/>
    <w:rsid w:val="00AA5B9E"/>
    <w:rsid w:val="00AB2407"/>
    <w:rsid w:val="00AB53DF"/>
    <w:rsid w:val="00B07E5C"/>
    <w:rsid w:val="00B25FBB"/>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31005"/>
    <w:rsid w:val="00E5409F"/>
    <w:rsid w:val="00E7252D"/>
    <w:rsid w:val="00EE6488"/>
    <w:rsid w:val="00F021FA"/>
    <w:rsid w:val="00F55176"/>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52E"/>
    <w:pPr>
      <w:widowControl w:val="0"/>
    </w:pPr>
    <w:rPr>
      <w:snapToGrid w:val="0"/>
      <w:kern w:val="28"/>
      <w:sz w:val="22"/>
    </w:rPr>
  </w:style>
  <w:style w:type="paragraph" w:styleId="Heading1">
    <w:name w:val="heading 1"/>
    <w:basedOn w:val="Normal"/>
    <w:next w:val="ParaNum"/>
    <w:qFormat/>
    <w:rsid w:val="0012052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2052E"/>
    <w:pPr>
      <w:keepNext/>
      <w:numPr>
        <w:ilvl w:val="1"/>
        <w:numId w:val="3"/>
      </w:numPr>
      <w:spacing w:after="120"/>
      <w:outlineLvl w:val="1"/>
    </w:pPr>
    <w:rPr>
      <w:b/>
    </w:rPr>
  </w:style>
  <w:style w:type="paragraph" w:styleId="Heading3">
    <w:name w:val="heading 3"/>
    <w:basedOn w:val="Normal"/>
    <w:next w:val="ParaNum"/>
    <w:qFormat/>
    <w:rsid w:val="0012052E"/>
    <w:pPr>
      <w:keepNext/>
      <w:numPr>
        <w:ilvl w:val="2"/>
        <w:numId w:val="3"/>
      </w:numPr>
      <w:tabs>
        <w:tab w:val="left" w:pos="2160"/>
      </w:tabs>
      <w:spacing w:after="120"/>
      <w:outlineLvl w:val="2"/>
    </w:pPr>
    <w:rPr>
      <w:b/>
    </w:rPr>
  </w:style>
  <w:style w:type="paragraph" w:styleId="Heading4">
    <w:name w:val="heading 4"/>
    <w:basedOn w:val="Normal"/>
    <w:next w:val="ParaNum"/>
    <w:qFormat/>
    <w:rsid w:val="0012052E"/>
    <w:pPr>
      <w:keepNext/>
      <w:numPr>
        <w:ilvl w:val="3"/>
        <w:numId w:val="3"/>
      </w:numPr>
      <w:tabs>
        <w:tab w:val="left" w:pos="2880"/>
      </w:tabs>
      <w:spacing w:after="120"/>
      <w:outlineLvl w:val="3"/>
    </w:pPr>
    <w:rPr>
      <w:b/>
    </w:rPr>
  </w:style>
  <w:style w:type="paragraph" w:styleId="Heading5">
    <w:name w:val="heading 5"/>
    <w:basedOn w:val="Normal"/>
    <w:next w:val="ParaNum"/>
    <w:qFormat/>
    <w:rsid w:val="0012052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2052E"/>
    <w:pPr>
      <w:numPr>
        <w:ilvl w:val="5"/>
        <w:numId w:val="3"/>
      </w:numPr>
      <w:tabs>
        <w:tab w:val="left" w:pos="4320"/>
      </w:tabs>
      <w:spacing w:after="120"/>
      <w:outlineLvl w:val="5"/>
    </w:pPr>
    <w:rPr>
      <w:b/>
    </w:rPr>
  </w:style>
  <w:style w:type="paragraph" w:styleId="Heading7">
    <w:name w:val="heading 7"/>
    <w:basedOn w:val="Normal"/>
    <w:next w:val="ParaNum"/>
    <w:qFormat/>
    <w:rsid w:val="0012052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2052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2052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205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052E"/>
  </w:style>
  <w:style w:type="paragraph" w:customStyle="1" w:styleId="ParaNum">
    <w:name w:val="ParaNum"/>
    <w:basedOn w:val="Normal"/>
    <w:link w:val="ParaNumChar"/>
    <w:rsid w:val="0012052E"/>
    <w:pPr>
      <w:numPr>
        <w:numId w:val="2"/>
      </w:numPr>
      <w:tabs>
        <w:tab w:val="clear" w:pos="1080"/>
        <w:tab w:val="num" w:pos="1440"/>
      </w:tabs>
      <w:spacing w:after="120"/>
    </w:pPr>
  </w:style>
  <w:style w:type="paragraph" w:styleId="EndnoteText">
    <w:name w:val="endnote text"/>
    <w:basedOn w:val="Normal"/>
    <w:semiHidden/>
    <w:rsid w:val="0012052E"/>
    <w:rPr>
      <w:sz w:val="20"/>
    </w:rPr>
  </w:style>
  <w:style w:type="character" w:styleId="EndnoteReference">
    <w:name w:val="endnote reference"/>
    <w:semiHidden/>
    <w:rsid w:val="0012052E"/>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12052E"/>
    <w:pPr>
      <w:spacing w:after="120"/>
    </w:pPr>
  </w:style>
  <w:style w:type="character" w:styleId="FootnoteReference">
    <w:name w:val="footnote reference"/>
    <w:aliases w:val="Style 13,Style 12,(NECG) Footnote Reference,Appel note de bas de p,Style 124,fr,o,Style 3,FR,Style 17,Style 6,Footnote Reference/,Style 7"/>
    <w:rsid w:val="0012052E"/>
    <w:rPr>
      <w:rFonts w:ascii="Times New Roman" w:hAnsi="Times New Roman"/>
      <w:dstrike w:val="0"/>
      <w:color w:val="auto"/>
      <w:sz w:val="20"/>
      <w:vertAlign w:val="superscript"/>
    </w:rPr>
  </w:style>
  <w:style w:type="paragraph" w:styleId="TOC1">
    <w:name w:val="toc 1"/>
    <w:basedOn w:val="Normal"/>
    <w:next w:val="Normal"/>
    <w:semiHidden/>
    <w:rsid w:val="0012052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2052E"/>
    <w:pPr>
      <w:tabs>
        <w:tab w:val="left" w:pos="720"/>
        <w:tab w:val="right" w:leader="dot" w:pos="9360"/>
      </w:tabs>
      <w:suppressAutoHyphens/>
      <w:ind w:left="720" w:right="720" w:hanging="360"/>
    </w:pPr>
    <w:rPr>
      <w:noProof/>
    </w:rPr>
  </w:style>
  <w:style w:type="paragraph" w:styleId="TOC3">
    <w:name w:val="toc 3"/>
    <w:basedOn w:val="Normal"/>
    <w:next w:val="Normal"/>
    <w:semiHidden/>
    <w:rsid w:val="0012052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2052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2052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2052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2052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2052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2052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2052E"/>
    <w:pPr>
      <w:tabs>
        <w:tab w:val="right" w:pos="9360"/>
      </w:tabs>
      <w:suppressAutoHyphens/>
    </w:pPr>
  </w:style>
  <w:style w:type="character" w:customStyle="1" w:styleId="EquationCaption">
    <w:name w:val="_Equation Caption"/>
    <w:rsid w:val="0012052E"/>
  </w:style>
  <w:style w:type="paragraph" w:styleId="Header">
    <w:name w:val="header"/>
    <w:basedOn w:val="Normal"/>
    <w:autoRedefine/>
    <w:rsid w:val="0012052E"/>
    <w:pPr>
      <w:tabs>
        <w:tab w:val="center" w:pos="4680"/>
        <w:tab w:val="right" w:pos="9360"/>
      </w:tabs>
    </w:pPr>
    <w:rPr>
      <w:b/>
    </w:rPr>
  </w:style>
  <w:style w:type="paragraph" w:styleId="Footer">
    <w:name w:val="footer"/>
    <w:basedOn w:val="Normal"/>
    <w:rsid w:val="0012052E"/>
    <w:pPr>
      <w:tabs>
        <w:tab w:val="center" w:pos="4320"/>
        <w:tab w:val="right" w:pos="8640"/>
      </w:tabs>
    </w:pPr>
  </w:style>
  <w:style w:type="character" w:styleId="PageNumber">
    <w:name w:val="page number"/>
    <w:basedOn w:val="DefaultParagraphFont"/>
    <w:rsid w:val="0012052E"/>
  </w:style>
  <w:style w:type="paragraph" w:styleId="BlockText">
    <w:name w:val="Block Text"/>
    <w:basedOn w:val="Normal"/>
    <w:rsid w:val="0012052E"/>
    <w:pPr>
      <w:spacing w:after="240"/>
      <w:ind w:left="1440" w:right="1440"/>
    </w:pPr>
  </w:style>
  <w:style w:type="paragraph" w:customStyle="1" w:styleId="Paratitle">
    <w:name w:val="Para title"/>
    <w:basedOn w:val="Normal"/>
    <w:rsid w:val="0012052E"/>
    <w:pPr>
      <w:tabs>
        <w:tab w:val="center" w:pos="9270"/>
      </w:tabs>
      <w:spacing w:after="240"/>
    </w:pPr>
    <w:rPr>
      <w:spacing w:val="-2"/>
    </w:rPr>
  </w:style>
  <w:style w:type="paragraph" w:customStyle="1" w:styleId="Bullet">
    <w:name w:val="Bullet"/>
    <w:basedOn w:val="Normal"/>
    <w:rsid w:val="0012052E"/>
    <w:pPr>
      <w:tabs>
        <w:tab w:val="left" w:pos="2160"/>
      </w:tabs>
      <w:spacing w:after="220"/>
      <w:ind w:left="2160" w:hanging="720"/>
    </w:pPr>
  </w:style>
  <w:style w:type="paragraph" w:customStyle="1" w:styleId="TableFormat">
    <w:name w:val="TableFormat"/>
    <w:basedOn w:val="Bullet"/>
    <w:rsid w:val="0012052E"/>
    <w:pPr>
      <w:tabs>
        <w:tab w:val="clear" w:pos="2160"/>
        <w:tab w:val="left" w:pos="5040"/>
      </w:tabs>
      <w:ind w:left="5040" w:hanging="3600"/>
    </w:pPr>
  </w:style>
  <w:style w:type="paragraph" w:customStyle="1" w:styleId="TOCTitle">
    <w:name w:val="TOC Title"/>
    <w:basedOn w:val="Normal"/>
    <w:rsid w:val="0012052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2052E"/>
    <w:pPr>
      <w:jc w:val="center"/>
    </w:pPr>
    <w:rPr>
      <w:rFonts w:ascii="Times New Roman Bold" w:hAnsi="Times New Roman Bold"/>
      <w:b/>
      <w:bCs/>
      <w:caps/>
      <w:szCs w:val="22"/>
    </w:rPr>
  </w:style>
  <w:style w:type="character" w:styleId="Hyperlink">
    <w:name w:val="Hyperlink"/>
    <w:rsid w:val="0012052E"/>
    <w:rPr>
      <w:color w:val="0000FF"/>
      <w:u w:val="single"/>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3262D7"/>
  </w:style>
  <w:style w:type="character" w:customStyle="1" w:styleId="ParaNumChar">
    <w:name w:val="ParaNum Char"/>
    <w:link w:val="ParaNum"/>
    <w:locked/>
    <w:rsid w:val="003262D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481</Words>
  <Characters>2522</Characters>
  <Application>Microsoft Office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2995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2017-08-18T16:12:00Z</dcterms:created>
  <dcterms:modified xsi:type="dcterms:W3CDTF">2017-08-18T16:12:00Z</dcterms:modified>
  <cp:category> </cp:category>
  <cp:contentStatus> </cp:contentStatus>
</cp:coreProperties>
</file>