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4C20E"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D457371" w14:textId="3ABA8FAE" w:rsidR="0063529E" w:rsidRDefault="00C06AFC" w:rsidP="0063529E">
      <w:pPr>
        <w:jc w:val="right"/>
        <w:rPr>
          <w:b/>
          <w:sz w:val="24"/>
        </w:rPr>
      </w:pPr>
      <w:r>
        <w:rPr>
          <w:b/>
          <w:sz w:val="24"/>
        </w:rPr>
        <w:lastRenderedPageBreak/>
        <w:t>DA 17-785</w:t>
      </w:r>
    </w:p>
    <w:p w14:paraId="6C6AA684" w14:textId="698F348A" w:rsidR="00602577" w:rsidRPr="0063529E" w:rsidRDefault="0063529E" w:rsidP="0063529E">
      <w:pPr>
        <w:jc w:val="right"/>
        <w:rPr>
          <w:b/>
          <w:sz w:val="24"/>
        </w:rPr>
      </w:pPr>
      <w:r w:rsidRPr="0063529E">
        <w:rPr>
          <w:b/>
          <w:sz w:val="24"/>
        </w:rPr>
        <w:t xml:space="preserve">Released:  August </w:t>
      </w:r>
      <w:r w:rsidR="00433C58">
        <w:rPr>
          <w:b/>
          <w:sz w:val="24"/>
        </w:rPr>
        <w:t>18</w:t>
      </w:r>
      <w:r w:rsidRPr="0063529E">
        <w:rPr>
          <w:b/>
          <w:sz w:val="24"/>
        </w:rPr>
        <w:t>, 2017</w:t>
      </w:r>
    </w:p>
    <w:p w14:paraId="52830885" w14:textId="77777777" w:rsidR="00602577" w:rsidRDefault="00602577">
      <w:pPr>
        <w:jc w:val="right"/>
        <w:rPr>
          <w:sz w:val="24"/>
        </w:rPr>
      </w:pPr>
    </w:p>
    <w:p w14:paraId="07EAA5D2" w14:textId="77777777" w:rsidR="00602577" w:rsidRDefault="0063529E">
      <w:pPr>
        <w:spacing w:after="240"/>
        <w:jc w:val="center"/>
        <w:rPr>
          <w:b/>
          <w:sz w:val="24"/>
        </w:rPr>
      </w:pPr>
      <w:r>
        <w:rPr>
          <w:b/>
          <w:szCs w:val="18"/>
        </w:rPr>
        <w:t xml:space="preserve">WIRELESS TELECOMMUNICATIONS BUREAU ANNOUNCES “PERMIT-BUT-DISCLOSE” </w:t>
      </w:r>
      <w:r>
        <w:rPr>
          <w:b/>
          <w:i/>
          <w:szCs w:val="18"/>
        </w:rPr>
        <w:t xml:space="preserve">EX PARTE </w:t>
      </w:r>
      <w:r>
        <w:rPr>
          <w:b/>
          <w:szCs w:val="18"/>
        </w:rPr>
        <w:t xml:space="preserve">STATUS FOR PETITION FOR RULEMAKING </w:t>
      </w:r>
      <w:r w:rsidR="00DB29C0">
        <w:rPr>
          <w:b/>
          <w:szCs w:val="18"/>
        </w:rPr>
        <w:t>PROCEEDING</w:t>
      </w:r>
    </w:p>
    <w:p w14:paraId="4FE8120D" w14:textId="77777777" w:rsidR="00602577" w:rsidRDefault="0063529E">
      <w:pPr>
        <w:spacing w:after="240"/>
        <w:jc w:val="center"/>
        <w:rPr>
          <w:b/>
          <w:sz w:val="24"/>
        </w:rPr>
      </w:pPr>
      <w:r>
        <w:rPr>
          <w:b/>
          <w:szCs w:val="18"/>
        </w:rPr>
        <w:t>(RM-11</w:t>
      </w:r>
      <w:r w:rsidR="00BF46AC">
        <w:rPr>
          <w:b/>
          <w:szCs w:val="18"/>
        </w:rPr>
        <w:t>778</w:t>
      </w:r>
      <w:r>
        <w:rPr>
          <w:b/>
          <w:szCs w:val="18"/>
        </w:rPr>
        <w:t>)</w:t>
      </w:r>
    </w:p>
    <w:p w14:paraId="15094F5F" w14:textId="77777777" w:rsidR="00BF46AC" w:rsidRDefault="00BF46AC" w:rsidP="0063529E">
      <w:pPr>
        <w:spacing w:after="200"/>
        <w:ind w:firstLine="720"/>
        <w:rPr>
          <w:szCs w:val="18"/>
        </w:rPr>
      </w:pPr>
      <w:r>
        <w:rPr>
          <w:szCs w:val="18"/>
        </w:rPr>
        <w:t>On October 11, 2016, the Fixed Wireless Communications Coalition, Inc. (FWCC) filed a Petition for Rulemaking that requests modified coordination procedures in bands shared between the Fixed Service and the Fixed-Satellite Service (Petition).</w:t>
      </w:r>
      <w:r>
        <w:rPr>
          <w:rStyle w:val="FootnoteReference"/>
          <w:szCs w:val="18"/>
        </w:rPr>
        <w:footnoteReference w:id="1"/>
      </w:r>
      <w:r>
        <w:rPr>
          <w:szCs w:val="18"/>
        </w:rPr>
        <w:t xml:space="preserve">  On December 9, 2016, the Commission released a public notice </w:t>
      </w:r>
      <w:r w:rsidR="0082516F">
        <w:t xml:space="preserve">announcing the filing of the Petition and </w:t>
      </w:r>
      <w:r w:rsidR="0082516F" w:rsidRPr="00CB7AFD">
        <w:t>set</w:t>
      </w:r>
      <w:r w:rsidR="0082516F">
        <w:t>ting</w:t>
      </w:r>
      <w:r w:rsidR="0082516F" w:rsidRPr="00CB7AFD">
        <w:t xml:space="preserve"> dates for filing comments and reply comments of </w:t>
      </w:r>
      <w:r w:rsidR="00276F63">
        <w:t>January 9, 2017</w:t>
      </w:r>
      <w:r w:rsidR="0082516F">
        <w:t xml:space="preserve">, and </w:t>
      </w:r>
      <w:r w:rsidR="00276F63">
        <w:t>January 22, 2017</w:t>
      </w:r>
      <w:r w:rsidR="004F2DB8">
        <w:t>, respectively</w:t>
      </w:r>
      <w:r>
        <w:rPr>
          <w:szCs w:val="18"/>
        </w:rPr>
        <w:t>.</w:t>
      </w:r>
      <w:r>
        <w:rPr>
          <w:rStyle w:val="FootnoteReference"/>
          <w:szCs w:val="18"/>
        </w:rPr>
        <w:footnoteReference w:id="2"/>
      </w:r>
    </w:p>
    <w:p w14:paraId="2136B067" w14:textId="77777777" w:rsidR="00276F63" w:rsidRPr="00276F63" w:rsidRDefault="009C00BA" w:rsidP="009C00BA">
      <w:pPr>
        <w:spacing w:after="200"/>
        <w:rPr>
          <w:b/>
          <w:szCs w:val="22"/>
        </w:rPr>
      </w:pPr>
      <w:r>
        <w:rPr>
          <w:b/>
          <w:i/>
          <w:szCs w:val="22"/>
        </w:rPr>
        <w:t xml:space="preserve">EX PARTE </w:t>
      </w:r>
      <w:r>
        <w:rPr>
          <w:b/>
          <w:szCs w:val="22"/>
        </w:rPr>
        <w:t>STATUS OF THIS PROCEEDING</w:t>
      </w:r>
    </w:p>
    <w:p w14:paraId="4A1A1E6F" w14:textId="77777777" w:rsidR="00276F63" w:rsidRDefault="0063529E" w:rsidP="0063529E">
      <w:pPr>
        <w:spacing w:after="200"/>
        <w:ind w:firstLine="720"/>
        <w:rPr>
          <w:szCs w:val="18"/>
        </w:rPr>
      </w:pPr>
      <w:r>
        <w:rPr>
          <w:szCs w:val="18"/>
        </w:rPr>
        <w:t>Unless otherwise provided by the Commission or the staff pursuant to Section 1.1200(a) of the Commission’s rules,</w:t>
      </w:r>
      <w:r>
        <w:rPr>
          <w:rStyle w:val="FootnoteReference"/>
          <w:szCs w:val="18"/>
        </w:rPr>
        <w:footnoteReference w:id="3"/>
      </w:r>
      <w:r>
        <w:rPr>
          <w:szCs w:val="18"/>
        </w:rPr>
        <w:t xml:space="preserve"> a petition for rulemaking</w:t>
      </w:r>
      <w:r>
        <w:rPr>
          <w:i/>
          <w:szCs w:val="18"/>
        </w:rPr>
        <w:t xml:space="preserve"> </w:t>
      </w:r>
      <w:r>
        <w:rPr>
          <w:szCs w:val="18"/>
        </w:rPr>
        <w:t xml:space="preserve">is an “exempt” proceeding under the Commission’s </w:t>
      </w:r>
      <w:r>
        <w:rPr>
          <w:i/>
          <w:szCs w:val="18"/>
        </w:rPr>
        <w:t>ex parte</w:t>
      </w:r>
      <w:r>
        <w:rPr>
          <w:szCs w:val="18"/>
        </w:rPr>
        <w:t xml:space="preserve"> rules in which </w:t>
      </w:r>
      <w:r>
        <w:rPr>
          <w:i/>
          <w:szCs w:val="18"/>
        </w:rPr>
        <w:t>ex parte</w:t>
      </w:r>
      <w:r>
        <w:rPr>
          <w:szCs w:val="18"/>
        </w:rPr>
        <w:t xml:space="preserve"> presentations to or from Commission decision-making personnel are permissible and need not be disclosed.</w:t>
      </w:r>
      <w:r>
        <w:rPr>
          <w:rStyle w:val="FootnoteReference"/>
          <w:szCs w:val="18"/>
        </w:rPr>
        <w:footnoteReference w:id="4"/>
      </w:r>
      <w:r w:rsidR="009C00BA">
        <w:rPr>
          <w:szCs w:val="18"/>
        </w:rPr>
        <w:t xml:space="preserve">  </w:t>
      </w:r>
    </w:p>
    <w:p w14:paraId="670E58F2" w14:textId="77777777" w:rsidR="00276F63" w:rsidRDefault="00BD1531" w:rsidP="0063529E">
      <w:pPr>
        <w:spacing w:after="200"/>
        <w:ind w:firstLine="720"/>
        <w:rPr>
          <w:szCs w:val="18"/>
        </w:rPr>
      </w:pPr>
      <w:r>
        <w:rPr>
          <w:szCs w:val="18"/>
        </w:rPr>
        <w:t xml:space="preserve">On April 4, 2017, the Satellite Industry Association (SIA) filed a request to change the </w:t>
      </w:r>
      <w:r>
        <w:rPr>
          <w:i/>
          <w:szCs w:val="18"/>
        </w:rPr>
        <w:t>ex parte</w:t>
      </w:r>
      <w:r>
        <w:rPr>
          <w:szCs w:val="18"/>
        </w:rPr>
        <w:t xml:space="preserve"> designation of this proceeding from exempt to “permit-but-disclose” for purposes of the </w:t>
      </w:r>
      <w:r w:rsidRPr="00BD1531">
        <w:rPr>
          <w:i/>
          <w:szCs w:val="18"/>
        </w:rPr>
        <w:t>ex parte</w:t>
      </w:r>
      <w:r>
        <w:rPr>
          <w:szCs w:val="18"/>
        </w:rPr>
        <w:t xml:space="preserve"> rules.</w:t>
      </w:r>
      <w:r>
        <w:rPr>
          <w:rStyle w:val="FootnoteReference"/>
          <w:szCs w:val="18"/>
        </w:rPr>
        <w:footnoteReference w:id="5"/>
      </w:r>
      <w:r>
        <w:rPr>
          <w:szCs w:val="18"/>
        </w:rPr>
        <w:t xml:space="preserve">  SIA states that there is a high level of interest in this proceeding “reflected by the numerous filings expressing a broad range of views with respect to the Petition’s merits.”</w:t>
      </w:r>
      <w:r>
        <w:rPr>
          <w:rStyle w:val="FootnoteReference"/>
          <w:szCs w:val="18"/>
        </w:rPr>
        <w:footnoteReference w:id="6"/>
      </w:r>
      <w:r>
        <w:rPr>
          <w:szCs w:val="18"/>
        </w:rPr>
        <w:t xml:space="preserve">  According to SIA, changing the designation of this proceeding from exempt to permit-but-disclose will provide greater transparency into </w:t>
      </w:r>
      <w:r>
        <w:rPr>
          <w:szCs w:val="18"/>
        </w:rPr>
        <w:lastRenderedPageBreak/>
        <w:t>the Commission’s deliberations and facilitate discussions relating to the appropriate regulatory framework for bands shared by the Fixed Service and the Fixed-Satellite Service.</w:t>
      </w:r>
      <w:r>
        <w:rPr>
          <w:rStyle w:val="FootnoteReference"/>
          <w:szCs w:val="18"/>
        </w:rPr>
        <w:footnoteReference w:id="7"/>
      </w:r>
    </w:p>
    <w:p w14:paraId="2C7726D7" w14:textId="77777777" w:rsidR="00C7213A" w:rsidRPr="009C00BA" w:rsidRDefault="0063529E" w:rsidP="0063529E">
      <w:pPr>
        <w:spacing w:after="200"/>
        <w:ind w:firstLine="720"/>
        <w:rPr>
          <w:szCs w:val="18"/>
        </w:rPr>
      </w:pPr>
      <w:r>
        <w:rPr>
          <w:szCs w:val="22"/>
        </w:rPr>
        <w:t xml:space="preserve">The Commission may adopt modified </w:t>
      </w:r>
      <w:r>
        <w:rPr>
          <w:i/>
          <w:szCs w:val="22"/>
        </w:rPr>
        <w:t xml:space="preserve">ex parte </w:t>
      </w:r>
      <w:r>
        <w:rPr>
          <w:szCs w:val="22"/>
        </w:rPr>
        <w:t>procedures in situations where doing so would serve the public interest.</w:t>
      </w:r>
      <w:r>
        <w:rPr>
          <w:rStyle w:val="FootnoteReference"/>
          <w:szCs w:val="22"/>
        </w:rPr>
        <w:footnoteReference w:id="8"/>
      </w:r>
      <w:r>
        <w:rPr>
          <w:szCs w:val="22"/>
        </w:rPr>
        <w:t xml:space="preserve">  </w:t>
      </w:r>
      <w:r w:rsidR="00ED3440">
        <w:rPr>
          <w:szCs w:val="22"/>
        </w:rPr>
        <w:t xml:space="preserve">We find that modifying </w:t>
      </w:r>
      <w:r w:rsidR="00ED3440">
        <w:t xml:space="preserve">the </w:t>
      </w:r>
      <w:r w:rsidR="00ED3440" w:rsidRPr="00ED3440">
        <w:rPr>
          <w:i/>
        </w:rPr>
        <w:t>ex parte</w:t>
      </w:r>
      <w:r w:rsidR="00ED3440">
        <w:t xml:space="preserve"> designation of this proceeding from “exempt” to “permit-but-disclose” will provide greater transparency into the Commission’s deliberations regarding a band shared by the Fixed Service and the Fixed-Satellite Service.  This is especially important given the high level of interest in the docket, reflected by the numerous filings expressing a broad range of views with respect to the Petition’s merits.  Additionally, because the band</w:t>
      </w:r>
      <w:r w:rsidR="00BD1531">
        <w:t>s</w:t>
      </w:r>
      <w:r w:rsidR="00ED3440">
        <w:t xml:space="preserve"> </w:t>
      </w:r>
      <w:r w:rsidR="00B264F2">
        <w:t xml:space="preserve">are </w:t>
      </w:r>
      <w:r w:rsidR="00ED3440">
        <w:t xml:space="preserve">also within the scope of the </w:t>
      </w:r>
      <w:r w:rsidR="00ED3440" w:rsidRPr="00825060">
        <w:rPr>
          <w:i/>
        </w:rPr>
        <w:t>Mid</w:t>
      </w:r>
      <w:r w:rsidR="00ED3440">
        <w:t>-</w:t>
      </w:r>
      <w:r w:rsidR="00ED3440">
        <w:rPr>
          <w:i/>
          <w:iCs/>
        </w:rPr>
        <w:t xml:space="preserve">Band </w:t>
      </w:r>
      <w:r w:rsidR="004F2DB8">
        <w:rPr>
          <w:i/>
          <w:iCs/>
        </w:rPr>
        <w:t xml:space="preserve">Spectrum Exploration </w:t>
      </w:r>
      <w:r w:rsidR="009452BA">
        <w:rPr>
          <w:i/>
          <w:iCs/>
        </w:rPr>
        <w:t xml:space="preserve">Notice of Inquiry </w:t>
      </w:r>
      <w:r w:rsidR="00ED3440">
        <w:t>proceeding, GN Docket No. 17-183, which the Commission has designated as a “permit-but-disclose” proceeding,</w:t>
      </w:r>
      <w:r w:rsidR="009452BA">
        <w:rPr>
          <w:rStyle w:val="FootnoteReference"/>
        </w:rPr>
        <w:footnoteReference w:id="9"/>
      </w:r>
      <w:r w:rsidR="00ED3440">
        <w:t xml:space="preserve"> harmonizing the </w:t>
      </w:r>
      <w:r w:rsidR="00ED3440">
        <w:rPr>
          <w:i/>
          <w:iCs/>
        </w:rPr>
        <w:t>ex parte</w:t>
      </w:r>
      <w:r w:rsidR="00ED3440">
        <w:t xml:space="preserve"> status of </w:t>
      </w:r>
      <w:r w:rsidR="00FA2D4F">
        <w:t xml:space="preserve">the </w:t>
      </w:r>
      <w:r w:rsidR="00872B53">
        <w:t xml:space="preserve">separate </w:t>
      </w:r>
      <w:r w:rsidR="00FA2D4F">
        <w:t xml:space="preserve">proceedings </w:t>
      </w:r>
      <w:r w:rsidR="00ED3440">
        <w:t xml:space="preserve">further aids transparency and efficiency by avoiding confusion or uncertainty as to </w:t>
      </w:r>
      <w:r w:rsidR="00ED3440">
        <w:rPr>
          <w:i/>
          <w:iCs/>
        </w:rPr>
        <w:t>ex parte</w:t>
      </w:r>
      <w:r w:rsidR="00ED3440">
        <w:t xml:space="preserve"> filing obligations</w:t>
      </w:r>
      <w:r w:rsidR="00FA2D4F">
        <w:t xml:space="preserve"> for the separate proceedings.</w:t>
      </w:r>
      <w:r w:rsidR="00713EB7">
        <w:rPr>
          <w:rStyle w:val="FootnoteReference"/>
        </w:rPr>
        <w:footnoteReference w:id="10"/>
      </w:r>
      <w:r w:rsidR="00FA2D4F">
        <w:t xml:space="preserve">  </w:t>
      </w:r>
      <w:r w:rsidR="00B43AF7">
        <w:rPr>
          <w:szCs w:val="22"/>
        </w:rPr>
        <w:t>Accordingly, as of the release date of this Public Notice, the proceeding RM-11</w:t>
      </w:r>
      <w:r w:rsidR="00BD1531">
        <w:rPr>
          <w:szCs w:val="22"/>
        </w:rPr>
        <w:t>778</w:t>
      </w:r>
      <w:r w:rsidR="00B43AF7">
        <w:rPr>
          <w:szCs w:val="22"/>
        </w:rPr>
        <w:t xml:space="preserve"> shall be treated as a “permit-but-disclose” proceeding </w:t>
      </w:r>
      <w:r w:rsidR="00B43AF7" w:rsidRPr="006B3FD3">
        <w:rPr>
          <w:szCs w:val="22"/>
        </w:rPr>
        <w:t xml:space="preserve">in accordance with the Commission’s </w:t>
      </w:r>
      <w:r w:rsidR="00B43AF7" w:rsidRPr="006B3FD3">
        <w:rPr>
          <w:i/>
          <w:szCs w:val="22"/>
        </w:rPr>
        <w:t xml:space="preserve">ex parte </w:t>
      </w:r>
      <w:r w:rsidR="00B43AF7" w:rsidRPr="006B3FD3">
        <w:rPr>
          <w:szCs w:val="22"/>
        </w:rPr>
        <w:t>rules.</w:t>
      </w:r>
    </w:p>
    <w:p w14:paraId="7219C14C" w14:textId="189F7464" w:rsidR="007C37C1" w:rsidRPr="007C37C1" w:rsidRDefault="007C37C1" w:rsidP="0063529E">
      <w:pPr>
        <w:spacing w:after="200"/>
        <w:ind w:firstLine="720"/>
        <w:rPr>
          <w:b/>
          <w:szCs w:val="22"/>
          <w:u w:val="single"/>
        </w:rPr>
      </w:pPr>
      <w:r w:rsidRPr="007C37C1">
        <w:rPr>
          <w:b/>
          <w:i/>
          <w:u w:val="single"/>
        </w:rPr>
        <w:t xml:space="preserve">Ex </w:t>
      </w:r>
      <w:r w:rsidR="0059257D">
        <w:rPr>
          <w:b/>
          <w:i/>
          <w:u w:val="single"/>
        </w:rPr>
        <w:t>P</w:t>
      </w:r>
      <w:r w:rsidRPr="007C37C1">
        <w:rPr>
          <w:b/>
          <w:i/>
          <w:u w:val="single"/>
        </w:rPr>
        <w:t>arte</w:t>
      </w:r>
      <w:r w:rsidRPr="007C37C1">
        <w:rPr>
          <w:b/>
          <w:u w:val="single"/>
        </w:rPr>
        <w:t xml:space="preserve"> </w:t>
      </w:r>
      <w:r w:rsidR="0059257D">
        <w:rPr>
          <w:b/>
          <w:u w:val="single"/>
        </w:rPr>
        <w:t>P</w:t>
      </w:r>
      <w:r w:rsidRPr="007C37C1">
        <w:rPr>
          <w:b/>
          <w:u w:val="single"/>
        </w:rPr>
        <w:t>resentations</w:t>
      </w:r>
    </w:p>
    <w:p w14:paraId="61196D7A" w14:textId="77777777" w:rsidR="0063529E" w:rsidRDefault="00B43AF7" w:rsidP="0063529E">
      <w:pPr>
        <w:spacing w:after="200"/>
        <w:ind w:firstLine="720"/>
        <w:rPr>
          <w:szCs w:val="22"/>
        </w:rPr>
      </w:pPr>
      <w:r w:rsidRPr="006B3FD3">
        <w:rPr>
          <w:szCs w:val="22"/>
        </w:rPr>
        <w:t xml:space="preserve">Participants in this proceeding should familiarize themselves with the Commission’s </w:t>
      </w:r>
      <w:r w:rsidRPr="006B3FD3">
        <w:rPr>
          <w:i/>
          <w:szCs w:val="22"/>
        </w:rPr>
        <w:t xml:space="preserve">ex parte </w:t>
      </w:r>
      <w:r w:rsidRPr="006B3FD3">
        <w:rPr>
          <w:szCs w:val="22"/>
        </w:rPr>
        <w:t>rules.</w:t>
      </w:r>
      <w:r>
        <w:rPr>
          <w:rStyle w:val="FootnoteReference"/>
          <w:szCs w:val="22"/>
        </w:rPr>
        <w:footnoteReference w:id="11"/>
      </w:r>
      <w:r w:rsidR="0098011E">
        <w:rPr>
          <w:szCs w:val="22"/>
        </w:rPr>
        <w:t xml:space="preserve">  </w:t>
      </w:r>
      <w:r w:rsidR="0063529E">
        <w:rPr>
          <w:szCs w:val="22"/>
        </w:rPr>
        <w:t xml:space="preserve">Persons making </w:t>
      </w:r>
      <w:r w:rsidR="0063529E">
        <w:rPr>
          <w:i/>
          <w:szCs w:val="22"/>
        </w:rPr>
        <w:t xml:space="preserve">ex parte </w:t>
      </w:r>
      <w:r w:rsidR="0063529E">
        <w:rPr>
          <w:szCs w:val="22"/>
        </w:rPr>
        <w:t>presentations in this proceeding must file a copy of any written presentation or a memorandum summarizing any oral presentation within two business days after the presentation (unless a different deadline applicable to the Sunshine period applies).</w:t>
      </w:r>
      <w:r w:rsidR="007C37C1">
        <w:rPr>
          <w:rStyle w:val="FootnoteReference"/>
          <w:szCs w:val="22"/>
        </w:rPr>
        <w:footnoteReference w:id="12"/>
      </w:r>
      <w:r w:rsidR="007C37C1">
        <w:rPr>
          <w:szCs w:val="22"/>
        </w:rPr>
        <w:t xml:space="preserve"> </w:t>
      </w:r>
      <w:r w:rsidR="0063529E">
        <w:rPr>
          <w:szCs w:val="22"/>
        </w:rPr>
        <w:t xml:space="preserve"> Persons making oral </w:t>
      </w:r>
      <w:r w:rsidR="0063529E">
        <w:rPr>
          <w:i/>
          <w:iCs/>
          <w:szCs w:val="22"/>
        </w:rPr>
        <w:t xml:space="preserve">ex parte </w:t>
      </w:r>
      <w:r w:rsidR="0063529E">
        <w:rPr>
          <w:szCs w:val="22"/>
        </w:rPr>
        <w:t xml:space="preserve">presentations are reminded that memoranda summarizing the presentation must (1) list all persons attending or otherwise participating in the meeting at which the </w:t>
      </w:r>
      <w:r w:rsidR="0063529E">
        <w:rPr>
          <w:i/>
          <w:iCs/>
          <w:szCs w:val="22"/>
        </w:rPr>
        <w:t xml:space="preserve">ex parte </w:t>
      </w:r>
      <w:r w:rsidR="0063529E">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63529E">
        <w:rPr>
          <w:i/>
          <w:iCs/>
          <w:szCs w:val="22"/>
        </w:rPr>
        <w:t xml:space="preserve">ex parte </w:t>
      </w:r>
      <w:r w:rsidR="0063529E">
        <w:rPr>
          <w:szCs w:val="22"/>
        </w:rPr>
        <w:t xml:space="preserve">meetings are deemed to be written </w:t>
      </w:r>
      <w:r w:rsidR="0063529E">
        <w:rPr>
          <w:i/>
          <w:iCs/>
          <w:szCs w:val="22"/>
        </w:rPr>
        <w:t>ex parte</w:t>
      </w:r>
      <w:r w:rsidR="0063529E">
        <w:rPr>
          <w:szCs w:val="22"/>
        </w:rPr>
        <w:t xml:space="preserve"> presentations and must be filed consistent with Section 1.1206(b).  All </w:t>
      </w:r>
      <w:r w:rsidR="0063529E">
        <w:rPr>
          <w:i/>
          <w:szCs w:val="22"/>
        </w:rPr>
        <w:t>ex parte</w:t>
      </w:r>
      <w:r w:rsidR="0063529E">
        <w:rPr>
          <w:szCs w:val="22"/>
        </w:rPr>
        <w:t xml:space="preserve"> filings must be clearly labeled as such and must reference RM-117</w:t>
      </w:r>
      <w:r w:rsidR="00BD1531">
        <w:rPr>
          <w:szCs w:val="22"/>
        </w:rPr>
        <w:t>78</w:t>
      </w:r>
      <w:r w:rsidR="0063529E">
        <w:rPr>
          <w:szCs w:val="22"/>
        </w:rPr>
        <w:t xml:space="preserve">.  </w:t>
      </w:r>
    </w:p>
    <w:p w14:paraId="2789DEAD" w14:textId="77777777" w:rsidR="007C37C1" w:rsidRPr="00BD1531" w:rsidRDefault="00E44A49" w:rsidP="0063529E">
      <w:pPr>
        <w:spacing w:after="200"/>
        <w:ind w:firstLine="720"/>
        <w:rPr>
          <w:szCs w:val="22"/>
        </w:rPr>
      </w:pPr>
      <w:r>
        <w:rPr>
          <w:szCs w:val="22"/>
        </w:rPr>
        <w:t>W</w:t>
      </w:r>
      <w:r w:rsidR="0063529E">
        <w:rPr>
          <w:szCs w:val="22"/>
        </w:rPr>
        <w:t xml:space="preserve">ritten </w:t>
      </w:r>
      <w:r w:rsidR="0063529E">
        <w:rPr>
          <w:i/>
          <w:szCs w:val="22"/>
        </w:rPr>
        <w:t>ex parte</w:t>
      </w:r>
      <w:r w:rsidR="0063529E">
        <w:rPr>
          <w:szCs w:val="22"/>
        </w:rPr>
        <w:t xml:space="preserve"> presentations and memoranda summarizing oral </w:t>
      </w:r>
      <w:r w:rsidR="0063529E">
        <w:rPr>
          <w:i/>
          <w:szCs w:val="22"/>
        </w:rPr>
        <w:t>ex parte</w:t>
      </w:r>
      <w:r w:rsidR="0063529E">
        <w:rPr>
          <w:szCs w:val="22"/>
        </w:rPr>
        <w:t xml:space="preserve"> presentations, and all attachments thereto (hereinafter referred to collectively as “</w:t>
      </w:r>
      <w:r w:rsidR="0063529E">
        <w:rPr>
          <w:i/>
          <w:szCs w:val="22"/>
        </w:rPr>
        <w:t>ex partes</w:t>
      </w:r>
      <w:r w:rsidR="0063529E">
        <w:rPr>
          <w:szCs w:val="22"/>
        </w:rPr>
        <w:t>”) shall, when feasible, be filed through the electronic comment filing system available for that proceeding, and shall be filed in a native format (e.g., .doc, .xml, .ppt, searchable .pdf).</w:t>
      </w:r>
      <w:r w:rsidR="0063529E">
        <w:rPr>
          <w:rStyle w:val="FootnoteReference"/>
          <w:szCs w:val="22"/>
        </w:rPr>
        <w:footnoteReference w:id="13"/>
      </w:r>
      <w:r w:rsidR="0063529E">
        <w:rPr>
          <w:szCs w:val="22"/>
        </w:rPr>
        <w:t xml:space="preserve">  The Commission has made the Electronic Comment </w:t>
      </w:r>
      <w:r w:rsidR="0063529E">
        <w:rPr>
          <w:szCs w:val="22"/>
        </w:rPr>
        <w:lastRenderedPageBreak/>
        <w:t>Filing System (ECFS) available for this proceeding.</w:t>
      </w:r>
      <w:r w:rsidR="0063529E">
        <w:rPr>
          <w:rStyle w:val="FootnoteReference"/>
          <w:szCs w:val="22"/>
        </w:rPr>
        <w:footnoteReference w:id="14"/>
      </w:r>
      <w:r w:rsidR="0063529E">
        <w:rPr>
          <w:szCs w:val="22"/>
        </w:rPr>
        <w:t xml:space="preserve">  Accordingly, </w:t>
      </w:r>
      <w:r w:rsidR="0063529E">
        <w:rPr>
          <w:i/>
          <w:szCs w:val="22"/>
        </w:rPr>
        <w:t>ex partes</w:t>
      </w:r>
      <w:r w:rsidR="0063529E">
        <w:rPr>
          <w:szCs w:val="22"/>
        </w:rPr>
        <w:t xml:space="preserve"> </w:t>
      </w:r>
      <w:r w:rsidR="0063529E">
        <w:rPr>
          <w:color w:val="010101"/>
          <w:szCs w:val="22"/>
        </w:rPr>
        <w:t xml:space="preserve">shall be filed </w:t>
      </w:r>
      <w:r w:rsidR="0063529E">
        <w:rPr>
          <w:szCs w:val="22"/>
        </w:rPr>
        <w:t xml:space="preserve">using ECFS unless electronic filing would present an undue hardship, in which case the person filing must request an exemption from the electronic filing requirement, stating clearly the nature of the hardship, and submitting an original and one copy of the written </w:t>
      </w:r>
      <w:r w:rsidR="0063529E" w:rsidRPr="0098011E">
        <w:rPr>
          <w:i/>
          <w:szCs w:val="22"/>
        </w:rPr>
        <w:t>ex parte</w:t>
      </w:r>
      <w:r w:rsidR="0063529E">
        <w:rPr>
          <w:szCs w:val="22"/>
        </w:rPr>
        <w:t xml:space="preserve"> presentation or memorandum summarizing an oral </w:t>
      </w:r>
      <w:r w:rsidR="0063529E" w:rsidRPr="0098011E">
        <w:rPr>
          <w:i/>
          <w:szCs w:val="22"/>
        </w:rPr>
        <w:t>ex parte</w:t>
      </w:r>
      <w:r w:rsidR="0063529E">
        <w:rPr>
          <w:szCs w:val="22"/>
        </w:rPr>
        <w:t xml:space="preserve"> presentation to the Secretary, with a copy by mail or by electronic mail to the Commissioners or Commission employees who attended or otherwise participated in the presentation.</w:t>
      </w:r>
      <w:r w:rsidR="0063529E">
        <w:rPr>
          <w:rStyle w:val="FootnoteReference"/>
          <w:szCs w:val="22"/>
        </w:rPr>
        <w:footnoteReference w:id="15"/>
      </w:r>
      <w:r w:rsidR="003521C2">
        <w:t xml:space="preserve"> </w:t>
      </w:r>
    </w:p>
    <w:p w14:paraId="6F306843" w14:textId="77777777" w:rsidR="0063529E" w:rsidRDefault="0063529E" w:rsidP="0063529E">
      <w:pPr>
        <w:autoSpaceDE w:val="0"/>
        <w:autoSpaceDN w:val="0"/>
        <w:adjustRightInd w:val="0"/>
        <w:spacing w:after="200"/>
        <w:rPr>
          <w:b/>
          <w:bCs/>
          <w:color w:val="010101"/>
          <w:szCs w:val="22"/>
        </w:rPr>
      </w:pPr>
      <w:r>
        <w:rPr>
          <w:b/>
          <w:bCs/>
          <w:color w:val="010101"/>
          <w:szCs w:val="22"/>
        </w:rPr>
        <w:t>GENERAL INFORMATION</w:t>
      </w:r>
    </w:p>
    <w:p w14:paraId="2F1CD53E" w14:textId="77777777" w:rsidR="0063529E" w:rsidRDefault="0063529E" w:rsidP="0063529E">
      <w:pPr>
        <w:widowControl w:val="0"/>
        <w:numPr>
          <w:ilvl w:val="0"/>
          <w:numId w:val="15"/>
        </w:numPr>
        <w:spacing w:after="200"/>
        <w:rPr>
          <w:color w:val="010101"/>
          <w:szCs w:val="22"/>
        </w:rPr>
      </w:pPr>
      <w:r>
        <w:rPr>
          <w:color w:val="010101"/>
          <w:szCs w:val="22"/>
        </w:rPr>
        <w:t>The Petition</w:t>
      </w:r>
      <w:r w:rsidR="00064F79">
        <w:rPr>
          <w:color w:val="010101"/>
          <w:szCs w:val="22"/>
        </w:rPr>
        <w:t xml:space="preserve">, </w:t>
      </w:r>
      <w:r>
        <w:rPr>
          <w:color w:val="010101"/>
          <w:szCs w:val="22"/>
        </w:rPr>
        <w:t>statements filed in support or opposition</w:t>
      </w:r>
      <w:r w:rsidR="00064F79">
        <w:rPr>
          <w:color w:val="010101"/>
          <w:szCs w:val="22"/>
        </w:rPr>
        <w:t xml:space="preserve">, </w:t>
      </w:r>
      <w:r w:rsidR="00B264F2">
        <w:rPr>
          <w:color w:val="010101"/>
          <w:szCs w:val="22"/>
        </w:rPr>
        <w:t xml:space="preserve">reply comments, </w:t>
      </w:r>
      <w:r>
        <w:rPr>
          <w:color w:val="010101"/>
          <w:szCs w:val="22"/>
        </w:rPr>
        <w:t xml:space="preserve">and </w:t>
      </w:r>
      <w:r>
        <w:rPr>
          <w:i/>
          <w:color w:val="010101"/>
          <w:szCs w:val="22"/>
        </w:rPr>
        <w:t>ex parte</w:t>
      </w:r>
      <w:r w:rsidR="00064F79">
        <w:rPr>
          <w:i/>
          <w:color w:val="010101"/>
          <w:szCs w:val="22"/>
        </w:rPr>
        <w:t>s</w:t>
      </w:r>
      <w:r>
        <w:rPr>
          <w:i/>
          <w:color w:val="010101"/>
          <w:szCs w:val="22"/>
        </w:rPr>
        <w:t xml:space="preserve"> </w:t>
      </w:r>
      <w:r>
        <w:rPr>
          <w:color w:val="010101"/>
          <w:szCs w:val="22"/>
        </w:rPr>
        <w:t>fil</w:t>
      </w:r>
      <w:r w:rsidR="00064F79">
        <w:rPr>
          <w:color w:val="010101"/>
          <w:szCs w:val="22"/>
        </w:rPr>
        <w:t xml:space="preserve">ed optionally </w:t>
      </w:r>
      <w:r>
        <w:rPr>
          <w:color w:val="010101"/>
          <w:szCs w:val="22"/>
        </w:rPr>
        <w:t>prior to the release date of this Public Notice are available in ECFS under RM-11</w:t>
      </w:r>
      <w:r w:rsidR="00B264F2">
        <w:rPr>
          <w:color w:val="010101"/>
          <w:szCs w:val="22"/>
        </w:rPr>
        <w:t>778</w:t>
      </w:r>
      <w:r>
        <w:rPr>
          <w:color w:val="010101"/>
          <w:szCs w:val="22"/>
        </w:rPr>
        <w:t xml:space="preserve">.  </w:t>
      </w:r>
    </w:p>
    <w:p w14:paraId="002D6B97" w14:textId="728CBAB0" w:rsidR="0063529E" w:rsidRDefault="0063529E" w:rsidP="0063529E">
      <w:pPr>
        <w:widowControl w:val="0"/>
        <w:numPr>
          <w:ilvl w:val="0"/>
          <w:numId w:val="15"/>
        </w:numPr>
        <w:spacing w:after="200"/>
        <w:rPr>
          <w:szCs w:val="22"/>
        </w:rPr>
      </w:pPr>
      <w:r>
        <w:rPr>
          <w:szCs w:val="22"/>
        </w:rPr>
        <w:t>Electronic filers:</w:t>
      </w:r>
      <w:r>
        <w:rPr>
          <w:i/>
          <w:szCs w:val="22"/>
        </w:rPr>
        <w:t xml:space="preserve">  </w:t>
      </w:r>
      <w:r>
        <w:rPr>
          <w:szCs w:val="22"/>
        </w:rPr>
        <w:t>When feasible,</w:t>
      </w:r>
      <w:r>
        <w:rPr>
          <w:i/>
          <w:szCs w:val="22"/>
        </w:rPr>
        <w:t xml:space="preserve"> ex partes</w:t>
      </w:r>
      <w:r>
        <w:rPr>
          <w:szCs w:val="22"/>
        </w:rPr>
        <w:t xml:space="preserve"> shall be filed electronically using the Internet by accessing the ECFS:  </w:t>
      </w:r>
      <w:hyperlink r:id="rId14" w:history="1">
        <w:r>
          <w:rPr>
            <w:rStyle w:val="Hyperlink"/>
            <w:szCs w:val="22"/>
          </w:rPr>
          <w:t>http://fjallfoss.fcc.gov/ecfs2/</w:t>
        </w:r>
      </w:hyperlink>
      <w:r>
        <w:rPr>
          <w:szCs w:val="22"/>
        </w:rPr>
        <w:t xml:space="preserve">.  </w:t>
      </w:r>
    </w:p>
    <w:p w14:paraId="69853EF1" w14:textId="77777777" w:rsidR="0063529E" w:rsidRDefault="0063529E" w:rsidP="0063529E">
      <w:pPr>
        <w:widowControl w:val="0"/>
        <w:numPr>
          <w:ilvl w:val="0"/>
          <w:numId w:val="13"/>
        </w:numPr>
        <w:spacing w:after="200"/>
        <w:rPr>
          <w:szCs w:val="22"/>
        </w:rPr>
      </w:pPr>
      <w:r>
        <w:rPr>
          <w:szCs w:val="22"/>
        </w:rPr>
        <w:t xml:space="preserve">Paper Filers:  If, as discussed above, a person has requested an exemption from the electronic filing requirement, the person filing by paper must file an original and one copy of each filing.  </w:t>
      </w:r>
    </w:p>
    <w:p w14:paraId="37CCA182" w14:textId="77777777" w:rsidR="0063529E" w:rsidRDefault="0063529E" w:rsidP="0063529E">
      <w:pPr>
        <w:spacing w:after="200"/>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405CC70D" w14:textId="77777777" w:rsidR="0063529E" w:rsidRDefault="0063529E" w:rsidP="0063529E">
      <w:pPr>
        <w:widowControl w:val="0"/>
        <w:numPr>
          <w:ilvl w:val="0"/>
          <w:numId w:val="14"/>
        </w:numPr>
        <w:spacing w:after="20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424D1ADC" w14:textId="77777777" w:rsidR="0063529E" w:rsidRDefault="0063529E" w:rsidP="0063529E">
      <w:pPr>
        <w:widowControl w:val="0"/>
        <w:numPr>
          <w:ilvl w:val="0"/>
          <w:numId w:val="14"/>
        </w:numPr>
        <w:spacing w:after="200"/>
        <w:rPr>
          <w:szCs w:val="22"/>
        </w:rPr>
      </w:pPr>
      <w:r>
        <w:rPr>
          <w:szCs w:val="22"/>
        </w:rPr>
        <w:t>Commercial overnight mail (other than U.S. Postal Service Express Mail and Priority Mail) must be sent to 9300 East Hampton Drive, Capitol Heights, MD  20743.</w:t>
      </w:r>
    </w:p>
    <w:p w14:paraId="230C3B4C" w14:textId="77777777" w:rsidR="0063529E" w:rsidRDefault="0063529E" w:rsidP="0063529E">
      <w:pPr>
        <w:widowControl w:val="0"/>
        <w:numPr>
          <w:ilvl w:val="0"/>
          <w:numId w:val="14"/>
        </w:numPr>
        <w:spacing w:after="20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274B9021" w14:textId="77777777" w:rsidR="0063529E" w:rsidRDefault="0063529E" w:rsidP="0063529E">
      <w:pPr>
        <w:widowControl w:val="0"/>
        <w:numPr>
          <w:ilvl w:val="0"/>
          <w:numId w:val="14"/>
        </w:numPr>
        <w:spacing w:after="200"/>
        <w:rPr>
          <w:szCs w:val="22"/>
        </w:rPr>
      </w:pPr>
      <w:r>
        <w:rPr>
          <w:szCs w:val="22"/>
        </w:rPr>
        <w:t xml:space="preserve">Paper filers also shall file serve one copy of their </w:t>
      </w:r>
      <w:r>
        <w:rPr>
          <w:i/>
          <w:szCs w:val="22"/>
        </w:rPr>
        <w:t>ex parte</w:t>
      </w:r>
      <w:r>
        <w:rPr>
          <w:szCs w:val="22"/>
        </w:rPr>
        <w:t xml:space="preserve"> filing by mail or by electronic mail to the Commissioners or Commission employees who attended or otherwise participated in the presentation.  Identify the submission with RM-11778 in the subject line.</w:t>
      </w:r>
    </w:p>
    <w:p w14:paraId="18E4FA56" w14:textId="68A2B3D3" w:rsidR="0063529E" w:rsidRDefault="0063529E" w:rsidP="0063529E">
      <w:pPr>
        <w:spacing w:after="200"/>
        <w:rPr>
          <w:szCs w:val="22"/>
        </w:rPr>
      </w:pPr>
      <w:r>
        <w:rPr>
          <w:szCs w:val="22"/>
        </w:rPr>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202-418-0530 (voice), 202-418-0432 (tty).</w:t>
      </w:r>
    </w:p>
    <w:p w14:paraId="1E9929D3" w14:textId="6050C9F5" w:rsidR="003561B8" w:rsidRDefault="00825060" w:rsidP="0030164E">
      <w:pPr>
        <w:spacing w:before="120" w:after="240"/>
        <w:rPr>
          <w:szCs w:val="22"/>
        </w:rPr>
      </w:pPr>
      <w:r>
        <w:rPr>
          <w:szCs w:val="22"/>
        </w:rPr>
        <w:t xml:space="preserve">For further information, contact Peter Daronco, Wireless Telecommunications Bureau, Broadband Division, (202) 418-7235 or </w:t>
      </w:r>
      <w:hyperlink r:id="rId16" w:history="1">
        <w:r w:rsidRPr="00096A98">
          <w:rPr>
            <w:rStyle w:val="Hyperlink"/>
            <w:szCs w:val="22"/>
          </w:rPr>
          <w:t>peter.daronco@fcc.gov</w:t>
        </w:r>
      </w:hyperlink>
      <w:r>
        <w:rPr>
          <w:szCs w:val="22"/>
        </w:rPr>
        <w:t xml:space="preserve">. </w:t>
      </w:r>
      <w:r w:rsidR="003561B8">
        <w:rPr>
          <w:szCs w:val="22"/>
        </w:rPr>
        <w:t xml:space="preserve"> </w:t>
      </w:r>
    </w:p>
    <w:p w14:paraId="617C0533" w14:textId="137ABC51" w:rsidR="00602577" w:rsidRDefault="0063529E" w:rsidP="0030164E">
      <w:pPr>
        <w:spacing w:before="120" w:after="240"/>
        <w:rPr>
          <w:szCs w:val="22"/>
        </w:rPr>
      </w:pPr>
      <w:r>
        <w:rPr>
          <w:szCs w:val="22"/>
        </w:rPr>
        <w:t>By:  Chief, Wireless Telecommunications Bureau</w:t>
      </w:r>
    </w:p>
    <w:p w14:paraId="66972E70" w14:textId="383F3BCE" w:rsidR="003561B8" w:rsidRPr="003561B8" w:rsidRDefault="003561B8" w:rsidP="003561B8">
      <w:pPr>
        <w:spacing w:before="120" w:after="240"/>
        <w:jc w:val="center"/>
        <w:rPr>
          <w:b/>
          <w:szCs w:val="22"/>
        </w:rPr>
      </w:pPr>
      <w:r w:rsidRPr="003561B8">
        <w:rPr>
          <w:b/>
          <w:szCs w:val="22"/>
        </w:rPr>
        <w:t>FCC</w:t>
      </w:r>
    </w:p>
    <w:sectPr w:rsidR="003561B8" w:rsidRPr="003561B8" w:rsidSect="00137E63">
      <w:type w:val="continuous"/>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9888B" w14:textId="77777777" w:rsidR="00E77BAF" w:rsidRDefault="00E77BAF">
      <w:r>
        <w:separator/>
      </w:r>
    </w:p>
  </w:endnote>
  <w:endnote w:type="continuationSeparator" w:id="0">
    <w:p w14:paraId="357BB52C" w14:textId="77777777" w:rsidR="00E77BAF" w:rsidRDefault="00E7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E428" w14:textId="77777777" w:rsidR="00BF25F1" w:rsidRDefault="00BF2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7FF75" w14:textId="6BFE1872" w:rsidR="00FA2D4F" w:rsidRDefault="00FA2D4F" w:rsidP="00FA2D4F">
    <w:pPr>
      <w:pStyle w:val="Footer"/>
      <w:jc w:val="center"/>
    </w:pPr>
    <w:r>
      <w:fldChar w:fldCharType="begin"/>
    </w:r>
    <w:r>
      <w:instrText xml:space="preserve"> PAGE   \* MERGEFORMAT </w:instrText>
    </w:r>
    <w:r>
      <w:fldChar w:fldCharType="separate"/>
    </w:r>
    <w:r w:rsidR="00352DE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0894" w14:textId="77777777" w:rsidR="00BF25F1" w:rsidRDefault="00BF2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535FB" w14:textId="77777777" w:rsidR="00E77BAF" w:rsidRDefault="00E77BAF">
      <w:r>
        <w:separator/>
      </w:r>
    </w:p>
  </w:footnote>
  <w:footnote w:type="continuationSeparator" w:id="0">
    <w:p w14:paraId="09A3612F" w14:textId="77777777" w:rsidR="00E77BAF" w:rsidRDefault="00E77BAF">
      <w:r>
        <w:continuationSeparator/>
      </w:r>
    </w:p>
  </w:footnote>
  <w:footnote w:id="1">
    <w:p w14:paraId="66461C6E" w14:textId="77777777" w:rsidR="00BF46AC" w:rsidRPr="00BD1531" w:rsidRDefault="00BF46AC" w:rsidP="00BF46AC">
      <w:pPr>
        <w:pStyle w:val="FootnoteText"/>
        <w:spacing w:after="120"/>
        <w:rPr>
          <w:sz w:val="20"/>
        </w:rPr>
      </w:pPr>
      <w:r w:rsidRPr="00BD1531">
        <w:rPr>
          <w:rStyle w:val="FootnoteReference"/>
          <w:sz w:val="20"/>
        </w:rPr>
        <w:footnoteRef/>
      </w:r>
      <w:r w:rsidRPr="00BD1531">
        <w:rPr>
          <w:sz w:val="20"/>
        </w:rPr>
        <w:t xml:space="preserve"> </w:t>
      </w:r>
      <w:r w:rsidR="00276F63" w:rsidRPr="00BD1531">
        <w:rPr>
          <w:i/>
          <w:sz w:val="20"/>
        </w:rPr>
        <w:t xml:space="preserve">See </w:t>
      </w:r>
      <w:r w:rsidRPr="00BD1531">
        <w:rPr>
          <w:sz w:val="20"/>
        </w:rPr>
        <w:t>Fixed Wireless Communications Coalition, Inc., Request for Modified Coordination Procedures in Bands Shared Between the Fixed Service and the Fixed-Satellite Service, Petition for R</w:t>
      </w:r>
      <w:r w:rsidR="007741A5">
        <w:rPr>
          <w:sz w:val="20"/>
        </w:rPr>
        <w:t>ulemaking, RM-11778 (filed Oct. </w:t>
      </w:r>
      <w:r w:rsidRPr="00BD1531">
        <w:rPr>
          <w:sz w:val="20"/>
        </w:rPr>
        <w:t xml:space="preserve">11, 2016) (Petition).  </w:t>
      </w:r>
    </w:p>
  </w:footnote>
  <w:footnote w:id="2">
    <w:p w14:paraId="2ABD8D57" w14:textId="77777777" w:rsidR="00BF46AC" w:rsidRPr="00BD1531" w:rsidRDefault="00BF46AC" w:rsidP="00BF46AC">
      <w:pPr>
        <w:pStyle w:val="FootnoteText"/>
        <w:spacing w:after="120"/>
        <w:rPr>
          <w:sz w:val="20"/>
        </w:rPr>
      </w:pPr>
      <w:r w:rsidRPr="00BD1531">
        <w:rPr>
          <w:rStyle w:val="FootnoteReference"/>
          <w:sz w:val="20"/>
        </w:rPr>
        <w:footnoteRef/>
      </w:r>
      <w:r w:rsidRPr="00BD1531">
        <w:rPr>
          <w:sz w:val="20"/>
        </w:rPr>
        <w:t xml:space="preserve"> </w:t>
      </w:r>
      <w:r w:rsidR="00276F63" w:rsidRPr="00BD1531">
        <w:rPr>
          <w:i/>
          <w:sz w:val="20"/>
        </w:rPr>
        <w:t>See Consumer and Governmental Affairs Bureau Reference Information Center Petition for Rulemaking Filed,</w:t>
      </w:r>
      <w:r w:rsidR="00276F63" w:rsidRPr="00BD1531">
        <w:rPr>
          <w:sz w:val="20"/>
        </w:rPr>
        <w:t xml:space="preserve"> Public Notice, Report No. 3059 (CGB, rel. Dec. 9, 2016); 47 C.F.R. § 1.405(b) (a statement in support of or in opposition to a petition for rule making may be filed prior to Commission action on the</w:t>
      </w:r>
      <w:r w:rsidR="007741A5">
        <w:rPr>
          <w:sz w:val="20"/>
        </w:rPr>
        <w:t xml:space="preserve"> petition but not later than 30 </w:t>
      </w:r>
      <w:r w:rsidR="00276F63" w:rsidRPr="00BD1531">
        <w:rPr>
          <w:sz w:val="20"/>
        </w:rPr>
        <w:t xml:space="preserve">days after public notice is given and a reply to such a statement may be filed prior to Commission action on the petition but not later than 15 days after the filing of such a statement).  </w:t>
      </w:r>
    </w:p>
  </w:footnote>
  <w:footnote w:id="3">
    <w:p w14:paraId="44E4133A" w14:textId="77777777" w:rsidR="0063529E" w:rsidRPr="00BD1531" w:rsidRDefault="0063529E" w:rsidP="004136CC">
      <w:pPr>
        <w:pStyle w:val="FootnoteText"/>
        <w:spacing w:after="120"/>
        <w:rPr>
          <w:sz w:val="20"/>
        </w:rPr>
      </w:pPr>
      <w:r w:rsidRPr="00BD1531">
        <w:rPr>
          <w:rStyle w:val="FootnoteReference"/>
          <w:sz w:val="20"/>
        </w:rPr>
        <w:footnoteRef/>
      </w:r>
      <w:r w:rsidRPr="00BD1531">
        <w:rPr>
          <w:sz w:val="20"/>
        </w:rPr>
        <w:t xml:space="preserve"> 47 C.F.R. § 1.1200(a). </w:t>
      </w:r>
    </w:p>
  </w:footnote>
  <w:footnote w:id="4">
    <w:p w14:paraId="7CC282FD" w14:textId="77777777" w:rsidR="0063529E" w:rsidRPr="00BD1531" w:rsidRDefault="0063529E" w:rsidP="004136CC">
      <w:pPr>
        <w:pStyle w:val="FootnoteText"/>
        <w:spacing w:after="120"/>
        <w:rPr>
          <w:sz w:val="20"/>
        </w:rPr>
      </w:pPr>
      <w:r w:rsidRPr="00BD1531">
        <w:rPr>
          <w:rStyle w:val="FootnoteReference"/>
          <w:sz w:val="20"/>
        </w:rPr>
        <w:footnoteRef/>
      </w:r>
      <w:r w:rsidRPr="00BD1531">
        <w:rPr>
          <w:sz w:val="20"/>
        </w:rPr>
        <w:t xml:space="preserve"> </w:t>
      </w:r>
      <w:r w:rsidRPr="00BD1531">
        <w:rPr>
          <w:i/>
          <w:sz w:val="20"/>
        </w:rPr>
        <w:t>See</w:t>
      </w:r>
      <w:r w:rsidRPr="00BD1531">
        <w:rPr>
          <w:sz w:val="20"/>
        </w:rPr>
        <w:t xml:space="preserve"> 47 C.F.R. § 1.1204(b)(2).  </w:t>
      </w:r>
    </w:p>
  </w:footnote>
  <w:footnote w:id="5">
    <w:p w14:paraId="4D282BD4" w14:textId="77777777" w:rsidR="00BD1531" w:rsidRPr="00BD1531" w:rsidRDefault="00BD1531" w:rsidP="00BD1531">
      <w:pPr>
        <w:pStyle w:val="FootnoteText"/>
        <w:spacing w:after="120"/>
        <w:rPr>
          <w:sz w:val="20"/>
        </w:rPr>
      </w:pPr>
      <w:r w:rsidRPr="00BD1531">
        <w:rPr>
          <w:rStyle w:val="FootnoteReference"/>
          <w:sz w:val="20"/>
        </w:rPr>
        <w:footnoteRef/>
      </w:r>
      <w:r w:rsidRPr="00BD1531">
        <w:rPr>
          <w:sz w:val="20"/>
        </w:rPr>
        <w:t xml:space="preserve"> </w:t>
      </w:r>
      <w:r w:rsidRPr="00BD1531">
        <w:rPr>
          <w:i/>
          <w:sz w:val="20"/>
        </w:rPr>
        <w:t>See</w:t>
      </w:r>
      <w:r w:rsidRPr="00BD1531">
        <w:rPr>
          <w:sz w:val="20"/>
        </w:rPr>
        <w:t xml:space="preserve"> RM-11778, Letter to Marlene H. Dortch, Secretary, FCC, from Tom Stroup, President, Satellite Industry Association (filed Apr. 4, 2017) (SIA Letter) at 1 citing 47 C.F.R. § 1.1200(a).  </w:t>
      </w:r>
    </w:p>
  </w:footnote>
  <w:footnote w:id="6">
    <w:p w14:paraId="1926510A" w14:textId="77777777" w:rsidR="00BD1531" w:rsidRPr="00BD1531" w:rsidRDefault="00BD1531" w:rsidP="00BD1531">
      <w:pPr>
        <w:pStyle w:val="FootnoteText"/>
        <w:spacing w:after="120"/>
        <w:rPr>
          <w:sz w:val="20"/>
        </w:rPr>
      </w:pPr>
      <w:r w:rsidRPr="00BD1531">
        <w:rPr>
          <w:rStyle w:val="FootnoteReference"/>
          <w:sz w:val="20"/>
        </w:rPr>
        <w:footnoteRef/>
      </w:r>
      <w:r w:rsidRPr="00BD1531">
        <w:rPr>
          <w:sz w:val="20"/>
        </w:rPr>
        <w:t xml:space="preserve"> SIA Letter at 2.  </w:t>
      </w:r>
    </w:p>
  </w:footnote>
  <w:footnote w:id="7">
    <w:p w14:paraId="6DFFAB1F" w14:textId="77777777" w:rsidR="00BD1531" w:rsidRPr="00BD1531" w:rsidRDefault="00BD1531" w:rsidP="00BD1531">
      <w:pPr>
        <w:pStyle w:val="FootnoteText"/>
        <w:spacing w:after="120"/>
        <w:rPr>
          <w:i/>
          <w:sz w:val="20"/>
        </w:rPr>
      </w:pPr>
      <w:r w:rsidRPr="00BD1531">
        <w:rPr>
          <w:rStyle w:val="FootnoteReference"/>
          <w:sz w:val="20"/>
        </w:rPr>
        <w:footnoteRef/>
      </w:r>
      <w:r w:rsidRPr="00BD1531">
        <w:rPr>
          <w:sz w:val="20"/>
        </w:rPr>
        <w:t xml:space="preserve"> </w:t>
      </w:r>
      <w:r w:rsidRPr="00BD1531">
        <w:rPr>
          <w:i/>
          <w:sz w:val="20"/>
        </w:rPr>
        <w:t>See</w:t>
      </w:r>
      <w:r w:rsidRPr="00BD1531">
        <w:rPr>
          <w:sz w:val="20"/>
        </w:rPr>
        <w:t xml:space="preserve"> SIA Letter at 1-2.  SIA notes that facilitating on-the-record discussions will also help build a record to support any future action concerning the Petition.  </w:t>
      </w:r>
      <w:r w:rsidRPr="00BD1531">
        <w:rPr>
          <w:i/>
          <w:sz w:val="20"/>
        </w:rPr>
        <w:t>Id</w:t>
      </w:r>
      <w:r w:rsidRPr="00BD1531">
        <w:rPr>
          <w:sz w:val="20"/>
        </w:rPr>
        <w:t xml:space="preserve">. at 2.  </w:t>
      </w:r>
    </w:p>
  </w:footnote>
  <w:footnote w:id="8">
    <w:p w14:paraId="0454B0D6" w14:textId="77777777" w:rsidR="0063529E" w:rsidRPr="00BD1531" w:rsidRDefault="0063529E" w:rsidP="004136CC">
      <w:pPr>
        <w:pStyle w:val="FootnoteText"/>
        <w:spacing w:after="120"/>
        <w:rPr>
          <w:sz w:val="20"/>
        </w:rPr>
      </w:pPr>
      <w:r w:rsidRPr="00BD1531">
        <w:rPr>
          <w:rStyle w:val="FootnoteReference"/>
          <w:sz w:val="20"/>
        </w:rPr>
        <w:footnoteRef/>
      </w:r>
      <w:r w:rsidRPr="00BD1531">
        <w:rPr>
          <w:sz w:val="20"/>
        </w:rPr>
        <w:t xml:space="preserve"> 47 CF.R. § 1.1200(a) (“Where the public interest so requires in a particular proceeding, the Commission and its staff retain the discretion to modify the applicable </w:t>
      </w:r>
      <w:r w:rsidRPr="00BD1531">
        <w:rPr>
          <w:i/>
          <w:iCs/>
          <w:sz w:val="20"/>
        </w:rPr>
        <w:t>ex parte</w:t>
      </w:r>
      <w:r w:rsidRPr="00BD1531">
        <w:rPr>
          <w:sz w:val="20"/>
        </w:rPr>
        <w:t xml:space="preserve"> rules by order, letter, or public notice.”).  </w:t>
      </w:r>
    </w:p>
  </w:footnote>
  <w:footnote w:id="9">
    <w:p w14:paraId="4010BCDC" w14:textId="77777777" w:rsidR="009452BA" w:rsidRPr="00BD1531" w:rsidRDefault="009452BA" w:rsidP="004136CC">
      <w:pPr>
        <w:pStyle w:val="FootnoteText"/>
        <w:spacing w:after="120"/>
        <w:rPr>
          <w:sz w:val="20"/>
        </w:rPr>
      </w:pPr>
      <w:r w:rsidRPr="00BD1531">
        <w:rPr>
          <w:rStyle w:val="FootnoteReference"/>
          <w:sz w:val="20"/>
        </w:rPr>
        <w:footnoteRef/>
      </w:r>
      <w:r w:rsidRPr="00BD1531">
        <w:rPr>
          <w:sz w:val="20"/>
        </w:rPr>
        <w:t xml:space="preserve"> </w:t>
      </w:r>
      <w:r w:rsidRPr="00BD1531">
        <w:rPr>
          <w:i/>
          <w:sz w:val="20"/>
        </w:rPr>
        <w:t>See Expanding Flexible Use in Mid-Band Spectrum Between 3.7 and 24 GHz</w:t>
      </w:r>
      <w:r w:rsidRPr="00BD1531">
        <w:rPr>
          <w:sz w:val="20"/>
        </w:rPr>
        <w:t>, Notice of Inquiry, GN Docket No. 17-183, FCC 17-104 (rel. Aug. 3, 2017) (“</w:t>
      </w:r>
      <w:r w:rsidRPr="00BD1531">
        <w:rPr>
          <w:i/>
          <w:sz w:val="20"/>
        </w:rPr>
        <w:t>Mid-Band NOI</w:t>
      </w:r>
      <w:r w:rsidRPr="00BD1531">
        <w:rPr>
          <w:sz w:val="20"/>
        </w:rPr>
        <w:t xml:space="preserve">”).  In the </w:t>
      </w:r>
      <w:r w:rsidRPr="00BD1531">
        <w:rPr>
          <w:i/>
          <w:sz w:val="20"/>
        </w:rPr>
        <w:t>Mid Band NOI</w:t>
      </w:r>
      <w:r w:rsidRPr="00BD1531">
        <w:rPr>
          <w:sz w:val="20"/>
        </w:rPr>
        <w:t>, the Commission recognized that there are ongoing proceedings, including RM-117</w:t>
      </w:r>
      <w:r w:rsidR="007741A5">
        <w:rPr>
          <w:sz w:val="20"/>
        </w:rPr>
        <w:t>78</w:t>
      </w:r>
      <w:r w:rsidRPr="00BD1531">
        <w:rPr>
          <w:sz w:val="20"/>
        </w:rPr>
        <w:t xml:space="preserve">, that relate to spectrum within the 3.7-24 GHz frequency range and stated that the Inquiry “is not intended to preclude us from acting on or otherwise addressing these matters prior to the development of a record in this docket, nor is it intended to prejudge any of the matters we may decide in those proceedings.”  </w:t>
      </w:r>
      <w:r w:rsidRPr="00BD1531">
        <w:rPr>
          <w:i/>
          <w:sz w:val="20"/>
        </w:rPr>
        <w:t>Mid-Band NOI</w:t>
      </w:r>
      <w:r w:rsidRPr="00BD1531">
        <w:rPr>
          <w:sz w:val="20"/>
        </w:rPr>
        <w:t xml:space="preserve"> at 5 para. 11; </w:t>
      </w:r>
      <w:r w:rsidRPr="00BD1531">
        <w:rPr>
          <w:i/>
          <w:sz w:val="20"/>
        </w:rPr>
        <w:t>see also id</w:t>
      </w:r>
      <w:r w:rsidRPr="00BD1531">
        <w:rPr>
          <w:sz w:val="20"/>
        </w:rPr>
        <w:t xml:space="preserve">. at n.14.  </w:t>
      </w:r>
    </w:p>
  </w:footnote>
  <w:footnote w:id="10">
    <w:p w14:paraId="5D2A29D3" w14:textId="77777777" w:rsidR="00713EB7" w:rsidRPr="00BD1531" w:rsidRDefault="00713EB7" w:rsidP="004136CC">
      <w:pPr>
        <w:pStyle w:val="FootnoteText"/>
        <w:spacing w:after="120"/>
        <w:rPr>
          <w:sz w:val="20"/>
        </w:rPr>
      </w:pPr>
      <w:r w:rsidRPr="00BD1531">
        <w:rPr>
          <w:rStyle w:val="FootnoteReference"/>
          <w:sz w:val="20"/>
        </w:rPr>
        <w:footnoteRef/>
      </w:r>
      <w:r w:rsidRPr="00BD1531">
        <w:rPr>
          <w:sz w:val="20"/>
        </w:rPr>
        <w:t xml:space="preserve"> We are </w:t>
      </w:r>
      <w:r w:rsidR="00CB70EF" w:rsidRPr="00BD1531">
        <w:rPr>
          <w:sz w:val="20"/>
        </w:rPr>
        <w:t xml:space="preserve">releasing a separate public notice today </w:t>
      </w:r>
      <w:r w:rsidRPr="00BD1531">
        <w:rPr>
          <w:sz w:val="20"/>
        </w:rPr>
        <w:t xml:space="preserve">announcing the modification of the </w:t>
      </w:r>
      <w:r w:rsidRPr="00BD1531">
        <w:rPr>
          <w:i/>
          <w:sz w:val="20"/>
        </w:rPr>
        <w:t>ex parte</w:t>
      </w:r>
      <w:r w:rsidRPr="00BD1531">
        <w:rPr>
          <w:sz w:val="20"/>
        </w:rPr>
        <w:t xml:space="preserve"> status of another pending petition for rulemaking, RM-117</w:t>
      </w:r>
      <w:r w:rsidR="00BD1531">
        <w:rPr>
          <w:sz w:val="20"/>
        </w:rPr>
        <w:t>91</w:t>
      </w:r>
      <w:r w:rsidRPr="00BD1531">
        <w:rPr>
          <w:sz w:val="20"/>
        </w:rPr>
        <w:t xml:space="preserve">, </w:t>
      </w:r>
      <w:r w:rsidR="008867A1" w:rsidRPr="00BD1531">
        <w:rPr>
          <w:sz w:val="20"/>
        </w:rPr>
        <w:t xml:space="preserve">that relates to spectrum in </w:t>
      </w:r>
      <w:r w:rsidRPr="00BD1531">
        <w:rPr>
          <w:sz w:val="20"/>
        </w:rPr>
        <w:t xml:space="preserve">the 3.7-4.2 GHz </w:t>
      </w:r>
      <w:r w:rsidR="008867A1" w:rsidRPr="00BD1531">
        <w:rPr>
          <w:sz w:val="20"/>
        </w:rPr>
        <w:t>band</w:t>
      </w:r>
      <w:r w:rsidR="00CB70EF" w:rsidRPr="00BD1531">
        <w:rPr>
          <w:sz w:val="20"/>
        </w:rPr>
        <w:t xml:space="preserve">. </w:t>
      </w:r>
      <w:r w:rsidR="008867A1" w:rsidRPr="00BD1531">
        <w:rPr>
          <w:sz w:val="20"/>
        </w:rPr>
        <w:t xml:space="preserve"> </w:t>
      </w:r>
    </w:p>
  </w:footnote>
  <w:footnote w:id="11">
    <w:p w14:paraId="35935EB1" w14:textId="77777777" w:rsidR="00B43AF7" w:rsidRPr="00BD1531" w:rsidRDefault="00B43AF7" w:rsidP="00B43AF7">
      <w:pPr>
        <w:pStyle w:val="FootnoteText"/>
        <w:spacing w:after="120"/>
        <w:rPr>
          <w:i/>
          <w:iCs/>
          <w:sz w:val="20"/>
        </w:rPr>
      </w:pPr>
      <w:r w:rsidRPr="00BD1531">
        <w:rPr>
          <w:rStyle w:val="FootnoteReference"/>
          <w:sz w:val="20"/>
        </w:rPr>
        <w:footnoteRef/>
      </w:r>
      <w:r w:rsidRPr="00BD1531">
        <w:rPr>
          <w:sz w:val="20"/>
        </w:rPr>
        <w:t xml:space="preserve"> 47 C.F.R. §§ 1.1200 </w:t>
      </w:r>
      <w:r w:rsidRPr="00BD1531">
        <w:rPr>
          <w:i/>
          <w:iCs/>
          <w:sz w:val="20"/>
        </w:rPr>
        <w:t>et seq.</w:t>
      </w:r>
    </w:p>
  </w:footnote>
  <w:footnote w:id="12">
    <w:p w14:paraId="71A47A60" w14:textId="77777777" w:rsidR="007C37C1" w:rsidRPr="00BD1531" w:rsidRDefault="007C37C1" w:rsidP="007C37C1">
      <w:pPr>
        <w:pStyle w:val="FootnoteText"/>
        <w:spacing w:after="120"/>
        <w:rPr>
          <w:sz w:val="20"/>
        </w:rPr>
      </w:pPr>
      <w:r w:rsidRPr="00BD1531">
        <w:rPr>
          <w:rStyle w:val="FootnoteReference"/>
          <w:sz w:val="20"/>
        </w:rPr>
        <w:footnoteRef/>
      </w:r>
      <w:r w:rsidRPr="00BD1531">
        <w:rPr>
          <w:sz w:val="20"/>
        </w:rPr>
        <w:t xml:space="preserve"> 47 C.F.R. § 1.1206(b)(1).  </w:t>
      </w:r>
    </w:p>
  </w:footnote>
  <w:footnote w:id="13">
    <w:p w14:paraId="4DF7990E" w14:textId="77777777" w:rsidR="0063529E" w:rsidRPr="00BD1531" w:rsidRDefault="0063529E" w:rsidP="004136CC">
      <w:pPr>
        <w:pStyle w:val="FootnoteText"/>
        <w:spacing w:after="120"/>
        <w:rPr>
          <w:sz w:val="20"/>
        </w:rPr>
      </w:pPr>
      <w:r w:rsidRPr="00BD1531">
        <w:rPr>
          <w:rStyle w:val="FootnoteReference"/>
          <w:sz w:val="20"/>
        </w:rPr>
        <w:footnoteRef/>
      </w:r>
      <w:r w:rsidRPr="00BD1531">
        <w:rPr>
          <w:sz w:val="20"/>
        </w:rPr>
        <w:t xml:space="preserve"> </w:t>
      </w:r>
      <w:r w:rsidRPr="00BD1531">
        <w:rPr>
          <w:i/>
          <w:sz w:val="20"/>
        </w:rPr>
        <w:t>See</w:t>
      </w:r>
      <w:r w:rsidRPr="00BD1531">
        <w:rPr>
          <w:sz w:val="20"/>
        </w:rPr>
        <w:t xml:space="preserve"> 47 C.F.R. § 1.1206(b)(2)(i).  </w:t>
      </w:r>
    </w:p>
  </w:footnote>
  <w:footnote w:id="14">
    <w:p w14:paraId="2EB78262" w14:textId="77777777" w:rsidR="0063529E" w:rsidRPr="00BD1531" w:rsidRDefault="0063529E" w:rsidP="004136CC">
      <w:pPr>
        <w:pStyle w:val="FootnoteText"/>
        <w:spacing w:after="120"/>
        <w:rPr>
          <w:sz w:val="20"/>
        </w:rPr>
      </w:pPr>
      <w:r w:rsidRPr="00BD1531">
        <w:rPr>
          <w:rStyle w:val="FootnoteReference"/>
          <w:sz w:val="20"/>
        </w:rPr>
        <w:footnoteRef/>
      </w:r>
      <w:r w:rsidRPr="00BD1531">
        <w:rPr>
          <w:sz w:val="20"/>
        </w:rPr>
        <w:t xml:space="preserve"> </w:t>
      </w:r>
      <w:r w:rsidRPr="00BD1531">
        <w:rPr>
          <w:i/>
          <w:sz w:val="20"/>
        </w:rPr>
        <w:t>See</w:t>
      </w:r>
      <w:r w:rsidRPr="00BD1531">
        <w:rPr>
          <w:sz w:val="20"/>
        </w:rPr>
        <w:t xml:space="preserve"> Electronic Filing of Documents in Rulemaking Proceedings, 63 FR 24121 (1998).</w:t>
      </w:r>
    </w:p>
  </w:footnote>
  <w:footnote w:id="15">
    <w:p w14:paraId="5111AA57" w14:textId="77777777" w:rsidR="0063529E" w:rsidRPr="00BD1531" w:rsidRDefault="0063529E" w:rsidP="004136CC">
      <w:pPr>
        <w:pStyle w:val="FootnoteText"/>
        <w:spacing w:after="120"/>
        <w:rPr>
          <w:sz w:val="20"/>
        </w:rPr>
      </w:pPr>
      <w:r w:rsidRPr="00BD1531">
        <w:rPr>
          <w:rStyle w:val="FootnoteReference"/>
          <w:sz w:val="20"/>
        </w:rPr>
        <w:footnoteRef/>
      </w:r>
      <w:r w:rsidRPr="00BD1531">
        <w:rPr>
          <w:sz w:val="20"/>
        </w:rPr>
        <w:t xml:space="preserve"> 47 C.F.R. § 1.1206(b)(2)(i).  </w:t>
      </w:r>
      <w:r w:rsidRPr="00BD1531">
        <w:rPr>
          <w:i/>
          <w:sz w:val="20"/>
        </w:rPr>
        <w:t>See also</w:t>
      </w:r>
      <w:r w:rsidRPr="00BD1531">
        <w:rPr>
          <w:sz w:val="20"/>
        </w:rPr>
        <w:t xml:space="preserve"> 47 C.F.R. § 1.1206(b)(2)(ii) (Confidential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4D76" w14:textId="77777777" w:rsidR="00BF25F1" w:rsidRDefault="00BF2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6C14" w14:textId="77777777" w:rsidR="00BF25F1" w:rsidRDefault="00BF2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63D3" w14:textId="77777777" w:rsidR="00602577" w:rsidRDefault="00352DE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37BD3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03147364" w14:textId="77777777" w:rsidR="00602577" w:rsidRDefault="00352DE7">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72024838">
        <v:line id="_x0000_s2052" style="position:absolute;left:0;text-align:left;z-index:251657216" from="37.6pt,54.95pt" to="501.1pt,55.15pt" o:allowincell="f"/>
      </w:pict>
    </w:r>
    <w:r>
      <w:rPr>
        <w:rFonts w:ascii="News Gothic MT" w:hAnsi="News Gothic MT"/>
        <w:b/>
        <w:noProof/>
        <w:sz w:val="24"/>
      </w:rPr>
      <w:pict w14:anchorId="5C9981D4">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523BDC39" w14:textId="77777777" w:rsidR="00602577" w:rsidRDefault="00602577">
                <w:pPr>
                  <w:rPr>
                    <w:rFonts w:ascii="Arial" w:hAnsi="Arial"/>
                    <w:b/>
                  </w:rPr>
                </w:pPr>
                <w:r>
                  <w:rPr>
                    <w:rFonts w:ascii="Arial" w:hAnsi="Arial"/>
                    <w:b/>
                  </w:rPr>
                  <w:t>Federal Communications Commission</w:t>
                </w:r>
              </w:p>
              <w:p w14:paraId="5D7C60E1"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79D8058"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08169B07">
        <v:shape id="_x0000_s2053" type="#_x0000_t202" style="position:absolute;left:0;text-align:left;margin-left:301.5pt;margin-top:10.25pt;width:207.95pt;height:43.2pt;z-index:251658240" o:allowincell="f" stroked="f">
          <v:textbox style="mso-next-textbox:#_x0000_s2053" inset=",0,,0">
            <w:txbxContent>
              <w:p w14:paraId="0AE87A8B" w14:textId="77777777" w:rsidR="00602577" w:rsidRDefault="00602577">
                <w:pPr>
                  <w:spacing w:before="40"/>
                  <w:jc w:val="right"/>
                  <w:rPr>
                    <w:rFonts w:ascii="Arial" w:hAnsi="Arial"/>
                    <w:b/>
                    <w:sz w:val="16"/>
                  </w:rPr>
                </w:pPr>
                <w:r>
                  <w:rPr>
                    <w:rFonts w:ascii="Arial" w:hAnsi="Arial"/>
                    <w:b/>
                    <w:sz w:val="16"/>
                  </w:rPr>
                  <w:t>News Media Information 202 / 418-0500</w:t>
                </w:r>
              </w:p>
              <w:p w14:paraId="13B1CB70"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26D65038" w14:textId="77777777" w:rsidR="00602577" w:rsidRDefault="00602577">
                <w:pPr>
                  <w:jc w:val="right"/>
                  <w:rPr>
                    <w:rFonts w:ascii="Arial" w:hAnsi="Arial"/>
                    <w:b/>
                    <w:sz w:val="16"/>
                  </w:rPr>
                </w:pPr>
                <w:r>
                  <w:rPr>
                    <w:rFonts w:ascii="Arial" w:hAnsi="Arial"/>
                    <w:b/>
                    <w:sz w:val="16"/>
                  </w:rPr>
                  <w:t>TTY: 1-888-835-5322</w:t>
                </w:r>
              </w:p>
              <w:p w14:paraId="06D04798" w14:textId="77777777" w:rsidR="00602577" w:rsidRDefault="00602577">
                <w:pPr>
                  <w:jc w:val="right"/>
                </w:pPr>
              </w:p>
            </w:txbxContent>
          </v:textbox>
        </v:shape>
      </w:pict>
    </w:r>
  </w:p>
  <w:p w14:paraId="429B7FB8"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10"/>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29E"/>
    <w:rsid w:val="000265AE"/>
    <w:rsid w:val="00064F79"/>
    <w:rsid w:val="00085585"/>
    <w:rsid w:val="000B6747"/>
    <w:rsid w:val="00111616"/>
    <w:rsid w:val="00137E63"/>
    <w:rsid w:val="00156F0A"/>
    <w:rsid w:val="00183C93"/>
    <w:rsid w:val="0024536C"/>
    <w:rsid w:val="00276F63"/>
    <w:rsid w:val="0030164E"/>
    <w:rsid w:val="003521C2"/>
    <w:rsid w:val="00352DE7"/>
    <w:rsid w:val="003561B8"/>
    <w:rsid w:val="003C1D63"/>
    <w:rsid w:val="003D1E27"/>
    <w:rsid w:val="004136CC"/>
    <w:rsid w:val="00433C58"/>
    <w:rsid w:val="004F2DB8"/>
    <w:rsid w:val="0059257D"/>
    <w:rsid w:val="00602577"/>
    <w:rsid w:val="0063529E"/>
    <w:rsid w:val="0069200C"/>
    <w:rsid w:val="00713EB7"/>
    <w:rsid w:val="007741A5"/>
    <w:rsid w:val="00786982"/>
    <w:rsid w:val="007C37C1"/>
    <w:rsid w:val="00825060"/>
    <w:rsid w:val="0082516F"/>
    <w:rsid w:val="0086645B"/>
    <w:rsid w:val="00872B53"/>
    <w:rsid w:val="008827C6"/>
    <w:rsid w:val="008867A1"/>
    <w:rsid w:val="008E7C35"/>
    <w:rsid w:val="009452BA"/>
    <w:rsid w:val="0098011E"/>
    <w:rsid w:val="009A4077"/>
    <w:rsid w:val="009C00BA"/>
    <w:rsid w:val="009D1020"/>
    <w:rsid w:val="00AB43CD"/>
    <w:rsid w:val="00AC0A39"/>
    <w:rsid w:val="00B264F2"/>
    <w:rsid w:val="00B43AF7"/>
    <w:rsid w:val="00BD1531"/>
    <w:rsid w:val="00BF25F1"/>
    <w:rsid w:val="00BF46AC"/>
    <w:rsid w:val="00C06AFC"/>
    <w:rsid w:val="00C7213A"/>
    <w:rsid w:val="00C72F3E"/>
    <w:rsid w:val="00CB70EF"/>
    <w:rsid w:val="00D17DC0"/>
    <w:rsid w:val="00D60EFF"/>
    <w:rsid w:val="00DB29C0"/>
    <w:rsid w:val="00E04C24"/>
    <w:rsid w:val="00E349BB"/>
    <w:rsid w:val="00E44A49"/>
    <w:rsid w:val="00E77BAF"/>
    <w:rsid w:val="00ED3440"/>
    <w:rsid w:val="00F01C45"/>
    <w:rsid w:val="00F277DA"/>
    <w:rsid w:val="00FA2D4F"/>
    <w:rsid w:val="00FD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DF1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3,Style 124,fr,o,Style 3,FR,Style 17,Style 6,Footnote Reference/,Style 4,Style 7,Footnote Reference1,Style 34,Style 9,Style 20,callout,-E Funotenzeichen"/>
    <w:rPr>
      <w:vertAlign w:val="superscript"/>
    </w:rPr>
  </w:style>
  <w:style w:type="paragraph" w:styleId="FootnoteText">
    <w:name w:val="footnote text"/>
    <w:aliases w:val="Footnote Text Char2 Char,Footnote Text Char1 Char Char,Footnote Text Char Char Char Char,Footnote Text Char1 Char2 Char Char Char,Footnote Text Char1 Char Char Char Char Char Char,ALTS FOOTNOTE,fn,Footnote Text Char1,Footnote Text Char2,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FA2D4F"/>
    <w:rPr>
      <w:sz w:val="22"/>
    </w:rPr>
  </w:style>
  <w:style w:type="paragraph" w:customStyle="1" w:styleId="ParaNum0">
    <w:name w:val="ParaNum"/>
    <w:basedOn w:val="Normal"/>
    <w:link w:val="ParaNumChar1"/>
    <w:rsid w:val="00E349BB"/>
    <w:pPr>
      <w:widowControl w:val="0"/>
      <w:numPr>
        <w:numId w:val="16"/>
      </w:numPr>
      <w:tabs>
        <w:tab w:val="clear" w:pos="1080"/>
        <w:tab w:val="num" w:pos="1440"/>
      </w:tabs>
      <w:spacing w:after="120"/>
    </w:pPr>
    <w:rPr>
      <w:snapToGrid w:val="0"/>
      <w:kern w:val="28"/>
    </w:rPr>
  </w:style>
  <w:style w:type="character" w:customStyle="1" w:styleId="Heading2Char">
    <w:name w:val="Heading 2 Char"/>
    <w:link w:val="Heading2"/>
    <w:rsid w:val="00E349BB"/>
    <w:rPr>
      <w:b/>
      <w:sz w:val="22"/>
    </w:rPr>
  </w:style>
  <w:style w:type="character" w:customStyle="1" w:styleId="FootnoteTextChar">
    <w:name w:val="Footnote Text Char"/>
    <w:aliases w:val="Footnote Text Char2 Char Char,Footnote Text Char1 Char Char Char,Footnote Text Char Char Char Char Char,Footnote Text Char1 Char2 Char Char Char Char,Footnote Text Char1 Char Char Char Char Char Char Char,ALTS FOOTNOTE Char,fn Char"/>
    <w:link w:val="FootnoteText"/>
    <w:rsid w:val="00E349BB"/>
    <w:rPr>
      <w:sz w:val="22"/>
    </w:rPr>
  </w:style>
  <w:style w:type="character" w:customStyle="1" w:styleId="ParaNumChar1">
    <w:name w:val="ParaNum Char1"/>
    <w:link w:val="ParaNum0"/>
    <w:rsid w:val="00E349BB"/>
    <w:rPr>
      <w:snapToGrid w:val="0"/>
      <w:kern w:val="28"/>
      <w:sz w:val="22"/>
    </w:rPr>
  </w:style>
  <w:style w:type="paragraph" w:styleId="BalloonText">
    <w:name w:val="Balloon Text"/>
    <w:basedOn w:val="Normal"/>
    <w:link w:val="BalloonTextChar"/>
    <w:uiPriority w:val="99"/>
    <w:semiHidden/>
    <w:unhideWhenUsed/>
    <w:rsid w:val="004F2DB8"/>
    <w:rPr>
      <w:rFonts w:ascii="Segoe UI" w:hAnsi="Segoe UI" w:cs="Segoe UI"/>
      <w:sz w:val="18"/>
      <w:szCs w:val="18"/>
    </w:rPr>
  </w:style>
  <w:style w:type="character" w:customStyle="1" w:styleId="BalloonTextChar">
    <w:name w:val="Balloon Text Char"/>
    <w:link w:val="BalloonText"/>
    <w:uiPriority w:val="99"/>
    <w:semiHidden/>
    <w:rsid w:val="004F2DB8"/>
    <w:rPr>
      <w:rFonts w:ascii="Segoe UI" w:hAnsi="Segoe UI" w:cs="Segoe UI"/>
      <w:sz w:val="18"/>
      <w:szCs w:val="18"/>
    </w:rPr>
  </w:style>
  <w:style w:type="character" w:styleId="CommentReference">
    <w:name w:val="annotation reference"/>
    <w:uiPriority w:val="99"/>
    <w:semiHidden/>
    <w:unhideWhenUsed/>
    <w:rsid w:val="004F2DB8"/>
    <w:rPr>
      <w:sz w:val="16"/>
      <w:szCs w:val="16"/>
    </w:rPr>
  </w:style>
  <w:style w:type="paragraph" w:styleId="CommentText">
    <w:name w:val="annotation text"/>
    <w:basedOn w:val="Normal"/>
    <w:link w:val="CommentTextChar"/>
    <w:uiPriority w:val="99"/>
    <w:semiHidden/>
    <w:unhideWhenUsed/>
    <w:rsid w:val="004F2DB8"/>
    <w:rPr>
      <w:sz w:val="20"/>
    </w:rPr>
  </w:style>
  <w:style w:type="character" w:customStyle="1" w:styleId="CommentTextChar">
    <w:name w:val="Comment Text Char"/>
    <w:basedOn w:val="DefaultParagraphFont"/>
    <w:link w:val="CommentText"/>
    <w:uiPriority w:val="99"/>
    <w:semiHidden/>
    <w:rsid w:val="004F2DB8"/>
  </w:style>
  <w:style w:type="paragraph" w:styleId="CommentSubject">
    <w:name w:val="annotation subject"/>
    <w:basedOn w:val="CommentText"/>
    <w:next w:val="CommentText"/>
    <w:link w:val="CommentSubjectChar"/>
    <w:uiPriority w:val="99"/>
    <w:semiHidden/>
    <w:unhideWhenUsed/>
    <w:rsid w:val="004F2DB8"/>
    <w:rPr>
      <w:b/>
      <w:bCs/>
    </w:rPr>
  </w:style>
  <w:style w:type="character" w:customStyle="1" w:styleId="CommentSubjectChar">
    <w:name w:val="Comment Subject Char"/>
    <w:link w:val="CommentSubject"/>
    <w:uiPriority w:val="99"/>
    <w:semiHidden/>
    <w:rsid w:val="004F2D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eter.daronco@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2017-08-18T14:29:00Z</dcterms:created>
  <dcterms:modified xsi:type="dcterms:W3CDTF">2017-08-18T14:29:00Z</dcterms:modified>
  <cp:category> </cp:category>
  <cp:contentStatus> </cp:contentStatus>
</cp:coreProperties>
</file>