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DD558" w14:textId="3FAD2B94" w:rsidR="00AD540A" w:rsidRPr="004473CB" w:rsidRDefault="00AD540A" w:rsidP="004473CB">
      <w:pPr>
        <w:sectPr w:rsidR="00AD540A" w:rsidRPr="004473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14:paraId="3BEA3CBA" w14:textId="6C3FC903" w:rsidR="00AD540A" w:rsidRPr="00EF2146" w:rsidRDefault="00AD540A" w:rsidP="004473CB">
      <w:pPr>
        <w:jc w:val="right"/>
        <w:rPr>
          <w:b/>
          <w:szCs w:val="22"/>
        </w:rPr>
      </w:pPr>
      <w:r>
        <w:rPr>
          <w:b/>
          <w:szCs w:val="22"/>
        </w:rPr>
        <w:lastRenderedPageBreak/>
        <w:t xml:space="preserve">DA </w:t>
      </w:r>
      <w:r w:rsidR="00316A0F">
        <w:rPr>
          <w:b/>
          <w:szCs w:val="22"/>
        </w:rPr>
        <w:t>17-760</w:t>
      </w:r>
    </w:p>
    <w:p w14:paraId="242891D9" w14:textId="20823F94" w:rsidR="00AD540A" w:rsidRDefault="00787698" w:rsidP="004473CB">
      <w:pPr>
        <w:tabs>
          <w:tab w:val="center" w:pos="4680"/>
          <w:tab w:val="right" w:pos="9360"/>
        </w:tabs>
        <w:rPr>
          <w:b/>
          <w:szCs w:val="22"/>
        </w:rPr>
      </w:pPr>
      <w:r>
        <w:rPr>
          <w:b/>
          <w:szCs w:val="22"/>
        </w:rPr>
        <w:tab/>
      </w:r>
      <w:r>
        <w:rPr>
          <w:b/>
          <w:szCs w:val="22"/>
        </w:rPr>
        <w:tab/>
      </w:r>
      <w:r w:rsidR="00AD540A">
        <w:rPr>
          <w:b/>
          <w:szCs w:val="22"/>
        </w:rPr>
        <w:t xml:space="preserve">Released:  </w:t>
      </w:r>
      <w:r w:rsidR="004473CB">
        <w:rPr>
          <w:b/>
          <w:szCs w:val="22"/>
        </w:rPr>
        <w:t>August</w:t>
      </w:r>
      <w:r w:rsidR="00A71398">
        <w:rPr>
          <w:b/>
          <w:szCs w:val="22"/>
        </w:rPr>
        <w:t xml:space="preserve"> </w:t>
      </w:r>
      <w:r w:rsidR="009A1320">
        <w:rPr>
          <w:b/>
          <w:szCs w:val="22"/>
        </w:rPr>
        <w:t>11</w:t>
      </w:r>
      <w:r w:rsidR="00A71398">
        <w:rPr>
          <w:b/>
          <w:szCs w:val="22"/>
        </w:rPr>
        <w:t>, 2017</w:t>
      </w:r>
    </w:p>
    <w:p w14:paraId="43700959" w14:textId="77777777" w:rsidR="00AD540A" w:rsidRDefault="00AD540A">
      <w:pPr>
        <w:rPr>
          <w:b/>
          <w:szCs w:val="22"/>
        </w:rPr>
      </w:pPr>
    </w:p>
    <w:p w14:paraId="3C237B2A" w14:textId="77777777" w:rsidR="00AD540A" w:rsidRPr="00BD68F9" w:rsidRDefault="009A4C43" w:rsidP="009A4C43">
      <w:pPr>
        <w:jc w:val="center"/>
        <w:rPr>
          <w:b/>
          <w:szCs w:val="22"/>
        </w:rPr>
      </w:pPr>
      <w:r>
        <w:rPr>
          <w:b/>
          <w:szCs w:val="22"/>
        </w:rPr>
        <w:t xml:space="preserve">WIRELINE COMPETITION BUREAU </w:t>
      </w:r>
      <w:r w:rsidR="00F32BD0">
        <w:rPr>
          <w:b/>
          <w:szCs w:val="22"/>
        </w:rPr>
        <w:t xml:space="preserve">PUBLISHES AND </w:t>
      </w:r>
      <w:r w:rsidR="003555FF">
        <w:rPr>
          <w:b/>
          <w:szCs w:val="22"/>
        </w:rPr>
        <w:t>REQUESTS COMMENT ON</w:t>
      </w:r>
      <w:r w:rsidR="00F32BD0">
        <w:rPr>
          <w:b/>
          <w:szCs w:val="22"/>
        </w:rPr>
        <w:t xml:space="preserve"> </w:t>
      </w:r>
      <w:r w:rsidR="00B414AA">
        <w:rPr>
          <w:b/>
          <w:szCs w:val="22"/>
        </w:rPr>
        <w:br/>
      </w:r>
      <w:r w:rsidR="00F32BD0">
        <w:rPr>
          <w:b/>
          <w:szCs w:val="22"/>
        </w:rPr>
        <w:t xml:space="preserve">RATE-OF-RETURN STUDY AREAS </w:t>
      </w:r>
      <w:r w:rsidR="00791F57">
        <w:rPr>
          <w:b/>
          <w:szCs w:val="22"/>
        </w:rPr>
        <w:t xml:space="preserve">POTENTIALLY </w:t>
      </w:r>
      <w:r w:rsidR="00CA787F">
        <w:rPr>
          <w:b/>
          <w:szCs w:val="22"/>
        </w:rPr>
        <w:t>100 PERCENT OVERLAP</w:t>
      </w:r>
      <w:r>
        <w:rPr>
          <w:b/>
          <w:szCs w:val="22"/>
        </w:rPr>
        <w:t>PED</w:t>
      </w:r>
      <w:r w:rsidR="000A5F16">
        <w:rPr>
          <w:b/>
          <w:szCs w:val="22"/>
        </w:rPr>
        <w:t xml:space="preserve"> BY UNSUBSIDIZED COMPETITORS</w:t>
      </w:r>
    </w:p>
    <w:p w14:paraId="3838E050" w14:textId="77777777" w:rsidR="00AD540A" w:rsidRPr="00BD68F9" w:rsidRDefault="00AD540A">
      <w:pPr>
        <w:jc w:val="center"/>
        <w:rPr>
          <w:b/>
          <w:szCs w:val="22"/>
        </w:rPr>
      </w:pPr>
    </w:p>
    <w:p w14:paraId="79021FAC" w14:textId="6C89166E" w:rsidR="00AD540A" w:rsidRDefault="00AD540A">
      <w:pPr>
        <w:jc w:val="center"/>
        <w:rPr>
          <w:b/>
          <w:szCs w:val="22"/>
        </w:rPr>
      </w:pPr>
      <w:r w:rsidRPr="00BD68F9">
        <w:rPr>
          <w:b/>
          <w:szCs w:val="22"/>
        </w:rPr>
        <w:t xml:space="preserve">WC Docket No. </w:t>
      </w:r>
      <w:r w:rsidR="00EF2146">
        <w:rPr>
          <w:b/>
          <w:szCs w:val="22"/>
        </w:rPr>
        <w:t>10-90</w:t>
      </w:r>
    </w:p>
    <w:p w14:paraId="6185F5AE" w14:textId="77777777" w:rsidR="00EF2146" w:rsidRDefault="00EF2146">
      <w:pPr>
        <w:jc w:val="center"/>
        <w:rPr>
          <w:b/>
          <w:szCs w:val="22"/>
        </w:rPr>
      </w:pPr>
    </w:p>
    <w:p w14:paraId="6B2EF923" w14:textId="44200309" w:rsidR="00EF2146" w:rsidRDefault="00EF2146" w:rsidP="00EF2146">
      <w:pPr>
        <w:rPr>
          <w:b/>
          <w:szCs w:val="22"/>
        </w:rPr>
      </w:pPr>
      <w:r>
        <w:rPr>
          <w:b/>
          <w:szCs w:val="22"/>
        </w:rPr>
        <w:t>Comments Due:</w:t>
      </w:r>
      <w:r w:rsidR="009F38EE">
        <w:rPr>
          <w:b/>
          <w:szCs w:val="22"/>
        </w:rPr>
        <w:t xml:space="preserve">  </w:t>
      </w:r>
      <w:r w:rsidR="009A1320">
        <w:rPr>
          <w:b/>
          <w:szCs w:val="22"/>
        </w:rPr>
        <w:t>September 11</w:t>
      </w:r>
      <w:r w:rsidR="00A71398">
        <w:rPr>
          <w:b/>
          <w:szCs w:val="22"/>
        </w:rPr>
        <w:t>, 2017</w:t>
      </w:r>
    </w:p>
    <w:p w14:paraId="0418A742" w14:textId="131E4F1B" w:rsidR="00EF2146" w:rsidRDefault="00EF2146" w:rsidP="00EF2146">
      <w:pPr>
        <w:rPr>
          <w:b/>
          <w:szCs w:val="22"/>
        </w:rPr>
      </w:pPr>
      <w:r>
        <w:rPr>
          <w:b/>
          <w:szCs w:val="22"/>
        </w:rPr>
        <w:t>Reply Comments Due:</w:t>
      </w:r>
      <w:r w:rsidR="00EF51E0">
        <w:rPr>
          <w:b/>
          <w:szCs w:val="22"/>
        </w:rPr>
        <w:t xml:space="preserve"> </w:t>
      </w:r>
      <w:r w:rsidR="009A1320">
        <w:rPr>
          <w:b/>
          <w:szCs w:val="22"/>
        </w:rPr>
        <w:t xml:space="preserve"> October 10</w:t>
      </w:r>
      <w:r w:rsidR="00BB03AD">
        <w:rPr>
          <w:b/>
          <w:szCs w:val="22"/>
        </w:rPr>
        <w:t>,</w:t>
      </w:r>
      <w:r w:rsidR="00A71398">
        <w:rPr>
          <w:b/>
          <w:szCs w:val="22"/>
        </w:rPr>
        <w:t xml:space="preserve"> 2017</w:t>
      </w:r>
      <w:r w:rsidR="00EF51E0">
        <w:rPr>
          <w:b/>
          <w:szCs w:val="22"/>
        </w:rPr>
        <w:t xml:space="preserve"> </w:t>
      </w:r>
    </w:p>
    <w:p w14:paraId="40D5460D" w14:textId="77777777" w:rsidR="00EF2146" w:rsidRPr="00BD68F9" w:rsidRDefault="00EF2146" w:rsidP="00EF2146">
      <w:pPr>
        <w:rPr>
          <w:b/>
          <w:szCs w:val="22"/>
        </w:rPr>
      </w:pPr>
    </w:p>
    <w:p w14:paraId="50ED279B" w14:textId="77777777" w:rsidR="001926CB" w:rsidRPr="002516E2" w:rsidRDefault="00625652" w:rsidP="002516E2">
      <w:pPr>
        <w:pStyle w:val="StyleParanumLeft"/>
        <w:rPr>
          <w:b/>
        </w:rPr>
      </w:pPr>
      <w:r>
        <w:t xml:space="preserve">In this Public Notice, the Wireline Competition Bureau (Bureau) publishes a </w:t>
      </w:r>
      <w:r w:rsidR="00C648AD">
        <w:t>l</w:t>
      </w:r>
      <w:r>
        <w:t>ist</w:t>
      </w:r>
      <w:r w:rsidR="00FA4C5C">
        <w:t xml:space="preserve"> of</w:t>
      </w:r>
      <w:r>
        <w:t xml:space="preserve"> study areas </w:t>
      </w:r>
      <w:r w:rsidR="00261C50">
        <w:t xml:space="preserve">potentially </w:t>
      </w:r>
      <w:r w:rsidR="00C648AD">
        <w:t>subject to the 100 percent overlap rule</w:t>
      </w:r>
      <w:r w:rsidR="00261C50">
        <w:t xml:space="preserve">.  We </w:t>
      </w:r>
      <w:r w:rsidR="004D23D7">
        <w:t xml:space="preserve">seek comment on </w:t>
      </w:r>
      <w:r w:rsidR="00261C50">
        <w:t xml:space="preserve">whether the competitors </w:t>
      </w:r>
      <w:r w:rsidR="00791F57">
        <w:t>in the study areas</w:t>
      </w:r>
      <w:r w:rsidR="000A5F16">
        <w:t xml:space="preserve"> </w:t>
      </w:r>
      <w:r w:rsidR="00744E3D">
        <w:t xml:space="preserve">codes </w:t>
      </w:r>
      <w:r w:rsidR="000A5F16">
        <w:t>(SACs)</w:t>
      </w:r>
      <w:r w:rsidR="00791F57">
        <w:t xml:space="preserve"> </w:t>
      </w:r>
      <w:r w:rsidR="00261C50">
        <w:t xml:space="preserve">listed </w:t>
      </w:r>
      <w:r w:rsidR="00AD1DF3">
        <w:t xml:space="preserve">are </w:t>
      </w:r>
      <w:r w:rsidR="00113D2D">
        <w:t xml:space="preserve">in fact </w:t>
      </w:r>
      <w:r w:rsidR="00AD1DF3">
        <w:t xml:space="preserve">offering voice and </w:t>
      </w:r>
      <w:r w:rsidR="008D6D24">
        <w:t xml:space="preserve">broadband </w:t>
      </w:r>
      <w:r w:rsidR="00261C50">
        <w:t xml:space="preserve">to 100 percent of locations in the relevant census blocks meeting the </w:t>
      </w:r>
      <w:r w:rsidR="000A5F16">
        <w:t>requirements in</w:t>
      </w:r>
      <w:r w:rsidR="00261C50">
        <w:t xml:space="preserve"> 47 CFR </w:t>
      </w:r>
      <w:r w:rsidR="003B708E">
        <w:t xml:space="preserve">§ </w:t>
      </w:r>
      <w:r w:rsidR="00261C50">
        <w:t>54.319</w:t>
      </w:r>
      <w:r w:rsidR="00791F57">
        <w:t>(a)</w:t>
      </w:r>
      <w:r w:rsidR="00261C50">
        <w:t>.</w:t>
      </w:r>
      <w:r w:rsidR="004D23D7">
        <w:rPr>
          <w:rStyle w:val="FootnoteReference"/>
        </w:rPr>
        <w:footnoteReference w:id="2"/>
      </w:r>
      <w:r w:rsidR="004D23D7">
        <w:t xml:space="preserve">  </w:t>
      </w:r>
      <w:r w:rsidR="000E7418">
        <w:t>W</w:t>
      </w:r>
      <w:r w:rsidR="00CD0283">
        <w:t xml:space="preserve">e </w:t>
      </w:r>
      <w:r w:rsidR="00113D2D">
        <w:t xml:space="preserve">also provide </w:t>
      </w:r>
      <w:r w:rsidR="004775F6">
        <w:t xml:space="preserve">examples of </w:t>
      </w:r>
      <w:r w:rsidR="00113D2D">
        <w:t xml:space="preserve">the types of </w:t>
      </w:r>
      <w:r w:rsidR="00B405A4">
        <w:t xml:space="preserve">information </w:t>
      </w:r>
      <w:r w:rsidR="00CD0283">
        <w:t xml:space="preserve">we will find </w:t>
      </w:r>
      <w:r w:rsidR="004775F6">
        <w:t xml:space="preserve">most </w:t>
      </w:r>
      <w:r w:rsidR="00CD0283">
        <w:t>persuasive</w:t>
      </w:r>
      <w:r w:rsidR="00B405A4">
        <w:t xml:space="preserve"> from commenters</w:t>
      </w:r>
      <w:r w:rsidR="00113D2D">
        <w:t xml:space="preserve"> seeking to demonstrate that they </w:t>
      </w:r>
      <w:r w:rsidR="00AD1DF3">
        <w:t xml:space="preserve">are offering </w:t>
      </w:r>
      <w:r w:rsidR="00C12004">
        <w:t xml:space="preserve">voice and </w:t>
      </w:r>
      <w:r w:rsidR="00113D2D">
        <w:t>broadband to 100 percent of the locations in the relevant census block(s)</w:t>
      </w:r>
      <w:r w:rsidR="00B405A4">
        <w:t>,</w:t>
      </w:r>
      <w:r w:rsidR="00CD0283">
        <w:t xml:space="preserve"> and </w:t>
      </w:r>
      <w:r w:rsidR="00B405A4">
        <w:t xml:space="preserve">we </w:t>
      </w:r>
      <w:r w:rsidR="00CD0283">
        <w:t xml:space="preserve">describe </w:t>
      </w:r>
      <w:r w:rsidR="00B405A4">
        <w:t xml:space="preserve">ways </w:t>
      </w:r>
      <w:r w:rsidR="00744E3D">
        <w:t xml:space="preserve">in which </w:t>
      </w:r>
      <w:r w:rsidR="00B405A4">
        <w:t xml:space="preserve">we have simplified the </w:t>
      </w:r>
      <w:r w:rsidR="004775F6">
        <w:t xml:space="preserve">review </w:t>
      </w:r>
      <w:r w:rsidR="00CD0283">
        <w:t xml:space="preserve">process.  </w:t>
      </w:r>
      <w:r>
        <w:t>Once the comment cycle is complete, we will publish a final determination of the study areas subject to a 100 percent overlap.</w:t>
      </w:r>
      <w:r w:rsidR="00F540D4">
        <w:t xml:space="preserve">  Pursuant to </w:t>
      </w:r>
      <w:r w:rsidR="00B414AA">
        <w:t xml:space="preserve">our </w:t>
      </w:r>
      <w:r w:rsidR="00F540D4">
        <w:t>rule</w:t>
      </w:r>
      <w:r w:rsidR="00B414AA">
        <w:t>s</w:t>
      </w:r>
      <w:r w:rsidR="00F540D4">
        <w:t xml:space="preserve">, </w:t>
      </w:r>
      <w:r w:rsidR="00E43485">
        <w:t xml:space="preserve">high-cost universal service </w:t>
      </w:r>
      <w:r w:rsidR="00F540D4">
        <w:t xml:space="preserve">support for the </w:t>
      </w:r>
      <w:r w:rsidR="00F07A28">
        <w:t xml:space="preserve">study areas on the final list will be frozen </w:t>
      </w:r>
      <w:r w:rsidR="00D118B5">
        <w:t xml:space="preserve">at the amount disbursed in the prior calendar year, and the </w:t>
      </w:r>
      <w:r w:rsidR="00F540D4">
        <w:t>phase-down</w:t>
      </w:r>
      <w:r w:rsidR="00D118B5">
        <w:t xml:space="preserve"> in support will commence.</w:t>
      </w:r>
      <w:r w:rsidR="00701CDA">
        <w:rPr>
          <w:rStyle w:val="FootnoteReference"/>
          <w:szCs w:val="22"/>
        </w:rPr>
        <w:footnoteReference w:id="3"/>
      </w:r>
      <w:r w:rsidR="001926CB">
        <w:t xml:space="preserve"> </w:t>
      </w:r>
    </w:p>
    <w:p w14:paraId="351538B4" w14:textId="77777777" w:rsidR="00625652" w:rsidRPr="00625652" w:rsidRDefault="00625652" w:rsidP="00B779D1">
      <w:pPr>
        <w:pStyle w:val="Heading2"/>
      </w:pPr>
      <w:r>
        <w:t>Background</w:t>
      </w:r>
    </w:p>
    <w:p w14:paraId="0A2D319A" w14:textId="77777777" w:rsidR="00FE69C1" w:rsidRPr="00B64A94" w:rsidRDefault="00072ED7" w:rsidP="00B779D1">
      <w:pPr>
        <w:pStyle w:val="StyleParanumLeft"/>
        <w:widowControl/>
        <w:spacing w:after="120"/>
        <w:rPr>
          <w:b/>
        </w:rPr>
      </w:pPr>
      <w:r>
        <w:t xml:space="preserve">In the 2011 </w:t>
      </w:r>
      <w:r w:rsidRPr="00072ED7">
        <w:rPr>
          <w:i/>
        </w:rPr>
        <w:t>USF/ICC Transformation Order</w:t>
      </w:r>
      <w:r>
        <w:t xml:space="preserve">, the </w:t>
      </w:r>
      <w:r w:rsidR="001E206A" w:rsidRPr="001E206A">
        <w:t>Federal Communications Commission</w:t>
      </w:r>
      <w:r w:rsidR="001E206A">
        <w:t xml:space="preserve"> (</w:t>
      </w:r>
      <w:r>
        <w:t>Commission</w:t>
      </w:r>
      <w:r w:rsidR="001E206A">
        <w:t>)</w:t>
      </w:r>
      <w:r>
        <w:t xml:space="preserve"> adopted a rule to eliminate high-cost universal service support in incumbent local exchange carrier (</w:t>
      </w:r>
      <w:r w:rsidR="00404B56">
        <w:t xml:space="preserve">incumbent </w:t>
      </w:r>
      <w:r>
        <w:t>LEC) study areas where an unsubsidized competitor or a combination of unsubsidized competitors offers voice and broadband service</w:t>
      </w:r>
      <w:r w:rsidR="009A4C43">
        <w:t>s</w:t>
      </w:r>
      <w:r>
        <w:t xml:space="preserve"> that meet the Commission’s service obligations throughout the study area.</w:t>
      </w:r>
      <w:r>
        <w:rPr>
          <w:rStyle w:val="FootnoteReference"/>
          <w:szCs w:val="22"/>
        </w:rPr>
        <w:footnoteReference w:id="4"/>
      </w:r>
      <w:r>
        <w:t xml:space="preserve">  </w:t>
      </w:r>
      <w:r w:rsidR="00113D2D">
        <w:t>A</w:t>
      </w:r>
      <w:r w:rsidR="00E507C5">
        <w:t xml:space="preserve">n unsubsidized competitor </w:t>
      </w:r>
      <w:r w:rsidR="00113D2D">
        <w:t xml:space="preserve">is defined </w:t>
      </w:r>
      <w:r w:rsidR="00E507C5">
        <w:t xml:space="preserve">as “a facilities-based </w:t>
      </w:r>
      <w:r w:rsidR="00E507C5">
        <w:lastRenderedPageBreak/>
        <w:t>provider of residential fixed voice and broadband service</w:t>
      </w:r>
      <w:r w:rsidR="0086040B">
        <w:t xml:space="preserve"> that does not receive high-cost support</w:t>
      </w:r>
      <w:r w:rsidR="00E507C5">
        <w:t>.”</w:t>
      </w:r>
      <w:r w:rsidR="00E507C5">
        <w:rPr>
          <w:rStyle w:val="FootnoteReference"/>
        </w:rPr>
        <w:footnoteReference w:id="5"/>
      </w:r>
      <w:r w:rsidR="00E507C5">
        <w:t xml:space="preserve">  </w:t>
      </w:r>
      <w:r w:rsidR="002B3BE2">
        <w:t>T</w:t>
      </w:r>
      <w:r w:rsidR="002B3BE2" w:rsidRPr="00D118B5">
        <w:t xml:space="preserve">he Commission </w:t>
      </w:r>
      <w:r w:rsidR="00701CDA">
        <w:t xml:space="preserve">subsequently </w:t>
      </w:r>
      <w:r w:rsidR="002B3BE2" w:rsidRPr="00D118B5">
        <w:t>codified the 100 percent overlap rule</w:t>
      </w:r>
      <w:r w:rsidR="002B3BE2">
        <w:t xml:space="preserve"> in April 2014</w:t>
      </w:r>
      <w:r w:rsidR="002B3BE2" w:rsidRPr="00D118B5">
        <w:t>.</w:t>
      </w:r>
      <w:r w:rsidR="002B3BE2">
        <w:rPr>
          <w:rStyle w:val="FootnoteReference"/>
          <w:szCs w:val="22"/>
        </w:rPr>
        <w:footnoteReference w:id="6"/>
      </w:r>
      <w:r w:rsidR="002B3BE2" w:rsidRPr="00D118B5">
        <w:t xml:space="preserve">  </w:t>
      </w:r>
    </w:p>
    <w:p w14:paraId="02D49D1E" w14:textId="77777777" w:rsidR="0070474F" w:rsidRPr="00257C5C" w:rsidRDefault="009A4C43" w:rsidP="004473CB">
      <w:pPr>
        <w:pStyle w:val="StyleParanumLeft"/>
        <w:widowControl/>
        <w:rPr>
          <w:b/>
        </w:rPr>
      </w:pPr>
      <w:r w:rsidRPr="00D118B5">
        <w:t xml:space="preserve">In December 2014, the Commission directed the Bureau to “publish its preliminary determination of those areas subject to 100 percent overlap and then provide an opportunity for comment on those preliminary </w:t>
      </w:r>
      <w:r w:rsidR="00F540D4" w:rsidRPr="00D118B5">
        <w:t>determinations</w:t>
      </w:r>
      <w:r w:rsidRPr="00D118B5">
        <w:t>.”</w:t>
      </w:r>
      <w:r w:rsidR="00B67967" w:rsidRPr="007F7CE7">
        <w:rPr>
          <w:rStyle w:val="FootnoteReference"/>
          <w:szCs w:val="22"/>
        </w:rPr>
        <w:footnoteReference w:id="7"/>
      </w:r>
      <w:r w:rsidRPr="00D118B5">
        <w:t xml:space="preserve">  </w:t>
      </w:r>
      <w:r w:rsidR="00C37C36" w:rsidRPr="00D118B5">
        <w:t xml:space="preserve">The Commission </w:t>
      </w:r>
      <w:r w:rsidR="00A50012">
        <w:t>specified</w:t>
      </w:r>
      <w:r w:rsidR="00A50012" w:rsidRPr="00D118B5">
        <w:t xml:space="preserve"> </w:t>
      </w:r>
      <w:r w:rsidR="00C37C36" w:rsidRPr="00D118B5">
        <w:t>that it expected the Bureau</w:t>
      </w:r>
      <w:r w:rsidR="005E134D">
        <w:t xml:space="preserve"> in its biannual review</w:t>
      </w:r>
      <w:r w:rsidR="00C37C36" w:rsidRPr="00D118B5">
        <w:t xml:space="preserve"> to </w:t>
      </w:r>
      <w:r w:rsidR="005E134D">
        <w:t>consider</w:t>
      </w:r>
      <w:r w:rsidR="005E134D" w:rsidRPr="00D118B5">
        <w:t xml:space="preserve"> </w:t>
      </w:r>
      <w:r w:rsidR="00C37C36" w:rsidRPr="00D118B5">
        <w:t>data from the study area boundary data collection, FCC Form 477 (Form 477), and the State Broadband Initiative/National Broadband Map (SBI/NBM) when determining whether and where 100 percent overlaps exist.</w:t>
      </w:r>
      <w:r w:rsidR="00C37C36" w:rsidRPr="007F7CE7">
        <w:rPr>
          <w:rStyle w:val="FootnoteReference"/>
          <w:szCs w:val="22"/>
        </w:rPr>
        <w:footnoteReference w:id="8"/>
      </w:r>
      <w:r w:rsidR="00560D12">
        <w:t xml:space="preserve">  In 2015, the Bureau conducted its first 100 percent competitive overlap process</w:t>
      </w:r>
      <w:r w:rsidR="004775F6">
        <w:t xml:space="preserve"> after seeking comment on its proposed methodology</w:t>
      </w:r>
      <w:r w:rsidR="00560D12">
        <w:t>.</w:t>
      </w:r>
      <w:r w:rsidR="00560D12">
        <w:rPr>
          <w:rStyle w:val="FootnoteReference"/>
        </w:rPr>
        <w:footnoteReference w:id="9"/>
      </w:r>
      <w:r w:rsidR="00C37C36" w:rsidRPr="00D118B5">
        <w:t xml:space="preserve">  </w:t>
      </w:r>
    </w:p>
    <w:p w14:paraId="319C35E8" w14:textId="77777777" w:rsidR="00B67967" w:rsidRDefault="00B67967" w:rsidP="00B779D1">
      <w:pPr>
        <w:pStyle w:val="Heading2"/>
      </w:pPr>
      <w:r>
        <w:t>Results of the Preliminary 100 Percent Overlap Determination</w:t>
      </w:r>
    </w:p>
    <w:p w14:paraId="50CCCCFD" w14:textId="77777777" w:rsidR="00B67967" w:rsidRDefault="009B3751" w:rsidP="00AB1BD6">
      <w:pPr>
        <w:pStyle w:val="StyleParanumLeft"/>
      </w:pPr>
      <w:r>
        <w:t xml:space="preserve">Using </w:t>
      </w:r>
      <w:r w:rsidRPr="009B3751">
        <w:t>updated F</w:t>
      </w:r>
      <w:r>
        <w:t xml:space="preserve">orm 477 data from June 30, 2016, and the methodology we used in 2015 for the competitive overlap process, we have identified </w:t>
      </w:r>
      <w:r w:rsidR="00113D2D">
        <w:t xml:space="preserve">the </w:t>
      </w:r>
      <w:r w:rsidR="00BA6D99">
        <w:t>13</w:t>
      </w:r>
      <w:r w:rsidR="00B84BA1">
        <w:t xml:space="preserve"> </w:t>
      </w:r>
      <w:r w:rsidR="00B67967">
        <w:t xml:space="preserve">rate-of-return study areas listed </w:t>
      </w:r>
      <w:r w:rsidR="00956D5B">
        <w:t xml:space="preserve">in the table </w:t>
      </w:r>
      <w:r w:rsidR="00B67967">
        <w:t xml:space="preserve">below </w:t>
      </w:r>
      <w:r w:rsidR="00113D2D">
        <w:t xml:space="preserve">as potentially </w:t>
      </w:r>
      <w:r w:rsidR="00B67967">
        <w:t>100 percent overlap</w:t>
      </w:r>
      <w:r w:rsidR="00956D5B">
        <w:t>ped</w:t>
      </w:r>
      <w:r w:rsidR="00B67967">
        <w:t xml:space="preserve"> by an unsubsidized competitor or combination of </w:t>
      </w:r>
      <w:r w:rsidR="00B07F8A">
        <w:t xml:space="preserve">unsubsidized </w:t>
      </w:r>
      <w:r w:rsidR="00B67967">
        <w:t>competitors</w:t>
      </w:r>
      <w:r w:rsidR="00956D5B">
        <w:t xml:space="preserve">.  </w:t>
      </w:r>
    </w:p>
    <w:p w14:paraId="5BE0F03B" w14:textId="1461BE4D" w:rsidR="00C45AD2" w:rsidRDefault="00C45AD2">
      <w:r>
        <w:br w:type="page"/>
      </w:r>
    </w:p>
    <w:tbl>
      <w:tblPr>
        <w:tblW w:w="9805" w:type="dxa"/>
        <w:jc w:val="center"/>
        <w:tblLook w:val="04A0" w:firstRow="1" w:lastRow="0" w:firstColumn="1" w:lastColumn="0" w:noHBand="0" w:noVBand="1"/>
      </w:tblPr>
      <w:tblGrid>
        <w:gridCol w:w="960"/>
        <w:gridCol w:w="960"/>
        <w:gridCol w:w="3025"/>
        <w:gridCol w:w="4860"/>
      </w:tblGrid>
      <w:tr w:rsidR="0036090F" w:rsidRPr="002E3CCB" w14:paraId="7357FA91" w14:textId="77777777" w:rsidTr="00C45AD2">
        <w:trPr>
          <w:cantSplit/>
          <w:trHeight w:val="576"/>
          <w:tblHeader/>
          <w:jc w:val="center"/>
        </w:trPr>
        <w:tc>
          <w:tcPr>
            <w:tcW w:w="9805" w:type="dxa"/>
            <w:gridSpan w:val="4"/>
            <w:tcBorders>
              <w:top w:val="single" w:sz="4" w:space="0" w:color="auto"/>
              <w:left w:val="single" w:sz="4" w:space="0" w:color="auto"/>
              <w:bottom w:val="single" w:sz="4" w:space="0" w:color="auto"/>
              <w:right w:val="single" w:sz="4" w:space="0" w:color="auto"/>
            </w:tcBorders>
            <w:shd w:val="clear" w:color="000000" w:fill="C0C0C0"/>
            <w:noWrap/>
            <w:vAlign w:val="center"/>
          </w:tcPr>
          <w:p w14:paraId="5F6CFDF8" w14:textId="1B7D7898" w:rsidR="0036090F" w:rsidRPr="002E3CCB" w:rsidRDefault="0036090F" w:rsidP="00404B56">
            <w:pPr>
              <w:jc w:val="center"/>
              <w:rPr>
                <w:sz w:val="20"/>
              </w:rPr>
            </w:pPr>
          </w:p>
        </w:tc>
      </w:tr>
      <w:tr w:rsidR="002E3CCB" w:rsidRPr="002E3CCB" w14:paraId="69E7633D" w14:textId="77777777" w:rsidTr="00C45AD2">
        <w:trPr>
          <w:cantSplit/>
          <w:trHeight w:val="432"/>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13486F6" w14:textId="77777777" w:rsidR="002E3CCB" w:rsidRPr="002E3CCB" w:rsidRDefault="002E3CCB" w:rsidP="0036090F">
            <w:pPr>
              <w:jc w:val="center"/>
              <w:rPr>
                <w:b/>
                <w:sz w:val="20"/>
              </w:rPr>
            </w:pPr>
            <w:r w:rsidRPr="002E3CCB">
              <w:rPr>
                <w:b/>
                <w:sz w:val="20"/>
              </w:rPr>
              <w:t>State</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72A4FA1" w14:textId="77777777" w:rsidR="002E3CCB" w:rsidRPr="002E3CCB" w:rsidRDefault="002E3CCB" w:rsidP="0036090F">
            <w:pPr>
              <w:jc w:val="center"/>
              <w:rPr>
                <w:b/>
                <w:sz w:val="20"/>
              </w:rPr>
            </w:pPr>
            <w:r w:rsidRPr="002E3CCB">
              <w:rPr>
                <w:b/>
                <w:sz w:val="20"/>
              </w:rPr>
              <w:t>SAC</w:t>
            </w:r>
          </w:p>
        </w:tc>
        <w:tc>
          <w:tcPr>
            <w:tcW w:w="302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3D992D" w14:textId="77777777" w:rsidR="002E3CCB" w:rsidRPr="002E3CCB" w:rsidRDefault="002E3CCB" w:rsidP="0036090F">
            <w:pPr>
              <w:jc w:val="center"/>
              <w:rPr>
                <w:b/>
                <w:sz w:val="20"/>
              </w:rPr>
            </w:pPr>
            <w:r w:rsidRPr="002E3CCB">
              <w:rPr>
                <w:b/>
                <w:sz w:val="20"/>
              </w:rPr>
              <w:t>Study Area Name</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F2A03F9" w14:textId="77777777" w:rsidR="002E3CCB" w:rsidRPr="002E3CCB" w:rsidRDefault="002E3CCB" w:rsidP="0036090F">
            <w:pPr>
              <w:jc w:val="center"/>
              <w:rPr>
                <w:b/>
                <w:sz w:val="20"/>
              </w:rPr>
            </w:pPr>
            <w:r w:rsidRPr="002E3CCB">
              <w:rPr>
                <w:b/>
                <w:sz w:val="20"/>
              </w:rPr>
              <w:t>Competitive Provider</w:t>
            </w:r>
          </w:p>
        </w:tc>
      </w:tr>
      <w:tr w:rsidR="002E3CCB" w:rsidRPr="002E3CCB" w14:paraId="639070C3" w14:textId="77777777" w:rsidTr="00C45AD2">
        <w:trPr>
          <w:cantSplit/>
          <w:trHeight w:val="144"/>
          <w:jc w:val="center"/>
        </w:trPr>
        <w:tc>
          <w:tcPr>
            <w:tcW w:w="960" w:type="dxa"/>
            <w:vMerge w:val="restart"/>
            <w:tcBorders>
              <w:top w:val="nil"/>
              <w:left w:val="single" w:sz="4" w:space="0" w:color="auto"/>
              <w:right w:val="single" w:sz="4" w:space="0" w:color="auto"/>
            </w:tcBorders>
            <w:shd w:val="clear" w:color="auto" w:fill="auto"/>
            <w:noWrap/>
            <w:vAlign w:val="center"/>
            <w:hideMark/>
          </w:tcPr>
          <w:p w14:paraId="6CD6F7B2" w14:textId="77777777" w:rsidR="002E3CCB" w:rsidRPr="002E3CCB" w:rsidRDefault="002E3CCB" w:rsidP="0036090F">
            <w:pPr>
              <w:jc w:val="center"/>
              <w:rPr>
                <w:color w:val="000000"/>
                <w:sz w:val="20"/>
              </w:rPr>
            </w:pPr>
            <w:r w:rsidRPr="002E3CCB">
              <w:rPr>
                <w:color w:val="000000"/>
                <w:sz w:val="20"/>
              </w:rPr>
              <w:t>NJ</w:t>
            </w:r>
          </w:p>
        </w:tc>
        <w:tc>
          <w:tcPr>
            <w:tcW w:w="960" w:type="dxa"/>
            <w:vMerge w:val="restart"/>
            <w:tcBorders>
              <w:top w:val="nil"/>
              <w:left w:val="nil"/>
              <w:right w:val="single" w:sz="4" w:space="0" w:color="auto"/>
            </w:tcBorders>
            <w:shd w:val="clear" w:color="auto" w:fill="auto"/>
            <w:noWrap/>
            <w:vAlign w:val="center"/>
            <w:hideMark/>
          </w:tcPr>
          <w:p w14:paraId="0DE94E05" w14:textId="77777777" w:rsidR="002E3CCB" w:rsidRPr="002E3CCB" w:rsidRDefault="002E3CCB" w:rsidP="0036090F">
            <w:pPr>
              <w:jc w:val="center"/>
              <w:rPr>
                <w:color w:val="000000"/>
                <w:sz w:val="20"/>
              </w:rPr>
            </w:pPr>
            <w:r w:rsidRPr="002E3CCB">
              <w:rPr>
                <w:color w:val="000000"/>
                <w:sz w:val="20"/>
              </w:rPr>
              <w:t>160135</w:t>
            </w:r>
            <w:r w:rsidR="00D60E3D">
              <w:rPr>
                <w:color w:val="000000"/>
                <w:sz w:val="20"/>
              </w:rPr>
              <w:t>*</w:t>
            </w:r>
          </w:p>
        </w:tc>
        <w:tc>
          <w:tcPr>
            <w:tcW w:w="3025" w:type="dxa"/>
            <w:vMerge w:val="restart"/>
            <w:tcBorders>
              <w:top w:val="nil"/>
              <w:left w:val="nil"/>
              <w:right w:val="single" w:sz="4" w:space="0" w:color="auto"/>
            </w:tcBorders>
            <w:shd w:val="clear" w:color="auto" w:fill="auto"/>
            <w:vAlign w:val="center"/>
            <w:hideMark/>
          </w:tcPr>
          <w:p w14:paraId="4A62CE16" w14:textId="77777777" w:rsidR="002E3CCB" w:rsidRPr="002E3CCB" w:rsidRDefault="002E3CCB" w:rsidP="0036090F">
            <w:pPr>
              <w:rPr>
                <w:color w:val="000000"/>
                <w:sz w:val="20"/>
              </w:rPr>
            </w:pPr>
            <w:r w:rsidRPr="002E3CCB">
              <w:rPr>
                <w:color w:val="000000"/>
                <w:sz w:val="20"/>
              </w:rPr>
              <w:t>WARWICK VALLEY-NJ</w:t>
            </w:r>
          </w:p>
        </w:tc>
        <w:tc>
          <w:tcPr>
            <w:tcW w:w="4860" w:type="dxa"/>
            <w:tcBorders>
              <w:top w:val="nil"/>
              <w:left w:val="nil"/>
              <w:bottom w:val="single" w:sz="4" w:space="0" w:color="auto"/>
              <w:right w:val="single" w:sz="4" w:space="0" w:color="auto"/>
            </w:tcBorders>
            <w:vAlign w:val="center"/>
          </w:tcPr>
          <w:p w14:paraId="4B890BA4" w14:textId="77777777" w:rsidR="002E3CCB" w:rsidRPr="002E3CCB" w:rsidRDefault="002E3CCB" w:rsidP="0036090F">
            <w:pPr>
              <w:rPr>
                <w:color w:val="000000"/>
                <w:sz w:val="20"/>
              </w:rPr>
            </w:pPr>
            <w:r w:rsidRPr="002E3CCB">
              <w:rPr>
                <w:color w:val="000000"/>
                <w:sz w:val="20"/>
              </w:rPr>
              <w:t>CenturyLink, Inc.</w:t>
            </w:r>
          </w:p>
        </w:tc>
      </w:tr>
      <w:tr w:rsidR="002E3CCB" w:rsidRPr="002E3CCB" w14:paraId="5C9410A3" w14:textId="77777777" w:rsidTr="00C45AD2">
        <w:trPr>
          <w:cantSplit/>
          <w:trHeight w:val="144"/>
          <w:jc w:val="center"/>
        </w:trPr>
        <w:tc>
          <w:tcPr>
            <w:tcW w:w="960" w:type="dxa"/>
            <w:vMerge/>
            <w:tcBorders>
              <w:left w:val="single" w:sz="4" w:space="0" w:color="auto"/>
              <w:right w:val="single" w:sz="4" w:space="0" w:color="auto"/>
            </w:tcBorders>
            <w:shd w:val="clear" w:color="auto" w:fill="auto"/>
            <w:noWrap/>
            <w:vAlign w:val="center"/>
          </w:tcPr>
          <w:p w14:paraId="3742CF0B" w14:textId="77777777" w:rsidR="002E3CCB" w:rsidRPr="002E3CCB" w:rsidRDefault="002E3CCB" w:rsidP="0036090F">
            <w:pPr>
              <w:jc w:val="center"/>
              <w:rPr>
                <w:color w:val="000000"/>
                <w:sz w:val="20"/>
              </w:rPr>
            </w:pPr>
          </w:p>
        </w:tc>
        <w:tc>
          <w:tcPr>
            <w:tcW w:w="960" w:type="dxa"/>
            <w:vMerge/>
            <w:tcBorders>
              <w:left w:val="nil"/>
              <w:right w:val="single" w:sz="4" w:space="0" w:color="auto"/>
            </w:tcBorders>
            <w:shd w:val="clear" w:color="auto" w:fill="auto"/>
            <w:noWrap/>
            <w:vAlign w:val="center"/>
          </w:tcPr>
          <w:p w14:paraId="190DA98C" w14:textId="77777777" w:rsidR="002E3CCB" w:rsidRPr="002E3CCB" w:rsidRDefault="002E3CCB" w:rsidP="0036090F">
            <w:pPr>
              <w:jc w:val="center"/>
              <w:rPr>
                <w:color w:val="000000"/>
                <w:sz w:val="20"/>
              </w:rPr>
            </w:pPr>
          </w:p>
        </w:tc>
        <w:tc>
          <w:tcPr>
            <w:tcW w:w="3025" w:type="dxa"/>
            <w:vMerge/>
            <w:tcBorders>
              <w:left w:val="nil"/>
              <w:right w:val="single" w:sz="4" w:space="0" w:color="auto"/>
            </w:tcBorders>
            <w:shd w:val="clear" w:color="auto" w:fill="auto"/>
            <w:vAlign w:val="center"/>
          </w:tcPr>
          <w:p w14:paraId="3C2E1D73"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502CAA74" w14:textId="77777777" w:rsidR="002E3CCB" w:rsidRPr="002E3CCB" w:rsidRDefault="002E3CCB" w:rsidP="0036090F">
            <w:pPr>
              <w:rPr>
                <w:color w:val="000000"/>
                <w:sz w:val="20"/>
              </w:rPr>
            </w:pPr>
            <w:r w:rsidRPr="002E3CCB">
              <w:rPr>
                <w:color w:val="000000"/>
                <w:sz w:val="20"/>
              </w:rPr>
              <w:t>Service Electric Cable Television of New Jersey, Inc.</w:t>
            </w:r>
          </w:p>
        </w:tc>
      </w:tr>
      <w:tr w:rsidR="002E3CCB" w:rsidRPr="002E3CCB" w14:paraId="07F65DF4" w14:textId="77777777" w:rsidTr="00C45AD2">
        <w:trPr>
          <w:cantSplit/>
          <w:trHeight w:val="144"/>
          <w:jc w:val="center"/>
        </w:trPr>
        <w:tc>
          <w:tcPr>
            <w:tcW w:w="960" w:type="dxa"/>
            <w:vMerge/>
            <w:tcBorders>
              <w:left w:val="single" w:sz="4" w:space="0" w:color="auto"/>
              <w:right w:val="single" w:sz="4" w:space="0" w:color="auto"/>
            </w:tcBorders>
            <w:shd w:val="clear" w:color="auto" w:fill="auto"/>
            <w:noWrap/>
            <w:vAlign w:val="center"/>
          </w:tcPr>
          <w:p w14:paraId="374F17A7" w14:textId="77777777" w:rsidR="002E3CCB" w:rsidRPr="002E3CCB" w:rsidRDefault="002E3CCB" w:rsidP="0036090F">
            <w:pPr>
              <w:jc w:val="center"/>
              <w:rPr>
                <w:color w:val="000000"/>
                <w:sz w:val="20"/>
              </w:rPr>
            </w:pPr>
          </w:p>
        </w:tc>
        <w:tc>
          <w:tcPr>
            <w:tcW w:w="960" w:type="dxa"/>
            <w:vMerge/>
            <w:tcBorders>
              <w:left w:val="nil"/>
              <w:right w:val="single" w:sz="4" w:space="0" w:color="auto"/>
            </w:tcBorders>
            <w:shd w:val="clear" w:color="auto" w:fill="auto"/>
            <w:noWrap/>
            <w:vAlign w:val="center"/>
          </w:tcPr>
          <w:p w14:paraId="704B44B8" w14:textId="77777777" w:rsidR="002E3CCB" w:rsidRPr="002E3CCB" w:rsidRDefault="002E3CCB" w:rsidP="0036090F">
            <w:pPr>
              <w:jc w:val="center"/>
              <w:rPr>
                <w:color w:val="000000"/>
                <w:sz w:val="20"/>
              </w:rPr>
            </w:pPr>
          </w:p>
        </w:tc>
        <w:tc>
          <w:tcPr>
            <w:tcW w:w="3025" w:type="dxa"/>
            <w:vMerge/>
            <w:tcBorders>
              <w:left w:val="nil"/>
              <w:right w:val="single" w:sz="4" w:space="0" w:color="auto"/>
            </w:tcBorders>
            <w:shd w:val="clear" w:color="auto" w:fill="auto"/>
            <w:vAlign w:val="center"/>
          </w:tcPr>
          <w:p w14:paraId="12984BFF"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77A82091" w14:textId="77777777" w:rsidR="002E3CCB" w:rsidRPr="002E3CCB" w:rsidRDefault="002E3CCB" w:rsidP="0036090F">
            <w:pPr>
              <w:rPr>
                <w:color w:val="000000"/>
                <w:sz w:val="20"/>
              </w:rPr>
            </w:pPr>
            <w:r w:rsidRPr="002E3CCB">
              <w:rPr>
                <w:color w:val="000000"/>
                <w:sz w:val="20"/>
              </w:rPr>
              <w:t>CSC Holdings LLC</w:t>
            </w:r>
          </w:p>
        </w:tc>
      </w:tr>
      <w:tr w:rsidR="002E3CCB" w:rsidRPr="002E3CCB" w14:paraId="257A0A79" w14:textId="77777777" w:rsidTr="00C45AD2">
        <w:trPr>
          <w:cantSplit/>
          <w:trHeight w:val="144"/>
          <w:jc w:val="center"/>
        </w:trPr>
        <w:tc>
          <w:tcPr>
            <w:tcW w:w="960" w:type="dxa"/>
            <w:vMerge/>
            <w:tcBorders>
              <w:left w:val="single" w:sz="4" w:space="0" w:color="auto"/>
              <w:bottom w:val="single" w:sz="4" w:space="0" w:color="auto"/>
              <w:right w:val="single" w:sz="4" w:space="0" w:color="auto"/>
            </w:tcBorders>
            <w:shd w:val="clear" w:color="auto" w:fill="auto"/>
            <w:noWrap/>
            <w:vAlign w:val="center"/>
          </w:tcPr>
          <w:p w14:paraId="117F161C" w14:textId="77777777" w:rsidR="002E3CCB" w:rsidRPr="002E3CCB" w:rsidRDefault="002E3CCB" w:rsidP="0036090F">
            <w:pPr>
              <w:jc w:val="center"/>
              <w:rPr>
                <w:color w:val="000000"/>
                <w:sz w:val="20"/>
              </w:rPr>
            </w:pPr>
          </w:p>
        </w:tc>
        <w:tc>
          <w:tcPr>
            <w:tcW w:w="960" w:type="dxa"/>
            <w:vMerge/>
            <w:tcBorders>
              <w:left w:val="nil"/>
              <w:bottom w:val="single" w:sz="4" w:space="0" w:color="auto"/>
              <w:right w:val="single" w:sz="4" w:space="0" w:color="auto"/>
            </w:tcBorders>
            <w:shd w:val="clear" w:color="auto" w:fill="auto"/>
            <w:noWrap/>
            <w:vAlign w:val="center"/>
          </w:tcPr>
          <w:p w14:paraId="537FFA0D" w14:textId="77777777" w:rsidR="002E3CCB" w:rsidRPr="002E3CCB" w:rsidRDefault="002E3CCB" w:rsidP="0036090F">
            <w:pPr>
              <w:jc w:val="center"/>
              <w:rPr>
                <w:color w:val="000000"/>
                <w:sz w:val="20"/>
              </w:rPr>
            </w:pPr>
          </w:p>
        </w:tc>
        <w:tc>
          <w:tcPr>
            <w:tcW w:w="3025" w:type="dxa"/>
            <w:vMerge/>
            <w:tcBorders>
              <w:left w:val="nil"/>
              <w:bottom w:val="single" w:sz="4" w:space="0" w:color="auto"/>
              <w:right w:val="single" w:sz="4" w:space="0" w:color="auto"/>
            </w:tcBorders>
            <w:shd w:val="clear" w:color="auto" w:fill="auto"/>
            <w:vAlign w:val="center"/>
          </w:tcPr>
          <w:p w14:paraId="6FA8A24E"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33678585" w14:textId="77777777" w:rsidR="002E3CCB" w:rsidRPr="002E3CCB" w:rsidRDefault="002E3CCB" w:rsidP="0036090F">
            <w:pPr>
              <w:rPr>
                <w:color w:val="000000"/>
                <w:sz w:val="20"/>
              </w:rPr>
            </w:pPr>
            <w:r w:rsidRPr="002E3CCB">
              <w:rPr>
                <w:color w:val="000000"/>
                <w:sz w:val="20"/>
              </w:rPr>
              <w:t>Verizon New Jersey Inc.</w:t>
            </w:r>
          </w:p>
        </w:tc>
      </w:tr>
      <w:tr w:rsidR="002E3CCB" w:rsidRPr="002E3CCB" w14:paraId="0CC36560" w14:textId="77777777" w:rsidTr="00C45AD2">
        <w:trPr>
          <w:cantSplit/>
          <w:trHeight w:hRule="exact" w:val="144"/>
          <w:jc w:val="center"/>
        </w:trPr>
        <w:tc>
          <w:tcPr>
            <w:tcW w:w="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55F07E8D" w14:textId="77777777" w:rsidR="002E3CCB" w:rsidRPr="002E3CCB" w:rsidRDefault="002E3CCB" w:rsidP="0036090F">
            <w:pPr>
              <w:jc w:val="center"/>
              <w:rPr>
                <w:color w:val="000000"/>
                <w:sz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633C2B7" w14:textId="77777777" w:rsidR="002E3CCB" w:rsidRPr="002E3CCB" w:rsidRDefault="002E3CCB" w:rsidP="0036090F">
            <w:pPr>
              <w:jc w:val="center"/>
              <w:rPr>
                <w:color w:val="000000"/>
                <w:sz w:val="20"/>
              </w:rPr>
            </w:pPr>
          </w:p>
        </w:tc>
        <w:tc>
          <w:tcPr>
            <w:tcW w:w="302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AC191A5"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EFD0C08" w14:textId="77777777" w:rsidR="002E3CCB" w:rsidRPr="002E3CCB" w:rsidRDefault="002E3CCB" w:rsidP="0036090F">
            <w:pPr>
              <w:rPr>
                <w:color w:val="000000"/>
                <w:sz w:val="20"/>
              </w:rPr>
            </w:pPr>
          </w:p>
        </w:tc>
      </w:tr>
      <w:tr w:rsidR="002E3CCB" w:rsidRPr="002E3CCB" w14:paraId="26086F31" w14:textId="77777777" w:rsidTr="00C45AD2">
        <w:trPr>
          <w:cantSplit/>
          <w:trHeight w:val="144"/>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F14DEE1" w14:textId="77777777" w:rsidR="002E3CCB" w:rsidRPr="002E3CCB" w:rsidRDefault="002E3CCB" w:rsidP="0036090F">
            <w:pPr>
              <w:jc w:val="center"/>
              <w:rPr>
                <w:color w:val="000000"/>
                <w:sz w:val="20"/>
              </w:rPr>
            </w:pPr>
            <w:r w:rsidRPr="002E3CCB">
              <w:rPr>
                <w:color w:val="000000"/>
                <w:sz w:val="20"/>
              </w:rPr>
              <w:t>PA</w:t>
            </w:r>
          </w:p>
        </w:tc>
        <w:tc>
          <w:tcPr>
            <w:tcW w:w="960" w:type="dxa"/>
            <w:vMerge w:val="restart"/>
            <w:tcBorders>
              <w:top w:val="single" w:sz="4" w:space="0" w:color="auto"/>
              <w:left w:val="nil"/>
              <w:right w:val="single" w:sz="4" w:space="0" w:color="auto"/>
            </w:tcBorders>
            <w:shd w:val="clear" w:color="auto" w:fill="auto"/>
            <w:noWrap/>
            <w:vAlign w:val="center"/>
            <w:hideMark/>
          </w:tcPr>
          <w:p w14:paraId="1EB730C3" w14:textId="77777777" w:rsidR="002E3CCB" w:rsidRPr="002E3CCB" w:rsidRDefault="002E3CCB" w:rsidP="0036090F">
            <w:pPr>
              <w:jc w:val="center"/>
              <w:rPr>
                <w:color w:val="000000"/>
                <w:sz w:val="20"/>
              </w:rPr>
            </w:pPr>
            <w:r w:rsidRPr="002E3CCB">
              <w:rPr>
                <w:color w:val="000000"/>
                <w:sz w:val="20"/>
              </w:rPr>
              <w:t>170175</w:t>
            </w:r>
            <w:r w:rsidR="00D60E3D">
              <w:rPr>
                <w:color w:val="000000"/>
                <w:sz w:val="20"/>
              </w:rPr>
              <w:t>*</w:t>
            </w:r>
          </w:p>
        </w:tc>
        <w:tc>
          <w:tcPr>
            <w:tcW w:w="3025" w:type="dxa"/>
            <w:vMerge w:val="restart"/>
            <w:tcBorders>
              <w:top w:val="single" w:sz="4" w:space="0" w:color="auto"/>
              <w:left w:val="nil"/>
              <w:right w:val="single" w:sz="4" w:space="0" w:color="auto"/>
            </w:tcBorders>
            <w:shd w:val="clear" w:color="auto" w:fill="auto"/>
            <w:vAlign w:val="center"/>
            <w:hideMark/>
          </w:tcPr>
          <w:p w14:paraId="74D66634" w14:textId="77777777" w:rsidR="002E3CCB" w:rsidRPr="002E3CCB" w:rsidRDefault="002E3CCB" w:rsidP="0036090F">
            <w:pPr>
              <w:rPr>
                <w:color w:val="000000"/>
                <w:sz w:val="20"/>
              </w:rPr>
            </w:pPr>
            <w:r w:rsidRPr="002E3CCB">
              <w:rPr>
                <w:color w:val="000000"/>
                <w:sz w:val="20"/>
              </w:rPr>
              <w:t>IRONTON TEL CO</w:t>
            </w:r>
          </w:p>
        </w:tc>
        <w:tc>
          <w:tcPr>
            <w:tcW w:w="4860" w:type="dxa"/>
            <w:tcBorders>
              <w:top w:val="single" w:sz="4" w:space="0" w:color="auto"/>
              <w:left w:val="nil"/>
              <w:bottom w:val="single" w:sz="4" w:space="0" w:color="auto"/>
              <w:right w:val="single" w:sz="4" w:space="0" w:color="auto"/>
            </w:tcBorders>
            <w:vAlign w:val="center"/>
          </w:tcPr>
          <w:p w14:paraId="601BD006" w14:textId="77777777" w:rsidR="002E3CCB" w:rsidRPr="002E3CCB" w:rsidRDefault="002E3CCB" w:rsidP="0036090F">
            <w:pPr>
              <w:rPr>
                <w:color w:val="000000"/>
                <w:sz w:val="20"/>
              </w:rPr>
            </w:pPr>
            <w:r w:rsidRPr="002E3CCB">
              <w:rPr>
                <w:color w:val="000000"/>
                <w:sz w:val="20"/>
              </w:rPr>
              <w:t>Service Electric Cable TV, Inc.</w:t>
            </w:r>
          </w:p>
        </w:tc>
      </w:tr>
      <w:tr w:rsidR="002E3CCB" w:rsidRPr="002E3CCB" w14:paraId="7C646EB6" w14:textId="77777777" w:rsidTr="00C45AD2">
        <w:trPr>
          <w:cantSplit/>
          <w:trHeight w:val="144"/>
          <w:jc w:val="center"/>
        </w:trPr>
        <w:tc>
          <w:tcPr>
            <w:tcW w:w="960" w:type="dxa"/>
            <w:vMerge/>
            <w:tcBorders>
              <w:left w:val="single" w:sz="4" w:space="0" w:color="auto"/>
              <w:right w:val="single" w:sz="4" w:space="0" w:color="auto"/>
            </w:tcBorders>
            <w:shd w:val="clear" w:color="auto" w:fill="auto"/>
            <w:noWrap/>
            <w:vAlign w:val="center"/>
          </w:tcPr>
          <w:p w14:paraId="2C9E6BB1" w14:textId="77777777" w:rsidR="002E3CCB" w:rsidRPr="002E3CCB" w:rsidRDefault="002E3CCB" w:rsidP="0036090F">
            <w:pPr>
              <w:jc w:val="center"/>
              <w:rPr>
                <w:color w:val="000000"/>
                <w:sz w:val="20"/>
              </w:rPr>
            </w:pPr>
          </w:p>
        </w:tc>
        <w:tc>
          <w:tcPr>
            <w:tcW w:w="960" w:type="dxa"/>
            <w:vMerge/>
            <w:tcBorders>
              <w:left w:val="nil"/>
              <w:right w:val="single" w:sz="4" w:space="0" w:color="auto"/>
            </w:tcBorders>
            <w:shd w:val="clear" w:color="auto" w:fill="auto"/>
            <w:noWrap/>
            <w:vAlign w:val="center"/>
          </w:tcPr>
          <w:p w14:paraId="54962451" w14:textId="77777777" w:rsidR="002E3CCB" w:rsidRPr="002E3CCB" w:rsidRDefault="002E3CCB" w:rsidP="0036090F">
            <w:pPr>
              <w:jc w:val="center"/>
              <w:rPr>
                <w:color w:val="000000"/>
                <w:sz w:val="20"/>
              </w:rPr>
            </w:pPr>
          </w:p>
        </w:tc>
        <w:tc>
          <w:tcPr>
            <w:tcW w:w="3025" w:type="dxa"/>
            <w:vMerge/>
            <w:tcBorders>
              <w:left w:val="nil"/>
              <w:right w:val="single" w:sz="4" w:space="0" w:color="auto"/>
            </w:tcBorders>
            <w:shd w:val="clear" w:color="auto" w:fill="auto"/>
            <w:vAlign w:val="center"/>
          </w:tcPr>
          <w:p w14:paraId="1EFC080D"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45CD9F48" w14:textId="77777777" w:rsidR="002E3CCB" w:rsidRPr="002E3CCB" w:rsidRDefault="002E3CCB" w:rsidP="0036090F">
            <w:pPr>
              <w:rPr>
                <w:color w:val="000000"/>
                <w:sz w:val="20"/>
              </w:rPr>
            </w:pPr>
            <w:r w:rsidRPr="002E3CCB">
              <w:rPr>
                <w:color w:val="000000"/>
                <w:sz w:val="20"/>
              </w:rPr>
              <w:t>RCN Telecom Services (Lehigh) LLC</w:t>
            </w:r>
          </w:p>
        </w:tc>
      </w:tr>
      <w:tr w:rsidR="002E3CCB" w:rsidRPr="002E3CCB" w14:paraId="26B5CEA6" w14:textId="77777777" w:rsidTr="00C45AD2">
        <w:trPr>
          <w:cantSplit/>
          <w:trHeight w:val="144"/>
          <w:jc w:val="center"/>
        </w:trPr>
        <w:tc>
          <w:tcPr>
            <w:tcW w:w="960" w:type="dxa"/>
            <w:vMerge/>
            <w:tcBorders>
              <w:left w:val="single" w:sz="4" w:space="0" w:color="auto"/>
              <w:bottom w:val="single" w:sz="4" w:space="0" w:color="auto"/>
              <w:right w:val="single" w:sz="4" w:space="0" w:color="auto"/>
            </w:tcBorders>
            <w:shd w:val="clear" w:color="auto" w:fill="auto"/>
            <w:noWrap/>
            <w:vAlign w:val="center"/>
          </w:tcPr>
          <w:p w14:paraId="33F828FD" w14:textId="77777777" w:rsidR="002E3CCB" w:rsidRPr="002E3CCB" w:rsidRDefault="002E3CCB" w:rsidP="0036090F">
            <w:pPr>
              <w:jc w:val="center"/>
              <w:rPr>
                <w:color w:val="000000"/>
                <w:sz w:val="20"/>
              </w:rPr>
            </w:pPr>
          </w:p>
        </w:tc>
        <w:tc>
          <w:tcPr>
            <w:tcW w:w="960" w:type="dxa"/>
            <w:vMerge/>
            <w:tcBorders>
              <w:left w:val="nil"/>
              <w:bottom w:val="single" w:sz="4" w:space="0" w:color="auto"/>
              <w:right w:val="single" w:sz="4" w:space="0" w:color="auto"/>
            </w:tcBorders>
            <w:shd w:val="clear" w:color="auto" w:fill="auto"/>
            <w:noWrap/>
            <w:vAlign w:val="center"/>
          </w:tcPr>
          <w:p w14:paraId="524948E7" w14:textId="77777777" w:rsidR="002E3CCB" w:rsidRPr="002E3CCB" w:rsidRDefault="002E3CCB" w:rsidP="0036090F">
            <w:pPr>
              <w:jc w:val="center"/>
              <w:rPr>
                <w:color w:val="000000"/>
                <w:sz w:val="20"/>
              </w:rPr>
            </w:pPr>
          </w:p>
        </w:tc>
        <w:tc>
          <w:tcPr>
            <w:tcW w:w="3025" w:type="dxa"/>
            <w:vMerge/>
            <w:tcBorders>
              <w:left w:val="nil"/>
              <w:bottom w:val="single" w:sz="4" w:space="0" w:color="auto"/>
              <w:right w:val="single" w:sz="4" w:space="0" w:color="auto"/>
            </w:tcBorders>
            <w:shd w:val="clear" w:color="auto" w:fill="auto"/>
            <w:vAlign w:val="center"/>
          </w:tcPr>
          <w:p w14:paraId="607E9B56"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741A0EC7" w14:textId="77777777" w:rsidR="002E3CCB" w:rsidRPr="002E3CCB" w:rsidRDefault="002E3CCB" w:rsidP="0036090F">
            <w:pPr>
              <w:rPr>
                <w:color w:val="000000"/>
                <w:sz w:val="20"/>
              </w:rPr>
            </w:pPr>
            <w:r w:rsidRPr="002E3CCB">
              <w:rPr>
                <w:color w:val="000000"/>
                <w:sz w:val="20"/>
              </w:rPr>
              <w:t>Verizon Pennsylvania LLC</w:t>
            </w:r>
          </w:p>
        </w:tc>
      </w:tr>
      <w:tr w:rsidR="002E3CCB" w:rsidRPr="002E3CCB" w14:paraId="0B44FA99" w14:textId="77777777" w:rsidTr="00C45AD2">
        <w:trPr>
          <w:cantSplit/>
          <w:trHeight w:hRule="exact" w:val="144"/>
          <w:jc w:val="center"/>
        </w:trPr>
        <w:tc>
          <w:tcPr>
            <w:tcW w:w="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27C56E94" w14:textId="77777777" w:rsidR="002E3CCB" w:rsidRPr="002E3CCB" w:rsidRDefault="002E3CCB" w:rsidP="0036090F">
            <w:pPr>
              <w:jc w:val="center"/>
              <w:rPr>
                <w:color w:val="000000"/>
                <w:sz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5C2FE70D" w14:textId="77777777" w:rsidR="002E3CCB" w:rsidRPr="002E3CCB" w:rsidRDefault="002E3CCB" w:rsidP="0036090F">
            <w:pPr>
              <w:jc w:val="center"/>
              <w:rPr>
                <w:color w:val="000000"/>
                <w:sz w:val="20"/>
              </w:rPr>
            </w:pPr>
          </w:p>
        </w:tc>
        <w:tc>
          <w:tcPr>
            <w:tcW w:w="302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4BFBBE9"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A98997C" w14:textId="77777777" w:rsidR="002E3CCB" w:rsidRPr="002E3CCB" w:rsidRDefault="002E3CCB" w:rsidP="0036090F">
            <w:pPr>
              <w:rPr>
                <w:color w:val="000000"/>
                <w:sz w:val="20"/>
              </w:rPr>
            </w:pPr>
          </w:p>
        </w:tc>
      </w:tr>
      <w:tr w:rsidR="002E3CCB" w:rsidRPr="002E3CCB" w14:paraId="1F2343A7" w14:textId="77777777" w:rsidTr="00C45AD2">
        <w:trPr>
          <w:cantSplit/>
          <w:trHeight w:val="144"/>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704E7D2C" w14:textId="77777777" w:rsidR="002E3CCB" w:rsidRPr="002E3CCB" w:rsidRDefault="002E3CCB" w:rsidP="0036090F">
            <w:pPr>
              <w:jc w:val="center"/>
              <w:rPr>
                <w:color w:val="000000"/>
                <w:sz w:val="20"/>
              </w:rPr>
            </w:pPr>
            <w:r w:rsidRPr="002E3CCB">
              <w:rPr>
                <w:color w:val="000000"/>
                <w:sz w:val="20"/>
              </w:rPr>
              <w:t>OH</w:t>
            </w:r>
          </w:p>
        </w:tc>
        <w:tc>
          <w:tcPr>
            <w:tcW w:w="960" w:type="dxa"/>
            <w:vMerge w:val="restart"/>
            <w:tcBorders>
              <w:top w:val="single" w:sz="4" w:space="0" w:color="auto"/>
              <w:left w:val="nil"/>
              <w:right w:val="single" w:sz="4" w:space="0" w:color="auto"/>
            </w:tcBorders>
            <w:shd w:val="clear" w:color="auto" w:fill="auto"/>
            <w:noWrap/>
            <w:vAlign w:val="center"/>
            <w:hideMark/>
          </w:tcPr>
          <w:p w14:paraId="0E24E6AA" w14:textId="77777777" w:rsidR="002E3CCB" w:rsidRPr="002E3CCB" w:rsidRDefault="002E3CCB" w:rsidP="0036090F">
            <w:pPr>
              <w:jc w:val="center"/>
              <w:rPr>
                <w:color w:val="000000"/>
                <w:sz w:val="20"/>
              </w:rPr>
            </w:pPr>
            <w:r w:rsidRPr="002E3CCB">
              <w:rPr>
                <w:color w:val="000000"/>
                <w:sz w:val="20"/>
              </w:rPr>
              <w:t>300589</w:t>
            </w:r>
          </w:p>
        </w:tc>
        <w:tc>
          <w:tcPr>
            <w:tcW w:w="3025" w:type="dxa"/>
            <w:vMerge w:val="restart"/>
            <w:tcBorders>
              <w:top w:val="single" w:sz="4" w:space="0" w:color="auto"/>
              <w:left w:val="nil"/>
              <w:right w:val="single" w:sz="4" w:space="0" w:color="auto"/>
            </w:tcBorders>
            <w:shd w:val="clear" w:color="auto" w:fill="auto"/>
            <w:vAlign w:val="center"/>
            <w:hideMark/>
          </w:tcPr>
          <w:p w14:paraId="38B1CDF7" w14:textId="77777777" w:rsidR="002E3CCB" w:rsidRPr="002E3CCB" w:rsidRDefault="002E3CCB" w:rsidP="0036090F">
            <w:pPr>
              <w:rPr>
                <w:color w:val="000000"/>
                <w:sz w:val="20"/>
              </w:rPr>
            </w:pPr>
            <w:r w:rsidRPr="002E3CCB">
              <w:rPr>
                <w:color w:val="000000"/>
                <w:sz w:val="20"/>
              </w:rPr>
              <w:t>BASCOM MUTUAL TEL CO</w:t>
            </w:r>
          </w:p>
        </w:tc>
        <w:tc>
          <w:tcPr>
            <w:tcW w:w="4860" w:type="dxa"/>
            <w:tcBorders>
              <w:top w:val="single" w:sz="4" w:space="0" w:color="auto"/>
              <w:left w:val="nil"/>
              <w:bottom w:val="single" w:sz="4" w:space="0" w:color="auto"/>
              <w:right w:val="single" w:sz="4" w:space="0" w:color="auto"/>
            </w:tcBorders>
            <w:vAlign w:val="center"/>
          </w:tcPr>
          <w:p w14:paraId="18375E24" w14:textId="77777777" w:rsidR="002E3CCB" w:rsidRPr="002E3CCB" w:rsidRDefault="002E3CCB" w:rsidP="0036090F">
            <w:pPr>
              <w:rPr>
                <w:color w:val="000000"/>
                <w:sz w:val="20"/>
              </w:rPr>
            </w:pPr>
            <w:r w:rsidRPr="002E3CCB">
              <w:rPr>
                <w:color w:val="000000"/>
                <w:sz w:val="20"/>
              </w:rPr>
              <w:t>Time Warner Cable Inc.</w:t>
            </w:r>
          </w:p>
        </w:tc>
      </w:tr>
      <w:tr w:rsidR="002E3CCB" w:rsidRPr="002E3CCB" w14:paraId="609AEC1A" w14:textId="77777777" w:rsidTr="00C45AD2">
        <w:trPr>
          <w:cantSplit/>
          <w:trHeight w:val="144"/>
          <w:jc w:val="center"/>
        </w:trPr>
        <w:tc>
          <w:tcPr>
            <w:tcW w:w="960" w:type="dxa"/>
            <w:vMerge/>
            <w:tcBorders>
              <w:left w:val="single" w:sz="4" w:space="0" w:color="auto"/>
              <w:bottom w:val="single" w:sz="4" w:space="0" w:color="auto"/>
              <w:right w:val="single" w:sz="4" w:space="0" w:color="auto"/>
            </w:tcBorders>
            <w:shd w:val="clear" w:color="auto" w:fill="auto"/>
            <w:noWrap/>
            <w:vAlign w:val="center"/>
          </w:tcPr>
          <w:p w14:paraId="26E71677" w14:textId="77777777" w:rsidR="002E3CCB" w:rsidRPr="002E3CCB" w:rsidRDefault="002E3CCB" w:rsidP="0036090F">
            <w:pPr>
              <w:jc w:val="center"/>
              <w:rPr>
                <w:color w:val="000000"/>
                <w:sz w:val="20"/>
              </w:rPr>
            </w:pPr>
          </w:p>
        </w:tc>
        <w:tc>
          <w:tcPr>
            <w:tcW w:w="960" w:type="dxa"/>
            <w:vMerge/>
            <w:tcBorders>
              <w:left w:val="nil"/>
              <w:bottom w:val="single" w:sz="4" w:space="0" w:color="auto"/>
              <w:right w:val="single" w:sz="4" w:space="0" w:color="auto"/>
            </w:tcBorders>
            <w:shd w:val="clear" w:color="auto" w:fill="auto"/>
            <w:noWrap/>
            <w:vAlign w:val="center"/>
          </w:tcPr>
          <w:p w14:paraId="0A55A0EF" w14:textId="77777777" w:rsidR="002E3CCB" w:rsidRPr="002E3CCB" w:rsidRDefault="002E3CCB" w:rsidP="0036090F">
            <w:pPr>
              <w:jc w:val="center"/>
              <w:rPr>
                <w:color w:val="000000"/>
                <w:sz w:val="20"/>
              </w:rPr>
            </w:pPr>
          </w:p>
        </w:tc>
        <w:tc>
          <w:tcPr>
            <w:tcW w:w="3025" w:type="dxa"/>
            <w:vMerge/>
            <w:tcBorders>
              <w:left w:val="nil"/>
              <w:bottom w:val="single" w:sz="4" w:space="0" w:color="auto"/>
              <w:right w:val="single" w:sz="4" w:space="0" w:color="auto"/>
            </w:tcBorders>
            <w:shd w:val="clear" w:color="auto" w:fill="auto"/>
            <w:vAlign w:val="center"/>
          </w:tcPr>
          <w:p w14:paraId="120BB22A"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65BEB7B8" w14:textId="77777777" w:rsidR="002E3CCB" w:rsidRPr="002E3CCB" w:rsidRDefault="002E3CCB" w:rsidP="0036090F">
            <w:pPr>
              <w:rPr>
                <w:color w:val="000000"/>
                <w:sz w:val="20"/>
              </w:rPr>
            </w:pPr>
            <w:r w:rsidRPr="002E3CCB">
              <w:rPr>
                <w:color w:val="000000"/>
                <w:sz w:val="20"/>
              </w:rPr>
              <w:t>W A T C H TV</w:t>
            </w:r>
          </w:p>
        </w:tc>
      </w:tr>
      <w:tr w:rsidR="002E3CCB" w:rsidRPr="002E3CCB" w14:paraId="266C6180" w14:textId="77777777" w:rsidTr="00C45AD2">
        <w:trPr>
          <w:cantSplit/>
          <w:trHeight w:hRule="exact" w:val="144"/>
          <w:jc w:val="center"/>
        </w:trPr>
        <w:tc>
          <w:tcPr>
            <w:tcW w:w="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32608E9E" w14:textId="77777777" w:rsidR="002E3CCB" w:rsidRPr="002E3CCB" w:rsidRDefault="002E3CCB" w:rsidP="0036090F">
            <w:pPr>
              <w:jc w:val="center"/>
              <w:rPr>
                <w:color w:val="000000"/>
                <w:sz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3D4C0FD3" w14:textId="77777777" w:rsidR="002E3CCB" w:rsidRPr="002E3CCB" w:rsidRDefault="002E3CCB" w:rsidP="0036090F">
            <w:pPr>
              <w:jc w:val="center"/>
              <w:rPr>
                <w:color w:val="000000"/>
                <w:sz w:val="20"/>
              </w:rPr>
            </w:pPr>
          </w:p>
        </w:tc>
        <w:tc>
          <w:tcPr>
            <w:tcW w:w="302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2A07F5FC"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E748058" w14:textId="77777777" w:rsidR="002E3CCB" w:rsidRPr="002E3CCB" w:rsidRDefault="002E3CCB" w:rsidP="0036090F">
            <w:pPr>
              <w:rPr>
                <w:color w:val="000000"/>
                <w:sz w:val="20"/>
              </w:rPr>
            </w:pPr>
          </w:p>
        </w:tc>
      </w:tr>
      <w:tr w:rsidR="002E3CCB" w:rsidRPr="002E3CCB" w14:paraId="37D4F1FA" w14:textId="77777777" w:rsidTr="00C45AD2">
        <w:trPr>
          <w:cantSplit/>
          <w:trHeight w:val="144"/>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6E52173" w14:textId="77777777" w:rsidR="002E3CCB" w:rsidRPr="002E3CCB" w:rsidRDefault="002E3CCB" w:rsidP="0036090F">
            <w:pPr>
              <w:jc w:val="center"/>
              <w:rPr>
                <w:color w:val="000000"/>
                <w:sz w:val="20"/>
              </w:rPr>
            </w:pPr>
            <w:r w:rsidRPr="002E3CCB">
              <w:rPr>
                <w:color w:val="000000"/>
                <w:sz w:val="20"/>
              </w:rPr>
              <w:t>MI</w:t>
            </w:r>
          </w:p>
        </w:tc>
        <w:tc>
          <w:tcPr>
            <w:tcW w:w="960" w:type="dxa"/>
            <w:vMerge w:val="restart"/>
            <w:tcBorders>
              <w:top w:val="single" w:sz="4" w:space="0" w:color="auto"/>
              <w:left w:val="nil"/>
              <w:right w:val="single" w:sz="4" w:space="0" w:color="auto"/>
            </w:tcBorders>
            <w:shd w:val="clear" w:color="auto" w:fill="auto"/>
            <w:noWrap/>
            <w:vAlign w:val="center"/>
            <w:hideMark/>
          </w:tcPr>
          <w:p w14:paraId="3F410A3A" w14:textId="77777777" w:rsidR="002E3CCB" w:rsidRPr="002E3CCB" w:rsidRDefault="002E3CCB" w:rsidP="0036090F">
            <w:pPr>
              <w:jc w:val="center"/>
              <w:rPr>
                <w:color w:val="000000"/>
                <w:sz w:val="20"/>
              </w:rPr>
            </w:pPr>
            <w:r w:rsidRPr="002E3CCB">
              <w:rPr>
                <w:color w:val="000000"/>
                <w:sz w:val="20"/>
              </w:rPr>
              <w:t>310678</w:t>
            </w:r>
          </w:p>
        </w:tc>
        <w:tc>
          <w:tcPr>
            <w:tcW w:w="3025" w:type="dxa"/>
            <w:vMerge w:val="restart"/>
            <w:tcBorders>
              <w:top w:val="single" w:sz="4" w:space="0" w:color="auto"/>
              <w:left w:val="nil"/>
              <w:right w:val="single" w:sz="4" w:space="0" w:color="auto"/>
            </w:tcBorders>
            <w:shd w:val="clear" w:color="auto" w:fill="auto"/>
            <w:vAlign w:val="center"/>
            <w:hideMark/>
          </w:tcPr>
          <w:p w14:paraId="3D32178E" w14:textId="77777777" w:rsidR="002E3CCB" w:rsidRPr="002E3CCB" w:rsidRDefault="002E3CCB" w:rsidP="0036090F">
            <w:pPr>
              <w:rPr>
                <w:color w:val="000000"/>
                <w:sz w:val="20"/>
              </w:rPr>
            </w:pPr>
            <w:r w:rsidRPr="002E3CCB">
              <w:rPr>
                <w:color w:val="000000"/>
                <w:sz w:val="20"/>
              </w:rPr>
              <w:t>BLANCHARD TEL ASSN</w:t>
            </w:r>
          </w:p>
        </w:tc>
        <w:tc>
          <w:tcPr>
            <w:tcW w:w="4860" w:type="dxa"/>
            <w:tcBorders>
              <w:top w:val="single" w:sz="4" w:space="0" w:color="auto"/>
              <w:left w:val="nil"/>
              <w:bottom w:val="single" w:sz="4" w:space="0" w:color="auto"/>
              <w:right w:val="single" w:sz="4" w:space="0" w:color="auto"/>
            </w:tcBorders>
            <w:vAlign w:val="center"/>
          </w:tcPr>
          <w:p w14:paraId="45BE7D2D" w14:textId="77777777" w:rsidR="002E3CCB" w:rsidRPr="002E3CCB" w:rsidRDefault="002E3CCB" w:rsidP="0036090F">
            <w:pPr>
              <w:rPr>
                <w:color w:val="000000"/>
                <w:sz w:val="20"/>
              </w:rPr>
            </w:pPr>
            <w:r w:rsidRPr="002E3CCB">
              <w:rPr>
                <w:color w:val="000000"/>
                <w:sz w:val="20"/>
              </w:rPr>
              <w:t>Crystal Automation Systems, Inc.</w:t>
            </w:r>
          </w:p>
        </w:tc>
      </w:tr>
      <w:tr w:rsidR="002E3CCB" w:rsidRPr="002E3CCB" w14:paraId="6C83145D" w14:textId="77777777" w:rsidTr="00C45AD2">
        <w:trPr>
          <w:cantSplit/>
          <w:trHeight w:val="144"/>
          <w:jc w:val="center"/>
        </w:trPr>
        <w:tc>
          <w:tcPr>
            <w:tcW w:w="960" w:type="dxa"/>
            <w:vMerge/>
            <w:tcBorders>
              <w:left w:val="single" w:sz="4" w:space="0" w:color="auto"/>
              <w:right w:val="single" w:sz="4" w:space="0" w:color="auto"/>
            </w:tcBorders>
            <w:shd w:val="clear" w:color="auto" w:fill="auto"/>
            <w:noWrap/>
            <w:vAlign w:val="center"/>
          </w:tcPr>
          <w:p w14:paraId="7F53DA5C" w14:textId="77777777" w:rsidR="002E3CCB" w:rsidRPr="002E3CCB" w:rsidRDefault="002E3CCB" w:rsidP="0036090F">
            <w:pPr>
              <w:jc w:val="center"/>
              <w:rPr>
                <w:color w:val="000000"/>
                <w:sz w:val="20"/>
              </w:rPr>
            </w:pPr>
          </w:p>
        </w:tc>
        <w:tc>
          <w:tcPr>
            <w:tcW w:w="960" w:type="dxa"/>
            <w:vMerge/>
            <w:tcBorders>
              <w:left w:val="nil"/>
              <w:right w:val="single" w:sz="4" w:space="0" w:color="auto"/>
            </w:tcBorders>
            <w:shd w:val="clear" w:color="auto" w:fill="auto"/>
            <w:noWrap/>
            <w:vAlign w:val="center"/>
          </w:tcPr>
          <w:p w14:paraId="4EECF3C2" w14:textId="77777777" w:rsidR="002E3CCB" w:rsidRPr="002E3CCB" w:rsidRDefault="002E3CCB" w:rsidP="0036090F">
            <w:pPr>
              <w:jc w:val="center"/>
              <w:rPr>
                <w:color w:val="000000"/>
                <w:sz w:val="20"/>
              </w:rPr>
            </w:pPr>
          </w:p>
        </w:tc>
        <w:tc>
          <w:tcPr>
            <w:tcW w:w="3025" w:type="dxa"/>
            <w:vMerge/>
            <w:tcBorders>
              <w:left w:val="nil"/>
              <w:right w:val="single" w:sz="4" w:space="0" w:color="auto"/>
            </w:tcBorders>
            <w:shd w:val="clear" w:color="auto" w:fill="auto"/>
            <w:vAlign w:val="center"/>
          </w:tcPr>
          <w:p w14:paraId="73502886"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652F8EB8" w14:textId="77777777" w:rsidR="002E3CCB" w:rsidRPr="002E3CCB" w:rsidRDefault="002E3CCB" w:rsidP="0036090F">
            <w:pPr>
              <w:rPr>
                <w:color w:val="000000"/>
                <w:sz w:val="20"/>
              </w:rPr>
            </w:pPr>
            <w:r w:rsidRPr="002E3CCB">
              <w:rPr>
                <w:color w:val="000000"/>
                <w:sz w:val="20"/>
              </w:rPr>
              <w:t>Winn Telephone</w:t>
            </w:r>
            <w:r w:rsidR="00404B56">
              <w:rPr>
                <w:color w:val="000000"/>
                <w:sz w:val="20"/>
              </w:rPr>
              <w:t xml:space="preserve"> Company</w:t>
            </w:r>
          </w:p>
        </w:tc>
      </w:tr>
      <w:tr w:rsidR="002E3CCB" w:rsidRPr="002E3CCB" w14:paraId="7DB4AD3B" w14:textId="77777777" w:rsidTr="00C45AD2">
        <w:trPr>
          <w:cantSplit/>
          <w:trHeight w:val="144"/>
          <w:jc w:val="center"/>
        </w:trPr>
        <w:tc>
          <w:tcPr>
            <w:tcW w:w="960" w:type="dxa"/>
            <w:vMerge/>
            <w:tcBorders>
              <w:left w:val="single" w:sz="4" w:space="0" w:color="auto"/>
              <w:right w:val="single" w:sz="4" w:space="0" w:color="auto"/>
            </w:tcBorders>
            <w:shd w:val="clear" w:color="auto" w:fill="auto"/>
            <w:noWrap/>
            <w:vAlign w:val="center"/>
          </w:tcPr>
          <w:p w14:paraId="7BB126B9" w14:textId="77777777" w:rsidR="002E3CCB" w:rsidRPr="002E3CCB" w:rsidRDefault="002E3CCB" w:rsidP="0036090F">
            <w:pPr>
              <w:jc w:val="center"/>
              <w:rPr>
                <w:color w:val="000000"/>
                <w:sz w:val="20"/>
              </w:rPr>
            </w:pPr>
          </w:p>
        </w:tc>
        <w:tc>
          <w:tcPr>
            <w:tcW w:w="960" w:type="dxa"/>
            <w:vMerge/>
            <w:tcBorders>
              <w:left w:val="nil"/>
              <w:right w:val="single" w:sz="4" w:space="0" w:color="auto"/>
            </w:tcBorders>
            <w:shd w:val="clear" w:color="auto" w:fill="auto"/>
            <w:noWrap/>
            <w:vAlign w:val="center"/>
          </w:tcPr>
          <w:p w14:paraId="5627799F" w14:textId="77777777" w:rsidR="002E3CCB" w:rsidRPr="002E3CCB" w:rsidRDefault="002E3CCB" w:rsidP="0036090F">
            <w:pPr>
              <w:jc w:val="center"/>
              <w:rPr>
                <w:color w:val="000000"/>
                <w:sz w:val="20"/>
              </w:rPr>
            </w:pPr>
          </w:p>
        </w:tc>
        <w:tc>
          <w:tcPr>
            <w:tcW w:w="3025" w:type="dxa"/>
            <w:vMerge/>
            <w:tcBorders>
              <w:left w:val="nil"/>
              <w:right w:val="single" w:sz="4" w:space="0" w:color="auto"/>
            </w:tcBorders>
            <w:shd w:val="clear" w:color="auto" w:fill="auto"/>
            <w:vAlign w:val="center"/>
          </w:tcPr>
          <w:p w14:paraId="4371B0B0"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7B94274D" w14:textId="77777777" w:rsidR="002E3CCB" w:rsidRPr="002E3CCB" w:rsidRDefault="002E3CCB" w:rsidP="0036090F">
            <w:pPr>
              <w:rPr>
                <w:color w:val="000000"/>
                <w:sz w:val="20"/>
              </w:rPr>
            </w:pPr>
            <w:r w:rsidRPr="002E3CCB">
              <w:rPr>
                <w:color w:val="000000"/>
                <w:sz w:val="20"/>
              </w:rPr>
              <w:t>CMSInter.Net LLC</w:t>
            </w:r>
          </w:p>
        </w:tc>
      </w:tr>
      <w:tr w:rsidR="002E3CCB" w:rsidRPr="002E3CCB" w14:paraId="13E02F3B" w14:textId="77777777" w:rsidTr="00C45AD2">
        <w:trPr>
          <w:cantSplit/>
          <w:trHeight w:val="144"/>
          <w:jc w:val="center"/>
        </w:trPr>
        <w:tc>
          <w:tcPr>
            <w:tcW w:w="960" w:type="dxa"/>
            <w:vMerge/>
            <w:tcBorders>
              <w:left w:val="single" w:sz="4" w:space="0" w:color="auto"/>
              <w:right w:val="single" w:sz="4" w:space="0" w:color="auto"/>
            </w:tcBorders>
            <w:shd w:val="clear" w:color="auto" w:fill="auto"/>
            <w:noWrap/>
            <w:vAlign w:val="center"/>
          </w:tcPr>
          <w:p w14:paraId="17669ECE" w14:textId="77777777" w:rsidR="002E3CCB" w:rsidRPr="002E3CCB" w:rsidRDefault="002E3CCB" w:rsidP="0036090F">
            <w:pPr>
              <w:jc w:val="center"/>
              <w:rPr>
                <w:color w:val="000000"/>
                <w:sz w:val="20"/>
              </w:rPr>
            </w:pPr>
          </w:p>
        </w:tc>
        <w:tc>
          <w:tcPr>
            <w:tcW w:w="960" w:type="dxa"/>
            <w:vMerge/>
            <w:tcBorders>
              <w:left w:val="nil"/>
              <w:right w:val="single" w:sz="4" w:space="0" w:color="auto"/>
            </w:tcBorders>
            <w:shd w:val="clear" w:color="auto" w:fill="auto"/>
            <w:noWrap/>
            <w:vAlign w:val="center"/>
          </w:tcPr>
          <w:p w14:paraId="56E70DBD" w14:textId="77777777" w:rsidR="002E3CCB" w:rsidRPr="002E3CCB" w:rsidRDefault="002E3CCB" w:rsidP="0036090F">
            <w:pPr>
              <w:jc w:val="center"/>
              <w:rPr>
                <w:color w:val="000000"/>
                <w:sz w:val="20"/>
              </w:rPr>
            </w:pPr>
          </w:p>
        </w:tc>
        <w:tc>
          <w:tcPr>
            <w:tcW w:w="3025" w:type="dxa"/>
            <w:vMerge/>
            <w:tcBorders>
              <w:left w:val="nil"/>
              <w:right w:val="single" w:sz="4" w:space="0" w:color="auto"/>
            </w:tcBorders>
            <w:shd w:val="clear" w:color="auto" w:fill="auto"/>
            <w:vAlign w:val="center"/>
          </w:tcPr>
          <w:p w14:paraId="790701BE"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1CDAE06B" w14:textId="77777777" w:rsidR="002E3CCB" w:rsidRPr="002E3CCB" w:rsidRDefault="002E3CCB" w:rsidP="0036090F">
            <w:pPr>
              <w:rPr>
                <w:color w:val="000000"/>
                <w:sz w:val="20"/>
              </w:rPr>
            </w:pPr>
            <w:r w:rsidRPr="002E3CCB">
              <w:rPr>
                <w:color w:val="000000"/>
                <w:sz w:val="20"/>
              </w:rPr>
              <w:t>Frontier Communications Corporation</w:t>
            </w:r>
          </w:p>
        </w:tc>
      </w:tr>
      <w:tr w:rsidR="002E3CCB" w:rsidRPr="002E3CCB" w14:paraId="7ACF6BD2" w14:textId="77777777" w:rsidTr="00C45AD2">
        <w:trPr>
          <w:cantSplit/>
          <w:trHeight w:val="144"/>
          <w:jc w:val="center"/>
        </w:trPr>
        <w:tc>
          <w:tcPr>
            <w:tcW w:w="960" w:type="dxa"/>
            <w:vMerge/>
            <w:tcBorders>
              <w:left w:val="single" w:sz="4" w:space="0" w:color="auto"/>
              <w:bottom w:val="single" w:sz="4" w:space="0" w:color="auto"/>
              <w:right w:val="single" w:sz="4" w:space="0" w:color="auto"/>
            </w:tcBorders>
            <w:shd w:val="clear" w:color="auto" w:fill="auto"/>
            <w:noWrap/>
            <w:vAlign w:val="center"/>
          </w:tcPr>
          <w:p w14:paraId="1A80B36B" w14:textId="77777777" w:rsidR="002E3CCB" w:rsidRPr="002E3CCB" w:rsidRDefault="002E3CCB" w:rsidP="0036090F">
            <w:pPr>
              <w:jc w:val="center"/>
              <w:rPr>
                <w:color w:val="000000"/>
                <w:sz w:val="20"/>
              </w:rPr>
            </w:pPr>
          </w:p>
        </w:tc>
        <w:tc>
          <w:tcPr>
            <w:tcW w:w="960" w:type="dxa"/>
            <w:vMerge/>
            <w:tcBorders>
              <w:left w:val="nil"/>
              <w:bottom w:val="single" w:sz="4" w:space="0" w:color="auto"/>
              <w:right w:val="single" w:sz="4" w:space="0" w:color="auto"/>
            </w:tcBorders>
            <w:shd w:val="clear" w:color="auto" w:fill="auto"/>
            <w:noWrap/>
            <w:vAlign w:val="center"/>
          </w:tcPr>
          <w:p w14:paraId="566FC033" w14:textId="77777777" w:rsidR="002E3CCB" w:rsidRPr="002E3CCB" w:rsidRDefault="002E3CCB" w:rsidP="0036090F">
            <w:pPr>
              <w:jc w:val="center"/>
              <w:rPr>
                <w:color w:val="000000"/>
                <w:sz w:val="20"/>
              </w:rPr>
            </w:pPr>
          </w:p>
        </w:tc>
        <w:tc>
          <w:tcPr>
            <w:tcW w:w="3025" w:type="dxa"/>
            <w:vMerge/>
            <w:tcBorders>
              <w:left w:val="nil"/>
              <w:bottom w:val="single" w:sz="4" w:space="0" w:color="auto"/>
              <w:right w:val="single" w:sz="4" w:space="0" w:color="auto"/>
            </w:tcBorders>
            <w:shd w:val="clear" w:color="auto" w:fill="auto"/>
            <w:vAlign w:val="center"/>
          </w:tcPr>
          <w:p w14:paraId="182D4470"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1BA74359" w14:textId="77777777" w:rsidR="002E3CCB" w:rsidRPr="002E3CCB" w:rsidRDefault="002E3CCB" w:rsidP="0036090F">
            <w:pPr>
              <w:rPr>
                <w:color w:val="000000"/>
                <w:sz w:val="20"/>
              </w:rPr>
            </w:pPr>
            <w:r w:rsidRPr="002E3CCB">
              <w:rPr>
                <w:color w:val="000000"/>
                <w:sz w:val="20"/>
              </w:rPr>
              <w:t>Winn Telephone Company</w:t>
            </w:r>
          </w:p>
        </w:tc>
      </w:tr>
      <w:tr w:rsidR="002E3CCB" w:rsidRPr="002E3CCB" w14:paraId="4F9CAC42" w14:textId="77777777" w:rsidTr="00C45AD2">
        <w:trPr>
          <w:cantSplit/>
          <w:trHeight w:hRule="exact" w:val="144"/>
          <w:jc w:val="center"/>
        </w:trPr>
        <w:tc>
          <w:tcPr>
            <w:tcW w:w="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26843DD" w14:textId="77777777" w:rsidR="002E3CCB" w:rsidRPr="002E3CCB" w:rsidRDefault="002E3CCB" w:rsidP="0036090F">
            <w:pPr>
              <w:jc w:val="center"/>
              <w:rPr>
                <w:color w:val="000000"/>
                <w:sz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75003067" w14:textId="77777777" w:rsidR="002E3CCB" w:rsidRPr="002E3CCB" w:rsidRDefault="002E3CCB" w:rsidP="0036090F">
            <w:pPr>
              <w:jc w:val="center"/>
              <w:rPr>
                <w:color w:val="000000"/>
                <w:sz w:val="20"/>
              </w:rPr>
            </w:pPr>
          </w:p>
        </w:tc>
        <w:tc>
          <w:tcPr>
            <w:tcW w:w="302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234DC553"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997CCE7" w14:textId="77777777" w:rsidR="002E3CCB" w:rsidRPr="002E3CCB" w:rsidRDefault="002E3CCB" w:rsidP="0036090F">
            <w:pPr>
              <w:rPr>
                <w:color w:val="000000"/>
                <w:sz w:val="20"/>
              </w:rPr>
            </w:pPr>
          </w:p>
        </w:tc>
      </w:tr>
      <w:tr w:rsidR="002E3CCB" w:rsidRPr="002E3CCB" w14:paraId="45905CC0" w14:textId="77777777" w:rsidTr="00C45AD2">
        <w:trPr>
          <w:cantSplit/>
          <w:trHeight w:val="144"/>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48894102" w14:textId="77777777" w:rsidR="002E3CCB" w:rsidRPr="002E3CCB" w:rsidRDefault="002E3CCB" w:rsidP="0036090F">
            <w:pPr>
              <w:jc w:val="center"/>
              <w:rPr>
                <w:color w:val="000000"/>
                <w:sz w:val="20"/>
              </w:rPr>
            </w:pPr>
            <w:r w:rsidRPr="002E3CCB">
              <w:rPr>
                <w:color w:val="000000"/>
                <w:sz w:val="20"/>
              </w:rPr>
              <w:t>MI</w:t>
            </w:r>
          </w:p>
        </w:tc>
        <w:tc>
          <w:tcPr>
            <w:tcW w:w="960" w:type="dxa"/>
            <w:vMerge w:val="restart"/>
            <w:tcBorders>
              <w:top w:val="single" w:sz="4" w:space="0" w:color="auto"/>
              <w:left w:val="nil"/>
              <w:right w:val="single" w:sz="4" w:space="0" w:color="auto"/>
            </w:tcBorders>
            <w:shd w:val="clear" w:color="auto" w:fill="auto"/>
            <w:noWrap/>
            <w:vAlign w:val="center"/>
            <w:hideMark/>
          </w:tcPr>
          <w:p w14:paraId="548FCC2E" w14:textId="77777777" w:rsidR="002E3CCB" w:rsidRPr="002E3CCB" w:rsidRDefault="002E3CCB" w:rsidP="0036090F">
            <w:pPr>
              <w:jc w:val="center"/>
              <w:rPr>
                <w:color w:val="000000"/>
                <w:sz w:val="20"/>
              </w:rPr>
            </w:pPr>
            <w:r w:rsidRPr="002E3CCB">
              <w:rPr>
                <w:color w:val="000000"/>
                <w:sz w:val="20"/>
              </w:rPr>
              <w:t>310737</w:t>
            </w:r>
            <w:r w:rsidR="00D60E3D">
              <w:rPr>
                <w:color w:val="000000"/>
                <w:sz w:val="20"/>
              </w:rPr>
              <w:t>*</w:t>
            </w:r>
          </w:p>
        </w:tc>
        <w:tc>
          <w:tcPr>
            <w:tcW w:w="3025" w:type="dxa"/>
            <w:vMerge w:val="restart"/>
            <w:tcBorders>
              <w:top w:val="single" w:sz="4" w:space="0" w:color="auto"/>
              <w:left w:val="nil"/>
              <w:right w:val="single" w:sz="4" w:space="0" w:color="auto"/>
            </w:tcBorders>
            <w:shd w:val="clear" w:color="auto" w:fill="auto"/>
            <w:vAlign w:val="center"/>
            <w:hideMark/>
          </w:tcPr>
          <w:p w14:paraId="2B98F47A" w14:textId="77777777" w:rsidR="002E3CCB" w:rsidRPr="002E3CCB" w:rsidRDefault="002E3CCB" w:rsidP="0036090F">
            <w:pPr>
              <w:rPr>
                <w:color w:val="000000"/>
                <w:sz w:val="20"/>
              </w:rPr>
            </w:pPr>
            <w:r w:rsidRPr="002E3CCB">
              <w:rPr>
                <w:color w:val="000000"/>
                <w:sz w:val="20"/>
              </w:rPr>
              <w:t>WINN TEL CO</w:t>
            </w:r>
          </w:p>
        </w:tc>
        <w:tc>
          <w:tcPr>
            <w:tcW w:w="4860" w:type="dxa"/>
            <w:tcBorders>
              <w:top w:val="single" w:sz="4" w:space="0" w:color="auto"/>
              <w:left w:val="nil"/>
              <w:bottom w:val="single" w:sz="4" w:space="0" w:color="auto"/>
              <w:right w:val="single" w:sz="4" w:space="0" w:color="auto"/>
            </w:tcBorders>
            <w:vAlign w:val="center"/>
          </w:tcPr>
          <w:p w14:paraId="25E7B826" w14:textId="77777777" w:rsidR="002E3CCB" w:rsidRPr="002E3CCB" w:rsidRDefault="002E3CCB" w:rsidP="0036090F">
            <w:pPr>
              <w:rPr>
                <w:color w:val="000000"/>
                <w:sz w:val="20"/>
              </w:rPr>
            </w:pPr>
            <w:r w:rsidRPr="002E3CCB">
              <w:rPr>
                <w:color w:val="000000"/>
                <w:sz w:val="20"/>
              </w:rPr>
              <w:t>Blanchard Telephone Co.</w:t>
            </w:r>
          </w:p>
        </w:tc>
      </w:tr>
      <w:tr w:rsidR="002E3CCB" w:rsidRPr="002E3CCB" w14:paraId="679B555D" w14:textId="77777777" w:rsidTr="00C45AD2">
        <w:trPr>
          <w:cantSplit/>
          <w:trHeight w:val="144"/>
          <w:jc w:val="center"/>
        </w:trPr>
        <w:tc>
          <w:tcPr>
            <w:tcW w:w="960" w:type="dxa"/>
            <w:vMerge/>
            <w:tcBorders>
              <w:left w:val="single" w:sz="4" w:space="0" w:color="auto"/>
              <w:right w:val="single" w:sz="4" w:space="0" w:color="auto"/>
            </w:tcBorders>
            <w:shd w:val="clear" w:color="auto" w:fill="auto"/>
            <w:noWrap/>
            <w:vAlign w:val="center"/>
          </w:tcPr>
          <w:p w14:paraId="4E430E83" w14:textId="77777777" w:rsidR="002E3CCB" w:rsidRPr="002E3CCB" w:rsidRDefault="002E3CCB" w:rsidP="0036090F">
            <w:pPr>
              <w:jc w:val="center"/>
              <w:rPr>
                <w:color w:val="000000"/>
                <w:sz w:val="20"/>
              </w:rPr>
            </w:pPr>
          </w:p>
        </w:tc>
        <w:tc>
          <w:tcPr>
            <w:tcW w:w="960" w:type="dxa"/>
            <w:vMerge/>
            <w:tcBorders>
              <w:left w:val="nil"/>
              <w:right w:val="single" w:sz="4" w:space="0" w:color="auto"/>
            </w:tcBorders>
            <w:shd w:val="clear" w:color="auto" w:fill="auto"/>
            <w:noWrap/>
            <w:vAlign w:val="center"/>
          </w:tcPr>
          <w:p w14:paraId="7D908C7B" w14:textId="77777777" w:rsidR="002E3CCB" w:rsidRPr="002E3CCB" w:rsidRDefault="002E3CCB" w:rsidP="0036090F">
            <w:pPr>
              <w:jc w:val="center"/>
              <w:rPr>
                <w:color w:val="000000"/>
                <w:sz w:val="20"/>
              </w:rPr>
            </w:pPr>
          </w:p>
        </w:tc>
        <w:tc>
          <w:tcPr>
            <w:tcW w:w="3025" w:type="dxa"/>
            <w:vMerge/>
            <w:tcBorders>
              <w:left w:val="nil"/>
              <w:right w:val="single" w:sz="4" w:space="0" w:color="auto"/>
            </w:tcBorders>
            <w:shd w:val="clear" w:color="auto" w:fill="auto"/>
            <w:vAlign w:val="center"/>
          </w:tcPr>
          <w:p w14:paraId="2D6A432B"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609FA575" w14:textId="77777777" w:rsidR="002E3CCB" w:rsidRPr="002E3CCB" w:rsidRDefault="002E3CCB" w:rsidP="0036090F">
            <w:pPr>
              <w:rPr>
                <w:color w:val="000000"/>
                <w:sz w:val="20"/>
              </w:rPr>
            </w:pPr>
            <w:r w:rsidRPr="002E3CCB">
              <w:rPr>
                <w:color w:val="000000"/>
                <w:sz w:val="20"/>
              </w:rPr>
              <w:t>Crystal Automation Systems, Inc.</w:t>
            </w:r>
          </w:p>
        </w:tc>
      </w:tr>
      <w:tr w:rsidR="002E3CCB" w:rsidRPr="002E3CCB" w14:paraId="79F5CBF2" w14:textId="77777777" w:rsidTr="00C45AD2">
        <w:trPr>
          <w:cantSplit/>
          <w:trHeight w:val="144"/>
          <w:jc w:val="center"/>
        </w:trPr>
        <w:tc>
          <w:tcPr>
            <w:tcW w:w="960" w:type="dxa"/>
            <w:vMerge/>
            <w:tcBorders>
              <w:left w:val="single" w:sz="4" w:space="0" w:color="auto"/>
              <w:right w:val="single" w:sz="4" w:space="0" w:color="auto"/>
            </w:tcBorders>
            <w:shd w:val="clear" w:color="auto" w:fill="auto"/>
            <w:noWrap/>
            <w:vAlign w:val="center"/>
          </w:tcPr>
          <w:p w14:paraId="4D26C526" w14:textId="77777777" w:rsidR="002E3CCB" w:rsidRPr="002E3CCB" w:rsidRDefault="002E3CCB" w:rsidP="0036090F">
            <w:pPr>
              <w:jc w:val="center"/>
              <w:rPr>
                <w:color w:val="000000"/>
                <w:sz w:val="20"/>
              </w:rPr>
            </w:pPr>
          </w:p>
        </w:tc>
        <w:tc>
          <w:tcPr>
            <w:tcW w:w="960" w:type="dxa"/>
            <w:vMerge/>
            <w:tcBorders>
              <w:left w:val="nil"/>
              <w:right w:val="single" w:sz="4" w:space="0" w:color="auto"/>
            </w:tcBorders>
            <w:shd w:val="clear" w:color="auto" w:fill="auto"/>
            <w:noWrap/>
            <w:vAlign w:val="center"/>
          </w:tcPr>
          <w:p w14:paraId="63662003" w14:textId="77777777" w:rsidR="002E3CCB" w:rsidRPr="002E3CCB" w:rsidRDefault="002E3CCB" w:rsidP="0036090F">
            <w:pPr>
              <w:jc w:val="center"/>
              <w:rPr>
                <w:color w:val="000000"/>
                <w:sz w:val="20"/>
              </w:rPr>
            </w:pPr>
          </w:p>
        </w:tc>
        <w:tc>
          <w:tcPr>
            <w:tcW w:w="3025" w:type="dxa"/>
            <w:vMerge/>
            <w:tcBorders>
              <w:left w:val="nil"/>
              <w:right w:val="single" w:sz="4" w:space="0" w:color="auto"/>
            </w:tcBorders>
            <w:shd w:val="clear" w:color="auto" w:fill="auto"/>
            <w:vAlign w:val="center"/>
          </w:tcPr>
          <w:p w14:paraId="5FE711CB"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3EA27881" w14:textId="77777777" w:rsidR="002E3CCB" w:rsidRPr="002E3CCB" w:rsidRDefault="002E3CCB" w:rsidP="0036090F">
            <w:pPr>
              <w:rPr>
                <w:color w:val="000000"/>
                <w:sz w:val="20"/>
              </w:rPr>
            </w:pPr>
            <w:r w:rsidRPr="002E3CCB">
              <w:rPr>
                <w:color w:val="000000"/>
                <w:sz w:val="20"/>
              </w:rPr>
              <w:t>CMSInter.Net LLC</w:t>
            </w:r>
          </w:p>
        </w:tc>
      </w:tr>
      <w:tr w:rsidR="002E3CCB" w:rsidRPr="002E3CCB" w14:paraId="522524D6" w14:textId="77777777" w:rsidTr="00C45AD2">
        <w:trPr>
          <w:cantSplit/>
          <w:trHeight w:val="144"/>
          <w:jc w:val="center"/>
        </w:trPr>
        <w:tc>
          <w:tcPr>
            <w:tcW w:w="960" w:type="dxa"/>
            <w:vMerge/>
            <w:tcBorders>
              <w:left w:val="single" w:sz="4" w:space="0" w:color="auto"/>
              <w:bottom w:val="single" w:sz="4" w:space="0" w:color="auto"/>
              <w:right w:val="single" w:sz="4" w:space="0" w:color="auto"/>
            </w:tcBorders>
            <w:shd w:val="clear" w:color="auto" w:fill="auto"/>
            <w:noWrap/>
            <w:vAlign w:val="center"/>
          </w:tcPr>
          <w:p w14:paraId="659DF002" w14:textId="77777777" w:rsidR="002E3CCB" w:rsidRPr="002E3CCB" w:rsidRDefault="002E3CCB" w:rsidP="0036090F">
            <w:pPr>
              <w:jc w:val="center"/>
              <w:rPr>
                <w:color w:val="000000"/>
                <w:sz w:val="20"/>
              </w:rPr>
            </w:pPr>
          </w:p>
        </w:tc>
        <w:tc>
          <w:tcPr>
            <w:tcW w:w="960" w:type="dxa"/>
            <w:vMerge/>
            <w:tcBorders>
              <w:left w:val="nil"/>
              <w:bottom w:val="single" w:sz="4" w:space="0" w:color="auto"/>
              <w:right w:val="single" w:sz="4" w:space="0" w:color="auto"/>
            </w:tcBorders>
            <w:shd w:val="clear" w:color="auto" w:fill="auto"/>
            <w:noWrap/>
            <w:vAlign w:val="center"/>
          </w:tcPr>
          <w:p w14:paraId="770D688C" w14:textId="77777777" w:rsidR="002E3CCB" w:rsidRPr="002E3CCB" w:rsidRDefault="002E3CCB" w:rsidP="0036090F">
            <w:pPr>
              <w:jc w:val="center"/>
              <w:rPr>
                <w:color w:val="000000"/>
                <w:sz w:val="20"/>
              </w:rPr>
            </w:pPr>
          </w:p>
        </w:tc>
        <w:tc>
          <w:tcPr>
            <w:tcW w:w="3025" w:type="dxa"/>
            <w:vMerge/>
            <w:tcBorders>
              <w:left w:val="nil"/>
              <w:bottom w:val="single" w:sz="4" w:space="0" w:color="auto"/>
              <w:right w:val="single" w:sz="4" w:space="0" w:color="auto"/>
            </w:tcBorders>
            <w:shd w:val="clear" w:color="auto" w:fill="auto"/>
            <w:vAlign w:val="center"/>
          </w:tcPr>
          <w:p w14:paraId="5870AB4F"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7568D7A1" w14:textId="77777777" w:rsidR="002E3CCB" w:rsidRPr="002E3CCB" w:rsidRDefault="002E3CCB" w:rsidP="0036090F">
            <w:pPr>
              <w:rPr>
                <w:color w:val="000000"/>
                <w:sz w:val="20"/>
              </w:rPr>
            </w:pPr>
            <w:r w:rsidRPr="002E3CCB">
              <w:rPr>
                <w:color w:val="000000"/>
                <w:sz w:val="20"/>
              </w:rPr>
              <w:t>Frontier Communications Corporation</w:t>
            </w:r>
          </w:p>
        </w:tc>
      </w:tr>
      <w:tr w:rsidR="002E3CCB" w:rsidRPr="002E3CCB" w14:paraId="6CF3DFDE" w14:textId="77777777" w:rsidTr="00C45AD2">
        <w:trPr>
          <w:cantSplit/>
          <w:trHeight w:hRule="exact" w:val="144"/>
          <w:jc w:val="center"/>
        </w:trPr>
        <w:tc>
          <w:tcPr>
            <w:tcW w:w="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76030E90" w14:textId="77777777" w:rsidR="002E3CCB" w:rsidRPr="002E3CCB" w:rsidRDefault="002E3CCB" w:rsidP="0036090F">
            <w:pPr>
              <w:jc w:val="center"/>
              <w:rPr>
                <w:color w:val="000000"/>
                <w:sz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6E52AEEF" w14:textId="77777777" w:rsidR="002E3CCB" w:rsidRPr="002E3CCB" w:rsidRDefault="002E3CCB" w:rsidP="0036090F">
            <w:pPr>
              <w:jc w:val="center"/>
              <w:rPr>
                <w:color w:val="000000"/>
                <w:sz w:val="20"/>
              </w:rPr>
            </w:pPr>
          </w:p>
        </w:tc>
        <w:tc>
          <w:tcPr>
            <w:tcW w:w="302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50DF424"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35C09E2" w14:textId="77777777" w:rsidR="002E3CCB" w:rsidRPr="002E3CCB" w:rsidRDefault="002E3CCB" w:rsidP="0036090F">
            <w:pPr>
              <w:rPr>
                <w:color w:val="000000"/>
                <w:sz w:val="20"/>
              </w:rPr>
            </w:pPr>
          </w:p>
        </w:tc>
      </w:tr>
      <w:tr w:rsidR="002E3CCB" w:rsidRPr="002E3CCB" w14:paraId="516754D3" w14:textId="77777777" w:rsidTr="00C45AD2">
        <w:trPr>
          <w:cantSplit/>
          <w:trHeight w:val="144"/>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62E02D66" w14:textId="77777777" w:rsidR="002E3CCB" w:rsidRPr="002E3CCB" w:rsidRDefault="002E3CCB" w:rsidP="0036090F">
            <w:pPr>
              <w:jc w:val="center"/>
              <w:rPr>
                <w:color w:val="000000"/>
                <w:sz w:val="20"/>
              </w:rPr>
            </w:pPr>
            <w:r w:rsidRPr="002E3CCB">
              <w:rPr>
                <w:color w:val="000000"/>
                <w:sz w:val="20"/>
              </w:rPr>
              <w:t>MI</w:t>
            </w:r>
          </w:p>
        </w:tc>
        <w:tc>
          <w:tcPr>
            <w:tcW w:w="960" w:type="dxa"/>
            <w:vMerge w:val="restart"/>
            <w:tcBorders>
              <w:top w:val="single" w:sz="4" w:space="0" w:color="auto"/>
              <w:left w:val="nil"/>
              <w:right w:val="single" w:sz="4" w:space="0" w:color="auto"/>
            </w:tcBorders>
            <w:shd w:val="clear" w:color="auto" w:fill="auto"/>
            <w:noWrap/>
            <w:vAlign w:val="center"/>
            <w:hideMark/>
          </w:tcPr>
          <w:p w14:paraId="4D3A95AB" w14:textId="77777777" w:rsidR="002E3CCB" w:rsidRPr="002E3CCB" w:rsidRDefault="002E3CCB" w:rsidP="0036090F">
            <w:pPr>
              <w:jc w:val="center"/>
              <w:rPr>
                <w:color w:val="000000"/>
                <w:sz w:val="20"/>
              </w:rPr>
            </w:pPr>
            <w:r w:rsidRPr="002E3CCB">
              <w:rPr>
                <w:color w:val="000000"/>
                <w:sz w:val="20"/>
              </w:rPr>
              <w:t>310777</w:t>
            </w:r>
            <w:r w:rsidR="00D60E3D">
              <w:rPr>
                <w:color w:val="000000"/>
                <w:sz w:val="20"/>
              </w:rPr>
              <w:t>*</w:t>
            </w:r>
          </w:p>
        </w:tc>
        <w:tc>
          <w:tcPr>
            <w:tcW w:w="3025" w:type="dxa"/>
            <w:vMerge w:val="restart"/>
            <w:tcBorders>
              <w:top w:val="single" w:sz="4" w:space="0" w:color="auto"/>
              <w:left w:val="nil"/>
              <w:right w:val="single" w:sz="4" w:space="0" w:color="auto"/>
            </w:tcBorders>
            <w:shd w:val="clear" w:color="auto" w:fill="auto"/>
            <w:vAlign w:val="center"/>
            <w:hideMark/>
          </w:tcPr>
          <w:p w14:paraId="5B8CA560" w14:textId="77777777" w:rsidR="002E3CCB" w:rsidRPr="002E3CCB" w:rsidRDefault="002E3CCB" w:rsidP="0036090F">
            <w:pPr>
              <w:rPr>
                <w:color w:val="000000"/>
                <w:sz w:val="20"/>
              </w:rPr>
            </w:pPr>
            <w:r w:rsidRPr="002E3CCB">
              <w:rPr>
                <w:color w:val="000000"/>
                <w:sz w:val="20"/>
              </w:rPr>
              <w:t>ACE TELEPHONE CO. OF MI, INC. (OLD MISSION)</w:t>
            </w:r>
          </w:p>
        </w:tc>
        <w:tc>
          <w:tcPr>
            <w:tcW w:w="4860" w:type="dxa"/>
            <w:tcBorders>
              <w:top w:val="single" w:sz="4" w:space="0" w:color="auto"/>
              <w:left w:val="nil"/>
              <w:bottom w:val="single" w:sz="4" w:space="0" w:color="auto"/>
              <w:right w:val="single" w:sz="4" w:space="0" w:color="auto"/>
            </w:tcBorders>
            <w:vAlign w:val="center"/>
          </w:tcPr>
          <w:p w14:paraId="3DB12F10" w14:textId="77777777" w:rsidR="002E3CCB" w:rsidRPr="002E3CCB" w:rsidRDefault="002E3CCB" w:rsidP="0036090F">
            <w:pPr>
              <w:rPr>
                <w:color w:val="000000"/>
                <w:sz w:val="20"/>
              </w:rPr>
            </w:pPr>
            <w:r w:rsidRPr="002E3CCB">
              <w:rPr>
                <w:color w:val="000000"/>
                <w:sz w:val="20"/>
              </w:rPr>
              <w:t>COLI, Inc</w:t>
            </w:r>
          </w:p>
        </w:tc>
      </w:tr>
      <w:tr w:rsidR="002E3CCB" w:rsidRPr="002E3CCB" w14:paraId="62D091D7" w14:textId="77777777" w:rsidTr="00C45AD2">
        <w:trPr>
          <w:cantSplit/>
          <w:trHeight w:val="144"/>
          <w:jc w:val="center"/>
        </w:trPr>
        <w:tc>
          <w:tcPr>
            <w:tcW w:w="960" w:type="dxa"/>
            <w:vMerge/>
            <w:tcBorders>
              <w:left w:val="single" w:sz="4" w:space="0" w:color="auto"/>
              <w:bottom w:val="single" w:sz="4" w:space="0" w:color="auto"/>
              <w:right w:val="single" w:sz="4" w:space="0" w:color="auto"/>
            </w:tcBorders>
            <w:shd w:val="clear" w:color="auto" w:fill="auto"/>
            <w:noWrap/>
            <w:vAlign w:val="center"/>
          </w:tcPr>
          <w:p w14:paraId="042DFE98" w14:textId="77777777" w:rsidR="002E3CCB" w:rsidRPr="002E3CCB" w:rsidRDefault="002E3CCB" w:rsidP="0036090F">
            <w:pPr>
              <w:jc w:val="center"/>
              <w:rPr>
                <w:color w:val="000000"/>
                <w:sz w:val="20"/>
              </w:rPr>
            </w:pPr>
          </w:p>
        </w:tc>
        <w:tc>
          <w:tcPr>
            <w:tcW w:w="960" w:type="dxa"/>
            <w:vMerge/>
            <w:tcBorders>
              <w:left w:val="nil"/>
              <w:bottom w:val="single" w:sz="4" w:space="0" w:color="auto"/>
              <w:right w:val="single" w:sz="4" w:space="0" w:color="auto"/>
            </w:tcBorders>
            <w:shd w:val="clear" w:color="auto" w:fill="auto"/>
            <w:noWrap/>
            <w:vAlign w:val="center"/>
          </w:tcPr>
          <w:p w14:paraId="738CBBD2" w14:textId="77777777" w:rsidR="002E3CCB" w:rsidRPr="002E3CCB" w:rsidRDefault="002E3CCB" w:rsidP="0036090F">
            <w:pPr>
              <w:jc w:val="center"/>
              <w:rPr>
                <w:color w:val="000000"/>
                <w:sz w:val="20"/>
              </w:rPr>
            </w:pPr>
          </w:p>
        </w:tc>
        <w:tc>
          <w:tcPr>
            <w:tcW w:w="3025" w:type="dxa"/>
            <w:vMerge/>
            <w:tcBorders>
              <w:left w:val="nil"/>
              <w:bottom w:val="single" w:sz="4" w:space="0" w:color="auto"/>
              <w:right w:val="single" w:sz="4" w:space="0" w:color="auto"/>
            </w:tcBorders>
            <w:shd w:val="clear" w:color="auto" w:fill="auto"/>
            <w:vAlign w:val="center"/>
          </w:tcPr>
          <w:p w14:paraId="790E66BD"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38885FD0" w14:textId="77777777" w:rsidR="002E3CCB" w:rsidRPr="002E3CCB" w:rsidRDefault="002E3CCB" w:rsidP="0036090F">
            <w:pPr>
              <w:rPr>
                <w:color w:val="000000"/>
                <w:sz w:val="20"/>
              </w:rPr>
            </w:pPr>
            <w:r w:rsidRPr="002E3CCB">
              <w:rPr>
                <w:color w:val="000000"/>
                <w:sz w:val="20"/>
              </w:rPr>
              <w:t>Cherry Capital Connection, LLC</w:t>
            </w:r>
          </w:p>
        </w:tc>
      </w:tr>
      <w:tr w:rsidR="002E3CCB" w:rsidRPr="002E3CCB" w14:paraId="6A361855" w14:textId="77777777" w:rsidTr="00C45AD2">
        <w:trPr>
          <w:cantSplit/>
          <w:trHeight w:hRule="exact" w:val="144"/>
          <w:jc w:val="center"/>
        </w:trPr>
        <w:tc>
          <w:tcPr>
            <w:tcW w:w="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7677D8CB" w14:textId="77777777" w:rsidR="002E3CCB" w:rsidRPr="002E3CCB" w:rsidRDefault="002E3CCB" w:rsidP="0036090F">
            <w:pPr>
              <w:jc w:val="center"/>
              <w:rPr>
                <w:color w:val="000000"/>
                <w:sz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6EC4CEF7" w14:textId="77777777" w:rsidR="002E3CCB" w:rsidRPr="002E3CCB" w:rsidRDefault="002E3CCB" w:rsidP="0036090F">
            <w:pPr>
              <w:jc w:val="center"/>
              <w:rPr>
                <w:color w:val="000000"/>
                <w:sz w:val="20"/>
              </w:rPr>
            </w:pPr>
          </w:p>
        </w:tc>
        <w:tc>
          <w:tcPr>
            <w:tcW w:w="302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F44D73D"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5F01FC3A" w14:textId="77777777" w:rsidR="002E3CCB" w:rsidRPr="002E3CCB" w:rsidRDefault="002E3CCB" w:rsidP="0036090F">
            <w:pPr>
              <w:rPr>
                <w:color w:val="000000"/>
                <w:sz w:val="20"/>
              </w:rPr>
            </w:pPr>
          </w:p>
        </w:tc>
      </w:tr>
      <w:tr w:rsidR="002E3CCB" w:rsidRPr="002E3CCB" w14:paraId="053A1DCF" w14:textId="77777777" w:rsidTr="00C45AD2">
        <w:trPr>
          <w:cantSplit/>
          <w:trHeight w:val="144"/>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85057DC" w14:textId="77777777" w:rsidR="002E3CCB" w:rsidRPr="002E3CCB" w:rsidRDefault="002E3CCB" w:rsidP="0036090F">
            <w:pPr>
              <w:jc w:val="center"/>
              <w:rPr>
                <w:color w:val="000000"/>
                <w:sz w:val="20"/>
              </w:rPr>
            </w:pPr>
            <w:r w:rsidRPr="002E3CCB">
              <w:rPr>
                <w:color w:val="000000"/>
                <w:sz w:val="20"/>
              </w:rPr>
              <w:t>IN</w:t>
            </w:r>
          </w:p>
        </w:tc>
        <w:tc>
          <w:tcPr>
            <w:tcW w:w="960" w:type="dxa"/>
            <w:vMerge w:val="restart"/>
            <w:tcBorders>
              <w:top w:val="single" w:sz="4" w:space="0" w:color="auto"/>
              <w:left w:val="nil"/>
              <w:right w:val="single" w:sz="4" w:space="0" w:color="auto"/>
            </w:tcBorders>
            <w:shd w:val="clear" w:color="auto" w:fill="auto"/>
            <w:noWrap/>
            <w:vAlign w:val="center"/>
            <w:hideMark/>
          </w:tcPr>
          <w:p w14:paraId="7D476ABC" w14:textId="77777777" w:rsidR="002E3CCB" w:rsidRPr="002E3CCB" w:rsidRDefault="002E3CCB" w:rsidP="0036090F">
            <w:pPr>
              <w:jc w:val="center"/>
              <w:rPr>
                <w:color w:val="000000"/>
                <w:sz w:val="20"/>
              </w:rPr>
            </w:pPr>
            <w:r w:rsidRPr="002E3CCB">
              <w:rPr>
                <w:color w:val="000000"/>
                <w:sz w:val="20"/>
              </w:rPr>
              <w:t>320790</w:t>
            </w:r>
            <w:r w:rsidR="00D60E3D">
              <w:rPr>
                <w:color w:val="000000"/>
                <w:sz w:val="20"/>
              </w:rPr>
              <w:t>*</w:t>
            </w:r>
          </w:p>
        </w:tc>
        <w:tc>
          <w:tcPr>
            <w:tcW w:w="3025" w:type="dxa"/>
            <w:vMerge w:val="restart"/>
            <w:tcBorders>
              <w:top w:val="single" w:sz="4" w:space="0" w:color="auto"/>
              <w:left w:val="nil"/>
              <w:right w:val="single" w:sz="4" w:space="0" w:color="auto"/>
            </w:tcBorders>
            <w:shd w:val="clear" w:color="auto" w:fill="auto"/>
            <w:vAlign w:val="center"/>
            <w:hideMark/>
          </w:tcPr>
          <w:p w14:paraId="37D6AA01" w14:textId="77777777" w:rsidR="002E3CCB" w:rsidRPr="002E3CCB" w:rsidRDefault="002E3CCB" w:rsidP="0036090F">
            <w:pPr>
              <w:rPr>
                <w:color w:val="000000"/>
                <w:sz w:val="20"/>
              </w:rPr>
            </w:pPr>
            <w:r w:rsidRPr="002E3CCB">
              <w:rPr>
                <w:color w:val="000000"/>
                <w:sz w:val="20"/>
              </w:rPr>
              <w:t>MONON TEL CO</w:t>
            </w:r>
          </w:p>
        </w:tc>
        <w:tc>
          <w:tcPr>
            <w:tcW w:w="4860" w:type="dxa"/>
            <w:tcBorders>
              <w:top w:val="single" w:sz="4" w:space="0" w:color="auto"/>
              <w:left w:val="nil"/>
              <w:bottom w:val="single" w:sz="4" w:space="0" w:color="auto"/>
              <w:right w:val="single" w:sz="4" w:space="0" w:color="auto"/>
            </w:tcBorders>
            <w:vAlign w:val="center"/>
          </w:tcPr>
          <w:p w14:paraId="4144BE02" w14:textId="77777777" w:rsidR="002E3CCB" w:rsidRPr="002E3CCB" w:rsidRDefault="002E3CCB" w:rsidP="0036090F">
            <w:pPr>
              <w:rPr>
                <w:color w:val="000000"/>
                <w:sz w:val="20"/>
              </w:rPr>
            </w:pPr>
            <w:r w:rsidRPr="002E3CCB">
              <w:rPr>
                <w:color w:val="000000"/>
                <w:sz w:val="20"/>
              </w:rPr>
              <w:t>TRANSWORLD NETWORK, CORP</w:t>
            </w:r>
          </w:p>
        </w:tc>
      </w:tr>
      <w:tr w:rsidR="002E3CCB" w:rsidRPr="002E3CCB" w14:paraId="51CE36AC" w14:textId="77777777" w:rsidTr="00C45AD2">
        <w:trPr>
          <w:cantSplit/>
          <w:trHeight w:val="144"/>
          <w:jc w:val="center"/>
        </w:trPr>
        <w:tc>
          <w:tcPr>
            <w:tcW w:w="960" w:type="dxa"/>
            <w:vMerge/>
            <w:tcBorders>
              <w:left w:val="single" w:sz="4" w:space="0" w:color="auto"/>
              <w:bottom w:val="single" w:sz="4" w:space="0" w:color="auto"/>
              <w:right w:val="single" w:sz="4" w:space="0" w:color="auto"/>
            </w:tcBorders>
            <w:shd w:val="clear" w:color="auto" w:fill="auto"/>
            <w:noWrap/>
            <w:vAlign w:val="center"/>
          </w:tcPr>
          <w:p w14:paraId="219641D4" w14:textId="77777777" w:rsidR="002E3CCB" w:rsidRPr="002E3CCB" w:rsidRDefault="002E3CCB" w:rsidP="0036090F">
            <w:pPr>
              <w:jc w:val="center"/>
              <w:rPr>
                <w:color w:val="000000"/>
                <w:sz w:val="20"/>
              </w:rPr>
            </w:pPr>
          </w:p>
        </w:tc>
        <w:tc>
          <w:tcPr>
            <w:tcW w:w="960" w:type="dxa"/>
            <w:vMerge/>
            <w:tcBorders>
              <w:left w:val="nil"/>
              <w:bottom w:val="single" w:sz="4" w:space="0" w:color="auto"/>
              <w:right w:val="single" w:sz="4" w:space="0" w:color="auto"/>
            </w:tcBorders>
            <w:shd w:val="clear" w:color="auto" w:fill="auto"/>
            <w:noWrap/>
            <w:vAlign w:val="center"/>
          </w:tcPr>
          <w:p w14:paraId="1C681B43" w14:textId="77777777" w:rsidR="002E3CCB" w:rsidRPr="002E3CCB" w:rsidRDefault="002E3CCB" w:rsidP="0036090F">
            <w:pPr>
              <w:jc w:val="center"/>
              <w:rPr>
                <w:color w:val="000000"/>
                <w:sz w:val="20"/>
              </w:rPr>
            </w:pPr>
          </w:p>
        </w:tc>
        <w:tc>
          <w:tcPr>
            <w:tcW w:w="3025" w:type="dxa"/>
            <w:vMerge/>
            <w:tcBorders>
              <w:left w:val="nil"/>
              <w:bottom w:val="single" w:sz="4" w:space="0" w:color="auto"/>
              <w:right w:val="single" w:sz="4" w:space="0" w:color="auto"/>
            </w:tcBorders>
            <w:shd w:val="clear" w:color="auto" w:fill="auto"/>
            <w:vAlign w:val="center"/>
          </w:tcPr>
          <w:p w14:paraId="60EAAA7C"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259B4C63" w14:textId="77777777" w:rsidR="002E3CCB" w:rsidRPr="002E3CCB" w:rsidRDefault="002E3CCB" w:rsidP="0036090F">
            <w:pPr>
              <w:rPr>
                <w:color w:val="000000"/>
                <w:sz w:val="20"/>
              </w:rPr>
            </w:pPr>
            <w:r w:rsidRPr="002E3CCB">
              <w:rPr>
                <w:color w:val="000000"/>
                <w:sz w:val="20"/>
              </w:rPr>
              <w:t>COMCAST CABLE COMMUNICATIONS, LLC</w:t>
            </w:r>
          </w:p>
        </w:tc>
      </w:tr>
      <w:tr w:rsidR="002E3CCB" w:rsidRPr="002E3CCB" w14:paraId="1AAB00DD" w14:textId="77777777" w:rsidTr="00C45AD2">
        <w:trPr>
          <w:cantSplit/>
          <w:trHeight w:hRule="exact" w:val="144"/>
          <w:jc w:val="center"/>
        </w:trPr>
        <w:tc>
          <w:tcPr>
            <w:tcW w:w="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6F1453FA" w14:textId="77777777" w:rsidR="002E3CCB" w:rsidRPr="002E3CCB" w:rsidRDefault="002E3CCB" w:rsidP="0036090F">
            <w:pPr>
              <w:jc w:val="center"/>
              <w:rPr>
                <w:color w:val="000000"/>
                <w:sz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79E68272" w14:textId="77777777" w:rsidR="002E3CCB" w:rsidRPr="002E3CCB" w:rsidRDefault="002E3CCB" w:rsidP="0036090F">
            <w:pPr>
              <w:jc w:val="center"/>
              <w:rPr>
                <w:color w:val="000000"/>
                <w:sz w:val="20"/>
              </w:rPr>
            </w:pPr>
          </w:p>
        </w:tc>
        <w:tc>
          <w:tcPr>
            <w:tcW w:w="302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B274D85"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DD5B5C4" w14:textId="77777777" w:rsidR="002E3CCB" w:rsidRPr="002E3CCB" w:rsidRDefault="002E3CCB" w:rsidP="0036090F">
            <w:pPr>
              <w:rPr>
                <w:color w:val="000000"/>
                <w:sz w:val="20"/>
              </w:rPr>
            </w:pPr>
          </w:p>
        </w:tc>
      </w:tr>
      <w:tr w:rsidR="002E3CCB" w:rsidRPr="002E3CCB" w14:paraId="181C2D8C" w14:textId="77777777" w:rsidTr="00C45AD2">
        <w:trPr>
          <w:cantSplit/>
          <w:trHeight w:val="144"/>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2D4CDDE7" w14:textId="77777777" w:rsidR="002E3CCB" w:rsidRPr="002E3CCB" w:rsidRDefault="002E3CCB" w:rsidP="0036090F">
            <w:pPr>
              <w:jc w:val="center"/>
              <w:rPr>
                <w:color w:val="000000"/>
                <w:sz w:val="20"/>
              </w:rPr>
            </w:pPr>
            <w:r w:rsidRPr="002E3CCB">
              <w:rPr>
                <w:color w:val="000000"/>
                <w:sz w:val="20"/>
              </w:rPr>
              <w:t>IL</w:t>
            </w:r>
          </w:p>
        </w:tc>
        <w:tc>
          <w:tcPr>
            <w:tcW w:w="960" w:type="dxa"/>
            <w:vMerge w:val="restart"/>
            <w:tcBorders>
              <w:top w:val="single" w:sz="4" w:space="0" w:color="auto"/>
              <w:left w:val="nil"/>
              <w:right w:val="single" w:sz="4" w:space="0" w:color="auto"/>
            </w:tcBorders>
            <w:shd w:val="clear" w:color="auto" w:fill="auto"/>
            <w:noWrap/>
            <w:vAlign w:val="center"/>
            <w:hideMark/>
          </w:tcPr>
          <w:p w14:paraId="78E9A28F" w14:textId="77777777" w:rsidR="002E3CCB" w:rsidRPr="002E3CCB" w:rsidRDefault="002E3CCB" w:rsidP="0036090F">
            <w:pPr>
              <w:jc w:val="center"/>
              <w:rPr>
                <w:color w:val="000000"/>
                <w:sz w:val="20"/>
              </w:rPr>
            </w:pPr>
            <w:r w:rsidRPr="002E3CCB">
              <w:rPr>
                <w:color w:val="000000"/>
                <w:sz w:val="20"/>
              </w:rPr>
              <w:t>341032</w:t>
            </w:r>
          </w:p>
        </w:tc>
        <w:tc>
          <w:tcPr>
            <w:tcW w:w="3025" w:type="dxa"/>
            <w:vMerge w:val="restart"/>
            <w:tcBorders>
              <w:top w:val="single" w:sz="4" w:space="0" w:color="auto"/>
              <w:left w:val="nil"/>
              <w:right w:val="single" w:sz="4" w:space="0" w:color="auto"/>
            </w:tcBorders>
            <w:shd w:val="clear" w:color="auto" w:fill="auto"/>
            <w:vAlign w:val="center"/>
            <w:hideMark/>
          </w:tcPr>
          <w:p w14:paraId="360E3845" w14:textId="77777777" w:rsidR="002E3CCB" w:rsidRPr="002E3CCB" w:rsidRDefault="002E3CCB" w:rsidP="0036090F">
            <w:pPr>
              <w:rPr>
                <w:color w:val="000000"/>
                <w:sz w:val="20"/>
              </w:rPr>
            </w:pPr>
            <w:r w:rsidRPr="002E3CCB">
              <w:rPr>
                <w:color w:val="000000"/>
                <w:sz w:val="20"/>
              </w:rPr>
              <w:t>HOME TEL CO-ST JACOB</w:t>
            </w:r>
          </w:p>
        </w:tc>
        <w:tc>
          <w:tcPr>
            <w:tcW w:w="4860" w:type="dxa"/>
            <w:tcBorders>
              <w:top w:val="single" w:sz="4" w:space="0" w:color="auto"/>
              <w:left w:val="nil"/>
              <w:bottom w:val="single" w:sz="4" w:space="0" w:color="auto"/>
              <w:right w:val="single" w:sz="4" w:space="0" w:color="auto"/>
            </w:tcBorders>
            <w:vAlign w:val="center"/>
          </w:tcPr>
          <w:p w14:paraId="5A916D55" w14:textId="77777777" w:rsidR="002E3CCB" w:rsidRPr="002E3CCB" w:rsidRDefault="002E3CCB" w:rsidP="0036090F">
            <w:pPr>
              <w:rPr>
                <w:color w:val="000000"/>
                <w:sz w:val="20"/>
              </w:rPr>
            </w:pPr>
            <w:r w:rsidRPr="002E3CCB">
              <w:rPr>
                <w:color w:val="000000"/>
                <w:sz w:val="20"/>
              </w:rPr>
              <w:t>Wisper ISP, INC</w:t>
            </w:r>
          </w:p>
        </w:tc>
      </w:tr>
      <w:tr w:rsidR="002E3CCB" w:rsidRPr="002E3CCB" w14:paraId="55F9AE10" w14:textId="77777777" w:rsidTr="00C45AD2">
        <w:trPr>
          <w:cantSplit/>
          <w:trHeight w:val="144"/>
          <w:jc w:val="center"/>
        </w:trPr>
        <w:tc>
          <w:tcPr>
            <w:tcW w:w="960" w:type="dxa"/>
            <w:vMerge/>
            <w:tcBorders>
              <w:left w:val="single" w:sz="4" w:space="0" w:color="auto"/>
              <w:bottom w:val="single" w:sz="4" w:space="0" w:color="auto"/>
              <w:right w:val="single" w:sz="4" w:space="0" w:color="auto"/>
            </w:tcBorders>
            <w:shd w:val="clear" w:color="auto" w:fill="auto"/>
            <w:noWrap/>
            <w:vAlign w:val="center"/>
          </w:tcPr>
          <w:p w14:paraId="0C0C1B45" w14:textId="77777777" w:rsidR="002E3CCB" w:rsidRPr="002E3CCB" w:rsidRDefault="002E3CCB" w:rsidP="0036090F">
            <w:pPr>
              <w:jc w:val="center"/>
              <w:rPr>
                <w:color w:val="000000"/>
                <w:sz w:val="20"/>
              </w:rPr>
            </w:pPr>
          </w:p>
        </w:tc>
        <w:tc>
          <w:tcPr>
            <w:tcW w:w="960" w:type="dxa"/>
            <w:vMerge/>
            <w:tcBorders>
              <w:left w:val="nil"/>
              <w:bottom w:val="single" w:sz="4" w:space="0" w:color="auto"/>
              <w:right w:val="single" w:sz="4" w:space="0" w:color="auto"/>
            </w:tcBorders>
            <w:shd w:val="clear" w:color="auto" w:fill="auto"/>
            <w:noWrap/>
            <w:vAlign w:val="center"/>
          </w:tcPr>
          <w:p w14:paraId="477EDD83" w14:textId="77777777" w:rsidR="002E3CCB" w:rsidRPr="002E3CCB" w:rsidRDefault="002E3CCB" w:rsidP="0036090F">
            <w:pPr>
              <w:jc w:val="center"/>
              <w:rPr>
                <w:color w:val="000000"/>
                <w:sz w:val="20"/>
              </w:rPr>
            </w:pPr>
          </w:p>
        </w:tc>
        <w:tc>
          <w:tcPr>
            <w:tcW w:w="3025" w:type="dxa"/>
            <w:vMerge/>
            <w:tcBorders>
              <w:left w:val="nil"/>
              <w:bottom w:val="single" w:sz="4" w:space="0" w:color="auto"/>
              <w:right w:val="single" w:sz="4" w:space="0" w:color="auto"/>
            </w:tcBorders>
            <w:shd w:val="clear" w:color="auto" w:fill="auto"/>
            <w:vAlign w:val="center"/>
          </w:tcPr>
          <w:p w14:paraId="6904D450"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7951E636" w14:textId="77777777" w:rsidR="002E3CCB" w:rsidRPr="002E3CCB" w:rsidRDefault="002E3CCB" w:rsidP="0036090F">
            <w:pPr>
              <w:rPr>
                <w:color w:val="000000"/>
                <w:sz w:val="20"/>
              </w:rPr>
            </w:pPr>
            <w:r w:rsidRPr="002E3CCB">
              <w:rPr>
                <w:color w:val="000000"/>
                <w:sz w:val="20"/>
              </w:rPr>
              <w:t>AT&amp;T Services, Inc.</w:t>
            </w:r>
          </w:p>
        </w:tc>
      </w:tr>
      <w:tr w:rsidR="002E3CCB" w:rsidRPr="002E3CCB" w14:paraId="748E477E" w14:textId="77777777" w:rsidTr="00C45AD2">
        <w:trPr>
          <w:cantSplit/>
          <w:trHeight w:hRule="exact" w:val="144"/>
          <w:jc w:val="center"/>
        </w:trPr>
        <w:tc>
          <w:tcPr>
            <w:tcW w:w="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66976CCF" w14:textId="77777777" w:rsidR="002E3CCB" w:rsidRPr="002E3CCB" w:rsidRDefault="002E3CCB" w:rsidP="0036090F">
            <w:pPr>
              <w:jc w:val="center"/>
              <w:rPr>
                <w:color w:val="000000"/>
                <w:sz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5A362899" w14:textId="77777777" w:rsidR="002E3CCB" w:rsidRPr="002E3CCB" w:rsidRDefault="002E3CCB" w:rsidP="0036090F">
            <w:pPr>
              <w:jc w:val="center"/>
              <w:rPr>
                <w:color w:val="000000"/>
                <w:sz w:val="20"/>
              </w:rPr>
            </w:pPr>
          </w:p>
        </w:tc>
        <w:tc>
          <w:tcPr>
            <w:tcW w:w="302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6AC068E5"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28507EF" w14:textId="77777777" w:rsidR="002E3CCB" w:rsidRPr="002E3CCB" w:rsidRDefault="002E3CCB" w:rsidP="0036090F">
            <w:pPr>
              <w:rPr>
                <w:color w:val="000000"/>
                <w:sz w:val="20"/>
              </w:rPr>
            </w:pPr>
          </w:p>
        </w:tc>
      </w:tr>
      <w:tr w:rsidR="002E3CCB" w:rsidRPr="002E3CCB" w14:paraId="30F7D6B1" w14:textId="77777777" w:rsidTr="00C45AD2">
        <w:trPr>
          <w:cantSplit/>
          <w:trHeight w:val="14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ADBA" w14:textId="77777777" w:rsidR="002E3CCB" w:rsidRPr="002E3CCB" w:rsidRDefault="002E3CCB" w:rsidP="0036090F">
            <w:pPr>
              <w:jc w:val="center"/>
              <w:rPr>
                <w:color w:val="000000"/>
                <w:sz w:val="20"/>
              </w:rPr>
            </w:pPr>
            <w:r w:rsidRPr="002E3CCB">
              <w:rPr>
                <w:color w:val="000000"/>
                <w:sz w:val="20"/>
              </w:rPr>
              <w:t>IA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6A8346" w14:textId="77777777" w:rsidR="002E3CCB" w:rsidRPr="002E3CCB" w:rsidRDefault="002E3CCB" w:rsidP="0036090F">
            <w:pPr>
              <w:jc w:val="center"/>
              <w:rPr>
                <w:color w:val="000000"/>
                <w:sz w:val="20"/>
              </w:rPr>
            </w:pPr>
            <w:r w:rsidRPr="002E3CCB">
              <w:rPr>
                <w:color w:val="000000"/>
                <w:sz w:val="20"/>
              </w:rPr>
              <w:t>351175</w:t>
            </w:r>
          </w:p>
        </w:tc>
        <w:tc>
          <w:tcPr>
            <w:tcW w:w="3025" w:type="dxa"/>
            <w:tcBorders>
              <w:top w:val="single" w:sz="4" w:space="0" w:color="auto"/>
              <w:left w:val="nil"/>
              <w:bottom w:val="single" w:sz="4" w:space="0" w:color="auto"/>
              <w:right w:val="single" w:sz="4" w:space="0" w:color="auto"/>
            </w:tcBorders>
            <w:shd w:val="clear" w:color="auto" w:fill="auto"/>
            <w:vAlign w:val="center"/>
            <w:hideMark/>
          </w:tcPr>
          <w:p w14:paraId="693AF1F0" w14:textId="77777777" w:rsidR="002E3CCB" w:rsidRPr="002E3CCB" w:rsidRDefault="002E3CCB" w:rsidP="0036090F">
            <w:pPr>
              <w:rPr>
                <w:color w:val="000000"/>
                <w:sz w:val="20"/>
              </w:rPr>
            </w:pPr>
            <w:r w:rsidRPr="002E3CCB">
              <w:rPr>
                <w:color w:val="000000"/>
                <w:sz w:val="20"/>
              </w:rPr>
              <w:t>FARMERS TEL CO - BAT</w:t>
            </w:r>
          </w:p>
        </w:tc>
        <w:tc>
          <w:tcPr>
            <w:tcW w:w="4860" w:type="dxa"/>
            <w:tcBorders>
              <w:top w:val="single" w:sz="4" w:space="0" w:color="auto"/>
              <w:left w:val="nil"/>
              <w:bottom w:val="single" w:sz="4" w:space="0" w:color="auto"/>
              <w:right w:val="single" w:sz="4" w:space="0" w:color="auto"/>
            </w:tcBorders>
            <w:vAlign w:val="center"/>
          </w:tcPr>
          <w:p w14:paraId="15607867" w14:textId="77777777" w:rsidR="002E3CCB" w:rsidRPr="002E3CCB" w:rsidRDefault="002E3CCB" w:rsidP="0036090F">
            <w:pPr>
              <w:rPr>
                <w:color w:val="000000"/>
                <w:sz w:val="20"/>
              </w:rPr>
            </w:pPr>
            <w:r w:rsidRPr="002E3CCB">
              <w:rPr>
                <w:color w:val="000000"/>
                <w:sz w:val="20"/>
              </w:rPr>
              <w:t>Natel</w:t>
            </w:r>
          </w:p>
        </w:tc>
      </w:tr>
      <w:tr w:rsidR="002E3CCB" w:rsidRPr="002E3CCB" w14:paraId="38CD1D4C" w14:textId="77777777" w:rsidTr="00C45AD2">
        <w:trPr>
          <w:cantSplit/>
          <w:trHeight w:hRule="exact" w:val="144"/>
          <w:jc w:val="center"/>
        </w:trPr>
        <w:tc>
          <w:tcPr>
            <w:tcW w:w="960"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14:paraId="2EF424E2" w14:textId="77777777" w:rsidR="002E3CCB" w:rsidRPr="002E3CCB" w:rsidRDefault="002E3CCB" w:rsidP="0036090F">
            <w:pPr>
              <w:jc w:val="center"/>
              <w:rPr>
                <w:color w:val="000000"/>
                <w:sz w:val="20"/>
              </w:rPr>
            </w:pPr>
          </w:p>
        </w:tc>
        <w:tc>
          <w:tcPr>
            <w:tcW w:w="960" w:type="dxa"/>
            <w:tcBorders>
              <w:top w:val="nil"/>
              <w:left w:val="nil"/>
              <w:bottom w:val="single" w:sz="4" w:space="0" w:color="auto"/>
              <w:right w:val="single" w:sz="4" w:space="0" w:color="auto"/>
            </w:tcBorders>
            <w:shd w:val="clear" w:color="auto" w:fill="808080" w:themeFill="background1" w:themeFillShade="80"/>
            <w:noWrap/>
            <w:vAlign w:val="center"/>
          </w:tcPr>
          <w:p w14:paraId="6737D11C" w14:textId="77777777" w:rsidR="002E3CCB" w:rsidRPr="002E3CCB" w:rsidRDefault="002E3CCB" w:rsidP="0036090F">
            <w:pPr>
              <w:jc w:val="center"/>
              <w:rPr>
                <w:color w:val="000000"/>
                <w:sz w:val="20"/>
              </w:rPr>
            </w:pPr>
          </w:p>
        </w:tc>
        <w:tc>
          <w:tcPr>
            <w:tcW w:w="3025" w:type="dxa"/>
            <w:tcBorders>
              <w:top w:val="nil"/>
              <w:left w:val="nil"/>
              <w:bottom w:val="single" w:sz="4" w:space="0" w:color="auto"/>
              <w:right w:val="single" w:sz="4" w:space="0" w:color="auto"/>
            </w:tcBorders>
            <w:shd w:val="clear" w:color="auto" w:fill="808080" w:themeFill="background1" w:themeFillShade="80"/>
            <w:vAlign w:val="center"/>
          </w:tcPr>
          <w:p w14:paraId="635E054C"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shd w:val="clear" w:color="auto" w:fill="808080" w:themeFill="background1" w:themeFillShade="80"/>
            <w:vAlign w:val="center"/>
          </w:tcPr>
          <w:p w14:paraId="28FE248E" w14:textId="77777777" w:rsidR="002E3CCB" w:rsidRPr="002E3CCB" w:rsidRDefault="002E3CCB" w:rsidP="0036090F">
            <w:pPr>
              <w:rPr>
                <w:color w:val="000000"/>
                <w:sz w:val="20"/>
              </w:rPr>
            </w:pPr>
          </w:p>
        </w:tc>
      </w:tr>
      <w:tr w:rsidR="002E3CCB" w:rsidRPr="002E3CCB" w14:paraId="13084F0B" w14:textId="77777777" w:rsidTr="00C45AD2">
        <w:trPr>
          <w:cantSplit/>
          <w:trHeight w:val="144"/>
          <w:jc w:val="center"/>
        </w:trPr>
        <w:tc>
          <w:tcPr>
            <w:tcW w:w="960" w:type="dxa"/>
            <w:vMerge w:val="restart"/>
            <w:tcBorders>
              <w:top w:val="nil"/>
              <w:left w:val="single" w:sz="4" w:space="0" w:color="auto"/>
              <w:right w:val="single" w:sz="4" w:space="0" w:color="auto"/>
            </w:tcBorders>
            <w:shd w:val="clear" w:color="auto" w:fill="auto"/>
            <w:noWrap/>
            <w:vAlign w:val="center"/>
            <w:hideMark/>
          </w:tcPr>
          <w:p w14:paraId="2FE9D1EA" w14:textId="77777777" w:rsidR="002E3CCB" w:rsidRPr="002E3CCB" w:rsidRDefault="002E3CCB" w:rsidP="0036090F">
            <w:pPr>
              <w:jc w:val="center"/>
              <w:rPr>
                <w:color w:val="000000"/>
                <w:sz w:val="20"/>
              </w:rPr>
            </w:pPr>
            <w:r w:rsidRPr="002E3CCB">
              <w:rPr>
                <w:color w:val="000000"/>
                <w:sz w:val="20"/>
              </w:rPr>
              <w:t>SD</w:t>
            </w:r>
          </w:p>
        </w:tc>
        <w:tc>
          <w:tcPr>
            <w:tcW w:w="960" w:type="dxa"/>
            <w:vMerge w:val="restart"/>
            <w:tcBorders>
              <w:top w:val="nil"/>
              <w:left w:val="nil"/>
              <w:right w:val="single" w:sz="4" w:space="0" w:color="auto"/>
            </w:tcBorders>
            <w:shd w:val="clear" w:color="auto" w:fill="auto"/>
            <w:noWrap/>
            <w:vAlign w:val="center"/>
            <w:hideMark/>
          </w:tcPr>
          <w:p w14:paraId="3826C7AA" w14:textId="77777777" w:rsidR="002E3CCB" w:rsidRPr="002E3CCB" w:rsidRDefault="002E3CCB" w:rsidP="0036090F">
            <w:pPr>
              <w:jc w:val="center"/>
              <w:rPr>
                <w:color w:val="000000"/>
                <w:sz w:val="20"/>
              </w:rPr>
            </w:pPr>
            <w:r w:rsidRPr="002E3CCB">
              <w:rPr>
                <w:color w:val="000000"/>
                <w:sz w:val="20"/>
              </w:rPr>
              <w:t>391649</w:t>
            </w:r>
          </w:p>
        </w:tc>
        <w:tc>
          <w:tcPr>
            <w:tcW w:w="3025" w:type="dxa"/>
            <w:vMerge w:val="restart"/>
            <w:tcBorders>
              <w:top w:val="nil"/>
              <w:left w:val="nil"/>
              <w:right w:val="single" w:sz="4" w:space="0" w:color="auto"/>
            </w:tcBorders>
            <w:shd w:val="clear" w:color="auto" w:fill="auto"/>
            <w:vAlign w:val="center"/>
            <w:hideMark/>
          </w:tcPr>
          <w:p w14:paraId="42C68D70" w14:textId="77777777" w:rsidR="002E3CCB" w:rsidRPr="002E3CCB" w:rsidRDefault="002E3CCB" w:rsidP="0036090F">
            <w:pPr>
              <w:rPr>
                <w:color w:val="000000"/>
                <w:sz w:val="20"/>
              </w:rPr>
            </w:pPr>
            <w:r w:rsidRPr="002E3CCB">
              <w:rPr>
                <w:color w:val="000000"/>
                <w:sz w:val="20"/>
              </w:rPr>
              <w:t>BERESFORD MUNICIPAL</w:t>
            </w:r>
          </w:p>
        </w:tc>
        <w:tc>
          <w:tcPr>
            <w:tcW w:w="4860" w:type="dxa"/>
            <w:tcBorders>
              <w:top w:val="nil"/>
              <w:left w:val="nil"/>
              <w:bottom w:val="single" w:sz="4" w:space="0" w:color="auto"/>
              <w:right w:val="single" w:sz="4" w:space="0" w:color="auto"/>
            </w:tcBorders>
            <w:vAlign w:val="center"/>
          </w:tcPr>
          <w:p w14:paraId="562CE2DE" w14:textId="77777777" w:rsidR="002E3CCB" w:rsidRPr="002E3CCB" w:rsidRDefault="002E3CCB" w:rsidP="0036090F">
            <w:pPr>
              <w:rPr>
                <w:color w:val="000000"/>
                <w:sz w:val="20"/>
              </w:rPr>
            </w:pPr>
            <w:r w:rsidRPr="002E3CCB">
              <w:rPr>
                <w:color w:val="000000"/>
                <w:sz w:val="20"/>
              </w:rPr>
              <w:t>Jefferson Communications, LLC</w:t>
            </w:r>
          </w:p>
        </w:tc>
      </w:tr>
      <w:tr w:rsidR="002E3CCB" w:rsidRPr="002E3CCB" w14:paraId="47A6B791" w14:textId="77777777" w:rsidTr="00C45AD2">
        <w:trPr>
          <w:cantSplit/>
          <w:trHeight w:val="144"/>
          <w:jc w:val="center"/>
        </w:trPr>
        <w:tc>
          <w:tcPr>
            <w:tcW w:w="960" w:type="dxa"/>
            <w:vMerge/>
            <w:tcBorders>
              <w:left w:val="single" w:sz="4" w:space="0" w:color="auto"/>
              <w:bottom w:val="single" w:sz="4" w:space="0" w:color="auto"/>
              <w:right w:val="single" w:sz="4" w:space="0" w:color="auto"/>
            </w:tcBorders>
            <w:shd w:val="clear" w:color="auto" w:fill="auto"/>
            <w:noWrap/>
            <w:vAlign w:val="center"/>
          </w:tcPr>
          <w:p w14:paraId="40CD1E28" w14:textId="77777777" w:rsidR="002E3CCB" w:rsidRPr="002E3CCB" w:rsidRDefault="002E3CCB" w:rsidP="0036090F">
            <w:pPr>
              <w:jc w:val="center"/>
              <w:rPr>
                <w:color w:val="000000"/>
                <w:sz w:val="20"/>
              </w:rPr>
            </w:pPr>
          </w:p>
        </w:tc>
        <w:tc>
          <w:tcPr>
            <w:tcW w:w="960" w:type="dxa"/>
            <w:vMerge/>
            <w:tcBorders>
              <w:left w:val="nil"/>
              <w:bottom w:val="single" w:sz="4" w:space="0" w:color="auto"/>
              <w:right w:val="single" w:sz="4" w:space="0" w:color="auto"/>
            </w:tcBorders>
            <w:shd w:val="clear" w:color="auto" w:fill="auto"/>
            <w:noWrap/>
            <w:vAlign w:val="center"/>
          </w:tcPr>
          <w:p w14:paraId="180AB11C" w14:textId="77777777" w:rsidR="002E3CCB" w:rsidRPr="002E3CCB" w:rsidRDefault="002E3CCB" w:rsidP="0036090F">
            <w:pPr>
              <w:jc w:val="center"/>
              <w:rPr>
                <w:color w:val="000000"/>
                <w:sz w:val="20"/>
              </w:rPr>
            </w:pPr>
          </w:p>
        </w:tc>
        <w:tc>
          <w:tcPr>
            <w:tcW w:w="3025" w:type="dxa"/>
            <w:vMerge/>
            <w:tcBorders>
              <w:left w:val="nil"/>
              <w:bottom w:val="single" w:sz="4" w:space="0" w:color="auto"/>
              <w:right w:val="single" w:sz="4" w:space="0" w:color="auto"/>
            </w:tcBorders>
            <w:shd w:val="clear" w:color="auto" w:fill="auto"/>
            <w:vAlign w:val="center"/>
          </w:tcPr>
          <w:p w14:paraId="6D394B12"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4A01F1D1" w14:textId="77777777" w:rsidR="002E3CCB" w:rsidRPr="002E3CCB" w:rsidRDefault="002E3CCB" w:rsidP="0036090F">
            <w:pPr>
              <w:rPr>
                <w:color w:val="000000"/>
                <w:sz w:val="20"/>
              </w:rPr>
            </w:pPr>
            <w:r w:rsidRPr="002E3CCB">
              <w:rPr>
                <w:color w:val="000000"/>
                <w:sz w:val="20"/>
              </w:rPr>
              <w:t>Skybeam Acquisition Corporation</w:t>
            </w:r>
          </w:p>
        </w:tc>
      </w:tr>
      <w:tr w:rsidR="002E3CCB" w:rsidRPr="002E3CCB" w14:paraId="7538C3F4" w14:textId="77777777" w:rsidTr="002F1AC6">
        <w:trPr>
          <w:cantSplit/>
          <w:trHeight w:hRule="exact" w:val="144"/>
          <w:jc w:val="center"/>
        </w:trPr>
        <w:tc>
          <w:tcPr>
            <w:tcW w:w="960"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14:paraId="61DD0AF1" w14:textId="77777777" w:rsidR="002E3CCB" w:rsidRPr="002E3CCB" w:rsidRDefault="002E3CCB" w:rsidP="0036090F">
            <w:pPr>
              <w:jc w:val="center"/>
              <w:rPr>
                <w:color w:val="000000"/>
                <w:sz w:val="20"/>
              </w:rPr>
            </w:pPr>
          </w:p>
        </w:tc>
        <w:tc>
          <w:tcPr>
            <w:tcW w:w="960" w:type="dxa"/>
            <w:tcBorders>
              <w:top w:val="nil"/>
              <w:left w:val="nil"/>
              <w:bottom w:val="single" w:sz="4" w:space="0" w:color="auto"/>
              <w:right w:val="single" w:sz="4" w:space="0" w:color="auto"/>
            </w:tcBorders>
            <w:shd w:val="clear" w:color="auto" w:fill="808080" w:themeFill="background1" w:themeFillShade="80"/>
            <w:noWrap/>
            <w:vAlign w:val="center"/>
          </w:tcPr>
          <w:p w14:paraId="77F9B483" w14:textId="77777777" w:rsidR="002E3CCB" w:rsidRPr="002E3CCB" w:rsidRDefault="002E3CCB" w:rsidP="0036090F">
            <w:pPr>
              <w:jc w:val="center"/>
              <w:rPr>
                <w:color w:val="000000"/>
                <w:sz w:val="20"/>
              </w:rPr>
            </w:pPr>
          </w:p>
        </w:tc>
        <w:tc>
          <w:tcPr>
            <w:tcW w:w="3025" w:type="dxa"/>
            <w:tcBorders>
              <w:top w:val="nil"/>
              <w:left w:val="nil"/>
              <w:bottom w:val="single" w:sz="4" w:space="0" w:color="auto"/>
              <w:right w:val="single" w:sz="4" w:space="0" w:color="auto"/>
            </w:tcBorders>
            <w:shd w:val="clear" w:color="auto" w:fill="808080" w:themeFill="background1" w:themeFillShade="80"/>
            <w:vAlign w:val="center"/>
          </w:tcPr>
          <w:p w14:paraId="418EF42F"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shd w:val="clear" w:color="auto" w:fill="808080" w:themeFill="background1" w:themeFillShade="80"/>
            <w:vAlign w:val="center"/>
          </w:tcPr>
          <w:p w14:paraId="243A8CD0" w14:textId="77777777" w:rsidR="002E3CCB" w:rsidRPr="002E3CCB" w:rsidRDefault="002E3CCB" w:rsidP="0036090F">
            <w:pPr>
              <w:rPr>
                <w:color w:val="000000"/>
                <w:sz w:val="20"/>
              </w:rPr>
            </w:pPr>
          </w:p>
        </w:tc>
      </w:tr>
      <w:tr w:rsidR="002E3CCB" w:rsidRPr="002E3CCB" w14:paraId="61DDDF54" w14:textId="77777777" w:rsidTr="00C45AD2">
        <w:trPr>
          <w:cantSplit/>
          <w:trHeight w:val="14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C250EB" w14:textId="77777777" w:rsidR="002E3CCB" w:rsidRPr="002E3CCB" w:rsidRDefault="002E3CCB" w:rsidP="0036090F">
            <w:pPr>
              <w:jc w:val="center"/>
              <w:rPr>
                <w:color w:val="000000"/>
                <w:sz w:val="20"/>
              </w:rPr>
            </w:pPr>
            <w:r w:rsidRPr="002E3CCB">
              <w:rPr>
                <w:color w:val="000000"/>
                <w:sz w:val="20"/>
              </w:rPr>
              <w:t>SD</w:t>
            </w:r>
          </w:p>
        </w:tc>
        <w:tc>
          <w:tcPr>
            <w:tcW w:w="960" w:type="dxa"/>
            <w:tcBorders>
              <w:top w:val="nil"/>
              <w:left w:val="nil"/>
              <w:bottom w:val="single" w:sz="4" w:space="0" w:color="auto"/>
              <w:right w:val="single" w:sz="4" w:space="0" w:color="auto"/>
            </w:tcBorders>
            <w:shd w:val="clear" w:color="auto" w:fill="auto"/>
            <w:noWrap/>
            <w:vAlign w:val="center"/>
            <w:hideMark/>
          </w:tcPr>
          <w:p w14:paraId="42A702CA" w14:textId="77777777" w:rsidR="002E3CCB" w:rsidRPr="002E3CCB" w:rsidRDefault="002E3CCB" w:rsidP="0036090F">
            <w:pPr>
              <w:jc w:val="center"/>
              <w:rPr>
                <w:color w:val="000000"/>
                <w:sz w:val="20"/>
              </w:rPr>
            </w:pPr>
            <w:r w:rsidRPr="002E3CCB">
              <w:rPr>
                <w:color w:val="000000"/>
                <w:sz w:val="20"/>
              </w:rPr>
              <w:t>391653</w:t>
            </w:r>
          </w:p>
        </w:tc>
        <w:tc>
          <w:tcPr>
            <w:tcW w:w="3025" w:type="dxa"/>
            <w:tcBorders>
              <w:top w:val="nil"/>
              <w:left w:val="nil"/>
              <w:bottom w:val="single" w:sz="4" w:space="0" w:color="auto"/>
              <w:right w:val="single" w:sz="4" w:space="0" w:color="auto"/>
            </w:tcBorders>
            <w:shd w:val="clear" w:color="auto" w:fill="auto"/>
            <w:vAlign w:val="center"/>
            <w:hideMark/>
          </w:tcPr>
          <w:p w14:paraId="1C22DACC" w14:textId="77777777" w:rsidR="002E3CCB" w:rsidRPr="002E3CCB" w:rsidRDefault="002E3CCB" w:rsidP="0036090F">
            <w:pPr>
              <w:rPr>
                <w:color w:val="000000"/>
                <w:sz w:val="20"/>
              </w:rPr>
            </w:pPr>
            <w:r w:rsidRPr="002E3CCB">
              <w:rPr>
                <w:color w:val="000000"/>
                <w:sz w:val="20"/>
              </w:rPr>
              <w:t>CITY OF FAITH MUNIC</w:t>
            </w:r>
          </w:p>
        </w:tc>
        <w:tc>
          <w:tcPr>
            <w:tcW w:w="4860" w:type="dxa"/>
            <w:tcBorders>
              <w:top w:val="nil"/>
              <w:left w:val="nil"/>
              <w:bottom w:val="single" w:sz="4" w:space="0" w:color="auto"/>
              <w:right w:val="single" w:sz="4" w:space="0" w:color="auto"/>
            </w:tcBorders>
            <w:vAlign w:val="center"/>
          </w:tcPr>
          <w:p w14:paraId="00308EAB" w14:textId="77777777" w:rsidR="002E3CCB" w:rsidRPr="002E3CCB" w:rsidRDefault="002E3CCB" w:rsidP="0036090F">
            <w:pPr>
              <w:rPr>
                <w:color w:val="000000"/>
                <w:sz w:val="20"/>
              </w:rPr>
            </w:pPr>
            <w:r w:rsidRPr="002E3CCB">
              <w:rPr>
                <w:color w:val="000000"/>
                <w:sz w:val="20"/>
              </w:rPr>
              <w:t>Golden West Telecommunications Cooperative, Inc.</w:t>
            </w:r>
          </w:p>
        </w:tc>
      </w:tr>
      <w:tr w:rsidR="002E3CCB" w:rsidRPr="002E3CCB" w14:paraId="48D9EC66" w14:textId="77777777" w:rsidTr="002F1AC6">
        <w:trPr>
          <w:cantSplit/>
          <w:trHeight w:hRule="exact" w:val="144"/>
          <w:jc w:val="center"/>
        </w:trPr>
        <w:tc>
          <w:tcPr>
            <w:tcW w:w="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7CD95FA" w14:textId="77777777" w:rsidR="002E3CCB" w:rsidRPr="002E3CCB" w:rsidRDefault="002E3CCB" w:rsidP="0036090F">
            <w:pPr>
              <w:jc w:val="center"/>
              <w:rPr>
                <w:color w:val="000000"/>
                <w:sz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44FF4E5E" w14:textId="77777777" w:rsidR="002E3CCB" w:rsidRPr="002E3CCB" w:rsidRDefault="002E3CCB" w:rsidP="0036090F">
            <w:pPr>
              <w:jc w:val="center"/>
              <w:rPr>
                <w:color w:val="000000"/>
                <w:sz w:val="20"/>
              </w:rPr>
            </w:pPr>
          </w:p>
        </w:tc>
        <w:tc>
          <w:tcPr>
            <w:tcW w:w="302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16E4EFB"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FD8BD10" w14:textId="77777777" w:rsidR="002E3CCB" w:rsidRPr="002E3CCB" w:rsidRDefault="002E3CCB" w:rsidP="0036090F">
            <w:pPr>
              <w:rPr>
                <w:color w:val="000000"/>
                <w:sz w:val="20"/>
              </w:rPr>
            </w:pPr>
          </w:p>
        </w:tc>
      </w:tr>
      <w:tr w:rsidR="002E3CCB" w:rsidRPr="002E3CCB" w14:paraId="70B476D2" w14:textId="77777777" w:rsidTr="00C45AD2">
        <w:trPr>
          <w:cantSplit/>
          <w:trHeight w:val="144"/>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6B4ED9DF" w14:textId="77777777" w:rsidR="002E3CCB" w:rsidRPr="002E3CCB" w:rsidRDefault="002E3CCB" w:rsidP="0036090F">
            <w:pPr>
              <w:jc w:val="center"/>
              <w:rPr>
                <w:color w:val="000000"/>
                <w:sz w:val="20"/>
              </w:rPr>
            </w:pPr>
            <w:r w:rsidRPr="002E3CCB">
              <w:rPr>
                <w:color w:val="000000"/>
                <w:sz w:val="20"/>
              </w:rPr>
              <w:t>KS</w:t>
            </w:r>
          </w:p>
        </w:tc>
        <w:tc>
          <w:tcPr>
            <w:tcW w:w="960" w:type="dxa"/>
            <w:vMerge w:val="restart"/>
            <w:tcBorders>
              <w:top w:val="single" w:sz="4" w:space="0" w:color="auto"/>
              <w:left w:val="nil"/>
              <w:right w:val="single" w:sz="4" w:space="0" w:color="auto"/>
            </w:tcBorders>
            <w:shd w:val="clear" w:color="auto" w:fill="auto"/>
            <w:noWrap/>
            <w:vAlign w:val="center"/>
            <w:hideMark/>
          </w:tcPr>
          <w:p w14:paraId="4B093187" w14:textId="77777777" w:rsidR="002E3CCB" w:rsidRPr="002E3CCB" w:rsidRDefault="002E3CCB" w:rsidP="0036090F">
            <w:pPr>
              <w:jc w:val="center"/>
              <w:rPr>
                <w:color w:val="000000"/>
                <w:sz w:val="20"/>
              </w:rPr>
            </w:pPr>
            <w:r w:rsidRPr="002E3CCB">
              <w:rPr>
                <w:color w:val="000000"/>
                <w:sz w:val="20"/>
              </w:rPr>
              <w:t>411791</w:t>
            </w:r>
            <w:r w:rsidR="00D60E3D">
              <w:rPr>
                <w:color w:val="000000"/>
                <w:sz w:val="20"/>
              </w:rPr>
              <w:t>*</w:t>
            </w:r>
          </w:p>
        </w:tc>
        <w:tc>
          <w:tcPr>
            <w:tcW w:w="3025" w:type="dxa"/>
            <w:vMerge w:val="restart"/>
            <w:tcBorders>
              <w:top w:val="single" w:sz="4" w:space="0" w:color="auto"/>
              <w:left w:val="nil"/>
              <w:right w:val="single" w:sz="4" w:space="0" w:color="auto"/>
            </w:tcBorders>
            <w:shd w:val="clear" w:color="auto" w:fill="auto"/>
            <w:vAlign w:val="center"/>
            <w:hideMark/>
          </w:tcPr>
          <w:p w14:paraId="3ABDE913" w14:textId="77777777" w:rsidR="002E3CCB" w:rsidRPr="002E3CCB" w:rsidRDefault="002E3CCB" w:rsidP="0036090F">
            <w:pPr>
              <w:rPr>
                <w:color w:val="000000"/>
                <w:sz w:val="20"/>
              </w:rPr>
            </w:pPr>
            <w:r w:rsidRPr="002E3CCB">
              <w:rPr>
                <w:color w:val="000000"/>
                <w:sz w:val="20"/>
              </w:rPr>
              <w:t>LA HARPE TEL CO INC</w:t>
            </w:r>
          </w:p>
        </w:tc>
        <w:tc>
          <w:tcPr>
            <w:tcW w:w="4860" w:type="dxa"/>
            <w:tcBorders>
              <w:top w:val="single" w:sz="4" w:space="0" w:color="auto"/>
              <w:left w:val="nil"/>
              <w:bottom w:val="single" w:sz="4" w:space="0" w:color="auto"/>
              <w:right w:val="single" w:sz="4" w:space="0" w:color="auto"/>
            </w:tcBorders>
            <w:vAlign w:val="center"/>
          </w:tcPr>
          <w:p w14:paraId="22A3605C" w14:textId="77777777" w:rsidR="002E3CCB" w:rsidRPr="002E3CCB" w:rsidRDefault="002E3CCB" w:rsidP="0036090F">
            <w:pPr>
              <w:rPr>
                <w:color w:val="000000"/>
                <w:sz w:val="20"/>
              </w:rPr>
            </w:pPr>
            <w:r w:rsidRPr="002E3CCB">
              <w:rPr>
                <w:color w:val="000000"/>
                <w:sz w:val="20"/>
              </w:rPr>
              <w:t>Fiber Communications of Columbus LLC dba Optic Communications</w:t>
            </w:r>
          </w:p>
        </w:tc>
      </w:tr>
      <w:tr w:rsidR="002E3CCB" w:rsidRPr="002E3CCB" w14:paraId="0D194B91" w14:textId="77777777" w:rsidTr="00C45AD2">
        <w:trPr>
          <w:cantSplit/>
          <w:trHeight w:val="144"/>
          <w:jc w:val="center"/>
        </w:trPr>
        <w:tc>
          <w:tcPr>
            <w:tcW w:w="960" w:type="dxa"/>
            <w:vMerge/>
            <w:tcBorders>
              <w:left w:val="single" w:sz="4" w:space="0" w:color="auto"/>
              <w:right w:val="single" w:sz="4" w:space="0" w:color="auto"/>
            </w:tcBorders>
            <w:shd w:val="clear" w:color="auto" w:fill="auto"/>
            <w:noWrap/>
            <w:vAlign w:val="center"/>
          </w:tcPr>
          <w:p w14:paraId="563F487B" w14:textId="77777777" w:rsidR="002E3CCB" w:rsidRPr="002E3CCB" w:rsidRDefault="002E3CCB" w:rsidP="0036090F">
            <w:pPr>
              <w:jc w:val="center"/>
              <w:rPr>
                <w:color w:val="000000"/>
                <w:sz w:val="20"/>
              </w:rPr>
            </w:pPr>
          </w:p>
        </w:tc>
        <w:tc>
          <w:tcPr>
            <w:tcW w:w="960" w:type="dxa"/>
            <w:vMerge/>
            <w:tcBorders>
              <w:left w:val="nil"/>
              <w:right w:val="single" w:sz="4" w:space="0" w:color="auto"/>
            </w:tcBorders>
            <w:shd w:val="clear" w:color="auto" w:fill="auto"/>
            <w:noWrap/>
            <w:vAlign w:val="center"/>
          </w:tcPr>
          <w:p w14:paraId="54CC69A1" w14:textId="77777777" w:rsidR="002E3CCB" w:rsidRPr="002E3CCB" w:rsidRDefault="002E3CCB" w:rsidP="0036090F">
            <w:pPr>
              <w:jc w:val="center"/>
              <w:rPr>
                <w:color w:val="000000"/>
                <w:sz w:val="20"/>
              </w:rPr>
            </w:pPr>
          </w:p>
        </w:tc>
        <w:tc>
          <w:tcPr>
            <w:tcW w:w="3025" w:type="dxa"/>
            <w:vMerge/>
            <w:tcBorders>
              <w:left w:val="nil"/>
              <w:right w:val="single" w:sz="4" w:space="0" w:color="auto"/>
            </w:tcBorders>
            <w:shd w:val="clear" w:color="auto" w:fill="auto"/>
            <w:vAlign w:val="center"/>
          </w:tcPr>
          <w:p w14:paraId="40FD2240"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4A17C625" w14:textId="77777777" w:rsidR="002E3CCB" w:rsidRPr="002E3CCB" w:rsidRDefault="002E3CCB" w:rsidP="0036090F">
            <w:pPr>
              <w:rPr>
                <w:color w:val="000000"/>
                <w:sz w:val="20"/>
              </w:rPr>
            </w:pPr>
            <w:r w:rsidRPr="002E3CCB">
              <w:rPr>
                <w:color w:val="000000"/>
                <w:sz w:val="20"/>
              </w:rPr>
              <w:t>JMZ CORPORATION</w:t>
            </w:r>
          </w:p>
        </w:tc>
      </w:tr>
      <w:tr w:rsidR="002E3CCB" w:rsidRPr="002E3CCB" w14:paraId="58C4E32B" w14:textId="77777777" w:rsidTr="00C45AD2">
        <w:trPr>
          <w:cantSplit/>
          <w:trHeight w:val="144"/>
          <w:jc w:val="center"/>
        </w:trPr>
        <w:tc>
          <w:tcPr>
            <w:tcW w:w="960" w:type="dxa"/>
            <w:vMerge/>
            <w:tcBorders>
              <w:left w:val="single" w:sz="4" w:space="0" w:color="auto"/>
              <w:bottom w:val="single" w:sz="4" w:space="0" w:color="auto"/>
              <w:right w:val="single" w:sz="4" w:space="0" w:color="auto"/>
            </w:tcBorders>
            <w:shd w:val="clear" w:color="auto" w:fill="auto"/>
            <w:noWrap/>
            <w:vAlign w:val="center"/>
          </w:tcPr>
          <w:p w14:paraId="1E74B027" w14:textId="77777777" w:rsidR="002E3CCB" w:rsidRPr="002E3CCB" w:rsidRDefault="002E3CCB" w:rsidP="0036090F">
            <w:pPr>
              <w:jc w:val="center"/>
              <w:rPr>
                <w:color w:val="000000"/>
                <w:sz w:val="20"/>
              </w:rPr>
            </w:pPr>
          </w:p>
        </w:tc>
        <w:tc>
          <w:tcPr>
            <w:tcW w:w="960" w:type="dxa"/>
            <w:vMerge/>
            <w:tcBorders>
              <w:left w:val="nil"/>
              <w:bottom w:val="single" w:sz="4" w:space="0" w:color="auto"/>
              <w:right w:val="single" w:sz="4" w:space="0" w:color="auto"/>
            </w:tcBorders>
            <w:shd w:val="clear" w:color="auto" w:fill="auto"/>
            <w:noWrap/>
            <w:vAlign w:val="center"/>
          </w:tcPr>
          <w:p w14:paraId="7D967DAA" w14:textId="77777777" w:rsidR="002E3CCB" w:rsidRPr="002E3CCB" w:rsidRDefault="002E3CCB" w:rsidP="0036090F">
            <w:pPr>
              <w:jc w:val="center"/>
              <w:rPr>
                <w:color w:val="000000"/>
                <w:sz w:val="20"/>
              </w:rPr>
            </w:pPr>
          </w:p>
        </w:tc>
        <w:tc>
          <w:tcPr>
            <w:tcW w:w="3025" w:type="dxa"/>
            <w:vMerge/>
            <w:tcBorders>
              <w:left w:val="nil"/>
              <w:bottom w:val="single" w:sz="4" w:space="0" w:color="auto"/>
              <w:right w:val="single" w:sz="4" w:space="0" w:color="auto"/>
            </w:tcBorders>
            <w:shd w:val="clear" w:color="auto" w:fill="auto"/>
            <w:vAlign w:val="center"/>
          </w:tcPr>
          <w:p w14:paraId="115FD720" w14:textId="77777777" w:rsidR="002E3CCB" w:rsidRPr="002E3CCB" w:rsidRDefault="002E3CCB" w:rsidP="0036090F">
            <w:pPr>
              <w:rPr>
                <w:color w:val="000000"/>
                <w:sz w:val="20"/>
              </w:rPr>
            </w:pPr>
          </w:p>
        </w:tc>
        <w:tc>
          <w:tcPr>
            <w:tcW w:w="4860" w:type="dxa"/>
            <w:tcBorders>
              <w:top w:val="nil"/>
              <w:left w:val="nil"/>
              <w:bottom w:val="single" w:sz="4" w:space="0" w:color="auto"/>
              <w:right w:val="single" w:sz="4" w:space="0" w:color="auto"/>
            </w:tcBorders>
            <w:vAlign w:val="center"/>
          </w:tcPr>
          <w:p w14:paraId="24CC9D8D" w14:textId="77777777" w:rsidR="002E3CCB" w:rsidRPr="002E3CCB" w:rsidRDefault="002E3CCB" w:rsidP="0036090F">
            <w:pPr>
              <w:rPr>
                <w:color w:val="000000"/>
                <w:sz w:val="20"/>
              </w:rPr>
            </w:pPr>
            <w:r w:rsidRPr="002E3CCB">
              <w:rPr>
                <w:color w:val="000000"/>
                <w:sz w:val="20"/>
              </w:rPr>
              <w:t>Cox Communications, Inc</w:t>
            </w:r>
          </w:p>
        </w:tc>
      </w:tr>
      <w:tr w:rsidR="002E3CCB" w:rsidRPr="002E3CCB" w14:paraId="663FBBE3" w14:textId="77777777" w:rsidTr="002F1AC6">
        <w:trPr>
          <w:cantSplit/>
          <w:trHeight w:hRule="exact" w:val="144"/>
          <w:jc w:val="center"/>
        </w:trPr>
        <w:tc>
          <w:tcPr>
            <w:tcW w:w="9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144BC443" w14:textId="77777777" w:rsidR="002E3CCB" w:rsidRPr="002E3CCB" w:rsidRDefault="002E3CCB" w:rsidP="0036090F">
            <w:pPr>
              <w:jc w:val="center"/>
              <w:rPr>
                <w:color w:val="000000"/>
                <w:sz w:val="20"/>
              </w:rPr>
            </w:pPr>
          </w:p>
        </w:tc>
        <w:tc>
          <w:tcPr>
            <w:tcW w:w="96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39B4F770" w14:textId="77777777" w:rsidR="002E3CCB" w:rsidRPr="002E3CCB" w:rsidRDefault="002E3CCB" w:rsidP="0036090F">
            <w:pPr>
              <w:jc w:val="center"/>
              <w:rPr>
                <w:color w:val="000000"/>
                <w:sz w:val="20"/>
              </w:rPr>
            </w:pPr>
          </w:p>
        </w:tc>
        <w:tc>
          <w:tcPr>
            <w:tcW w:w="302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6E8546E5"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9FDBCC6" w14:textId="77777777" w:rsidR="002E3CCB" w:rsidRPr="002E3CCB" w:rsidRDefault="002E3CCB" w:rsidP="0036090F">
            <w:pPr>
              <w:rPr>
                <w:color w:val="000000"/>
                <w:sz w:val="20"/>
              </w:rPr>
            </w:pPr>
          </w:p>
        </w:tc>
      </w:tr>
      <w:tr w:rsidR="002E3CCB" w:rsidRPr="002E3CCB" w14:paraId="68BF83B3" w14:textId="77777777" w:rsidTr="00C45AD2">
        <w:trPr>
          <w:cantSplit/>
          <w:trHeight w:val="144"/>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617EA01" w14:textId="77777777" w:rsidR="002E3CCB" w:rsidRPr="002E3CCB" w:rsidRDefault="002E3CCB" w:rsidP="0036090F">
            <w:pPr>
              <w:jc w:val="center"/>
              <w:rPr>
                <w:color w:val="000000"/>
                <w:sz w:val="20"/>
              </w:rPr>
            </w:pPr>
            <w:r w:rsidRPr="002E3CCB">
              <w:rPr>
                <w:color w:val="000000"/>
                <w:sz w:val="20"/>
              </w:rPr>
              <w:t>CO</w:t>
            </w:r>
          </w:p>
        </w:tc>
        <w:tc>
          <w:tcPr>
            <w:tcW w:w="960" w:type="dxa"/>
            <w:vMerge w:val="restart"/>
            <w:tcBorders>
              <w:top w:val="single" w:sz="4" w:space="0" w:color="auto"/>
              <w:left w:val="nil"/>
              <w:right w:val="single" w:sz="4" w:space="0" w:color="auto"/>
            </w:tcBorders>
            <w:shd w:val="clear" w:color="auto" w:fill="auto"/>
            <w:noWrap/>
            <w:vAlign w:val="center"/>
            <w:hideMark/>
          </w:tcPr>
          <w:p w14:paraId="4E78E97A" w14:textId="77777777" w:rsidR="002E3CCB" w:rsidRPr="002E3CCB" w:rsidRDefault="002E3CCB" w:rsidP="0036090F">
            <w:pPr>
              <w:jc w:val="center"/>
              <w:rPr>
                <w:color w:val="000000"/>
                <w:sz w:val="20"/>
              </w:rPr>
            </w:pPr>
            <w:r w:rsidRPr="002E3CCB">
              <w:rPr>
                <w:color w:val="000000"/>
                <w:sz w:val="20"/>
              </w:rPr>
              <w:t>462178</w:t>
            </w:r>
            <w:r w:rsidR="00D60E3D">
              <w:rPr>
                <w:color w:val="000000"/>
                <w:sz w:val="20"/>
              </w:rPr>
              <w:t>*</w:t>
            </w:r>
          </w:p>
        </w:tc>
        <w:tc>
          <w:tcPr>
            <w:tcW w:w="3025" w:type="dxa"/>
            <w:vMerge w:val="restart"/>
            <w:tcBorders>
              <w:top w:val="single" w:sz="4" w:space="0" w:color="auto"/>
              <w:left w:val="nil"/>
              <w:right w:val="single" w:sz="4" w:space="0" w:color="auto"/>
            </w:tcBorders>
            <w:shd w:val="clear" w:color="auto" w:fill="auto"/>
            <w:vAlign w:val="center"/>
            <w:hideMark/>
          </w:tcPr>
          <w:p w14:paraId="0FA1C13E" w14:textId="77777777" w:rsidR="002E3CCB" w:rsidRPr="002E3CCB" w:rsidRDefault="002E3CCB" w:rsidP="0036090F">
            <w:pPr>
              <w:rPr>
                <w:color w:val="000000"/>
                <w:sz w:val="20"/>
              </w:rPr>
            </w:pPr>
            <w:r w:rsidRPr="002E3CCB">
              <w:rPr>
                <w:color w:val="000000"/>
                <w:sz w:val="20"/>
              </w:rPr>
              <w:t>AGATE MUTUAL TEL CO</w:t>
            </w:r>
          </w:p>
        </w:tc>
        <w:tc>
          <w:tcPr>
            <w:tcW w:w="4860" w:type="dxa"/>
            <w:tcBorders>
              <w:top w:val="single" w:sz="4" w:space="0" w:color="auto"/>
              <w:left w:val="nil"/>
              <w:bottom w:val="single" w:sz="4" w:space="0" w:color="auto"/>
              <w:right w:val="single" w:sz="4" w:space="0" w:color="auto"/>
            </w:tcBorders>
            <w:vAlign w:val="center"/>
          </w:tcPr>
          <w:p w14:paraId="4B7F2BC8" w14:textId="77777777" w:rsidR="002E3CCB" w:rsidRPr="002E3CCB" w:rsidRDefault="002E3CCB" w:rsidP="0036090F">
            <w:pPr>
              <w:rPr>
                <w:color w:val="000000"/>
                <w:sz w:val="20"/>
              </w:rPr>
            </w:pPr>
            <w:r w:rsidRPr="002E3CCB">
              <w:rPr>
                <w:color w:val="000000"/>
                <w:sz w:val="20"/>
              </w:rPr>
              <w:t>Big Sandy Telecom, Inc.</w:t>
            </w:r>
          </w:p>
        </w:tc>
      </w:tr>
      <w:tr w:rsidR="002E3CCB" w:rsidRPr="002E3CCB" w14:paraId="0A54CDD9" w14:textId="77777777" w:rsidTr="00C45AD2">
        <w:trPr>
          <w:cantSplit/>
          <w:trHeight w:val="144"/>
          <w:jc w:val="center"/>
        </w:trPr>
        <w:tc>
          <w:tcPr>
            <w:tcW w:w="960" w:type="dxa"/>
            <w:vMerge/>
            <w:tcBorders>
              <w:left w:val="single" w:sz="4" w:space="0" w:color="auto"/>
              <w:right w:val="single" w:sz="4" w:space="0" w:color="auto"/>
            </w:tcBorders>
            <w:shd w:val="clear" w:color="auto" w:fill="auto"/>
            <w:noWrap/>
            <w:vAlign w:val="center"/>
          </w:tcPr>
          <w:p w14:paraId="162C6763" w14:textId="77777777" w:rsidR="002E3CCB" w:rsidRPr="002E3CCB" w:rsidRDefault="002E3CCB" w:rsidP="0036090F">
            <w:pPr>
              <w:jc w:val="center"/>
              <w:rPr>
                <w:color w:val="000000"/>
                <w:sz w:val="20"/>
              </w:rPr>
            </w:pPr>
          </w:p>
        </w:tc>
        <w:tc>
          <w:tcPr>
            <w:tcW w:w="960" w:type="dxa"/>
            <w:vMerge/>
            <w:tcBorders>
              <w:left w:val="nil"/>
              <w:right w:val="single" w:sz="4" w:space="0" w:color="auto"/>
            </w:tcBorders>
            <w:shd w:val="clear" w:color="auto" w:fill="auto"/>
            <w:noWrap/>
            <w:vAlign w:val="center"/>
          </w:tcPr>
          <w:p w14:paraId="4086F005" w14:textId="77777777" w:rsidR="002E3CCB" w:rsidRPr="002E3CCB" w:rsidRDefault="002E3CCB" w:rsidP="0036090F">
            <w:pPr>
              <w:jc w:val="center"/>
              <w:rPr>
                <w:color w:val="000000"/>
                <w:sz w:val="20"/>
              </w:rPr>
            </w:pPr>
          </w:p>
        </w:tc>
        <w:tc>
          <w:tcPr>
            <w:tcW w:w="3025" w:type="dxa"/>
            <w:vMerge/>
            <w:tcBorders>
              <w:left w:val="nil"/>
              <w:right w:val="single" w:sz="4" w:space="0" w:color="auto"/>
            </w:tcBorders>
            <w:shd w:val="clear" w:color="auto" w:fill="auto"/>
            <w:vAlign w:val="center"/>
          </w:tcPr>
          <w:p w14:paraId="13B2CC5B"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vAlign w:val="center"/>
          </w:tcPr>
          <w:p w14:paraId="4D567F0C" w14:textId="77777777" w:rsidR="002E3CCB" w:rsidRPr="002E3CCB" w:rsidRDefault="002E3CCB" w:rsidP="0036090F">
            <w:pPr>
              <w:rPr>
                <w:color w:val="000000"/>
                <w:sz w:val="20"/>
              </w:rPr>
            </w:pPr>
            <w:r w:rsidRPr="002E3CCB">
              <w:rPr>
                <w:color w:val="000000"/>
                <w:sz w:val="20"/>
              </w:rPr>
              <w:t>Kellin Communications</w:t>
            </w:r>
          </w:p>
        </w:tc>
      </w:tr>
      <w:tr w:rsidR="002E3CCB" w:rsidRPr="002E3CCB" w14:paraId="5C504B4F" w14:textId="77777777" w:rsidTr="00C45AD2">
        <w:trPr>
          <w:cantSplit/>
          <w:trHeight w:val="144"/>
          <w:jc w:val="center"/>
        </w:trPr>
        <w:tc>
          <w:tcPr>
            <w:tcW w:w="960" w:type="dxa"/>
            <w:vMerge/>
            <w:tcBorders>
              <w:left w:val="single" w:sz="4" w:space="0" w:color="auto"/>
              <w:right w:val="single" w:sz="4" w:space="0" w:color="auto"/>
            </w:tcBorders>
            <w:shd w:val="clear" w:color="auto" w:fill="auto"/>
            <w:noWrap/>
            <w:vAlign w:val="center"/>
          </w:tcPr>
          <w:p w14:paraId="7269B32E" w14:textId="77777777" w:rsidR="002E3CCB" w:rsidRPr="002E3CCB" w:rsidRDefault="002E3CCB" w:rsidP="0036090F">
            <w:pPr>
              <w:jc w:val="center"/>
              <w:rPr>
                <w:color w:val="000000"/>
                <w:sz w:val="20"/>
              </w:rPr>
            </w:pPr>
          </w:p>
        </w:tc>
        <w:tc>
          <w:tcPr>
            <w:tcW w:w="960" w:type="dxa"/>
            <w:vMerge/>
            <w:tcBorders>
              <w:left w:val="nil"/>
              <w:right w:val="single" w:sz="4" w:space="0" w:color="auto"/>
            </w:tcBorders>
            <w:shd w:val="clear" w:color="auto" w:fill="auto"/>
            <w:noWrap/>
            <w:vAlign w:val="center"/>
          </w:tcPr>
          <w:p w14:paraId="5C0BD223" w14:textId="77777777" w:rsidR="002E3CCB" w:rsidRPr="002E3CCB" w:rsidRDefault="002E3CCB" w:rsidP="0036090F">
            <w:pPr>
              <w:jc w:val="center"/>
              <w:rPr>
                <w:color w:val="000000"/>
                <w:sz w:val="20"/>
              </w:rPr>
            </w:pPr>
          </w:p>
        </w:tc>
        <w:tc>
          <w:tcPr>
            <w:tcW w:w="3025" w:type="dxa"/>
            <w:vMerge/>
            <w:tcBorders>
              <w:left w:val="nil"/>
              <w:right w:val="single" w:sz="4" w:space="0" w:color="auto"/>
            </w:tcBorders>
            <w:shd w:val="clear" w:color="auto" w:fill="auto"/>
            <w:vAlign w:val="center"/>
          </w:tcPr>
          <w:p w14:paraId="4C896E3E"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vAlign w:val="center"/>
          </w:tcPr>
          <w:p w14:paraId="4F571F15" w14:textId="77777777" w:rsidR="002E3CCB" w:rsidRPr="002E3CCB" w:rsidRDefault="002E3CCB" w:rsidP="0036090F">
            <w:pPr>
              <w:rPr>
                <w:color w:val="000000"/>
                <w:sz w:val="20"/>
              </w:rPr>
            </w:pPr>
            <w:r w:rsidRPr="002E3CCB">
              <w:rPr>
                <w:color w:val="000000"/>
                <w:sz w:val="20"/>
              </w:rPr>
              <w:t>DirectLink,LLC.</w:t>
            </w:r>
          </w:p>
        </w:tc>
      </w:tr>
      <w:tr w:rsidR="002E3CCB" w:rsidRPr="002E3CCB" w14:paraId="492C750F" w14:textId="77777777" w:rsidTr="00C45AD2">
        <w:trPr>
          <w:cantSplit/>
          <w:trHeight w:val="144"/>
          <w:jc w:val="center"/>
        </w:trPr>
        <w:tc>
          <w:tcPr>
            <w:tcW w:w="960" w:type="dxa"/>
            <w:vMerge/>
            <w:tcBorders>
              <w:left w:val="single" w:sz="4" w:space="0" w:color="auto"/>
              <w:bottom w:val="single" w:sz="4" w:space="0" w:color="auto"/>
              <w:right w:val="single" w:sz="4" w:space="0" w:color="auto"/>
            </w:tcBorders>
            <w:shd w:val="clear" w:color="auto" w:fill="auto"/>
            <w:noWrap/>
            <w:vAlign w:val="center"/>
          </w:tcPr>
          <w:p w14:paraId="0F65F802" w14:textId="77777777" w:rsidR="002E3CCB" w:rsidRPr="002E3CCB" w:rsidRDefault="002E3CCB" w:rsidP="0036090F">
            <w:pPr>
              <w:jc w:val="center"/>
              <w:rPr>
                <w:color w:val="000000"/>
                <w:sz w:val="20"/>
              </w:rPr>
            </w:pPr>
          </w:p>
        </w:tc>
        <w:tc>
          <w:tcPr>
            <w:tcW w:w="960" w:type="dxa"/>
            <w:vMerge/>
            <w:tcBorders>
              <w:left w:val="nil"/>
              <w:bottom w:val="single" w:sz="4" w:space="0" w:color="auto"/>
              <w:right w:val="single" w:sz="4" w:space="0" w:color="auto"/>
            </w:tcBorders>
            <w:shd w:val="clear" w:color="auto" w:fill="auto"/>
            <w:noWrap/>
            <w:vAlign w:val="center"/>
          </w:tcPr>
          <w:p w14:paraId="55E82431" w14:textId="77777777" w:rsidR="002E3CCB" w:rsidRPr="002E3CCB" w:rsidRDefault="002E3CCB" w:rsidP="0036090F">
            <w:pPr>
              <w:jc w:val="center"/>
              <w:rPr>
                <w:color w:val="000000"/>
                <w:sz w:val="20"/>
              </w:rPr>
            </w:pPr>
          </w:p>
        </w:tc>
        <w:tc>
          <w:tcPr>
            <w:tcW w:w="3025" w:type="dxa"/>
            <w:vMerge/>
            <w:tcBorders>
              <w:left w:val="nil"/>
              <w:bottom w:val="single" w:sz="4" w:space="0" w:color="auto"/>
              <w:right w:val="single" w:sz="4" w:space="0" w:color="auto"/>
            </w:tcBorders>
            <w:shd w:val="clear" w:color="auto" w:fill="auto"/>
            <w:vAlign w:val="center"/>
          </w:tcPr>
          <w:p w14:paraId="45C13FDF" w14:textId="77777777" w:rsidR="002E3CCB" w:rsidRPr="002E3CCB" w:rsidRDefault="002E3CCB" w:rsidP="0036090F">
            <w:pPr>
              <w:rPr>
                <w:color w:val="000000"/>
                <w:sz w:val="20"/>
              </w:rPr>
            </w:pPr>
          </w:p>
        </w:tc>
        <w:tc>
          <w:tcPr>
            <w:tcW w:w="4860" w:type="dxa"/>
            <w:tcBorders>
              <w:top w:val="single" w:sz="4" w:space="0" w:color="auto"/>
              <w:left w:val="nil"/>
              <w:bottom w:val="single" w:sz="4" w:space="0" w:color="auto"/>
              <w:right w:val="single" w:sz="4" w:space="0" w:color="auto"/>
            </w:tcBorders>
            <w:vAlign w:val="center"/>
          </w:tcPr>
          <w:p w14:paraId="21BC2036" w14:textId="77777777" w:rsidR="002E3CCB" w:rsidRPr="002E3CCB" w:rsidRDefault="002E3CCB" w:rsidP="0036090F">
            <w:pPr>
              <w:rPr>
                <w:color w:val="000000"/>
                <w:sz w:val="20"/>
              </w:rPr>
            </w:pPr>
            <w:r w:rsidRPr="002E3CCB">
              <w:rPr>
                <w:color w:val="000000"/>
                <w:sz w:val="20"/>
              </w:rPr>
              <w:t>Bijou Telephone Cooperative Association Inc.</w:t>
            </w:r>
          </w:p>
        </w:tc>
      </w:tr>
    </w:tbl>
    <w:p w14:paraId="49939831" w14:textId="77777777" w:rsidR="00B67967" w:rsidRDefault="00B67967" w:rsidP="000C28F6">
      <w:pPr>
        <w:pStyle w:val="Paranum"/>
        <w:widowControl/>
        <w:numPr>
          <w:ilvl w:val="0"/>
          <w:numId w:val="0"/>
        </w:numPr>
        <w:spacing w:after="0"/>
        <w:jc w:val="left"/>
        <w:rPr>
          <w:szCs w:val="22"/>
        </w:rPr>
      </w:pPr>
    </w:p>
    <w:p w14:paraId="3E425E2D" w14:textId="6B83FE15" w:rsidR="000B2F3C" w:rsidRPr="000B2F3C" w:rsidRDefault="00D60E3D" w:rsidP="001B4A89">
      <w:pPr>
        <w:pStyle w:val="StyleParanumLeft"/>
      </w:pPr>
      <w:r>
        <w:t xml:space="preserve">The SACs </w:t>
      </w:r>
      <w:r w:rsidR="008D6D24">
        <w:t>marked with an asterisk</w:t>
      </w:r>
      <w:r>
        <w:t xml:space="preserve"> were on the preliminary determination list in the 2015 100 percent overlap process</w:t>
      </w:r>
      <w:r w:rsidR="00EF5F32">
        <w:t xml:space="preserve"> but</w:t>
      </w:r>
      <w:r w:rsidR="009B3751">
        <w:t xml:space="preserve"> based on the information </w:t>
      </w:r>
      <w:r w:rsidR="002126E8">
        <w:t xml:space="preserve">submitted to </w:t>
      </w:r>
      <w:r w:rsidR="009B3751">
        <w:t xml:space="preserve">the Bureau at the time, we found </w:t>
      </w:r>
      <w:r w:rsidR="00AD1DF3">
        <w:t xml:space="preserve">that </w:t>
      </w:r>
      <w:r w:rsidR="009B3751">
        <w:t xml:space="preserve">competitor(s) </w:t>
      </w:r>
      <w:r w:rsidR="00AD1DF3">
        <w:t>were not offering voice and broadband to 100 percen</w:t>
      </w:r>
      <w:r w:rsidR="009B3751">
        <w:t>t of the locations in those SACs</w:t>
      </w:r>
      <w:r>
        <w:t>.</w:t>
      </w:r>
      <w:r>
        <w:rPr>
          <w:rStyle w:val="FootnoteReference"/>
        </w:rPr>
        <w:footnoteReference w:id="10"/>
      </w:r>
      <w:r w:rsidR="00EF5F32">
        <w:t xml:space="preserve"> </w:t>
      </w:r>
      <w:r w:rsidR="00AD1DF3">
        <w:t xml:space="preserve"> We recognize situation</w:t>
      </w:r>
      <w:r w:rsidR="002126E8">
        <w:t>s</w:t>
      </w:r>
      <w:r w:rsidR="00AD1DF3">
        <w:t xml:space="preserve"> may have changed over the last two years.</w:t>
      </w:r>
      <w:r w:rsidR="001B4A89">
        <w:t xml:space="preserve">  </w:t>
      </w:r>
      <w:r w:rsidR="00E37F75">
        <w:t xml:space="preserve">In addition, </w:t>
      </w:r>
      <w:r w:rsidR="00F911DE">
        <w:t xml:space="preserve">we posted online at </w:t>
      </w:r>
      <w:hyperlink r:id="rId14" w:history="1">
        <w:r w:rsidR="00893CE8" w:rsidRPr="00B414AA">
          <w:rPr>
            <w:rStyle w:val="Hyperlink"/>
          </w:rPr>
          <w:t>https://fcc.gov/maps/100-pct-overlap-2017</w:t>
        </w:r>
      </w:hyperlink>
      <w:r w:rsidR="00893CE8">
        <w:rPr>
          <w:color w:val="1F497D"/>
        </w:rPr>
        <w:t xml:space="preserve"> </w:t>
      </w:r>
      <w:r w:rsidR="00E37F75">
        <w:t xml:space="preserve">a map </w:t>
      </w:r>
      <w:r w:rsidR="00FA4C5C">
        <w:t>d</w:t>
      </w:r>
      <w:r w:rsidR="00E37F75">
        <w:t>epict</w:t>
      </w:r>
      <w:r w:rsidR="00190F59">
        <w:t>ing</w:t>
      </w:r>
      <w:r w:rsidR="00E37F75">
        <w:t xml:space="preserve"> the overlapped study areas and</w:t>
      </w:r>
      <w:r w:rsidR="00190F59">
        <w:t xml:space="preserve"> a spreadsheet listing the unsubsidized competitors in each census block of those study areas based on Form 477 data</w:t>
      </w:r>
      <w:r w:rsidR="00E37F75">
        <w:t>.</w:t>
      </w:r>
      <w:r w:rsidR="002F5A23">
        <w:rPr>
          <w:rStyle w:val="FootnoteReference"/>
        </w:rPr>
        <w:footnoteReference w:id="11"/>
      </w:r>
      <w:r w:rsidR="006221E1">
        <w:t xml:space="preserve">  </w:t>
      </w:r>
      <w:bookmarkStart w:id="2" w:name="_Toc342573433"/>
      <w:bookmarkStart w:id="3" w:name="_Toc342907184"/>
      <w:bookmarkStart w:id="4" w:name="_Toc342992804"/>
      <w:bookmarkStart w:id="5" w:name="_Toc343183050"/>
      <w:bookmarkStart w:id="6" w:name="_Toc343584118"/>
      <w:bookmarkStart w:id="7" w:name="_Toc343612385"/>
      <w:bookmarkStart w:id="8" w:name="_Toc345326622"/>
      <w:bookmarkStart w:id="9" w:name="_Toc345336938"/>
      <w:bookmarkStart w:id="10" w:name="_Toc345508090"/>
      <w:bookmarkStart w:id="11" w:name="_Toc345513335"/>
      <w:bookmarkStart w:id="12" w:name="_Toc346008777"/>
      <w:bookmarkStart w:id="13" w:name="_Toc346188336"/>
    </w:p>
    <w:p w14:paraId="1323BE0A" w14:textId="77777777" w:rsidR="000B2F3C" w:rsidRDefault="00F07A28" w:rsidP="00B779D1">
      <w:pPr>
        <w:pStyle w:val="Heading2"/>
        <w:widowControl/>
        <w:tabs>
          <w:tab w:val="num" w:pos="1530"/>
        </w:tabs>
        <w:rPr>
          <w:szCs w:val="22"/>
        </w:rPr>
      </w:pPr>
      <w:r>
        <w:rPr>
          <w:szCs w:val="22"/>
        </w:rPr>
        <w:t>Public Comment on the Preliminary Determination</w:t>
      </w:r>
    </w:p>
    <w:p w14:paraId="5D3E495E" w14:textId="1BDB2510" w:rsidR="00074A3E" w:rsidRDefault="00A50012" w:rsidP="001926CB">
      <w:pPr>
        <w:pStyle w:val="StyleParanumLeft"/>
        <w:spacing w:after="120"/>
      </w:pPr>
      <w:r>
        <w:t>We</w:t>
      </w:r>
      <w:r w:rsidR="00CD0283">
        <w:t xml:space="preserve"> seek comment on our preliminary determination</w:t>
      </w:r>
      <w:r>
        <w:t>s</w:t>
      </w:r>
      <w:r w:rsidR="00CD0283">
        <w:t xml:space="preserve">.  </w:t>
      </w:r>
      <w:r w:rsidR="00074A3E" w:rsidRPr="00074A3E">
        <w:t xml:space="preserve">After reviewing the comments </w:t>
      </w:r>
      <w:r w:rsidR="008D6D24">
        <w:t xml:space="preserve">and replies </w:t>
      </w:r>
      <w:r w:rsidR="00074A3E" w:rsidRPr="00074A3E">
        <w:t xml:space="preserve">received in response to the preliminary 100 percent overlap determination, we will publish </w:t>
      </w:r>
      <w:r>
        <w:t>a</w:t>
      </w:r>
      <w:r w:rsidRPr="00074A3E">
        <w:t xml:space="preserve"> </w:t>
      </w:r>
      <w:r w:rsidR="00074A3E" w:rsidRPr="00074A3E">
        <w:t xml:space="preserve">final determination.  </w:t>
      </w:r>
      <w:r w:rsidR="00F07A28">
        <w:t>T</w:t>
      </w:r>
      <w:r w:rsidR="00074A3E" w:rsidRPr="00074A3E">
        <w:t xml:space="preserve">he companies operating in the affected study areas, both the </w:t>
      </w:r>
      <w:r w:rsidR="002126E8">
        <w:t xml:space="preserve">incumbent </w:t>
      </w:r>
      <w:r w:rsidR="00074A3E" w:rsidRPr="00074A3E">
        <w:t xml:space="preserve">LECs and the unsubsidized competitors, </w:t>
      </w:r>
      <w:r w:rsidR="0070474F">
        <w:t xml:space="preserve">are invited </w:t>
      </w:r>
      <w:r w:rsidR="00074A3E" w:rsidRPr="00074A3E">
        <w:t xml:space="preserve">to review and confirm or refute the results of </w:t>
      </w:r>
      <w:r w:rsidR="0070474F">
        <w:t xml:space="preserve">our preliminary </w:t>
      </w:r>
      <w:r w:rsidR="00074A3E" w:rsidRPr="00074A3E">
        <w:t>analysis.</w:t>
      </w:r>
      <w:r w:rsidR="001926CB">
        <w:t xml:space="preserve">  </w:t>
      </w:r>
      <w:r w:rsidR="00501434">
        <w:t xml:space="preserve">We encourage companies to access the online map posted at </w:t>
      </w:r>
      <w:hyperlink r:id="rId15" w:history="1">
        <w:r w:rsidR="00B414AA">
          <w:rPr>
            <w:rStyle w:val="Hyperlink"/>
          </w:rPr>
          <w:t xml:space="preserve">https://fcc.gov/maps/100-pct-overlap-2017 </w:t>
        </w:r>
      </w:hyperlink>
      <w:r w:rsidR="00A60E9E">
        <w:t xml:space="preserve"> </w:t>
      </w:r>
      <w:r w:rsidR="00501434">
        <w:t>for more information on</w:t>
      </w:r>
      <w:r w:rsidR="008D6D24">
        <w:t>,</w:t>
      </w:r>
      <w:r w:rsidR="00501434">
        <w:t xml:space="preserve"> and a geographical depiction of</w:t>
      </w:r>
      <w:r w:rsidR="008D6D24">
        <w:t>,</w:t>
      </w:r>
      <w:r w:rsidR="00501434">
        <w:t xml:space="preserve"> the results of the preliminary analysis.</w:t>
      </w:r>
      <w:r w:rsidR="008E086B">
        <w:t xml:space="preserve">  Interested parties can use the mouseover feature to see which competitors offer service</w:t>
      </w:r>
      <w:r w:rsidR="005A524E">
        <w:t>, based on Form 477 data</w:t>
      </w:r>
      <w:r w:rsidR="001926CB">
        <w:t xml:space="preserve"> as of June 30, 2016</w:t>
      </w:r>
      <w:r w:rsidR="005A524E">
        <w:t>,</w:t>
      </w:r>
      <w:r w:rsidR="008E086B">
        <w:t xml:space="preserve"> in the census blocks th</w:t>
      </w:r>
      <w:r w:rsidR="005A524E">
        <w:t>at overlap the identified study areas.  Each census block is color coded according to which competitors are serving the block.</w:t>
      </w:r>
      <w:r w:rsidR="00E96DB1">
        <w:t xml:space="preserve"> </w:t>
      </w:r>
    </w:p>
    <w:p w14:paraId="39917CC8" w14:textId="7DC2B170" w:rsidR="00074A3E" w:rsidRDefault="00074A3E" w:rsidP="00B779D1">
      <w:pPr>
        <w:pStyle w:val="StyleParanumLeft"/>
        <w:spacing w:after="120"/>
      </w:pPr>
      <w:r w:rsidRPr="00074A3E">
        <w:t xml:space="preserve">Based on </w:t>
      </w:r>
      <w:r w:rsidR="00AD1DF3">
        <w:t xml:space="preserve">our previous </w:t>
      </w:r>
      <w:r w:rsidRPr="00074A3E">
        <w:t xml:space="preserve">experience, we </w:t>
      </w:r>
      <w:r w:rsidR="00A50012">
        <w:t xml:space="preserve">recognize </w:t>
      </w:r>
      <w:r w:rsidR="00D118B5">
        <w:t>that it is extremely difficult for an incumbent</w:t>
      </w:r>
      <w:r w:rsidR="001A71BF">
        <w:t xml:space="preserve"> provider to prove a negative –</w:t>
      </w:r>
      <w:r w:rsidR="00D118B5">
        <w:t xml:space="preserve"> that a competitor is not serving an area</w:t>
      </w:r>
      <w:r w:rsidR="0070474F">
        <w:t xml:space="preserve">.  Rather, </w:t>
      </w:r>
      <w:r w:rsidR="006E5D14">
        <w:t>the purported competitor is in a much better position to confirm that it is offering service in a given area</w:t>
      </w:r>
      <w:r w:rsidR="00D118B5">
        <w:t>.  We also are mindful of the fact that</w:t>
      </w:r>
      <w:r w:rsidR="005A4E65">
        <w:t>,</w:t>
      </w:r>
      <w:r w:rsidR="00D118B5">
        <w:t xml:space="preserve"> while a Form 477 filer may truthfully certify that </w:t>
      </w:r>
      <w:r w:rsidR="005A4E65">
        <w:t>it offers service in</w:t>
      </w:r>
      <w:r w:rsidR="00D118B5">
        <w:t xml:space="preserve"> a particular census bl</w:t>
      </w:r>
      <w:r w:rsidR="00315338">
        <w:t xml:space="preserve">ock, </w:t>
      </w:r>
      <w:r w:rsidR="005A4E65">
        <w:t>the filer may not offer</w:t>
      </w:r>
      <w:r w:rsidR="00526B4A">
        <w:t xml:space="preserve"> service to</w:t>
      </w:r>
      <w:r w:rsidR="00315338">
        <w:t xml:space="preserve"> </w:t>
      </w:r>
      <w:r w:rsidR="00315338" w:rsidRPr="006E5D14">
        <w:t>all</w:t>
      </w:r>
      <w:r w:rsidR="00315338" w:rsidRPr="00827923">
        <w:rPr>
          <w:i/>
        </w:rPr>
        <w:t xml:space="preserve"> </w:t>
      </w:r>
      <w:r w:rsidR="00315338">
        <w:t xml:space="preserve">locations in </w:t>
      </w:r>
      <w:r w:rsidR="007200CA">
        <w:t>that</w:t>
      </w:r>
      <w:r w:rsidR="00315338">
        <w:t xml:space="preserve"> census block</w:t>
      </w:r>
      <w:r w:rsidR="006E5D14">
        <w:t>; a</w:t>
      </w:r>
      <w:r w:rsidR="005959A1">
        <w:t xml:space="preserve"> Form 477 filer is required to </w:t>
      </w:r>
      <w:r w:rsidR="006E5D14">
        <w:t>report</w:t>
      </w:r>
      <w:r w:rsidR="005959A1">
        <w:t xml:space="preserve"> </w:t>
      </w:r>
      <w:r w:rsidR="006E5D14">
        <w:t xml:space="preserve">service </w:t>
      </w:r>
      <w:r w:rsidR="002126E8">
        <w:t xml:space="preserve">even if </w:t>
      </w:r>
      <w:r w:rsidR="006E5D14">
        <w:t xml:space="preserve">in a given block it </w:t>
      </w:r>
      <w:r w:rsidR="007200CA">
        <w:t>offers service to only</w:t>
      </w:r>
      <w:r w:rsidR="006E5D14">
        <w:t xml:space="preserve"> a fraction of the </w:t>
      </w:r>
      <w:r w:rsidR="0075709F">
        <w:t xml:space="preserve">residential and business </w:t>
      </w:r>
      <w:r w:rsidR="006E5D14">
        <w:t>locations</w:t>
      </w:r>
      <w:r w:rsidR="00315338">
        <w:t>.  Given those considerations, we conclude</w:t>
      </w:r>
      <w:r w:rsidR="00EC1088">
        <w:t>, as we did in 2015,</w:t>
      </w:r>
      <w:r w:rsidR="00315338">
        <w:t xml:space="preserve"> that </w:t>
      </w:r>
      <w:r w:rsidR="005959A1">
        <w:t>we cannot finalize the list</w:t>
      </w:r>
      <w:r w:rsidR="00B414AA">
        <w:t>—</w:t>
      </w:r>
      <w:r w:rsidR="005959A1">
        <w:t>which triggers the phase-down in support mandated by the Commissio</w:t>
      </w:r>
      <w:r w:rsidR="001C7CD0">
        <w:t>n</w:t>
      </w:r>
      <w:r w:rsidR="00B414AA">
        <w:t>—</w:t>
      </w:r>
      <w:r w:rsidR="001C7CD0">
        <w:t xml:space="preserve">without </w:t>
      </w:r>
      <w:r w:rsidR="00CF3C88">
        <w:t xml:space="preserve">confirmation that </w:t>
      </w:r>
      <w:r w:rsidR="001C7CD0">
        <w:t>the</w:t>
      </w:r>
      <w:r w:rsidRPr="00074A3E">
        <w:t xml:space="preserve"> unsubsidized competitor </w:t>
      </w:r>
      <w:r w:rsidR="00CF3C88">
        <w:t xml:space="preserve">or competitors are </w:t>
      </w:r>
      <w:r w:rsidR="00315338">
        <w:t xml:space="preserve">offering </w:t>
      </w:r>
      <w:r w:rsidRPr="00074A3E">
        <w:t>fixed broadband and voice service in accordance with the Commission’s service obligations for universal service</w:t>
      </w:r>
      <w:r w:rsidR="00315338">
        <w:t xml:space="preserve"> to </w:t>
      </w:r>
      <w:r w:rsidR="00315338" w:rsidRPr="00CF439C">
        <w:rPr>
          <w:i/>
        </w:rPr>
        <w:t>all</w:t>
      </w:r>
      <w:r w:rsidR="00315338">
        <w:t xml:space="preserve"> locations within the </w:t>
      </w:r>
      <w:r w:rsidR="001C7CD0">
        <w:t xml:space="preserve">blocks reported on Form 477 and </w:t>
      </w:r>
      <w:r w:rsidR="00C61EC0">
        <w:t xml:space="preserve">which </w:t>
      </w:r>
      <w:r w:rsidR="001C7CD0">
        <w:t xml:space="preserve">overlap the </w:t>
      </w:r>
      <w:r w:rsidR="005959A1">
        <w:t>study area</w:t>
      </w:r>
      <w:r w:rsidR="00526B4A">
        <w:t>.</w:t>
      </w:r>
      <w:r w:rsidR="00EC1088">
        <w:rPr>
          <w:rStyle w:val="FootnoteReference"/>
        </w:rPr>
        <w:footnoteReference w:id="12"/>
      </w:r>
      <w:r w:rsidRPr="00074A3E">
        <w:t xml:space="preserve">  </w:t>
      </w:r>
    </w:p>
    <w:p w14:paraId="1D6CD222" w14:textId="593CCFE1" w:rsidR="00D01DA5" w:rsidRPr="00074A3E" w:rsidRDefault="00BA6D99" w:rsidP="006221E1">
      <w:pPr>
        <w:pStyle w:val="StyleParanumLeft"/>
        <w:spacing w:after="120"/>
      </w:pPr>
      <w:r>
        <w:t xml:space="preserve">In the 2015 </w:t>
      </w:r>
      <w:r w:rsidR="00D01DA5">
        <w:t>100 percent competitive overlap process, we treated a declaration from a competitor that it is offering service as specified above throughout the blocks reported on Form 477 and within the study area as persuasive evidence that we would consider in our final determination.</w:t>
      </w:r>
      <w:r w:rsidR="00D01DA5">
        <w:rPr>
          <w:rStyle w:val="FootnoteReference"/>
        </w:rPr>
        <w:footnoteReference w:id="13"/>
      </w:r>
      <w:r w:rsidR="00D01DA5">
        <w:t xml:space="preserve">  However, if the </w:t>
      </w:r>
      <w:r w:rsidR="002126E8">
        <w:t xml:space="preserve">incumbent </w:t>
      </w:r>
      <w:r w:rsidR="00D01DA5">
        <w:t xml:space="preserve">LEC replies with its own declaration and evidence that the competitor is not offering service meeting the criteria and the competitor’s initial declaration was not supported with sufficient documentation, we will </w:t>
      </w:r>
      <w:r w:rsidR="006221E1">
        <w:t xml:space="preserve">be unlikely </w:t>
      </w:r>
      <w:r w:rsidR="00D01DA5">
        <w:t>to rely on the competitor’s statement.</w:t>
      </w:r>
      <w:r w:rsidR="00D01DA5">
        <w:rPr>
          <w:rStyle w:val="FootnoteReference"/>
          <w:szCs w:val="22"/>
        </w:rPr>
        <w:footnoteReference w:id="14"/>
      </w:r>
      <w:r w:rsidR="006221E1">
        <w:t xml:space="preserve">  </w:t>
      </w:r>
      <w:r w:rsidR="00D01DA5">
        <w:t xml:space="preserve">By </w:t>
      </w:r>
      <w:r w:rsidR="006221E1">
        <w:t>encouraging</w:t>
      </w:r>
      <w:r w:rsidR="00D01DA5">
        <w:t xml:space="preserve"> supporting documentation, we will reduce the burden on both the parties and the Commission in completing these determinations.</w:t>
      </w:r>
      <w:r w:rsidR="00EF5F32">
        <w:t xml:space="preserve">  </w:t>
      </w:r>
      <w:r w:rsidR="00124383">
        <w:t>For those SACs with an asterisk in the table above, c</w:t>
      </w:r>
      <w:r w:rsidR="00EF5F32">
        <w:t>ompetitive providers that submitted evidence</w:t>
      </w:r>
      <w:r w:rsidR="009E7745">
        <w:t xml:space="preserve"> that</w:t>
      </w:r>
      <w:r w:rsidR="00EF5F32">
        <w:t xml:space="preserve"> the Bureau determined in 2015 was not persuasive</w:t>
      </w:r>
      <w:r w:rsidR="00D37BB9">
        <w:t xml:space="preserve"> and that </w:t>
      </w:r>
      <w:r w:rsidR="00F96476">
        <w:t xml:space="preserve">plan </w:t>
      </w:r>
      <w:r w:rsidR="00D37BB9">
        <w:t>to certify they now serve 100 percent of locations</w:t>
      </w:r>
      <w:r w:rsidR="00124383">
        <w:t xml:space="preserve"> should not </w:t>
      </w:r>
      <w:r w:rsidR="00BB03AD">
        <w:t>simply re</w:t>
      </w:r>
      <w:r w:rsidR="00124383">
        <w:t>submit the same evidence</w:t>
      </w:r>
      <w:r w:rsidR="009E7745">
        <w:t xml:space="preserve">.  </w:t>
      </w:r>
    </w:p>
    <w:p w14:paraId="72C63525" w14:textId="7F9F9F0A" w:rsidR="006766D6" w:rsidRDefault="00910C6C" w:rsidP="00AB4535">
      <w:pPr>
        <w:pStyle w:val="StyleParanumLeft"/>
        <w:widowControl/>
        <w:spacing w:after="120"/>
      </w:pPr>
      <w:bookmarkStart w:id="14" w:name="_Ref421197158"/>
      <w:r>
        <w:t xml:space="preserve">In particular, </w:t>
      </w:r>
      <w:r w:rsidR="005959A1">
        <w:t xml:space="preserve">we encourage </w:t>
      </w:r>
      <w:r>
        <w:t xml:space="preserve">competitors </w:t>
      </w:r>
      <w:r w:rsidR="005959A1">
        <w:t xml:space="preserve">to </w:t>
      </w:r>
      <w:r>
        <w:t xml:space="preserve">address in their comments whether they </w:t>
      </w:r>
      <w:r w:rsidR="006E5D14">
        <w:t xml:space="preserve">currently </w:t>
      </w:r>
      <w:r w:rsidR="004552BB">
        <w:t>offer</w:t>
      </w:r>
      <w:r w:rsidR="007200CA">
        <w:t xml:space="preserve"> </w:t>
      </w:r>
      <w:r w:rsidR="00BB03AD">
        <w:t xml:space="preserve">service meeting the conditions in section 54.319(a) of the Commission’s rules </w:t>
      </w:r>
      <w:r>
        <w:t xml:space="preserve">to all locations </w:t>
      </w:r>
      <w:r w:rsidR="001C7CD0">
        <w:t>with</w:t>
      </w:r>
      <w:r>
        <w:t>in the</w:t>
      </w:r>
      <w:r w:rsidR="001C7CD0">
        <w:t xml:space="preserve"> blocks reported on Form 477 and which overlap</w:t>
      </w:r>
      <w:r w:rsidR="00C61EC0">
        <w:t xml:space="preserve"> the</w:t>
      </w:r>
      <w:r>
        <w:t xml:space="preserve"> </w:t>
      </w:r>
      <w:r w:rsidR="005959A1">
        <w:t>incumbent’s study area</w:t>
      </w:r>
      <w:r w:rsidR="004D430F">
        <w:t xml:space="preserve"> identified in the preliminary list above</w:t>
      </w:r>
      <w:r w:rsidR="00BB03AD">
        <w:t xml:space="preserve">.  To meet those service requirements </w:t>
      </w:r>
      <w:r w:rsidR="0009420A">
        <w:t xml:space="preserve">a </w:t>
      </w:r>
      <w:r w:rsidR="00BB03AD">
        <w:t>provider must offer:</w:t>
      </w:r>
    </w:p>
    <w:p w14:paraId="38F1C1A1" w14:textId="77777777" w:rsidR="006766D6" w:rsidRDefault="006E5D14" w:rsidP="006766D6">
      <w:pPr>
        <w:pStyle w:val="StyleParanumLeft"/>
        <w:numPr>
          <w:ilvl w:val="0"/>
          <w:numId w:val="0"/>
        </w:numPr>
        <w:spacing w:after="120"/>
        <w:ind w:left="720"/>
      </w:pPr>
      <w:r>
        <w:t xml:space="preserve">(1) </w:t>
      </w:r>
      <w:r w:rsidR="007200CA">
        <w:t xml:space="preserve">fixed </w:t>
      </w:r>
      <w:r w:rsidR="00910C6C">
        <w:t>voice service at rates</w:t>
      </w:r>
      <w:r w:rsidR="00A60E9E">
        <w:t xml:space="preserve"> at or </w:t>
      </w:r>
      <w:r w:rsidR="006766D6">
        <w:t xml:space="preserve">below </w:t>
      </w:r>
      <w:r w:rsidR="00910C6C">
        <w:t xml:space="preserve">the </w:t>
      </w:r>
      <w:r w:rsidR="00BF293D">
        <w:t>2017</w:t>
      </w:r>
      <w:r w:rsidR="001C7CD0">
        <w:t xml:space="preserve"> </w:t>
      </w:r>
      <w:r w:rsidR="00910C6C">
        <w:t xml:space="preserve">reasonable comparability benchmark </w:t>
      </w:r>
      <w:r w:rsidR="001C7CD0">
        <w:t>of $</w:t>
      </w:r>
      <w:r w:rsidR="00BF293D">
        <w:t>49.51</w:t>
      </w:r>
      <w:r>
        <w:t>,</w:t>
      </w:r>
      <w:r>
        <w:rPr>
          <w:rStyle w:val="FootnoteReference"/>
          <w:szCs w:val="22"/>
        </w:rPr>
        <w:footnoteReference w:id="15"/>
      </w:r>
      <w:r w:rsidR="00910C6C">
        <w:t xml:space="preserve"> and </w:t>
      </w:r>
    </w:p>
    <w:p w14:paraId="2D9E1AA0" w14:textId="77777777" w:rsidR="006766D6" w:rsidRDefault="006E5D14" w:rsidP="006766D6">
      <w:pPr>
        <w:pStyle w:val="StyleParanumLeft"/>
        <w:numPr>
          <w:ilvl w:val="0"/>
          <w:numId w:val="0"/>
        </w:numPr>
        <w:spacing w:after="120"/>
        <w:ind w:left="720"/>
      </w:pPr>
      <w:r>
        <w:t xml:space="preserve">(2) </w:t>
      </w:r>
      <w:r w:rsidR="007241AE">
        <w:t>fixed</w:t>
      </w:r>
      <w:r w:rsidR="000215DD">
        <w:t xml:space="preserve"> broadband </w:t>
      </w:r>
      <w:r w:rsidR="007200CA">
        <w:t xml:space="preserve">service </w:t>
      </w:r>
      <w:r w:rsidR="00910C6C">
        <w:t xml:space="preserve">at </w:t>
      </w:r>
      <w:r w:rsidR="004552BB">
        <w:t>actual downstrea</w:t>
      </w:r>
      <w:r w:rsidR="0096764B">
        <w:t>m speed of at least 10/</w:t>
      </w:r>
      <w:r w:rsidR="004552BB">
        <w:t>1 Mbps</w:t>
      </w:r>
      <w:r w:rsidR="007200CA">
        <w:t>;</w:t>
      </w:r>
      <w:r w:rsidR="004552BB">
        <w:t xml:space="preserve"> </w:t>
      </w:r>
      <w:r w:rsidR="00910C6C">
        <w:t xml:space="preserve">with </w:t>
      </w:r>
      <w:r w:rsidR="004E2DB5">
        <w:t xml:space="preserve">latency </w:t>
      </w:r>
      <w:r w:rsidR="00910C6C">
        <w:t>suitable for real time applications, including Voice over Internet Protocol</w:t>
      </w:r>
      <w:r w:rsidR="007200CA">
        <w:t>;</w:t>
      </w:r>
      <w:r w:rsidR="00910C6C">
        <w:t xml:space="preserve"> </w:t>
      </w:r>
      <w:r w:rsidR="007200CA">
        <w:t xml:space="preserve">with </w:t>
      </w:r>
      <w:r w:rsidR="00910C6C">
        <w:t>u</w:t>
      </w:r>
      <w:r w:rsidR="007200CA">
        <w:t>sage capacity that is reasonably</w:t>
      </w:r>
      <w:r w:rsidR="00910C6C">
        <w:t xml:space="preserve"> comparable to offerings in urban areas</w:t>
      </w:r>
      <w:r w:rsidR="00EE4EF0">
        <w:t xml:space="preserve"> (160 GB)</w:t>
      </w:r>
      <w:r w:rsidR="007200CA">
        <w:t xml:space="preserve">; and </w:t>
      </w:r>
      <w:r w:rsidR="00910C6C">
        <w:t xml:space="preserve">at rates that </w:t>
      </w:r>
      <w:r w:rsidR="007C2D0C">
        <w:t xml:space="preserve">are </w:t>
      </w:r>
      <w:r w:rsidR="004E2DB5">
        <w:t xml:space="preserve">reasonably comparable to </w:t>
      </w:r>
      <w:r w:rsidR="007200CA">
        <w:t>those</w:t>
      </w:r>
      <w:r w:rsidR="004E2DB5">
        <w:t xml:space="preserve"> in urban areas.</w:t>
      </w:r>
      <w:r w:rsidR="004E2DB5">
        <w:rPr>
          <w:rStyle w:val="FootnoteReference"/>
          <w:szCs w:val="22"/>
        </w:rPr>
        <w:footnoteReference w:id="16"/>
      </w:r>
      <w:r w:rsidR="008E1CD6">
        <w:t xml:space="preserve">  </w:t>
      </w:r>
      <w:r w:rsidR="00D431DC">
        <w:t xml:space="preserve">For example, </w:t>
      </w:r>
      <w:r w:rsidR="00A50012">
        <w:t xml:space="preserve">$77.98 is the benchmark for </w:t>
      </w:r>
      <w:r w:rsidR="00D431DC">
        <w:t>service at 10/1 Mbps, with unlimited usage.</w:t>
      </w:r>
      <w:r w:rsidR="00D431DC">
        <w:rPr>
          <w:rStyle w:val="FootnoteReference"/>
          <w:szCs w:val="22"/>
        </w:rPr>
        <w:footnoteReference w:id="17"/>
      </w:r>
      <w:r w:rsidR="00D431DC">
        <w:t xml:space="preserve">  </w:t>
      </w:r>
    </w:p>
    <w:p w14:paraId="25703D80" w14:textId="77777777" w:rsidR="001A3F18" w:rsidRDefault="00F2443B" w:rsidP="006766D6">
      <w:pPr>
        <w:pStyle w:val="StyleParanumLeft"/>
        <w:numPr>
          <w:ilvl w:val="0"/>
          <w:numId w:val="0"/>
        </w:numPr>
        <w:spacing w:after="120"/>
      </w:pPr>
      <w:r>
        <w:t xml:space="preserve">Relevant information </w:t>
      </w:r>
      <w:r w:rsidR="003A12BF">
        <w:t>c</w:t>
      </w:r>
      <w:r>
        <w:t xml:space="preserve">ould include whether the provider has </w:t>
      </w:r>
      <w:r w:rsidR="00DB66D8">
        <w:t xml:space="preserve">voice and broadband-capable </w:t>
      </w:r>
      <w:r>
        <w:t>physical assets in or adjacent to the relevant area</w:t>
      </w:r>
      <w:r w:rsidR="003A12BF">
        <w:t>, holds itself out to the public as offering service,</w:t>
      </w:r>
      <w:r>
        <w:t xml:space="preserve"> and </w:t>
      </w:r>
      <w:r w:rsidR="00DB66D8">
        <w:t xml:space="preserve">is </w:t>
      </w:r>
      <w:r>
        <w:t>will</w:t>
      </w:r>
      <w:r w:rsidR="00DB66D8">
        <w:t>ing and able</w:t>
      </w:r>
      <w:r>
        <w:t xml:space="preserve"> </w:t>
      </w:r>
      <w:r w:rsidR="00DB66D8">
        <w:t xml:space="preserve">to </w:t>
      </w:r>
      <w:r>
        <w:t>provide service to a requestin</w:t>
      </w:r>
      <w:r w:rsidR="00E7167B">
        <w:t xml:space="preserve">g customer </w:t>
      </w:r>
      <w:r>
        <w:t xml:space="preserve">within </w:t>
      </w:r>
      <w:r w:rsidR="00B457C1">
        <w:t xml:space="preserve">7 to 10 </w:t>
      </w:r>
      <w:r w:rsidR="003A12BF">
        <w:t>business days</w:t>
      </w:r>
      <w:r w:rsidR="004D66AE">
        <w:t xml:space="preserve"> without an extraordinary commitment of resources</w:t>
      </w:r>
      <w:r w:rsidR="003A12BF">
        <w:t>.</w:t>
      </w:r>
      <w:r w:rsidR="00A86A39">
        <w:rPr>
          <w:rStyle w:val="FootnoteReference"/>
        </w:rPr>
        <w:footnoteReference w:id="18"/>
      </w:r>
      <w:r w:rsidR="003A12BF">
        <w:t xml:space="preserve"> </w:t>
      </w:r>
      <w:r>
        <w:t xml:space="preserve"> </w:t>
      </w:r>
    </w:p>
    <w:bookmarkEnd w:id="14"/>
    <w:p w14:paraId="5DF41504" w14:textId="0CB2EEBA" w:rsidR="00D82E20" w:rsidRDefault="00213A9F" w:rsidP="00D82E20">
      <w:pPr>
        <w:pStyle w:val="StyleParanumLeft"/>
        <w:spacing w:after="120"/>
      </w:pPr>
      <w:r>
        <w:t>S</w:t>
      </w:r>
      <w:r w:rsidR="00070C41">
        <w:t>upporting</w:t>
      </w:r>
      <w:r w:rsidR="00D82E20">
        <w:t xml:space="preserve"> documentation </w:t>
      </w:r>
      <w:r w:rsidR="000139A9">
        <w:t xml:space="preserve">we would find persuasive </w:t>
      </w:r>
      <w:r w:rsidR="00607BE1">
        <w:t>include</w:t>
      </w:r>
      <w:r w:rsidR="002F5A23">
        <w:t>s</w:t>
      </w:r>
      <w:r w:rsidR="00A25C36">
        <w:t>, for example,</w:t>
      </w:r>
      <w:r w:rsidR="00607BE1">
        <w:t xml:space="preserve"> </w:t>
      </w:r>
      <w:r w:rsidR="00EC0F39">
        <w:t xml:space="preserve">a list of </w:t>
      </w:r>
      <w:r w:rsidR="00D82E20">
        <w:t>all the addresses deployed to in the census blocks,</w:t>
      </w:r>
      <w:r w:rsidR="005B5EB4">
        <w:t xml:space="preserve"> </w:t>
      </w:r>
      <w:r w:rsidR="00D82E20">
        <w:t xml:space="preserve">a franchise agreement demonstrating </w:t>
      </w:r>
      <w:r w:rsidR="00D431DC">
        <w:t xml:space="preserve">a cable </w:t>
      </w:r>
      <w:r w:rsidR="00D82E20">
        <w:t>competitor’s franchise area includ</w:t>
      </w:r>
      <w:r w:rsidR="00D431DC">
        <w:t>ing</w:t>
      </w:r>
      <w:r w:rsidR="00D82E20">
        <w:t xml:space="preserve"> the relevant census blocks,</w:t>
      </w:r>
      <w:r w:rsidR="00B458C5">
        <w:t xml:space="preserve"> or</w:t>
      </w:r>
      <w:r w:rsidR="00D82E20">
        <w:t xml:space="preserve"> a detailed map</w:t>
      </w:r>
      <w:r w:rsidR="00B458C5">
        <w:t>(s)</w:t>
      </w:r>
      <w:r w:rsidR="00D82E20">
        <w:t xml:space="preserve"> clearly depicting coverage of </w:t>
      </w:r>
      <w:r w:rsidR="007709AA">
        <w:t xml:space="preserve">all locations in </w:t>
      </w:r>
      <w:r w:rsidR="00D82E20">
        <w:t>the relevant census block</w:t>
      </w:r>
      <w:r w:rsidR="00B458C5">
        <w:t>;</w:t>
      </w:r>
      <w:r w:rsidR="001D4B75">
        <w:t xml:space="preserve"> </w:t>
      </w:r>
      <w:r w:rsidR="00D82E20">
        <w:t xml:space="preserve">speed tests </w:t>
      </w:r>
      <w:r w:rsidR="00EC0F39">
        <w:t>i</w:t>
      </w:r>
      <w:r w:rsidR="00D82E20">
        <w:t xml:space="preserve">n the relevant </w:t>
      </w:r>
      <w:r w:rsidR="00EC0F39">
        <w:t xml:space="preserve">area </w:t>
      </w:r>
      <w:r w:rsidR="00D82E20">
        <w:t>during peak times</w:t>
      </w:r>
      <w:r w:rsidR="00B458C5">
        <w:t>;</w:t>
      </w:r>
      <w:r w:rsidR="00D82E20">
        <w:t xml:space="preserve"> a </w:t>
      </w:r>
      <w:r w:rsidR="00EC0F39">
        <w:t xml:space="preserve">brief </w:t>
      </w:r>
      <w:r w:rsidR="00D82E20">
        <w:t xml:space="preserve">narrative detailing </w:t>
      </w:r>
      <w:r w:rsidR="00D82E20" w:rsidRPr="00797B58">
        <w:t>arrangements for being able to provide service with</w:t>
      </w:r>
      <w:r w:rsidR="00D82E20">
        <w:t>in 7 to</w:t>
      </w:r>
      <w:r w:rsidR="00D82E20" w:rsidRPr="00797B58">
        <w:t xml:space="preserve"> 10 business days</w:t>
      </w:r>
      <w:r w:rsidR="00B458C5">
        <w:t>;</w:t>
      </w:r>
      <w:r w:rsidR="00D82E20">
        <w:t xml:space="preserve"> </w:t>
      </w:r>
      <w:r w:rsidR="00D82E20" w:rsidRPr="000336FE">
        <w:t>marketing materi</w:t>
      </w:r>
      <w:r w:rsidR="00D82E20">
        <w:t>als</w:t>
      </w:r>
      <w:r w:rsidR="00B458C5">
        <w:t>/website screen shots</w:t>
      </w:r>
      <w:r w:rsidR="00D82E20">
        <w:t xml:space="preserve"> </w:t>
      </w:r>
      <w:r w:rsidR="00D82E20" w:rsidRPr="000336FE">
        <w:t xml:space="preserve">showing </w:t>
      </w:r>
      <w:r w:rsidR="00D82E20">
        <w:t>the competitor offers</w:t>
      </w:r>
      <w:r w:rsidR="00D82E20" w:rsidRPr="000336FE">
        <w:t xml:space="preserve"> </w:t>
      </w:r>
      <w:r w:rsidR="00D82E20">
        <w:t xml:space="preserve">service meeting </w:t>
      </w:r>
      <w:r w:rsidR="00D82E20" w:rsidRPr="000336FE">
        <w:t>the s</w:t>
      </w:r>
      <w:r w:rsidR="00D82E20">
        <w:t>peed, usage</w:t>
      </w:r>
      <w:r w:rsidR="005B5EB4">
        <w:t xml:space="preserve"> capacity</w:t>
      </w:r>
      <w:r w:rsidR="00D82E20">
        <w:t xml:space="preserve"> and </w:t>
      </w:r>
      <w:r w:rsidR="00BB03AD">
        <w:t>rates (</w:t>
      </w:r>
      <w:r w:rsidR="005B5EB4">
        <w:t>pricing</w:t>
      </w:r>
      <w:r w:rsidR="00BB03AD">
        <w:t>)</w:t>
      </w:r>
      <w:r w:rsidR="005B5EB4">
        <w:t xml:space="preserve"> </w:t>
      </w:r>
      <w:r w:rsidR="00D82E20">
        <w:t xml:space="preserve">for </w:t>
      </w:r>
      <w:r w:rsidR="00A25C36">
        <w:t xml:space="preserve">voice </w:t>
      </w:r>
      <w:r w:rsidR="00D82E20">
        <w:t xml:space="preserve">and </w:t>
      </w:r>
      <w:r w:rsidR="00A25C36">
        <w:t xml:space="preserve">broadband services </w:t>
      </w:r>
      <w:r w:rsidR="00D82E20">
        <w:t>described</w:t>
      </w:r>
      <w:r w:rsidR="00B458C5">
        <w:t xml:space="preserve"> above;</w:t>
      </w:r>
      <w:r w:rsidR="0009420A">
        <w:rPr>
          <w:rStyle w:val="FootnoteReference"/>
        </w:rPr>
        <w:footnoteReference w:id="19"/>
      </w:r>
      <w:r w:rsidR="00D82E20">
        <w:t xml:space="preserve"> and, for fixed wireless providers, </w:t>
      </w:r>
      <w:r w:rsidR="00B457C1">
        <w:t xml:space="preserve">propagation model </w:t>
      </w:r>
      <w:r w:rsidR="00EC0F39">
        <w:t xml:space="preserve">data for determining </w:t>
      </w:r>
      <w:r w:rsidR="00B457C1">
        <w:t>coverage a</w:t>
      </w:r>
      <w:r w:rsidR="0080684F">
        <w:t xml:space="preserve">nd speed, as well as speed test data </w:t>
      </w:r>
      <w:r w:rsidR="00B457C1">
        <w:t xml:space="preserve">to confirm the propagation </w:t>
      </w:r>
      <w:r w:rsidR="0080684F">
        <w:t>model data</w:t>
      </w:r>
      <w:r w:rsidR="00D82E20">
        <w:t>.</w:t>
      </w:r>
      <w:r w:rsidR="00D82E20">
        <w:rPr>
          <w:rStyle w:val="FootnoteReference"/>
        </w:rPr>
        <w:footnoteReference w:id="20"/>
      </w:r>
      <w:r w:rsidR="00401781">
        <w:t xml:space="preserve"> </w:t>
      </w:r>
    </w:p>
    <w:p w14:paraId="77D71929" w14:textId="77777777" w:rsidR="00FB00F4" w:rsidRDefault="006E5D14" w:rsidP="00214925">
      <w:pPr>
        <w:pStyle w:val="StyleParanumLeft"/>
        <w:widowControl/>
        <w:spacing w:after="120"/>
      </w:pPr>
      <w:r>
        <w:t xml:space="preserve">Rate-of-return carriers identified on the preliminary list of </w:t>
      </w:r>
      <w:r w:rsidR="00FB00F4">
        <w:t xml:space="preserve">100 percent overlapped study areas </w:t>
      </w:r>
      <w:r>
        <w:t xml:space="preserve">also are free </w:t>
      </w:r>
      <w:r w:rsidR="00FB00F4">
        <w:t>to submit evidence</w:t>
      </w:r>
      <w:r w:rsidR="00F97BE0">
        <w:t xml:space="preserve">, either in the initial comment or the reply comment </w:t>
      </w:r>
      <w:r w:rsidR="00252E34">
        <w:t>period</w:t>
      </w:r>
      <w:r w:rsidR="00F97BE0">
        <w:t>,</w:t>
      </w:r>
      <w:r w:rsidR="00FB00F4">
        <w:t xml:space="preserve"> that an unsubsidized competitor doe</w:t>
      </w:r>
      <w:r w:rsidR="0018633C">
        <w:t xml:space="preserve">s not offer service </w:t>
      </w:r>
      <w:r w:rsidR="004552BB">
        <w:t xml:space="preserve">to all locations </w:t>
      </w:r>
      <w:r w:rsidR="0018633C">
        <w:t xml:space="preserve">in </w:t>
      </w:r>
      <w:r w:rsidR="00FB00F4">
        <w:t xml:space="preserve">the census blocks </w:t>
      </w:r>
      <w:r w:rsidR="0018633C">
        <w:t>specified</w:t>
      </w:r>
      <w:r w:rsidR="00FB00F4">
        <w:t xml:space="preserve"> in the </w:t>
      </w:r>
      <w:r w:rsidR="00181E6D">
        <w:t xml:space="preserve">provided </w:t>
      </w:r>
      <w:r w:rsidR="001B4A89">
        <w:t>spreadsheet</w:t>
      </w:r>
      <w:r w:rsidR="001B4A89">
        <w:rPr>
          <w:rStyle w:val="FootnoteReference"/>
        </w:rPr>
        <w:footnoteReference w:id="21"/>
      </w:r>
      <w:r w:rsidR="000C62C0">
        <w:t xml:space="preserve"> </w:t>
      </w:r>
      <w:r w:rsidR="00A60685">
        <w:t xml:space="preserve">and/or that </w:t>
      </w:r>
      <w:r w:rsidR="00F218C6">
        <w:t xml:space="preserve">the competitor is not offering service to </w:t>
      </w:r>
      <w:r>
        <w:t>all locations</w:t>
      </w:r>
      <w:r w:rsidR="00C61EC0">
        <w:t xml:space="preserve"> within those blocks</w:t>
      </w:r>
      <w:r w:rsidR="00F218C6">
        <w:t>.</w:t>
      </w:r>
      <w:r w:rsidR="00A851FA">
        <w:t xml:space="preserve"> </w:t>
      </w:r>
    </w:p>
    <w:p w14:paraId="11ED2A84" w14:textId="77777777" w:rsidR="00E60335" w:rsidRPr="00E60335" w:rsidRDefault="00EF2146" w:rsidP="00B779D1">
      <w:pPr>
        <w:pStyle w:val="Heading2"/>
        <w:widowControl/>
        <w:tabs>
          <w:tab w:val="num" w:pos="1530"/>
        </w:tabs>
        <w:rPr>
          <w:szCs w:val="22"/>
        </w:rPr>
      </w:pPr>
      <w:r>
        <w:rPr>
          <w:szCs w:val="22"/>
        </w:rPr>
        <w:t>Filing Requirements</w:t>
      </w:r>
    </w:p>
    <w:bookmarkEnd w:id="2"/>
    <w:bookmarkEnd w:id="3"/>
    <w:bookmarkEnd w:id="4"/>
    <w:bookmarkEnd w:id="5"/>
    <w:bookmarkEnd w:id="6"/>
    <w:bookmarkEnd w:id="7"/>
    <w:bookmarkEnd w:id="8"/>
    <w:bookmarkEnd w:id="9"/>
    <w:bookmarkEnd w:id="10"/>
    <w:bookmarkEnd w:id="11"/>
    <w:bookmarkEnd w:id="12"/>
    <w:bookmarkEnd w:id="13"/>
    <w:p w14:paraId="5284BDBA" w14:textId="77777777" w:rsidR="008E55D4" w:rsidRDefault="008E55D4" w:rsidP="008E55D4">
      <w:pPr>
        <w:pStyle w:val="StyleParanumLeft"/>
      </w:pPr>
      <w:r w:rsidRPr="008E55D4">
        <w:rPr>
          <w:i/>
        </w:rPr>
        <w:t>Comments and Replies</w:t>
      </w:r>
      <w:r w:rsidRPr="008E55D4">
        <w:t>.  Pursuant to sections 1.415 and 1.419 of the Commission’s rules,</w:t>
      </w:r>
      <w:r w:rsidRPr="008E55D4">
        <w:rPr>
          <w:vertAlign w:val="superscript"/>
        </w:rPr>
        <w:footnoteReference w:id="22"/>
      </w:r>
      <w:r w:rsidRPr="008E55D4">
        <w:t xml:space="preserve"> interested parties may file comments and reply comments on or before the dates indicated on the first page of this document.  Comments may be filed using the Commission’s Electronic Comment Filing System (ECFS).</w:t>
      </w:r>
      <w:r w:rsidRPr="008E55D4">
        <w:rPr>
          <w:vertAlign w:val="superscript"/>
        </w:rPr>
        <w:footnoteReference w:id="23"/>
      </w:r>
      <w:r w:rsidRPr="008E55D4">
        <w:t xml:space="preserve">  </w:t>
      </w:r>
    </w:p>
    <w:p w14:paraId="496F761D" w14:textId="1ABB11DC" w:rsidR="008E55D4" w:rsidRDefault="008E55D4" w:rsidP="008E55D4">
      <w:pPr>
        <w:pStyle w:val="StyleParanumLeft"/>
        <w:numPr>
          <w:ilvl w:val="0"/>
          <w:numId w:val="29"/>
        </w:numPr>
        <w:tabs>
          <w:tab w:val="num" w:pos="2160"/>
        </w:tabs>
      </w:pPr>
      <w:r w:rsidRPr="008E55D4">
        <w:t xml:space="preserve">Electronic Filers:  Comments may be filed electronically using the Internet by accessing the ECFS:  </w:t>
      </w:r>
      <w:hyperlink r:id="rId16" w:history="1">
        <w:r w:rsidRPr="003A7CD9">
          <w:rPr>
            <w:rStyle w:val="Hyperlink"/>
          </w:rPr>
          <w:t>https://www.fcc.gov/ecfs</w:t>
        </w:r>
      </w:hyperlink>
      <w:r w:rsidRPr="008E55D4">
        <w:t>.</w:t>
      </w:r>
    </w:p>
    <w:p w14:paraId="541325CE" w14:textId="77777777" w:rsidR="008E55D4" w:rsidRDefault="008E55D4" w:rsidP="008E55D4">
      <w:pPr>
        <w:pStyle w:val="StyleParanumLeft"/>
        <w:numPr>
          <w:ilvl w:val="0"/>
          <w:numId w:val="29"/>
        </w:numPr>
        <w:tabs>
          <w:tab w:val="num" w:pos="2160"/>
        </w:tabs>
      </w:pPr>
      <w:r w:rsidRPr="008E55D4">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D9E1F8E" w14:textId="77777777" w:rsidR="008E55D4" w:rsidRDefault="008E55D4" w:rsidP="008E55D4">
      <w:pPr>
        <w:pStyle w:val="StyleParanumLeft"/>
        <w:numPr>
          <w:ilvl w:val="0"/>
          <w:numId w:val="29"/>
        </w:numPr>
        <w:tabs>
          <w:tab w:val="num" w:pos="2160"/>
        </w:tabs>
        <w:spacing w:after="120"/>
      </w:pPr>
      <w:r w:rsidRPr="008E55D4">
        <w:t>Filings can be sent by hand or messenger delivery, by commercial overnight courier, or by first-class or overnight U.S. Postal Service mail.  All filings must be addressed to the Commission’s Secretary, Office of the Secretary, Federal Communications Commission.</w:t>
      </w:r>
    </w:p>
    <w:p w14:paraId="362D94FB" w14:textId="77777777" w:rsidR="008E55D4" w:rsidRDefault="008E55D4" w:rsidP="008E55D4">
      <w:pPr>
        <w:pStyle w:val="StyleParanumLeft"/>
        <w:numPr>
          <w:ilvl w:val="1"/>
          <w:numId w:val="29"/>
        </w:numPr>
        <w:tabs>
          <w:tab w:val="num" w:pos="2160"/>
        </w:tabs>
        <w:spacing w:after="120"/>
      </w:pPr>
      <w:r w:rsidRPr="008E55D4">
        <w:t>All hand-delivered or messenger-delivered paper filings for the Commission’s Secretary must be delivered to FCC Headquarters at 445 12</w:t>
      </w:r>
      <w:r w:rsidRPr="008E55D4">
        <w:rPr>
          <w:vertAlign w:val="superscript"/>
        </w:rPr>
        <w:t>th</w:t>
      </w:r>
      <w:r w:rsidRPr="008E55D4">
        <w:t xml:space="preserve"> St., SW, Room TW-A325, Washington, DC 20554.  The filing hours are 8:00 a.m. to 7:00 p.m.  All hand deliveries must be held together with rubber bands or fasteners.  Any envelopes and boxes must be disposed of </w:t>
      </w:r>
      <w:r w:rsidRPr="008E55D4">
        <w:rPr>
          <w:i/>
        </w:rPr>
        <w:t>before</w:t>
      </w:r>
      <w:r w:rsidRPr="008E55D4">
        <w:t xml:space="preserve"> entering the building.  </w:t>
      </w:r>
    </w:p>
    <w:p w14:paraId="0DB9278B" w14:textId="77777777" w:rsidR="008E55D4" w:rsidRDefault="008E55D4" w:rsidP="008E55D4">
      <w:pPr>
        <w:pStyle w:val="StyleParanumLeft"/>
        <w:numPr>
          <w:ilvl w:val="1"/>
          <w:numId w:val="29"/>
        </w:numPr>
        <w:tabs>
          <w:tab w:val="num" w:pos="2160"/>
        </w:tabs>
        <w:spacing w:after="120"/>
      </w:pPr>
      <w:r w:rsidRPr="008E55D4">
        <w:t>Commercial overnight mail (other than U.S. Postal Service Express Mail and Priority Mail) must be sent to 9300 East Hampton Drive, Capitol Heights, MD 20743.</w:t>
      </w:r>
    </w:p>
    <w:p w14:paraId="132EC87B" w14:textId="77777777" w:rsidR="008E55D4" w:rsidRPr="008E55D4" w:rsidRDefault="008E55D4" w:rsidP="008E55D4">
      <w:pPr>
        <w:pStyle w:val="StyleParanumLeft"/>
        <w:numPr>
          <w:ilvl w:val="1"/>
          <w:numId w:val="29"/>
        </w:numPr>
        <w:tabs>
          <w:tab w:val="num" w:pos="2160"/>
        </w:tabs>
        <w:spacing w:after="120"/>
      </w:pPr>
      <w:r w:rsidRPr="008E55D4">
        <w:t>U.S. Postal Service first-class, Express, and Priority mail must be addressed to 445 12</w:t>
      </w:r>
      <w:r w:rsidRPr="008E55D4">
        <w:rPr>
          <w:vertAlign w:val="superscript"/>
        </w:rPr>
        <w:t>th</w:t>
      </w:r>
      <w:r w:rsidRPr="008E55D4">
        <w:t xml:space="preserve"> Street, SW, Washington DC 20554.</w:t>
      </w:r>
    </w:p>
    <w:p w14:paraId="04CDC704" w14:textId="371211F7" w:rsidR="008E55D4" w:rsidRPr="008E55D4" w:rsidRDefault="008E55D4" w:rsidP="008E55D4">
      <w:pPr>
        <w:pStyle w:val="StyleParanumLeft"/>
      </w:pPr>
      <w:r w:rsidRPr="008E55D4">
        <w:rPr>
          <w:i/>
        </w:rPr>
        <w:t>People with Disabilities</w:t>
      </w:r>
      <w:r w:rsidRPr="008E55D4">
        <w:t xml:space="preserve">.  To request materials in accessible formats for people with disabilities (braille, large print, electronic files, audio format), send an e-mail to </w:t>
      </w:r>
      <w:hyperlink r:id="rId17" w:history="1">
        <w:r w:rsidR="005B5EB4" w:rsidRPr="00254756">
          <w:rPr>
            <w:rStyle w:val="Hyperlink"/>
          </w:rPr>
          <w:t>fcc504@fcc.gov</w:t>
        </w:r>
      </w:hyperlink>
      <w:r w:rsidRPr="008E55D4">
        <w:t xml:space="preserve"> or call the Consumer &amp; Governmental Affairs Bureau at 202-418-0530 (voice), 202-418-0432 (tty).</w:t>
      </w:r>
    </w:p>
    <w:p w14:paraId="65589DFF" w14:textId="77777777" w:rsidR="008E55D4" w:rsidRDefault="008E55D4" w:rsidP="008E55D4">
      <w:pPr>
        <w:pStyle w:val="StyleParanumLeft"/>
      </w:pPr>
      <w:r w:rsidRPr="008E55D4">
        <w:rPr>
          <w:i/>
        </w:rPr>
        <w:t>Availability of Documents</w:t>
      </w:r>
      <w:r w:rsidRPr="008E55D4">
        <w:t>.  Comments, reply comments, and ex parte submissions will be publicly available online via ECFS.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14:paraId="13B22CA9" w14:textId="77777777" w:rsidR="008E55D4" w:rsidRPr="008E55D4" w:rsidRDefault="008E55D4" w:rsidP="008E55D4">
      <w:pPr>
        <w:pStyle w:val="StyleParanumLeft"/>
      </w:pPr>
      <w:r w:rsidRPr="00A22643">
        <w:rPr>
          <w:i/>
        </w:rPr>
        <w:t>Permit-But-Disclose</w:t>
      </w:r>
      <w:r>
        <w:t xml:space="preserve">.  The proceeding this </w:t>
      </w:r>
      <w:r>
        <w:rPr>
          <w:szCs w:val="22"/>
        </w:rPr>
        <w:t>Notice of Proposed Rulemaking</w:t>
      </w:r>
      <w:r>
        <w:t xml:space="preserve"> initiates shall be treated as a “permit-but-disclose” proceeding in accordance with the Commission’s </w:t>
      </w:r>
      <w:r w:rsidRPr="00BE30A1">
        <w:t xml:space="preserve">ex parte </w:t>
      </w:r>
      <w:r>
        <w:t>rules.</w:t>
      </w:r>
      <w:r>
        <w:rPr>
          <w:rStyle w:val="FootnoteReference"/>
        </w:rPr>
        <w:footnoteReference w:id="24"/>
      </w:r>
      <w:r>
        <w:t xml:space="preserve">  Persons making </w:t>
      </w:r>
      <w:r w:rsidRPr="00BE30A1">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E30A1">
        <w:t xml:space="preserve">ex parte </w:t>
      </w:r>
      <w:r>
        <w:t xml:space="preserve">presentations are reminded that memoranda summarizing the presentation must (1) list all persons attending or otherwise participating in the meeting at which the </w:t>
      </w:r>
      <w:r w:rsidRPr="00BE30A1">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E30A1">
        <w:t xml:space="preserve">ex parte </w:t>
      </w:r>
      <w:r>
        <w:t xml:space="preserve">meetings are deemed to be written </w:t>
      </w:r>
      <w:r w:rsidRPr="00BE30A1">
        <w:t>ex parte</w:t>
      </w:r>
      <w:r>
        <w:t xml:space="preserve"> presentations and must be filed consistent with rule 1.1206(b).  In proceedings governed by rule 1.49(f) or for which the Commission has made available a method of electronic filing, written </w:t>
      </w:r>
      <w:r w:rsidRPr="00BE30A1">
        <w:t xml:space="preserve">ex parte </w:t>
      </w:r>
      <w:r>
        <w:t xml:space="preserve">presentations and memoranda summarizing oral </w:t>
      </w:r>
      <w:r w:rsidRPr="00BE30A1">
        <w:t xml:space="preserve">ex parte </w:t>
      </w:r>
      <w:r>
        <w:t>presentations, and all attachments thereto, must be filed through the electronic comment filing system available for that proceeding, and must be filed in their native format (</w:t>
      </w:r>
      <w:r w:rsidRPr="00BE30A1">
        <w:t>e.g.</w:t>
      </w:r>
      <w:r>
        <w:t xml:space="preserve">, .doc, .xml, .ppt, searchable .pdf).  Participants in this proceeding should familiarize themselves with the Commission’s </w:t>
      </w:r>
      <w:r w:rsidRPr="00BE30A1">
        <w:t xml:space="preserve">ex parte </w:t>
      </w:r>
      <w:r>
        <w:t>rules.</w:t>
      </w:r>
    </w:p>
    <w:p w14:paraId="35680DE3" w14:textId="77777777" w:rsidR="00EF2146" w:rsidRPr="00F1317E" w:rsidRDefault="00EF2146" w:rsidP="00F1317E">
      <w:pPr>
        <w:pStyle w:val="paranum1"/>
        <w:tabs>
          <w:tab w:val="num" w:pos="720"/>
        </w:tabs>
        <w:spacing w:after="120"/>
        <w:jc w:val="left"/>
      </w:pPr>
      <w:r w:rsidRPr="007F7CE7">
        <w:tab/>
        <w:t xml:space="preserve">For further information, please contact </w:t>
      </w:r>
      <w:r w:rsidR="00BB2329">
        <w:t>Suzanne Yelen</w:t>
      </w:r>
      <w:r w:rsidRPr="007F7CE7">
        <w:t xml:space="preserve">, </w:t>
      </w:r>
      <w:r w:rsidR="00BB2329">
        <w:t>Industry Analysis &amp; Technology Division</w:t>
      </w:r>
      <w:r w:rsidR="00BB2329" w:rsidRPr="007F7CE7">
        <w:t>, Wireline Competition Bureau</w:t>
      </w:r>
      <w:r w:rsidRPr="007F7CE7">
        <w:t xml:space="preserve"> at 202-418-</w:t>
      </w:r>
      <w:r w:rsidR="00BB2329">
        <w:t>0626 or Suzanne.Yelen@fcc.gov</w:t>
      </w:r>
      <w:r w:rsidRPr="007F7CE7">
        <w:t>.</w:t>
      </w:r>
      <w:r w:rsidRPr="007F7CE7" w:rsidDel="00DE16CA">
        <w:rPr>
          <w:highlight w:val="yellow"/>
        </w:rPr>
        <w:t xml:space="preserve"> </w:t>
      </w:r>
    </w:p>
    <w:p w14:paraId="73E983AB" w14:textId="77777777" w:rsidR="00F27227" w:rsidRDefault="00EF2146" w:rsidP="002F5A23">
      <w:pPr>
        <w:spacing w:before="240"/>
        <w:jc w:val="center"/>
        <w:rPr>
          <w:b/>
          <w:szCs w:val="22"/>
        </w:rPr>
      </w:pPr>
      <w:r w:rsidRPr="007F7CE7">
        <w:rPr>
          <w:b/>
          <w:szCs w:val="22"/>
        </w:rPr>
        <w:t>- FCC -</w:t>
      </w:r>
      <w:r w:rsidR="008E55D4">
        <w:rPr>
          <w:b/>
          <w:szCs w:val="22"/>
        </w:rPr>
        <w:br w:type="page"/>
      </w:r>
    </w:p>
    <w:p w14:paraId="606D3EE4" w14:textId="77777777" w:rsidR="00F27227" w:rsidRDefault="001B4A89">
      <w:pPr>
        <w:jc w:val="center"/>
        <w:rPr>
          <w:b/>
          <w:szCs w:val="22"/>
        </w:rPr>
      </w:pPr>
      <w:r>
        <w:rPr>
          <w:b/>
          <w:szCs w:val="22"/>
        </w:rPr>
        <w:t>Appendix</w:t>
      </w:r>
    </w:p>
    <w:p w14:paraId="5A128FC3" w14:textId="77777777" w:rsidR="00F27227" w:rsidRDefault="00F27227" w:rsidP="00F27227">
      <w:pPr>
        <w:jc w:val="center"/>
        <w:rPr>
          <w:b/>
          <w:szCs w:val="22"/>
        </w:rPr>
      </w:pPr>
      <w:r>
        <w:rPr>
          <w:b/>
          <w:szCs w:val="22"/>
        </w:rPr>
        <w:t>Propagation Data</w:t>
      </w:r>
    </w:p>
    <w:p w14:paraId="15220B00" w14:textId="77777777" w:rsidR="008E55D4" w:rsidRDefault="008E55D4" w:rsidP="008E55D4">
      <w:pPr>
        <w:rPr>
          <w:b/>
          <w:szCs w:val="22"/>
        </w:rPr>
      </w:pPr>
    </w:p>
    <w:p w14:paraId="560CCCB3" w14:textId="77777777" w:rsidR="008E55D4" w:rsidRPr="008E55D4" w:rsidRDefault="008E55D4" w:rsidP="008E55D4">
      <w:pPr>
        <w:rPr>
          <w:szCs w:val="22"/>
        </w:rPr>
      </w:pPr>
      <w:r w:rsidRPr="008E55D4">
        <w:rPr>
          <w:szCs w:val="22"/>
        </w:rPr>
        <w:t>The Bureau recommends that fixe</w:t>
      </w:r>
      <w:r w:rsidR="00375B15">
        <w:rPr>
          <w:szCs w:val="22"/>
        </w:rPr>
        <w:t>d wireless competitors submitting</w:t>
      </w:r>
      <w:r w:rsidRPr="008E55D4">
        <w:rPr>
          <w:szCs w:val="22"/>
        </w:rPr>
        <w:t xml:space="preserve"> propagation data </w:t>
      </w:r>
      <w:r w:rsidR="006766D6">
        <w:rPr>
          <w:szCs w:val="22"/>
        </w:rPr>
        <w:t xml:space="preserve">in support of their comments </w:t>
      </w:r>
      <w:r w:rsidRPr="008E55D4">
        <w:rPr>
          <w:szCs w:val="22"/>
        </w:rPr>
        <w:t xml:space="preserve">to submit the data below in a .csv file.   </w:t>
      </w:r>
    </w:p>
    <w:p w14:paraId="4415D6BA" w14:textId="77777777" w:rsidR="00F27227" w:rsidRDefault="00F27227" w:rsidP="00F27227">
      <w:pPr>
        <w:rPr>
          <w:b/>
          <w:szCs w:val="22"/>
        </w:rPr>
      </w:pPr>
    </w:p>
    <w:tbl>
      <w:tblPr>
        <w:tblStyle w:val="TableGrid"/>
        <w:tblW w:w="5000" w:type="pct"/>
        <w:tblLayout w:type="fixed"/>
        <w:tblLook w:val="04A0" w:firstRow="1" w:lastRow="0" w:firstColumn="1" w:lastColumn="0" w:noHBand="0" w:noVBand="1"/>
      </w:tblPr>
      <w:tblGrid>
        <w:gridCol w:w="2760"/>
        <w:gridCol w:w="1567"/>
        <w:gridCol w:w="1844"/>
        <w:gridCol w:w="3405"/>
      </w:tblGrid>
      <w:tr w:rsidR="00F27227" w:rsidRPr="0072522A" w14:paraId="1BD44C39" w14:textId="77777777" w:rsidTr="00214925">
        <w:trPr>
          <w:tblHeader/>
        </w:trPr>
        <w:tc>
          <w:tcPr>
            <w:tcW w:w="2695" w:type="dxa"/>
            <w:shd w:val="clear" w:color="auto" w:fill="D9D9D9" w:themeFill="background1" w:themeFillShade="D9"/>
          </w:tcPr>
          <w:p w14:paraId="14DB8666" w14:textId="77777777" w:rsidR="00F27227" w:rsidRPr="0072522A" w:rsidRDefault="00F27227" w:rsidP="00214925">
            <w:pPr>
              <w:keepNext/>
              <w:rPr>
                <w:b/>
                <w:szCs w:val="22"/>
              </w:rPr>
            </w:pPr>
            <w:r>
              <w:rPr>
                <w:b/>
                <w:szCs w:val="22"/>
              </w:rPr>
              <w:t>Data Point</w:t>
            </w:r>
          </w:p>
        </w:tc>
        <w:tc>
          <w:tcPr>
            <w:tcW w:w="1530" w:type="dxa"/>
            <w:shd w:val="clear" w:color="auto" w:fill="D9D9D9" w:themeFill="background1" w:themeFillShade="D9"/>
          </w:tcPr>
          <w:p w14:paraId="44BFAEF4" w14:textId="77777777" w:rsidR="00F27227" w:rsidRPr="0072522A" w:rsidRDefault="00F27227" w:rsidP="00214925">
            <w:pPr>
              <w:keepNext/>
              <w:rPr>
                <w:b/>
                <w:szCs w:val="22"/>
              </w:rPr>
            </w:pPr>
            <w:r w:rsidRPr="0072522A">
              <w:rPr>
                <w:b/>
                <w:szCs w:val="22"/>
              </w:rPr>
              <w:t>Data Type</w:t>
            </w:r>
          </w:p>
        </w:tc>
        <w:tc>
          <w:tcPr>
            <w:tcW w:w="1800" w:type="dxa"/>
            <w:shd w:val="clear" w:color="auto" w:fill="D9D9D9" w:themeFill="background1" w:themeFillShade="D9"/>
          </w:tcPr>
          <w:p w14:paraId="08A78D74" w14:textId="77777777" w:rsidR="00F27227" w:rsidRPr="0072522A" w:rsidRDefault="00F27227" w:rsidP="00214925">
            <w:pPr>
              <w:keepNext/>
              <w:rPr>
                <w:b/>
                <w:szCs w:val="22"/>
              </w:rPr>
            </w:pPr>
            <w:r w:rsidRPr="0072522A">
              <w:rPr>
                <w:b/>
                <w:szCs w:val="22"/>
              </w:rPr>
              <w:t>Sample</w:t>
            </w:r>
          </w:p>
        </w:tc>
        <w:tc>
          <w:tcPr>
            <w:tcW w:w="3325" w:type="dxa"/>
            <w:shd w:val="clear" w:color="auto" w:fill="D9D9D9" w:themeFill="background1" w:themeFillShade="D9"/>
          </w:tcPr>
          <w:p w14:paraId="1EEA4135" w14:textId="77777777" w:rsidR="00F27227" w:rsidRPr="0072522A" w:rsidRDefault="00F27227" w:rsidP="00214925">
            <w:pPr>
              <w:keepNext/>
              <w:rPr>
                <w:b/>
                <w:szCs w:val="22"/>
              </w:rPr>
            </w:pPr>
            <w:r w:rsidRPr="0072522A">
              <w:rPr>
                <w:b/>
                <w:szCs w:val="22"/>
              </w:rPr>
              <w:t>Notes</w:t>
            </w:r>
          </w:p>
        </w:tc>
      </w:tr>
      <w:tr w:rsidR="00F27227" w:rsidRPr="0072522A" w14:paraId="4128BA1A" w14:textId="77777777" w:rsidTr="00214925">
        <w:tc>
          <w:tcPr>
            <w:tcW w:w="2695" w:type="dxa"/>
          </w:tcPr>
          <w:p w14:paraId="3A7CE280" w14:textId="77777777" w:rsidR="00F27227" w:rsidRPr="0072522A" w:rsidRDefault="00F27227" w:rsidP="00214925">
            <w:pPr>
              <w:spacing w:after="120"/>
              <w:rPr>
                <w:szCs w:val="22"/>
              </w:rPr>
            </w:pPr>
            <w:r w:rsidRPr="0072522A">
              <w:rPr>
                <w:szCs w:val="22"/>
              </w:rPr>
              <w:t>site_id</w:t>
            </w:r>
          </w:p>
        </w:tc>
        <w:tc>
          <w:tcPr>
            <w:tcW w:w="1530" w:type="dxa"/>
          </w:tcPr>
          <w:p w14:paraId="640A2064" w14:textId="77777777" w:rsidR="00F27227" w:rsidRPr="0072522A" w:rsidRDefault="00F27227" w:rsidP="00214925">
            <w:pPr>
              <w:spacing w:after="120"/>
              <w:rPr>
                <w:szCs w:val="22"/>
              </w:rPr>
            </w:pPr>
            <w:r w:rsidRPr="0072522A">
              <w:rPr>
                <w:szCs w:val="22"/>
              </w:rPr>
              <w:t>Integer</w:t>
            </w:r>
          </w:p>
        </w:tc>
        <w:tc>
          <w:tcPr>
            <w:tcW w:w="1800" w:type="dxa"/>
          </w:tcPr>
          <w:p w14:paraId="738978A3" w14:textId="77777777" w:rsidR="00F27227" w:rsidRPr="0072522A" w:rsidRDefault="00F27227" w:rsidP="00214925">
            <w:pPr>
              <w:spacing w:after="120"/>
              <w:rPr>
                <w:szCs w:val="22"/>
              </w:rPr>
            </w:pPr>
            <w:r w:rsidRPr="0072522A">
              <w:rPr>
                <w:szCs w:val="22"/>
              </w:rPr>
              <w:t>22</w:t>
            </w:r>
          </w:p>
        </w:tc>
        <w:tc>
          <w:tcPr>
            <w:tcW w:w="3325" w:type="dxa"/>
          </w:tcPr>
          <w:p w14:paraId="7BE5FD06" w14:textId="77777777" w:rsidR="00F27227" w:rsidRPr="0072522A" w:rsidRDefault="00F27227" w:rsidP="00214925">
            <w:pPr>
              <w:spacing w:after="120"/>
              <w:rPr>
                <w:szCs w:val="22"/>
              </w:rPr>
            </w:pPr>
            <w:r w:rsidRPr="0072522A">
              <w:rPr>
                <w:szCs w:val="22"/>
              </w:rPr>
              <w:t>Unique identifier for each site</w:t>
            </w:r>
          </w:p>
        </w:tc>
      </w:tr>
      <w:tr w:rsidR="00F27227" w:rsidRPr="0072522A" w14:paraId="343D688B" w14:textId="77777777" w:rsidTr="00214925">
        <w:tc>
          <w:tcPr>
            <w:tcW w:w="2695" w:type="dxa"/>
          </w:tcPr>
          <w:p w14:paraId="52785913" w14:textId="77777777" w:rsidR="00F27227" w:rsidRPr="0072522A" w:rsidRDefault="002F5A23" w:rsidP="00214925">
            <w:pPr>
              <w:spacing w:after="120"/>
              <w:rPr>
                <w:szCs w:val="22"/>
              </w:rPr>
            </w:pPr>
            <w:r w:rsidRPr="0072522A">
              <w:rPr>
                <w:szCs w:val="22"/>
              </w:rPr>
              <w:t>L</w:t>
            </w:r>
            <w:r w:rsidR="00F27227" w:rsidRPr="0072522A">
              <w:rPr>
                <w:szCs w:val="22"/>
              </w:rPr>
              <w:t>atitude</w:t>
            </w:r>
          </w:p>
        </w:tc>
        <w:tc>
          <w:tcPr>
            <w:tcW w:w="1530" w:type="dxa"/>
          </w:tcPr>
          <w:p w14:paraId="6DFE21BD" w14:textId="77777777" w:rsidR="00F27227" w:rsidRPr="0072522A" w:rsidRDefault="00F27227" w:rsidP="00214925">
            <w:pPr>
              <w:spacing w:after="120"/>
              <w:rPr>
                <w:szCs w:val="22"/>
              </w:rPr>
            </w:pPr>
            <w:r w:rsidRPr="0072522A">
              <w:rPr>
                <w:szCs w:val="22"/>
              </w:rPr>
              <w:t>Float</w:t>
            </w:r>
          </w:p>
        </w:tc>
        <w:tc>
          <w:tcPr>
            <w:tcW w:w="1800" w:type="dxa"/>
          </w:tcPr>
          <w:p w14:paraId="496148D2" w14:textId="77777777" w:rsidR="00F27227" w:rsidRPr="0072522A" w:rsidRDefault="00F27227" w:rsidP="00214925">
            <w:pPr>
              <w:spacing w:after="120"/>
              <w:rPr>
                <w:szCs w:val="22"/>
              </w:rPr>
            </w:pPr>
            <w:r w:rsidRPr="0072522A">
              <w:rPr>
                <w:szCs w:val="22"/>
              </w:rPr>
              <w:t>38.8834816</w:t>
            </w:r>
          </w:p>
        </w:tc>
        <w:tc>
          <w:tcPr>
            <w:tcW w:w="3325" w:type="dxa"/>
          </w:tcPr>
          <w:p w14:paraId="34336F31" w14:textId="77777777" w:rsidR="00F27227" w:rsidRPr="0072522A" w:rsidRDefault="00F27227" w:rsidP="00214925">
            <w:pPr>
              <w:spacing w:after="120"/>
              <w:rPr>
                <w:szCs w:val="22"/>
              </w:rPr>
            </w:pPr>
            <w:r w:rsidRPr="0072522A">
              <w:rPr>
                <w:szCs w:val="22"/>
              </w:rPr>
              <w:t>Latitude of site in degrees to 7 decimals</w:t>
            </w:r>
          </w:p>
        </w:tc>
      </w:tr>
      <w:tr w:rsidR="00F27227" w:rsidRPr="0072522A" w14:paraId="25642EEB" w14:textId="77777777" w:rsidTr="00214925">
        <w:tc>
          <w:tcPr>
            <w:tcW w:w="2695" w:type="dxa"/>
          </w:tcPr>
          <w:p w14:paraId="32E069C0" w14:textId="77777777" w:rsidR="00F27227" w:rsidRPr="0072522A" w:rsidRDefault="002F5A23" w:rsidP="00214925">
            <w:pPr>
              <w:spacing w:after="120"/>
              <w:rPr>
                <w:szCs w:val="22"/>
              </w:rPr>
            </w:pPr>
            <w:r w:rsidRPr="0072522A">
              <w:rPr>
                <w:szCs w:val="22"/>
              </w:rPr>
              <w:t>L</w:t>
            </w:r>
            <w:r w:rsidR="00F27227" w:rsidRPr="0072522A">
              <w:rPr>
                <w:szCs w:val="22"/>
              </w:rPr>
              <w:t>ongitude</w:t>
            </w:r>
          </w:p>
        </w:tc>
        <w:tc>
          <w:tcPr>
            <w:tcW w:w="1530" w:type="dxa"/>
          </w:tcPr>
          <w:p w14:paraId="6645A8A4" w14:textId="77777777" w:rsidR="00F27227" w:rsidRPr="0072522A" w:rsidRDefault="00F27227" w:rsidP="00214925">
            <w:pPr>
              <w:spacing w:after="120"/>
              <w:rPr>
                <w:szCs w:val="22"/>
              </w:rPr>
            </w:pPr>
            <w:r w:rsidRPr="0072522A">
              <w:rPr>
                <w:szCs w:val="22"/>
              </w:rPr>
              <w:t>Float</w:t>
            </w:r>
          </w:p>
        </w:tc>
        <w:tc>
          <w:tcPr>
            <w:tcW w:w="1800" w:type="dxa"/>
          </w:tcPr>
          <w:p w14:paraId="196376C5" w14:textId="77777777" w:rsidR="00F27227" w:rsidRPr="0072522A" w:rsidRDefault="00F27227" w:rsidP="00214925">
            <w:pPr>
              <w:spacing w:after="120"/>
              <w:rPr>
                <w:szCs w:val="22"/>
              </w:rPr>
            </w:pPr>
            <w:r w:rsidRPr="0072522A">
              <w:rPr>
                <w:szCs w:val="22"/>
              </w:rPr>
              <w:t>-77.0305135</w:t>
            </w:r>
          </w:p>
        </w:tc>
        <w:tc>
          <w:tcPr>
            <w:tcW w:w="3325" w:type="dxa"/>
          </w:tcPr>
          <w:p w14:paraId="17D01938" w14:textId="77777777" w:rsidR="00F27227" w:rsidRPr="0072522A" w:rsidRDefault="00F27227" w:rsidP="00214925">
            <w:pPr>
              <w:spacing w:after="120"/>
              <w:rPr>
                <w:szCs w:val="22"/>
              </w:rPr>
            </w:pPr>
            <w:r w:rsidRPr="0072522A">
              <w:rPr>
                <w:szCs w:val="22"/>
              </w:rPr>
              <w:t>Longitude of site in degrees to 7 decimals</w:t>
            </w:r>
          </w:p>
        </w:tc>
      </w:tr>
      <w:tr w:rsidR="00F27227" w:rsidRPr="0072522A" w14:paraId="3FEEFCE0" w14:textId="77777777" w:rsidTr="00214925">
        <w:tc>
          <w:tcPr>
            <w:tcW w:w="2695" w:type="dxa"/>
          </w:tcPr>
          <w:p w14:paraId="0F68C258" w14:textId="77777777" w:rsidR="00F27227" w:rsidRPr="0072522A" w:rsidRDefault="00F27227" w:rsidP="00214925">
            <w:pPr>
              <w:spacing w:after="120"/>
              <w:rPr>
                <w:szCs w:val="22"/>
              </w:rPr>
            </w:pPr>
            <w:r w:rsidRPr="0072522A">
              <w:rPr>
                <w:szCs w:val="22"/>
              </w:rPr>
              <w:t>antenna_height</w:t>
            </w:r>
          </w:p>
        </w:tc>
        <w:tc>
          <w:tcPr>
            <w:tcW w:w="1530" w:type="dxa"/>
          </w:tcPr>
          <w:p w14:paraId="40F45CB2" w14:textId="77777777" w:rsidR="00F27227" w:rsidRPr="0072522A" w:rsidRDefault="00F27227" w:rsidP="00214925">
            <w:pPr>
              <w:spacing w:after="120"/>
              <w:rPr>
                <w:szCs w:val="22"/>
              </w:rPr>
            </w:pPr>
            <w:r w:rsidRPr="0072522A">
              <w:rPr>
                <w:szCs w:val="22"/>
              </w:rPr>
              <w:t>Float</w:t>
            </w:r>
          </w:p>
        </w:tc>
        <w:tc>
          <w:tcPr>
            <w:tcW w:w="1800" w:type="dxa"/>
          </w:tcPr>
          <w:p w14:paraId="7994F160" w14:textId="77777777" w:rsidR="00F27227" w:rsidRPr="0072522A" w:rsidRDefault="00F27227" w:rsidP="00214925">
            <w:pPr>
              <w:spacing w:after="120"/>
              <w:rPr>
                <w:szCs w:val="22"/>
              </w:rPr>
            </w:pPr>
            <w:r w:rsidRPr="0072522A">
              <w:rPr>
                <w:szCs w:val="22"/>
              </w:rPr>
              <w:t>60.65</w:t>
            </w:r>
          </w:p>
        </w:tc>
        <w:tc>
          <w:tcPr>
            <w:tcW w:w="3325" w:type="dxa"/>
          </w:tcPr>
          <w:p w14:paraId="61FCF279" w14:textId="77777777" w:rsidR="00F27227" w:rsidRPr="0072522A" w:rsidRDefault="00F27227" w:rsidP="00214925">
            <w:pPr>
              <w:spacing w:after="120"/>
              <w:rPr>
                <w:szCs w:val="22"/>
              </w:rPr>
            </w:pPr>
            <w:r w:rsidRPr="0072522A">
              <w:rPr>
                <w:szCs w:val="22"/>
              </w:rPr>
              <w:t>Antenna height in meters</w:t>
            </w:r>
          </w:p>
        </w:tc>
      </w:tr>
      <w:tr w:rsidR="00F27227" w:rsidRPr="0072522A" w14:paraId="15F9020D" w14:textId="77777777" w:rsidTr="00214925">
        <w:trPr>
          <w:trHeight w:val="251"/>
        </w:trPr>
        <w:tc>
          <w:tcPr>
            <w:tcW w:w="2695" w:type="dxa"/>
          </w:tcPr>
          <w:p w14:paraId="4E67ECF3" w14:textId="77777777" w:rsidR="00F27227" w:rsidRPr="0072522A" w:rsidRDefault="00F27227" w:rsidP="00214925">
            <w:pPr>
              <w:spacing w:after="120"/>
              <w:rPr>
                <w:szCs w:val="22"/>
              </w:rPr>
            </w:pPr>
            <w:r w:rsidRPr="0072522A">
              <w:rPr>
                <w:szCs w:val="22"/>
              </w:rPr>
              <w:t>antenna_orientation</w:t>
            </w:r>
          </w:p>
        </w:tc>
        <w:tc>
          <w:tcPr>
            <w:tcW w:w="1530" w:type="dxa"/>
          </w:tcPr>
          <w:p w14:paraId="03F9FC60" w14:textId="77777777" w:rsidR="00F27227" w:rsidRPr="0072522A" w:rsidRDefault="00F27227" w:rsidP="00214925">
            <w:pPr>
              <w:spacing w:after="120"/>
              <w:rPr>
                <w:szCs w:val="22"/>
              </w:rPr>
            </w:pPr>
            <w:r w:rsidRPr="0072522A">
              <w:rPr>
                <w:szCs w:val="22"/>
              </w:rPr>
              <w:t>Float</w:t>
            </w:r>
          </w:p>
        </w:tc>
        <w:tc>
          <w:tcPr>
            <w:tcW w:w="1800" w:type="dxa"/>
          </w:tcPr>
          <w:p w14:paraId="2853970A" w14:textId="77777777" w:rsidR="00F27227" w:rsidRPr="0072522A" w:rsidRDefault="00F27227" w:rsidP="00214925">
            <w:pPr>
              <w:spacing w:after="120"/>
              <w:rPr>
                <w:szCs w:val="22"/>
              </w:rPr>
            </w:pPr>
            <w:r w:rsidRPr="0072522A">
              <w:rPr>
                <w:szCs w:val="22"/>
              </w:rPr>
              <w:t>23.75</w:t>
            </w:r>
          </w:p>
        </w:tc>
        <w:tc>
          <w:tcPr>
            <w:tcW w:w="3325" w:type="dxa"/>
          </w:tcPr>
          <w:p w14:paraId="29D61BE6" w14:textId="77777777" w:rsidR="00F27227" w:rsidRPr="0072522A" w:rsidRDefault="00F27227" w:rsidP="00214925">
            <w:pPr>
              <w:spacing w:after="120"/>
              <w:rPr>
                <w:szCs w:val="22"/>
              </w:rPr>
            </w:pPr>
            <w:r w:rsidRPr="0072522A">
              <w:rPr>
                <w:szCs w:val="22"/>
              </w:rPr>
              <w:t>Antenna azimuth in degrees</w:t>
            </w:r>
          </w:p>
        </w:tc>
      </w:tr>
      <w:tr w:rsidR="00F27227" w:rsidRPr="0072522A" w14:paraId="48A74566" w14:textId="77777777" w:rsidTr="00214925">
        <w:trPr>
          <w:trHeight w:val="251"/>
        </w:trPr>
        <w:tc>
          <w:tcPr>
            <w:tcW w:w="2695" w:type="dxa"/>
          </w:tcPr>
          <w:p w14:paraId="0CD068BE" w14:textId="77777777" w:rsidR="00F27227" w:rsidRPr="0072522A" w:rsidRDefault="00F27227" w:rsidP="00214925">
            <w:pPr>
              <w:spacing w:after="120"/>
              <w:rPr>
                <w:szCs w:val="22"/>
              </w:rPr>
            </w:pPr>
            <w:r w:rsidRPr="0072522A">
              <w:rPr>
                <w:szCs w:val="22"/>
              </w:rPr>
              <w:t>channel_capacity</w:t>
            </w:r>
          </w:p>
        </w:tc>
        <w:tc>
          <w:tcPr>
            <w:tcW w:w="1530" w:type="dxa"/>
          </w:tcPr>
          <w:p w14:paraId="324F0775" w14:textId="77777777" w:rsidR="00F27227" w:rsidRPr="0072522A" w:rsidRDefault="00F27227" w:rsidP="00214925">
            <w:pPr>
              <w:spacing w:after="120"/>
              <w:rPr>
                <w:szCs w:val="22"/>
              </w:rPr>
            </w:pPr>
            <w:r w:rsidRPr="0072522A">
              <w:rPr>
                <w:szCs w:val="22"/>
              </w:rPr>
              <w:t>Integer</w:t>
            </w:r>
          </w:p>
        </w:tc>
        <w:tc>
          <w:tcPr>
            <w:tcW w:w="1800" w:type="dxa"/>
          </w:tcPr>
          <w:p w14:paraId="1CDDE374" w14:textId="77777777" w:rsidR="00F27227" w:rsidRPr="0072522A" w:rsidRDefault="00F27227" w:rsidP="00214925">
            <w:pPr>
              <w:spacing w:after="120"/>
              <w:rPr>
                <w:szCs w:val="22"/>
              </w:rPr>
            </w:pPr>
            <w:r w:rsidRPr="0072522A">
              <w:rPr>
                <w:szCs w:val="22"/>
              </w:rPr>
              <w:t>10</w:t>
            </w:r>
          </w:p>
        </w:tc>
        <w:tc>
          <w:tcPr>
            <w:tcW w:w="3325" w:type="dxa"/>
          </w:tcPr>
          <w:p w14:paraId="076BABB7" w14:textId="77777777" w:rsidR="00F27227" w:rsidRPr="0072522A" w:rsidRDefault="00F27227" w:rsidP="00214925">
            <w:pPr>
              <w:spacing w:after="120"/>
              <w:rPr>
                <w:szCs w:val="22"/>
              </w:rPr>
            </w:pPr>
            <w:r w:rsidRPr="0072522A">
              <w:rPr>
                <w:szCs w:val="22"/>
              </w:rPr>
              <w:t>Channel bandwidth in MHz</w:t>
            </w:r>
          </w:p>
        </w:tc>
      </w:tr>
      <w:tr w:rsidR="00F27227" w:rsidRPr="0072522A" w14:paraId="444DA3C6" w14:textId="77777777" w:rsidTr="00214925">
        <w:trPr>
          <w:trHeight w:val="251"/>
        </w:trPr>
        <w:tc>
          <w:tcPr>
            <w:tcW w:w="2695" w:type="dxa"/>
          </w:tcPr>
          <w:p w14:paraId="541E438E" w14:textId="77777777" w:rsidR="00F27227" w:rsidRPr="0072522A" w:rsidRDefault="00F27227" w:rsidP="00214925">
            <w:pPr>
              <w:spacing w:after="120"/>
              <w:rPr>
                <w:szCs w:val="22"/>
              </w:rPr>
            </w:pPr>
            <w:r w:rsidRPr="0072522A">
              <w:rPr>
                <w:szCs w:val="22"/>
              </w:rPr>
              <w:t>erp_measurement</w:t>
            </w:r>
          </w:p>
        </w:tc>
        <w:tc>
          <w:tcPr>
            <w:tcW w:w="1530" w:type="dxa"/>
          </w:tcPr>
          <w:p w14:paraId="28126ED6" w14:textId="77777777" w:rsidR="00F27227" w:rsidRPr="0072522A" w:rsidRDefault="00F27227" w:rsidP="00214925">
            <w:pPr>
              <w:spacing w:after="120"/>
              <w:rPr>
                <w:szCs w:val="22"/>
              </w:rPr>
            </w:pPr>
            <w:r w:rsidRPr="0072522A">
              <w:rPr>
                <w:szCs w:val="22"/>
              </w:rPr>
              <w:t>Float</w:t>
            </w:r>
          </w:p>
        </w:tc>
        <w:tc>
          <w:tcPr>
            <w:tcW w:w="1800" w:type="dxa"/>
          </w:tcPr>
          <w:p w14:paraId="6632CFD2" w14:textId="77777777" w:rsidR="00F27227" w:rsidRPr="0072522A" w:rsidRDefault="00F27227" w:rsidP="00214925">
            <w:pPr>
              <w:spacing w:after="120"/>
              <w:rPr>
                <w:szCs w:val="22"/>
              </w:rPr>
            </w:pPr>
            <w:r w:rsidRPr="0072522A">
              <w:rPr>
                <w:szCs w:val="22"/>
              </w:rPr>
              <w:t>30.0</w:t>
            </w:r>
          </w:p>
        </w:tc>
        <w:tc>
          <w:tcPr>
            <w:tcW w:w="3325" w:type="dxa"/>
          </w:tcPr>
          <w:p w14:paraId="465BA173" w14:textId="77777777" w:rsidR="00F27227" w:rsidRPr="0072522A" w:rsidRDefault="00F27227" w:rsidP="00214925">
            <w:pPr>
              <w:spacing w:after="120"/>
              <w:rPr>
                <w:szCs w:val="22"/>
              </w:rPr>
            </w:pPr>
            <w:r w:rsidRPr="0072522A">
              <w:rPr>
                <w:szCs w:val="22"/>
              </w:rPr>
              <w:t>Power measurement in dBm</w:t>
            </w:r>
          </w:p>
        </w:tc>
      </w:tr>
      <w:tr w:rsidR="00F27227" w:rsidRPr="0072522A" w14:paraId="764366C8" w14:textId="77777777" w:rsidTr="00214925">
        <w:trPr>
          <w:trHeight w:val="251"/>
        </w:trPr>
        <w:tc>
          <w:tcPr>
            <w:tcW w:w="2695" w:type="dxa"/>
          </w:tcPr>
          <w:p w14:paraId="7190CB74" w14:textId="77777777" w:rsidR="00F27227" w:rsidRPr="0072522A" w:rsidRDefault="00F27227" w:rsidP="00214925">
            <w:pPr>
              <w:spacing w:after="120"/>
              <w:rPr>
                <w:szCs w:val="22"/>
              </w:rPr>
            </w:pPr>
            <w:r w:rsidRPr="0072522A">
              <w:rPr>
                <w:szCs w:val="22"/>
              </w:rPr>
              <w:t>link_budget_rssi_threshold</w:t>
            </w:r>
          </w:p>
        </w:tc>
        <w:tc>
          <w:tcPr>
            <w:tcW w:w="1530" w:type="dxa"/>
          </w:tcPr>
          <w:p w14:paraId="5ADA09E4" w14:textId="77777777" w:rsidR="00F27227" w:rsidRPr="0072522A" w:rsidRDefault="00F27227" w:rsidP="00214925">
            <w:pPr>
              <w:spacing w:after="120"/>
              <w:rPr>
                <w:szCs w:val="22"/>
              </w:rPr>
            </w:pPr>
            <w:r w:rsidRPr="0072522A">
              <w:rPr>
                <w:szCs w:val="22"/>
              </w:rPr>
              <w:t>Float</w:t>
            </w:r>
          </w:p>
        </w:tc>
        <w:tc>
          <w:tcPr>
            <w:tcW w:w="1800" w:type="dxa"/>
          </w:tcPr>
          <w:p w14:paraId="79BA4744" w14:textId="77777777" w:rsidR="00F27227" w:rsidRPr="0072522A" w:rsidRDefault="00F27227" w:rsidP="00214925">
            <w:pPr>
              <w:spacing w:after="120"/>
              <w:rPr>
                <w:szCs w:val="22"/>
              </w:rPr>
            </w:pPr>
            <w:r w:rsidRPr="0072522A">
              <w:rPr>
                <w:szCs w:val="22"/>
              </w:rPr>
              <w:t>-85.0</w:t>
            </w:r>
          </w:p>
        </w:tc>
        <w:tc>
          <w:tcPr>
            <w:tcW w:w="3325" w:type="dxa"/>
          </w:tcPr>
          <w:p w14:paraId="7A4CFAEE" w14:textId="77777777" w:rsidR="00F27227" w:rsidRPr="0072522A" w:rsidRDefault="00F27227" w:rsidP="00214925">
            <w:pPr>
              <w:spacing w:after="120"/>
              <w:rPr>
                <w:szCs w:val="22"/>
              </w:rPr>
            </w:pPr>
            <w:r w:rsidRPr="0072522A">
              <w:rPr>
                <w:szCs w:val="22"/>
              </w:rPr>
              <w:t>Link budget signal strength threshold in dBm</w:t>
            </w:r>
          </w:p>
        </w:tc>
      </w:tr>
      <w:tr w:rsidR="00F27227" w:rsidRPr="0072522A" w14:paraId="44380D47" w14:textId="77777777" w:rsidTr="00214925">
        <w:trPr>
          <w:trHeight w:val="251"/>
        </w:trPr>
        <w:tc>
          <w:tcPr>
            <w:tcW w:w="2695" w:type="dxa"/>
          </w:tcPr>
          <w:p w14:paraId="12CAFD45" w14:textId="77777777" w:rsidR="00F27227" w:rsidRPr="0072522A" w:rsidRDefault="00F27227" w:rsidP="00214925">
            <w:pPr>
              <w:spacing w:after="120"/>
              <w:rPr>
                <w:szCs w:val="22"/>
              </w:rPr>
            </w:pPr>
            <w:r w:rsidRPr="0072522A">
              <w:rPr>
                <w:szCs w:val="22"/>
              </w:rPr>
              <w:t>link_budget_sinr_threshold</w:t>
            </w:r>
          </w:p>
        </w:tc>
        <w:tc>
          <w:tcPr>
            <w:tcW w:w="1530" w:type="dxa"/>
          </w:tcPr>
          <w:p w14:paraId="1063083A" w14:textId="77777777" w:rsidR="00F27227" w:rsidRPr="0072522A" w:rsidRDefault="00F27227" w:rsidP="00214925">
            <w:pPr>
              <w:spacing w:after="120"/>
              <w:rPr>
                <w:szCs w:val="22"/>
              </w:rPr>
            </w:pPr>
            <w:r w:rsidRPr="0072522A">
              <w:rPr>
                <w:szCs w:val="22"/>
              </w:rPr>
              <w:t>Float</w:t>
            </w:r>
          </w:p>
        </w:tc>
        <w:tc>
          <w:tcPr>
            <w:tcW w:w="1800" w:type="dxa"/>
          </w:tcPr>
          <w:p w14:paraId="423F4979" w14:textId="77777777" w:rsidR="00F27227" w:rsidRPr="0072522A" w:rsidRDefault="00F27227" w:rsidP="00214925">
            <w:pPr>
              <w:spacing w:after="120"/>
              <w:rPr>
                <w:szCs w:val="22"/>
              </w:rPr>
            </w:pPr>
            <w:r w:rsidRPr="0072522A">
              <w:rPr>
                <w:szCs w:val="22"/>
              </w:rPr>
              <w:t>12.5</w:t>
            </w:r>
          </w:p>
        </w:tc>
        <w:tc>
          <w:tcPr>
            <w:tcW w:w="3325" w:type="dxa"/>
          </w:tcPr>
          <w:p w14:paraId="10F28DD6" w14:textId="77777777" w:rsidR="00F27227" w:rsidRPr="0072522A" w:rsidRDefault="00F27227" w:rsidP="00214925">
            <w:pPr>
              <w:spacing w:after="120"/>
              <w:rPr>
                <w:szCs w:val="22"/>
              </w:rPr>
            </w:pPr>
            <w:r w:rsidRPr="0072522A">
              <w:rPr>
                <w:szCs w:val="22"/>
              </w:rPr>
              <w:t>Link budget signal to interference and noise ratio threshold in dBm</w:t>
            </w:r>
          </w:p>
        </w:tc>
      </w:tr>
      <w:tr w:rsidR="00F27227" w:rsidRPr="0072522A" w14:paraId="7E3DF70A" w14:textId="77777777" w:rsidTr="00214925">
        <w:trPr>
          <w:trHeight w:val="251"/>
        </w:trPr>
        <w:tc>
          <w:tcPr>
            <w:tcW w:w="2695" w:type="dxa"/>
          </w:tcPr>
          <w:p w14:paraId="35624206" w14:textId="77777777" w:rsidR="00F27227" w:rsidRPr="0072522A" w:rsidRDefault="00F27227" w:rsidP="00214925">
            <w:pPr>
              <w:spacing w:after="120"/>
              <w:rPr>
                <w:szCs w:val="22"/>
              </w:rPr>
            </w:pPr>
            <w:r w:rsidRPr="0072522A">
              <w:rPr>
                <w:szCs w:val="22"/>
              </w:rPr>
              <w:t>avg_download_speed</w:t>
            </w:r>
          </w:p>
        </w:tc>
        <w:tc>
          <w:tcPr>
            <w:tcW w:w="1530" w:type="dxa"/>
          </w:tcPr>
          <w:p w14:paraId="158BA2DE" w14:textId="77777777" w:rsidR="00F27227" w:rsidRPr="0072522A" w:rsidRDefault="00F27227" w:rsidP="00214925">
            <w:pPr>
              <w:spacing w:after="120"/>
              <w:rPr>
                <w:szCs w:val="22"/>
              </w:rPr>
            </w:pPr>
            <w:r w:rsidRPr="0072522A">
              <w:rPr>
                <w:szCs w:val="22"/>
              </w:rPr>
              <w:t>Float</w:t>
            </w:r>
          </w:p>
        </w:tc>
        <w:tc>
          <w:tcPr>
            <w:tcW w:w="1800" w:type="dxa"/>
          </w:tcPr>
          <w:p w14:paraId="28F3EB74" w14:textId="77777777" w:rsidR="00F27227" w:rsidRPr="0072522A" w:rsidRDefault="00F27227" w:rsidP="00214925">
            <w:pPr>
              <w:spacing w:after="120"/>
              <w:rPr>
                <w:szCs w:val="22"/>
              </w:rPr>
            </w:pPr>
            <w:r w:rsidRPr="0072522A">
              <w:rPr>
                <w:szCs w:val="22"/>
              </w:rPr>
              <w:t>10.0</w:t>
            </w:r>
          </w:p>
        </w:tc>
        <w:tc>
          <w:tcPr>
            <w:tcW w:w="3325" w:type="dxa"/>
          </w:tcPr>
          <w:p w14:paraId="309C7B96" w14:textId="77777777" w:rsidR="00F27227" w:rsidRPr="0072522A" w:rsidRDefault="00F27227" w:rsidP="00214925">
            <w:pPr>
              <w:spacing w:after="120"/>
              <w:rPr>
                <w:szCs w:val="22"/>
              </w:rPr>
            </w:pPr>
            <w:r w:rsidRPr="0072522A">
              <w:rPr>
                <w:szCs w:val="22"/>
              </w:rPr>
              <w:t>Estimated average download speed in Mbps</w:t>
            </w:r>
          </w:p>
        </w:tc>
      </w:tr>
      <w:tr w:rsidR="00F27227" w:rsidRPr="0072522A" w14:paraId="45133A72" w14:textId="77777777" w:rsidTr="00214925">
        <w:trPr>
          <w:trHeight w:val="251"/>
        </w:trPr>
        <w:tc>
          <w:tcPr>
            <w:tcW w:w="2695" w:type="dxa"/>
          </w:tcPr>
          <w:p w14:paraId="2A3B3AC3" w14:textId="77777777" w:rsidR="00F27227" w:rsidRPr="0072522A" w:rsidRDefault="00F27227" w:rsidP="00214925">
            <w:pPr>
              <w:spacing w:after="120"/>
              <w:rPr>
                <w:szCs w:val="22"/>
              </w:rPr>
            </w:pPr>
            <w:r w:rsidRPr="0072522A">
              <w:rPr>
                <w:szCs w:val="22"/>
              </w:rPr>
              <w:t>avg_upload_speed</w:t>
            </w:r>
          </w:p>
        </w:tc>
        <w:tc>
          <w:tcPr>
            <w:tcW w:w="1530" w:type="dxa"/>
          </w:tcPr>
          <w:p w14:paraId="3D4A15B2" w14:textId="77777777" w:rsidR="00F27227" w:rsidRPr="0072522A" w:rsidRDefault="00F27227" w:rsidP="00214925">
            <w:pPr>
              <w:spacing w:after="120"/>
              <w:rPr>
                <w:szCs w:val="22"/>
              </w:rPr>
            </w:pPr>
            <w:r w:rsidRPr="0072522A">
              <w:rPr>
                <w:szCs w:val="22"/>
              </w:rPr>
              <w:t>Float</w:t>
            </w:r>
          </w:p>
        </w:tc>
        <w:tc>
          <w:tcPr>
            <w:tcW w:w="1800" w:type="dxa"/>
          </w:tcPr>
          <w:p w14:paraId="5E2F12BF" w14:textId="77777777" w:rsidR="00F27227" w:rsidRPr="0072522A" w:rsidRDefault="00F27227" w:rsidP="00214925">
            <w:pPr>
              <w:spacing w:after="120"/>
              <w:rPr>
                <w:szCs w:val="22"/>
              </w:rPr>
            </w:pPr>
            <w:r w:rsidRPr="0072522A">
              <w:rPr>
                <w:szCs w:val="22"/>
              </w:rPr>
              <w:t>1.0</w:t>
            </w:r>
          </w:p>
        </w:tc>
        <w:tc>
          <w:tcPr>
            <w:tcW w:w="3325" w:type="dxa"/>
          </w:tcPr>
          <w:p w14:paraId="4EEF155C" w14:textId="77777777" w:rsidR="00F27227" w:rsidRPr="0072522A" w:rsidRDefault="00F27227" w:rsidP="00214925">
            <w:pPr>
              <w:spacing w:after="120"/>
              <w:rPr>
                <w:szCs w:val="22"/>
              </w:rPr>
            </w:pPr>
            <w:r w:rsidRPr="0072522A">
              <w:rPr>
                <w:szCs w:val="22"/>
              </w:rPr>
              <w:t>Estimated average upload speed in Mbps</w:t>
            </w:r>
          </w:p>
        </w:tc>
      </w:tr>
      <w:tr w:rsidR="00F27227" w:rsidRPr="0072522A" w14:paraId="52891E4A" w14:textId="77777777" w:rsidTr="00214925">
        <w:trPr>
          <w:trHeight w:val="251"/>
        </w:trPr>
        <w:tc>
          <w:tcPr>
            <w:tcW w:w="2695" w:type="dxa"/>
          </w:tcPr>
          <w:p w14:paraId="0DB600F5" w14:textId="77777777" w:rsidR="00F27227" w:rsidRPr="0072522A" w:rsidRDefault="00F27227" w:rsidP="00214925">
            <w:pPr>
              <w:spacing w:after="120"/>
              <w:rPr>
                <w:szCs w:val="22"/>
              </w:rPr>
            </w:pPr>
            <w:r w:rsidRPr="0072522A">
              <w:rPr>
                <w:szCs w:val="22"/>
              </w:rPr>
              <w:t>path_loss_slope</w:t>
            </w:r>
          </w:p>
        </w:tc>
        <w:tc>
          <w:tcPr>
            <w:tcW w:w="1530" w:type="dxa"/>
          </w:tcPr>
          <w:p w14:paraId="1A4F6CCE" w14:textId="77777777" w:rsidR="00F27227" w:rsidRPr="0072522A" w:rsidRDefault="00F27227" w:rsidP="00214925">
            <w:pPr>
              <w:spacing w:after="120"/>
              <w:rPr>
                <w:szCs w:val="22"/>
              </w:rPr>
            </w:pPr>
            <w:r w:rsidRPr="0072522A">
              <w:rPr>
                <w:szCs w:val="22"/>
              </w:rPr>
              <w:t>Float</w:t>
            </w:r>
          </w:p>
        </w:tc>
        <w:tc>
          <w:tcPr>
            <w:tcW w:w="1800" w:type="dxa"/>
          </w:tcPr>
          <w:p w14:paraId="740DDE58" w14:textId="77777777" w:rsidR="00F27227" w:rsidRPr="0072522A" w:rsidRDefault="00F27227" w:rsidP="00214925">
            <w:pPr>
              <w:spacing w:after="120"/>
              <w:rPr>
                <w:szCs w:val="22"/>
              </w:rPr>
            </w:pPr>
            <w:r w:rsidRPr="0072522A">
              <w:rPr>
                <w:szCs w:val="22"/>
              </w:rPr>
              <w:t>20.0</w:t>
            </w:r>
          </w:p>
        </w:tc>
        <w:tc>
          <w:tcPr>
            <w:tcW w:w="3325" w:type="dxa"/>
          </w:tcPr>
          <w:p w14:paraId="5317C90F" w14:textId="77777777" w:rsidR="00F27227" w:rsidRPr="0072522A" w:rsidRDefault="00F27227" w:rsidP="00214925">
            <w:pPr>
              <w:spacing w:after="120"/>
              <w:rPr>
                <w:szCs w:val="22"/>
              </w:rPr>
            </w:pPr>
            <w:r w:rsidRPr="0072522A">
              <w:rPr>
                <w:szCs w:val="22"/>
              </w:rPr>
              <w:t>Model path loss slope in dB/Decade</w:t>
            </w:r>
          </w:p>
        </w:tc>
      </w:tr>
      <w:tr w:rsidR="00F27227" w:rsidRPr="0072522A" w14:paraId="471DC167" w14:textId="77777777" w:rsidTr="00214925">
        <w:trPr>
          <w:trHeight w:val="251"/>
        </w:trPr>
        <w:tc>
          <w:tcPr>
            <w:tcW w:w="2695" w:type="dxa"/>
          </w:tcPr>
          <w:p w14:paraId="715BCE8D" w14:textId="77777777" w:rsidR="00F27227" w:rsidRPr="0072522A" w:rsidRDefault="00F27227" w:rsidP="00214925">
            <w:pPr>
              <w:spacing w:after="120"/>
              <w:rPr>
                <w:szCs w:val="22"/>
              </w:rPr>
            </w:pPr>
            <w:r w:rsidRPr="0072522A">
              <w:rPr>
                <w:szCs w:val="22"/>
              </w:rPr>
              <w:t>path_loss_intercept</w:t>
            </w:r>
          </w:p>
        </w:tc>
        <w:tc>
          <w:tcPr>
            <w:tcW w:w="1530" w:type="dxa"/>
          </w:tcPr>
          <w:p w14:paraId="6A0FF6F9" w14:textId="77777777" w:rsidR="00F27227" w:rsidRPr="0072522A" w:rsidRDefault="00F27227" w:rsidP="00214925">
            <w:pPr>
              <w:spacing w:after="120"/>
              <w:rPr>
                <w:szCs w:val="22"/>
              </w:rPr>
            </w:pPr>
            <w:r w:rsidRPr="0072522A">
              <w:rPr>
                <w:szCs w:val="22"/>
              </w:rPr>
              <w:t>Float</w:t>
            </w:r>
          </w:p>
        </w:tc>
        <w:tc>
          <w:tcPr>
            <w:tcW w:w="1800" w:type="dxa"/>
          </w:tcPr>
          <w:p w14:paraId="0182A320" w14:textId="77777777" w:rsidR="00F27227" w:rsidRPr="0072522A" w:rsidRDefault="00F27227" w:rsidP="00214925">
            <w:pPr>
              <w:spacing w:after="120"/>
              <w:rPr>
                <w:szCs w:val="22"/>
              </w:rPr>
            </w:pPr>
            <w:r w:rsidRPr="0072522A">
              <w:rPr>
                <w:szCs w:val="22"/>
              </w:rPr>
              <w:t>80.0</w:t>
            </w:r>
          </w:p>
        </w:tc>
        <w:tc>
          <w:tcPr>
            <w:tcW w:w="3325" w:type="dxa"/>
          </w:tcPr>
          <w:p w14:paraId="0BB8AEFC" w14:textId="77777777" w:rsidR="00F27227" w:rsidRPr="0072522A" w:rsidRDefault="00F27227" w:rsidP="00214925">
            <w:pPr>
              <w:spacing w:after="120"/>
              <w:rPr>
                <w:szCs w:val="22"/>
              </w:rPr>
            </w:pPr>
            <w:r w:rsidRPr="0072522A">
              <w:rPr>
                <w:szCs w:val="22"/>
              </w:rPr>
              <w:t>Model path loss intercept in dB@1km</w:t>
            </w:r>
          </w:p>
        </w:tc>
      </w:tr>
    </w:tbl>
    <w:p w14:paraId="5B91792D" w14:textId="77777777" w:rsidR="00F27227" w:rsidRDefault="00F27227" w:rsidP="00F27227">
      <w:pPr>
        <w:rPr>
          <w:b/>
          <w:szCs w:val="22"/>
        </w:rPr>
      </w:pPr>
    </w:p>
    <w:sectPr w:rsidR="00F27227">
      <w:footerReference w:type="even" r:id="rId18"/>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F93CD" w14:textId="77777777" w:rsidR="002667B1" w:rsidRDefault="002667B1">
      <w:r>
        <w:separator/>
      </w:r>
    </w:p>
  </w:endnote>
  <w:endnote w:type="continuationSeparator" w:id="0">
    <w:p w14:paraId="0ED9767D" w14:textId="77777777" w:rsidR="002667B1" w:rsidRDefault="002667B1">
      <w:r>
        <w:continuationSeparator/>
      </w:r>
    </w:p>
  </w:endnote>
  <w:endnote w:type="continuationNotice" w:id="1">
    <w:p w14:paraId="62082CC2" w14:textId="77777777" w:rsidR="002667B1" w:rsidRDefault="00266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4833" w14:textId="77777777"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141">
      <w:rPr>
        <w:rStyle w:val="PageNumber"/>
        <w:noProof/>
      </w:rPr>
      <w:t>1</w:t>
    </w:r>
    <w:r>
      <w:rPr>
        <w:rStyle w:val="PageNumber"/>
      </w:rPr>
      <w:fldChar w:fldCharType="end"/>
    </w:r>
  </w:p>
  <w:p w14:paraId="63B99E7F" w14:textId="77777777" w:rsidR="00214925" w:rsidRDefault="00214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2428" w14:textId="77777777"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141">
      <w:rPr>
        <w:rStyle w:val="PageNumber"/>
        <w:noProof/>
      </w:rPr>
      <w:t>1</w:t>
    </w:r>
    <w:r>
      <w:rPr>
        <w:rStyle w:val="PageNumber"/>
      </w:rPr>
      <w:fldChar w:fldCharType="end"/>
    </w:r>
  </w:p>
  <w:p w14:paraId="7FF40624" w14:textId="77777777" w:rsidR="00214925" w:rsidRDefault="00214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09B6" w14:textId="77777777" w:rsidR="009A7F71" w:rsidRDefault="009A7F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C9C58" w14:textId="77777777"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141">
      <w:rPr>
        <w:rStyle w:val="PageNumber"/>
        <w:noProof/>
      </w:rPr>
      <w:t>8</w:t>
    </w:r>
    <w:r>
      <w:rPr>
        <w:rStyle w:val="PageNumber"/>
      </w:rPr>
      <w:fldChar w:fldCharType="end"/>
    </w:r>
  </w:p>
  <w:p w14:paraId="0EF69CEF" w14:textId="77777777" w:rsidR="00214925" w:rsidRDefault="002149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CBB3" w14:textId="428E5C3B"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A71">
      <w:rPr>
        <w:rStyle w:val="PageNumber"/>
        <w:noProof/>
      </w:rPr>
      <w:t>2</w:t>
    </w:r>
    <w:r>
      <w:rPr>
        <w:rStyle w:val="PageNumber"/>
      </w:rPr>
      <w:fldChar w:fldCharType="end"/>
    </w:r>
  </w:p>
  <w:p w14:paraId="25AD7D54" w14:textId="77777777" w:rsidR="00214925" w:rsidRDefault="00214925">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2797C" w14:textId="77777777" w:rsidR="002667B1" w:rsidRDefault="002667B1">
      <w:r>
        <w:separator/>
      </w:r>
    </w:p>
  </w:footnote>
  <w:footnote w:type="continuationSeparator" w:id="0">
    <w:p w14:paraId="4C37B652" w14:textId="77777777" w:rsidR="002667B1" w:rsidRDefault="002667B1">
      <w:r>
        <w:continuationSeparator/>
      </w:r>
    </w:p>
  </w:footnote>
  <w:footnote w:type="continuationNotice" w:id="1">
    <w:p w14:paraId="6F5E48A2" w14:textId="77777777" w:rsidR="002667B1" w:rsidRDefault="002667B1"/>
  </w:footnote>
  <w:footnote w:id="2">
    <w:p w14:paraId="0FCD6A6B" w14:textId="2E12A231" w:rsidR="004D23D7" w:rsidRDefault="004D23D7" w:rsidP="004D23D7">
      <w:pPr>
        <w:pStyle w:val="FootnoteText"/>
      </w:pPr>
      <w:r>
        <w:rPr>
          <w:rStyle w:val="FootnoteReference"/>
        </w:rPr>
        <w:footnoteRef/>
      </w:r>
      <w:r>
        <w:t xml:space="preserve"> </w:t>
      </w:r>
      <w:r w:rsidRPr="00514EC1">
        <w:rPr>
          <w:i/>
        </w:rPr>
        <w:t>Connect America Fund et al.</w:t>
      </w:r>
      <w:r w:rsidRPr="009C7A05">
        <w:t>,</w:t>
      </w:r>
      <w:r w:rsidRPr="00514EC1">
        <w:t xml:space="preserve"> WC Docket Nos. 10-90 </w:t>
      </w:r>
      <w:r w:rsidRPr="00C03781">
        <w:t>et al.</w:t>
      </w:r>
      <w:r w:rsidRPr="00514EC1">
        <w:t>, Report and Order</w:t>
      </w:r>
      <w:r>
        <w:t>, 29 FCC Rcd 15644, 15685, para. 116</w:t>
      </w:r>
      <w:r w:rsidRPr="00514EC1">
        <w:t xml:space="preserve"> </w:t>
      </w:r>
      <w:r>
        <w:t>(2014) (</w:t>
      </w:r>
      <w:r w:rsidRPr="00514EC1">
        <w:rPr>
          <w:i/>
        </w:rPr>
        <w:t>December 2014 Connect America Fund Order</w:t>
      </w:r>
      <w:r>
        <w:t>)</w:t>
      </w:r>
      <w:r w:rsidR="00791F57">
        <w:t>; 47 CFR § 54.319(a)</w:t>
      </w:r>
      <w:r w:rsidR="009B2CDA">
        <w:t>.</w:t>
      </w:r>
    </w:p>
  </w:footnote>
  <w:footnote w:id="3">
    <w:p w14:paraId="567854AD" w14:textId="77777777" w:rsidR="00214925" w:rsidRDefault="00214925" w:rsidP="00F36716">
      <w:pPr>
        <w:pStyle w:val="FootnoteText"/>
      </w:pPr>
      <w:r>
        <w:rPr>
          <w:rStyle w:val="FootnoteReference"/>
        </w:rPr>
        <w:footnoteRef/>
      </w:r>
      <w:r>
        <w:t xml:space="preserve"> Under the Commission’s rules, the study areas on the final list will receive two-thirds of the frozen baseline amount in the first year, and one-third of the frozen baseline amount in the second year.  47 CFR § 54.319.  </w:t>
      </w:r>
    </w:p>
  </w:footnote>
  <w:footnote w:id="4">
    <w:p w14:paraId="61554777" w14:textId="77777777" w:rsidR="00214925" w:rsidRDefault="00214925">
      <w:pPr>
        <w:pStyle w:val="FootnoteText"/>
      </w:pPr>
      <w:r>
        <w:rPr>
          <w:rStyle w:val="FootnoteReference"/>
        </w:rPr>
        <w:footnoteRef/>
      </w:r>
      <w:r>
        <w:t xml:space="preserve"> </w:t>
      </w:r>
      <w:r>
        <w:rPr>
          <w:i/>
        </w:rPr>
        <w:t>Connect America Fund et al.</w:t>
      </w:r>
      <w:r w:rsidRPr="009C7A05">
        <w:t>,</w:t>
      </w:r>
      <w:r>
        <w:t xml:space="preserve"> WC Docket Nos. 10-90 </w:t>
      </w:r>
      <w:r w:rsidRPr="00C03781">
        <w:t>et al</w:t>
      </w:r>
      <w:r>
        <w:t>.</w:t>
      </w:r>
      <w:r w:rsidRPr="00514EC1">
        <w:t>, Report and Order</w:t>
      </w:r>
      <w:r>
        <w:t xml:space="preserve"> </w:t>
      </w:r>
      <w:r w:rsidRPr="00C03781">
        <w:t>et al.</w:t>
      </w:r>
      <w:r>
        <w:t>, 26 FCC Rcd 17663, 17766-68, paras. 280-84</w:t>
      </w:r>
      <w:r w:rsidRPr="00514EC1">
        <w:t xml:space="preserve"> </w:t>
      </w:r>
      <w:r>
        <w:t>(2011) (</w:t>
      </w:r>
      <w:r>
        <w:rPr>
          <w:i/>
        </w:rPr>
        <w:t>USF/ICC Transformation</w:t>
      </w:r>
      <w:r w:rsidRPr="00514EC1">
        <w:rPr>
          <w:i/>
        </w:rPr>
        <w:t xml:space="preserve"> Order</w:t>
      </w:r>
      <w:r>
        <w:t xml:space="preserve">), </w:t>
      </w:r>
      <w:r w:rsidRPr="00BA0EE8">
        <w:rPr>
          <w:i/>
        </w:rPr>
        <w:t>aff’d sub nom., In re: FCC 11-161</w:t>
      </w:r>
      <w:r w:rsidRPr="00BA0EE8">
        <w:t>, 753 F.3d 1015 (10th Cir. 2014).</w:t>
      </w:r>
    </w:p>
  </w:footnote>
  <w:footnote w:id="5">
    <w:p w14:paraId="1FA3792C" w14:textId="77777777" w:rsidR="00214925" w:rsidRDefault="00214925">
      <w:pPr>
        <w:pStyle w:val="FootnoteText"/>
      </w:pPr>
      <w:r>
        <w:rPr>
          <w:rStyle w:val="FootnoteReference"/>
        </w:rPr>
        <w:footnoteRef/>
      </w:r>
      <w:r>
        <w:t xml:space="preserve"> </w:t>
      </w:r>
      <w:r w:rsidRPr="007D2EB0">
        <w:rPr>
          <w:i/>
        </w:rPr>
        <w:t>Id</w:t>
      </w:r>
      <w:r>
        <w:t xml:space="preserve">. at 17701-02, paras. 103-104.  </w:t>
      </w:r>
      <w:r w:rsidRPr="007D2EB0">
        <w:rPr>
          <w:i/>
        </w:rPr>
        <w:t>See also</w:t>
      </w:r>
      <w:r>
        <w:t xml:space="preserve"> 47 CFR §54.5.</w:t>
      </w:r>
    </w:p>
  </w:footnote>
  <w:footnote w:id="6">
    <w:p w14:paraId="5D6C57C3" w14:textId="77777777" w:rsidR="00214925" w:rsidRDefault="00214925" w:rsidP="002B3BE2">
      <w:pPr>
        <w:pStyle w:val="FootnoteText"/>
      </w:pPr>
      <w:r>
        <w:rPr>
          <w:rStyle w:val="FootnoteReference"/>
        </w:rPr>
        <w:footnoteRef/>
      </w:r>
      <w:r>
        <w:t xml:space="preserve"> </w:t>
      </w:r>
      <w:r>
        <w:rPr>
          <w:i/>
        </w:rPr>
        <w:t>Connect America Fund et al.</w:t>
      </w:r>
      <w:r w:rsidRPr="009C7A05">
        <w:t>,</w:t>
      </w:r>
      <w:r>
        <w:t xml:space="preserve"> WC Docket Nos. 10-90 </w:t>
      </w:r>
      <w:r w:rsidRPr="00C03781">
        <w:t>et al</w:t>
      </w:r>
      <w:r>
        <w:t>.</w:t>
      </w:r>
      <w:r w:rsidRPr="00514EC1">
        <w:t>, Report and Order</w:t>
      </w:r>
      <w:r>
        <w:t xml:space="preserve"> </w:t>
      </w:r>
      <w:r w:rsidRPr="00C03781">
        <w:t>et al.</w:t>
      </w:r>
      <w:r>
        <w:t>, 29 FCC Rcd 7051 (2014); 47 CFR § 54.319.</w:t>
      </w:r>
    </w:p>
  </w:footnote>
  <w:footnote w:id="7">
    <w:p w14:paraId="206FB852" w14:textId="77777777" w:rsidR="00214925" w:rsidRPr="00A25AA8" w:rsidRDefault="00214925" w:rsidP="00B67967">
      <w:pPr>
        <w:autoSpaceDE w:val="0"/>
        <w:autoSpaceDN w:val="0"/>
        <w:adjustRightInd w:val="0"/>
        <w:spacing w:after="120"/>
        <w:rPr>
          <w:color w:val="010101"/>
          <w:sz w:val="20"/>
        </w:rPr>
      </w:pPr>
      <w:r w:rsidRPr="00A25AA8">
        <w:rPr>
          <w:rStyle w:val="FootnoteReference"/>
        </w:rPr>
        <w:footnoteRef/>
      </w:r>
      <w:r w:rsidRPr="00A25AA8">
        <w:rPr>
          <w:sz w:val="20"/>
        </w:rPr>
        <w:t xml:space="preserve"> </w:t>
      </w:r>
      <w:r w:rsidRPr="00514EC1">
        <w:rPr>
          <w:i/>
          <w:sz w:val="20"/>
        </w:rPr>
        <w:t>December 2014 Connect America Fund Order</w:t>
      </w:r>
      <w:r w:rsidRPr="00E37F75">
        <w:rPr>
          <w:sz w:val="20"/>
        </w:rPr>
        <w:t>,</w:t>
      </w:r>
      <w:r>
        <w:rPr>
          <w:sz w:val="20"/>
        </w:rPr>
        <w:t xml:space="preserve"> 29 FCC Rcd at 15685, para. 116.  </w:t>
      </w:r>
    </w:p>
  </w:footnote>
  <w:footnote w:id="8">
    <w:p w14:paraId="78FEEB84" w14:textId="7AC808FB" w:rsidR="00214925" w:rsidRPr="00A25AA8" w:rsidRDefault="00214925" w:rsidP="00C37C36">
      <w:pPr>
        <w:autoSpaceDE w:val="0"/>
        <w:autoSpaceDN w:val="0"/>
        <w:adjustRightInd w:val="0"/>
        <w:spacing w:after="120"/>
        <w:rPr>
          <w:color w:val="010101"/>
          <w:sz w:val="20"/>
        </w:rPr>
      </w:pPr>
      <w:r w:rsidRPr="00A25AA8">
        <w:rPr>
          <w:rStyle w:val="FootnoteReference"/>
        </w:rPr>
        <w:footnoteRef/>
      </w:r>
      <w:r w:rsidRPr="00A25AA8">
        <w:rPr>
          <w:sz w:val="20"/>
        </w:rPr>
        <w:t xml:space="preserve"> </w:t>
      </w:r>
      <w:r>
        <w:rPr>
          <w:i/>
          <w:sz w:val="20"/>
        </w:rPr>
        <w:t>Id</w:t>
      </w:r>
      <w:r>
        <w:rPr>
          <w:sz w:val="20"/>
        </w:rPr>
        <w:t xml:space="preserve">.  More information on the study area boundary data collection can be found at FCC, Study Area Boundary Data Collection, </w:t>
      </w:r>
      <w:hyperlink r:id="rId1" w:history="1">
        <w:r w:rsidRPr="00312677">
          <w:rPr>
            <w:rStyle w:val="Hyperlink"/>
            <w:sz w:val="20"/>
          </w:rPr>
          <w:t>http://www.fcc.gov/encyclopedia/study-area-boundary-data-collection</w:t>
        </w:r>
      </w:hyperlink>
      <w:r>
        <w:rPr>
          <w:sz w:val="20"/>
        </w:rPr>
        <w:t xml:space="preserve">; more information on Form 477 can be found at FCC, Form 477 Resources for Filers, </w:t>
      </w:r>
      <w:hyperlink r:id="rId2" w:history="1">
        <w:r w:rsidRPr="00312677">
          <w:rPr>
            <w:rStyle w:val="Hyperlink"/>
            <w:sz w:val="20"/>
          </w:rPr>
          <w:t>http://www.fcc.gov/encyclopedia/form-477-resources-filers</w:t>
        </w:r>
      </w:hyperlink>
      <w:r>
        <w:rPr>
          <w:sz w:val="20"/>
        </w:rPr>
        <w:t xml:space="preserve">; and more information on the SBI/NBM can be found at NTIA, State Broadband Initiative, </w:t>
      </w:r>
      <w:hyperlink r:id="rId3" w:history="1">
        <w:r w:rsidR="007E34DF" w:rsidRPr="00CD7490">
          <w:rPr>
            <w:rStyle w:val="Hyperlink"/>
            <w:sz w:val="20"/>
          </w:rPr>
          <w:t>http://www2.ntia.doc.gov/SBDD</w:t>
        </w:r>
      </w:hyperlink>
      <w:r>
        <w:rPr>
          <w:sz w:val="20"/>
        </w:rPr>
        <w:t xml:space="preserve"> and National Broadband Map, </w:t>
      </w:r>
      <w:r w:rsidRPr="00B45B19">
        <w:rPr>
          <w:sz w:val="20"/>
        </w:rPr>
        <w:t>http://www.broadbandmap.gov/</w:t>
      </w:r>
      <w:r>
        <w:rPr>
          <w:sz w:val="20"/>
        </w:rPr>
        <w:t xml:space="preserve">.   </w:t>
      </w:r>
    </w:p>
  </w:footnote>
  <w:footnote w:id="9">
    <w:p w14:paraId="669E1CF7" w14:textId="77777777" w:rsidR="00560D12" w:rsidRDefault="00560D12">
      <w:pPr>
        <w:pStyle w:val="FootnoteText"/>
      </w:pPr>
      <w:r>
        <w:rPr>
          <w:rStyle w:val="FootnoteReference"/>
        </w:rPr>
        <w:footnoteRef/>
      </w:r>
      <w:r>
        <w:t xml:space="preserve"> </w:t>
      </w:r>
      <w:r>
        <w:rPr>
          <w:i/>
        </w:rPr>
        <w:t>See Connect America Fund</w:t>
      </w:r>
      <w:r>
        <w:t>, Order, WC Docket No. 10-90, 30 FCC Rcd 14145</w:t>
      </w:r>
      <w:r w:rsidR="00980A17">
        <w:t xml:space="preserve"> </w:t>
      </w:r>
      <w:r>
        <w:t>(WCB 2015)</w:t>
      </w:r>
      <w:r w:rsidR="00980A17">
        <w:t xml:space="preserve"> (</w:t>
      </w:r>
      <w:r w:rsidR="00980A17">
        <w:rPr>
          <w:i/>
        </w:rPr>
        <w:t>2015 100 Percent Overlap Order</w:t>
      </w:r>
      <w:r w:rsidR="00980A17">
        <w:t>)</w:t>
      </w:r>
      <w:r>
        <w:t>.</w:t>
      </w:r>
    </w:p>
  </w:footnote>
  <w:footnote w:id="10">
    <w:p w14:paraId="5ACA0CDD" w14:textId="77777777" w:rsidR="00D60E3D" w:rsidRPr="00D60E3D" w:rsidRDefault="00D60E3D">
      <w:pPr>
        <w:pStyle w:val="FootnoteText"/>
      </w:pPr>
      <w:r>
        <w:rPr>
          <w:rStyle w:val="FootnoteReference"/>
        </w:rPr>
        <w:footnoteRef/>
      </w:r>
      <w:r>
        <w:t xml:space="preserve"> </w:t>
      </w:r>
      <w:r>
        <w:rPr>
          <w:i/>
        </w:rPr>
        <w:t>See 2015 100 Percent Overlap Order</w:t>
      </w:r>
      <w:r>
        <w:t>, 30 FCC Rcd at 14146</w:t>
      </w:r>
      <w:r w:rsidR="00E65024">
        <w:t>, 14148-50</w:t>
      </w:r>
      <w:r>
        <w:t>, para</w:t>
      </w:r>
      <w:r w:rsidR="00E65024">
        <w:t xml:space="preserve">s. 3, 8-9, 11-12.  </w:t>
      </w:r>
    </w:p>
  </w:footnote>
  <w:footnote w:id="11">
    <w:p w14:paraId="145C7206" w14:textId="4583D259" w:rsidR="002F5A23" w:rsidRPr="002F5A23" w:rsidRDefault="002F5A23">
      <w:pPr>
        <w:pStyle w:val="FootnoteText"/>
        <w:rPr>
          <w:i/>
        </w:rPr>
      </w:pPr>
      <w:r>
        <w:rPr>
          <w:rStyle w:val="FootnoteReference"/>
        </w:rPr>
        <w:footnoteRef/>
      </w:r>
      <w:r>
        <w:t xml:space="preserve"> </w:t>
      </w:r>
      <w:r w:rsidRPr="002F5A23">
        <w:rPr>
          <w:i/>
        </w:rPr>
        <w:t>See</w:t>
      </w:r>
      <w:r>
        <w:t xml:space="preserve"> </w:t>
      </w:r>
      <w:hyperlink r:id="rId4" w:history="1">
        <w:r w:rsidR="00AA7C34" w:rsidRPr="00F63982">
          <w:rPr>
            <w:rStyle w:val="Hyperlink"/>
          </w:rPr>
          <w:t>https://apps.fcc.gov/edocs_public/attachmatch/DOC-345889A1.xslx</w:t>
        </w:r>
      </w:hyperlink>
      <w:r w:rsidR="001B4A89">
        <w:t>.</w:t>
      </w:r>
    </w:p>
  </w:footnote>
  <w:footnote w:id="12">
    <w:p w14:paraId="398F0DB2" w14:textId="77777777" w:rsidR="00EC1088" w:rsidRPr="00EC1088" w:rsidRDefault="00EC1088">
      <w:pPr>
        <w:pStyle w:val="FootnoteText"/>
      </w:pPr>
      <w:r>
        <w:rPr>
          <w:rStyle w:val="FootnoteReference"/>
        </w:rPr>
        <w:footnoteRef/>
      </w:r>
      <w:r>
        <w:t xml:space="preserve"> </w:t>
      </w:r>
      <w:r>
        <w:rPr>
          <w:i/>
        </w:rPr>
        <w:t>2015 Public Notice</w:t>
      </w:r>
      <w:r w:rsidR="00CF25A4">
        <w:t>, 30 FCC Rcd at 8186, para. 19.</w:t>
      </w:r>
      <w:r w:rsidR="004D430F">
        <w:t xml:space="preserve">  The service o</w:t>
      </w:r>
      <w:r w:rsidR="007E34DF">
        <w:t>bligations can be found at 47 CFR</w:t>
      </w:r>
      <w:r w:rsidR="004D430F">
        <w:t xml:space="preserve"> § 54.319(a).</w:t>
      </w:r>
    </w:p>
  </w:footnote>
  <w:footnote w:id="13">
    <w:p w14:paraId="400D4460" w14:textId="7E340FE9" w:rsidR="00D01DA5" w:rsidRPr="00F4443A" w:rsidRDefault="00D01DA5" w:rsidP="00D01DA5">
      <w:pPr>
        <w:pStyle w:val="FootnoteText"/>
      </w:pPr>
      <w:r>
        <w:rPr>
          <w:rStyle w:val="FootnoteReference"/>
        </w:rPr>
        <w:footnoteRef/>
      </w:r>
      <w:r>
        <w:t xml:space="preserve"> </w:t>
      </w:r>
      <w:r w:rsidR="004D430F" w:rsidRPr="001B4A89">
        <w:rPr>
          <w:i/>
        </w:rPr>
        <w:t>2015 Public Notice</w:t>
      </w:r>
      <w:r>
        <w:t xml:space="preserve"> </w:t>
      </w:r>
      <w:r w:rsidR="00BB03AD">
        <w:t xml:space="preserve">30 FCC Rcd </w:t>
      </w:r>
      <w:r>
        <w:t>at 8187, para. 20.</w:t>
      </w:r>
    </w:p>
  </w:footnote>
  <w:footnote w:id="14">
    <w:p w14:paraId="5804E121" w14:textId="77777777" w:rsidR="00D01DA5" w:rsidRPr="0096764B" w:rsidRDefault="00D01DA5" w:rsidP="00D01DA5">
      <w:pPr>
        <w:pStyle w:val="FootnoteText"/>
      </w:pPr>
      <w:r>
        <w:rPr>
          <w:rStyle w:val="FootnoteReference"/>
        </w:rPr>
        <w:footnoteRef/>
      </w:r>
      <w:r>
        <w:t xml:space="preserve"> Parties face criminal penalties for knowingly and willingly making materially false, fictitious or fraudulent statements or representations in official matters before the Commission.  </w:t>
      </w:r>
      <w:r>
        <w:rPr>
          <w:i/>
        </w:rPr>
        <w:t xml:space="preserve">See </w:t>
      </w:r>
      <w:r>
        <w:t xml:space="preserve">18 U.S.C. § 1001.  </w:t>
      </w:r>
      <w:r w:rsidRPr="00E7167B">
        <w:rPr>
          <w:i/>
        </w:rPr>
        <w:t>See also</w:t>
      </w:r>
      <w:r>
        <w:t xml:space="preserve"> </w:t>
      </w:r>
      <w:r w:rsidRPr="004706C3">
        <w:rPr>
          <w:i/>
        </w:rPr>
        <w:t>Connect America Fund et al</w:t>
      </w:r>
      <w:r>
        <w:t>., WC Docket No. 10-90 et al., Order, 30 FCC Rcd 2718, 2730-31, para. 38 &amp; n.93 (WCB 2015).</w:t>
      </w:r>
    </w:p>
  </w:footnote>
  <w:footnote w:id="15">
    <w:p w14:paraId="4E3D890D" w14:textId="08A7CB9D" w:rsidR="00214925" w:rsidRPr="00734B0E" w:rsidRDefault="00214925">
      <w:pPr>
        <w:pStyle w:val="FootnoteText"/>
      </w:pPr>
      <w:r>
        <w:rPr>
          <w:rStyle w:val="FootnoteReference"/>
        </w:rPr>
        <w:footnoteRef/>
      </w:r>
      <w:r>
        <w:t xml:space="preserve"> </w:t>
      </w:r>
      <w:r w:rsidR="00BB03AD">
        <w:rPr>
          <w:i/>
        </w:rPr>
        <w:t xml:space="preserve">See </w:t>
      </w:r>
      <w:r w:rsidR="00BB03AD">
        <w:t xml:space="preserve">47 CFR </w:t>
      </w:r>
      <w:r w:rsidR="00BB03AD" w:rsidRPr="00A25AA8">
        <w:t>§</w:t>
      </w:r>
      <w:r w:rsidR="00BB03AD">
        <w:t xml:space="preserve"> 54.319(a); </w:t>
      </w:r>
      <w:r w:rsidR="00BB03AD">
        <w:rPr>
          <w:i/>
        </w:rPr>
        <w:t>s</w:t>
      </w:r>
      <w:r w:rsidR="00E144E7">
        <w:rPr>
          <w:i/>
        </w:rPr>
        <w:t xml:space="preserve">ee </w:t>
      </w:r>
      <w:r w:rsidR="00BB03AD">
        <w:rPr>
          <w:i/>
        </w:rPr>
        <w:t xml:space="preserve">also </w:t>
      </w:r>
      <w:r w:rsidR="00E144E7" w:rsidRPr="00C6419A">
        <w:rPr>
          <w:i/>
        </w:rPr>
        <w:t>Wireline Competition Bureau Annou</w:t>
      </w:r>
      <w:r w:rsidR="00E144E7">
        <w:rPr>
          <w:i/>
        </w:rPr>
        <w:t xml:space="preserve">nces Results of 2017 Urban Rate </w:t>
      </w:r>
      <w:r w:rsidR="00E144E7" w:rsidRPr="00C6419A">
        <w:rPr>
          <w:i/>
        </w:rPr>
        <w:t xml:space="preserve">Survey </w:t>
      </w:r>
      <w:r w:rsidR="00E144E7">
        <w:rPr>
          <w:i/>
        </w:rPr>
        <w:t>f</w:t>
      </w:r>
      <w:r w:rsidR="00E144E7" w:rsidRPr="00C6419A">
        <w:rPr>
          <w:i/>
        </w:rPr>
        <w:t xml:space="preserve">or Fixed Voice </w:t>
      </w:r>
      <w:r w:rsidR="00E144E7">
        <w:rPr>
          <w:i/>
        </w:rPr>
        <w:t>a</w:t>
      </w:r>
      <w:r w:rsidR="00E144E7" w:rsidRPr="00C6419A">
        <w:rPr>
          <w:i/>
        </w:rPr>
        <w:t xml:space="preserve">nd Broadband Services, Posting </w:t>
      </w:r>
      <w:r w:rsidR="00E144E7">
        <w:rPr>
          <w:i/>
        </w:rPr>
        <w:t>o</w:t>
      </w:r>
      <w:r w:rsidR="00E144E7" w:rsidRPr="00C6419A">
        <w:rPr>
          <w:i/>
        </w:rPr>
        <w:t>f Survey Data</w:t>
      </w:r>
      <w:r w:rsidR="00E144E7">
        <w:rPr>
          <w:i/>
        </w:rPr>
        <w:t xml:space="preserve"> a</w:t>
      </w:r>
      <w:r w:rsidR="00E144E7" w:rsidRPr="00C6419A">
        <w:rPr>
          <w:i/>
        </w:rPr>
        <w:t xml:space="preserve">nd Explanatory Notes, </w:t>
      </w:r>
      <w:r w:rsidR="00E144E7">
        <w:rPr>
          <w:i/>
        </w:rPr>
        <w:t>a</w:t>
      </w:r>
      <w:r w:rsidR="00E144E7" w:rsidRPr="00C6419A">
        <w:rPr>
          <w:i/>
        </w:rPr>
        <w:t xml:space="preserve">nd Required Minimum Usage Allowance </w:t>
      </w:r>
      <w:r w:rsidR="00E144E7">
        <w:rPr>
          <w:i/>
        </w:rPr>
        <w:t>f</w:t>
      </w:r>
      <w:r w:rsidR="00E144E7" w:rsidRPr="00C6419A">
        <w:rPr>
          <w:i/>
        </w:rPr>
        <w:t>or</w:t>
      </w:r>
      <w:r w:rsidR="00E144E7">
        <w:rPr>
          <w:i/>
        </w:rPr>
        <w:t xml:space="preserve"> </w:t>
      </w:r>
      <w:r w:rsidR="00E144E7" w:rsidRPr="00C6419A">
        <w:rPr>
          <w:i/>
        </w:rPr>
        <w:t>E</w:t>
      </w:r>
      <w:r w:rsidR="00E144E7">
        <w:rPr>
          <w:i/>
        </w:rPr>
        <w:t>TCs</w:t>
      </w:r>
      <w:r w:rsidR="00E144E7" w:rsidRPr="00C6419A">
        <w:rPr>
          <w:i/>
        </w:rPr>
        <w:t xml:space="preserve"> Subject </w:t>
      </w:r>
      <w:r w:rsidR="00E144E7">
        <w:rPr>
          <w:i/>
        </w:rPr>
        <w:t>t</w:t>
      </w:r>
      <w:r w:rsidR="00E144E7" w:rsidRPr="00C6419A">
        <w:rPr>
          <w:i/>
        </w:rPr>
        <w:t>o Broadband Public Interest Obligations</w:t>
      </w:r>
      <w:r w:rsidR="00E144E7">
        <w:t xml:space="preserve">, Public Notice, </w:t>
      </w:r>
      <w:r w:rsidR="007E34DF">
        <w:t>DA 17-167</w:t>
      </w:r>
      <w:r w:rsidR="00926EB0">
        <w:t>, at 1</w:t>
      </w:r>
      <w:r w:rsidR="00E144E7">
        <w:t xml:space="preserve"> (WCB 2017) (</w:t>
      </w:r>
      <w:r w:rsidR="00E144E7">
        <w:rPr>
          <w:i/>
        </w:rPr>
        <w:t>2017 Urban Rate Survey Public Notice</w:t>
      </w:r>
      <w:r w:rsidR="00E144E7">
        <w:t>)</w:t>
      </w:r>
      <w:r w:rsidR="00216459">
        <w:t>.</w:t>
      </w:r>
    </w:p>
  </w:footnote>
  <w:footnote w:id="16">
    <w:p w14:paraId="29BF9E4D" w14:textId="77777777" w:rsidR="00214925" w:rsidRPr="00EE4EF0" w:rsidRDefault="00214925" w:rsidP="004E2DB5">
      <w:pPr>
        <w:pStyle w:val="FootnoteText"/>
        <w:rPr>
          <w:i/>
        </w:rPr>
      </w:pPr>
      <w:r>
        <w:rPr>
          <w:rStyle w:val="FootnoteReference"/>
        </w:rPr>
        <w:footnoteRef/>
      </w:r>
      <w:r w:rsidR="00166420">
        <w:t xml:space="preserve"> </w:t>
      </w:r>
      <w:r w:rsidR="00251129">
        <w:rPr>
          <w:i/>
        </w:rPr>
        <w:t xml:space="preserve">See </w:t>
      </w:r>
      <w:r w:rsidR="00166420">
        <w:t>47 CF</w:t>
      </w:r>
      <w:r>
        <w:t xml:space="preserve">R </w:t>
      </w:r>
      <w:r w:rsidRPr="00A25AA8">
        <w:t>§</w:t>
      </w:r>
      <w:r w:rsidR="00EE4EF0">
        <w:t xml:space="preserve"> 54.319(a).</w:t>
      </w:r>
      <w:r w:rsidR="00EE4EF0">
        <w:rPr>
          <w:i/>
        </w:rPr>
        <w:t xml:space="preserve"> 2017 Urban Rate Survey Public Notice</w:t>
      </w:r>
      <w:r w:rsidR="00EE4EF0">
        <w:t xml:space="preserve">, </w:t>
      </w:r>
      <w:r w:rsidR="00926EB0">
        <w:t xml:space="preserve">at 3 </w:t>
      </w:r>
    </w:p>
  </w:footnote>
  <w:footnote w:id="17">
    <w:p w14:paraId="3728BD00" w14:textId="77777777" w:rsidR="00D431DC" w:rsidRPr="00BF293D" w:rsidRDefault="00D431DC" w:rsidP="00D431DC">
      <w:pPr>
        <w:pStyle w:val="FootnoteText"/>
      </w:pPr>
      <w:r>
        <w:rPr>
          <w:rStyle w:val="FootnoteReference"/>
        </w:rPr>
        <w:footnoteRef/>
      </w:r>
      <w:r>
        <w:t xml:space="preserve"> </w:t>
      </w:r>
      <w:r>
        <w:rPr>
          <w:i/>
        </w:rPr>
        <w:t>See id</w:t>
      </w:r>
      <w:r w:rsidR="00926EB0">
        <w:t>. at 2</w:t>
      </w:r>
      <w:r>
        <w:t>.</w:t>
      </w:r>
    </w:p>
  </w:footnote>
  <w:footnote w:id="18">
    <w:p w14:paraId="30E7785A" w14:textId="77777777" w:rsidR="00214925" w:rsidRDefault="00214925">
      <w:pPr>
        <w:pStyle w:val="FootnoteText"/>
      </w:pPr>
      <w:r>
        <w:rPr>
          <w:rStyle w:val="FootnoteReference"/>
        </w:rPr>
        <w:footnoteRef/>
      </w:r>
      <w:r>
        <w:t xml:space="preserve"> The Bureau used similar criteria in the Phase II challenge process.  </w:t>
      </w:r>
      <w:r>
        <w:rPr>
          <w:i/>
        </w:rPr>
        <w:t xml:space="preserve">See </w:t>
      </w:r>
      <w:r w:rsidRPr="007246F9">
        <w:rPr>
          <w:i/>
        </w:rPr>
        <w:t>Wireline Competition Bureau Provides Guidance Regarding Phase II Challenge Process</w:t>
      </w:r>
      <w:r>
        <w:t>, WC Docket No. 10-90, Public Notice, 29 FCC Rcd 7505, 7507-08, para. 9 (W</w:t>
      </w:r>
      <w:r w:rsidR="0096764B">
        <w:t xml:space="preserve">CB </w:t>
      </w:r>
      <w:r>
        <w:t>2014).</w:t>
      </w:r>
    </w:p>
  </w:footnote>
  <w:footnote w:id="19">
    <w:p w14:paraId="477D1CE7" w14:textId="7D21A173" w:rsidR="0009420A" w:rsidRDefault="0009420A">
      <w:pPr>
        <w:pStyle w:val="FootnoteText"/>
      </w:pPr>
      <w:r>
        <w:rPr>
          <w:rStyle w:val="FootnoteReference"/>
        </w:rPr>
        <w:footnoteRef/>
      </w:r>
      <w:r>
        <w:t xml:space="preserve"> </w:t>
      </w:r>
      <w:r>
        <w:rPr>
          <w:i/>
        </w:rPr>
        <w:t xml:space="preserve">See </w:t>
      </w:r>
      <w:r>
        <w:t xml:space="preserve">47 CFR </w:t>
      </w:r>
      <w:r w:rsidRPr="00A25AA8">
        <w:t>§</w:t>
      </w:r>
      <w:r>
        <w:t xml:space="preserve"> 54.319(a).</w:t>
      </w:r>
    </w:p>
  </w:footnote>
  <w:footnote w:id="20">
    <w:p w14:paraId="3B00D5E2" w14:textId="77777777" w:rsidR="00D82E20" w:rsidRPr="00C33C68" w:rsidRDefault="00D82E20" w:rsidP="00D82E20">
      <w:pPr>
        <w:pStyle w:val="FootnoteText"/>
      </w:pPr>
      <w:r>
        <w:rPr>
          <w:rStyle w:val="FootnoteReference"/>
        </w:rPr>
        <w:footnoteRef/>
      </w:r>
      <w:r>
        <w:t xml:space="preserve"> For the data to submit showing propagation, </w:t>
      </w:r>
      <w:r>
        <w:rPr>
          <w:i/>
        </w:rPr>
        <w:t xml:space="preserve">see </w:t>
      </w:r>
      <w:r w:rsidR="001B4A89">
        <w:t xml:space="preserve">the </w:t>
      </w:r>
      <w:r>
        <w:t xml:space="preserve">Appendix.  </w:t>
      </w:r>
      <w:r w:rsidR="00607BE1">
        <w:t xml:space="preserve">We note that a map of a fixed wireless provider’s service area without </w:t>
      </w:r>
      <w:r w:rsidR="0080684F">
        <w:t xml:space="preserve">additional data </w:t>
      </w:r>
      <w:r w:rsidR="00607BE1">
        <w:t xml:space="preserve">would not constitute clear evidence that the provider is able to serve all of the locations </w:t>
      </w:r>
      <w:r w:rsidR="00043031">
        <w:t>in the</w:t>
      </w:r>
      <w:r w:rsidR="00607BE1">
        <w:t xml:space="preserve"> relevant study area.</w:t>
      </w:r>
    </w:p>
  </w:footnote>
  <w:footnote w:id="21">
    <w:p w14:paraId="2A1A19FE" w14:textId="77F7A55E" w:rsidR="001B4A89" w:rsidRDefault="001B4A89">
      <w:pPr>
        <w:pStyle w:val="FootnoteText"/>
      </w:pPr>
      <w:r>
        <w:rPr>
          <w:rStyle w:val="FootnoteReference"/>
        </w:rPr>
        <w:footnoteRef/>
      </w:r>
      <w:r>
        <w:t xml:space="preserve"> </w:t>
      </w:r>
      <w:r w:rsidRPr="002F5A23">
        <w:rPr>
          <w:i/>
        </w:rPr>
        <w:t>See</w:t>
      </w:r>
      <w:r>
        <w:t xml:space="preserve"> </w:t>
      </w:r>
      <w:hyperlink r:id="rId5" w:history="1">
        <w:r w:rsidR="00A907E0" w:rsidRPr="003D2F84">
          <w:rPr>
            <w:rStyle w:val="Hyperlink"/>
          </w:rPr>
          <w:t>https://apps.fcc.gov/edocs_public/attachmatch/DOC-345889A1.xlsx</w:t>
        </w:r>
      </w:hyperlink>
      <w:r>
        <w:t>.</w:t>
      </w:r>
    </w:p>
  </w:footnote>
  <w:footnote w:id="22">
    <w:p w14:paraId="4663E569" w14:textId="77777777" w:rsidR="00214925" w:rsidRDefault="00214925" w:rsidP="008E55D4">
      <w:pPr>
        <w:pStyle w:val="FootnoteText"/>
      </w:pPr>
      <w:r>
        <w:rPr>
          <w:rStyle w:val="FootnoteReference"/>
        </w:rPr>
        <w:footnoteRef/>
      </w:r>
      <w:r>
        <w:t xml:space="preserve"> 47 CFR §§ 1.415, 1.419.</w:t>
      </w:r>
    </w:p>
  </w:footnote>
  <w:footnote w:id="23">
    <w:p w14:paraId="0164D992" w14:textId="77777777" w:rsidR="00214925" w:rsidRDefault="00214925" w:rsidP="008E55D4">
      <w:pPr>
        <w:pStyle w:val="FootnoteText"/>
      </w:pPr>
      <w:r>
        <w:rPr>
          <w:rStyle w:val="FootnoteReference"/>
        </w:rPr>
        <w:footnoteRef/>
      </w:r>
      <w:r>
        <w:t xml:space="preserve"> </w:t>
      </w:r>
      <w:r w:rsidRPr="00872653">
        <w:rPr>
          <w:i/>
        </w:rPr>
        <w:t>See Electronic Filing of Documents in Rulemaking Proceedings</w:t>
      </w:r>
      <w:r>
        <w:t>, 63 FR 24121 (1998).</w:t>
      </w:r>
    </w:p>
  </w:footnote>
  <w:footnote w:id="24">
    <w:p w14:paraId="14FB6326" w14:textId="77777777" w:rsidR="00214925" w:rsidRDefault="00214925" w:rsidP="008E55D4">
      <w:pPr>
        <w:pStyle w:val="FootnoteText"/>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0C07" w14:textId="77777777" w:rsidR="009A7F71" w:rsidRDefault="009A7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6EE4A" w14:textId="77777777" w:rsidR="009A7F71" w:rsidRDefault="009A7F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70CC" w14:textId="77777777" w:rsidR="00214925" w:rsidRPr="00F36716" w:rsidRDefault="00214925" w:rsidP="004473CB">
    <w:pPr>
      <w:pStyle w:val="Header"/>
      <w:spacing w:before="40"/>
      <w:ind w:left="990"/>
      <w:rPr>
        <w:rFonts w:ascii="Arial" w:hAnsi="Arial" w:cs="Arial"/>
        <w:b w:val="0"/>
        <w:sz w:val="96"/>
      </w:rPr>
    </w:pPr>
    <w:r>
      <w:rPr>
        <w:rFonts w:ascii="Arial" w:hAnsi="Arial" w:cs="Arial"/>
        <w:b w:val="0"/>
        <w:noProof/>
        <w:sz w:val="24"/>
      </w:rPr>
      <w:drawing>
        <wp:anchor distT="0" distB="0" distL="114300" distR="114300" simplePos="0" relativeHeight="251696128" behindDoc="1" locked="0" layoutInCell="0" allowOverlap="1" wp14:anchorId="43BACB92" wp14:editId="4BDA5EB4">
          <wp:simplePos x="0" y="0"/>
          <wp:positionH relativeFrom="column">
            <wp:posOffset>28575</wp:posOffset>
          </wp:positionH>
          <wp:positionV relativeFrom="paragraph">
            <wp:posOffset>104775</wp:posOffset>
          </wp:positionV>
          <wp:extent cx="530225" cy="530225"/>
          <wp:effectExtent l="0" t="0" r="3175" b="3175"/>
          <wp:wrapTight wrapText="bothSides">
            <wp:wrapPolygon edited="0">
              <wp:start x="0" y="0"/>
              <wp:lineTo x="0" y="20953"/>
              <wp:lineTo x="20953" y="20953"/>
              <wp:lineTo x="20953" y="0"/>
              <wp:lineTo x="0" y="0"/>
            </wp:wrapPolygon>
          </wp:wrapTight>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96"/>
      </w:rPr>
      <w:t>PUBLIC NOTICE</w:t>
    </w:r>
  </w:p>
  <w:p w14:paraId="09BD20F9" w14:textId="77777777" w:rsidR="00214925" w:rsidRPr="00F36716" w:rsidRDefault="00214925" w:rsidP="00F36716">
    <w:pPr>
      <w:pStyle w:val="Header"/>
      <w:tabs>
        <w:tab w:val="left" w:pos="1080"/>
      </w:tabs>
      <w:spacing w:line="1120" w:lineRule="exact"/>
      <w:ind w:left="720"/>
      <w:rPr>
        <w:rFonts w:ascii="Arial" w:hAnsi="Arial"/>
        <w:b w:val="0"/>
        <w:sz w:val="28"/>
      </w:rPr>
    </w:pPr>
    <w:r>
      <w:rPr>
        <w:rFonts w:ascii="Arial" w:hAnsi="Arial" w:cs="Arial"/>
        <w:b w:val="0"/>
        <w:noProof/>
        <w:sz w:val="24"/>
      </w:rPr>
      <mc:AlternateContent>
        <mc:Choice Requires="wps">
          <w:drawing>
            <wp:anchor distT="0" distB="0" distL="114300" distR="114300" simplePos="0" relativeHeight="251637760" behindDoc="0" locked="0" layoutInCell="0" allowOverlap="1" wp14:anchorId="293B3B0D" wp14:editId="60551CB1">
              <wp:simplePos x="0" y="0"/>
              <wp:positionH relativeFrom="column">
                <wp:posOffset>33020</wp:posOffset>
              </wp:positionH>
              <wp:positionV relativeFrom="paragraph">
                <wp:posOffset>3810</wp:posOffset>
              </wp:positionV>
              <wp:extent cx="3108960" cy="6400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BBC50" w14:textId="77777777" w:rsidR="00214925" w:rsidRDefault="00214925" w:rsidP="004C1E38">
                          <w:pPr>
                            <w:rPr>
                              <w:rFonts w:ascii="Arial" w:hAnsi="Arial"/>
                              <w:b/>
                              <w:sz w:val="20"/>
                            </w:rPr>
                          </w:pPr>
                          <w:r>
                            <w:rPr>
                              <w:rFonts w:ascii="Arial" w:hAnsi="Arial"/>
                              <w:b/>
                              <w:sz w:val="20"/>
                            </w:rPr>
                            <w:t>Federal Communications Commission</w:t>
                          </w:r>
                        </w:p>
                        <w:p w14:paraId="3AB40618" w14:textId="77777777" w:rsidR="00214925" w:rsidRDefault="00214925" w:rsidP="004C1E38">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275A8B51" w14:textId="77777777" w:rsidR="00214925" w:rsidRDefault="00214925" w:rsidP="004C1E38">
                          <w:pPr>
                            <w:rPr>
                              <w:rFonts w:ascii="Arial" w:hAnsi="Arial"/>
                              <w:sz w:val="24"/>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3B3B0D" id="_x0000_t202" coordsize="21600,21600" o:spt="202" path="m,l,21600r21600,l21600,xe">
              <v:stroke joinstyle="miter"/>
              <v:path gradientshapeok="t" o:connecttype="rect"/>
            </v:shapetype>
            <v:shape id="Text Box 11" o:spid="_x0000_s1026" type="#_x0000_t202" style="position:absolute;left:0;text-align:left;margin-left:2.6pt;margin-top:.3pt;width:244.8pt;height:50.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rBhAIAABE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" o:allowincell="f" stroked="f">
              <v:textbox>
                <w:txbxContent>
                  <w:p w14:paraId="1C3BBC50" w14:textId="77777777" w:rsidR="00214925" w:rsidRDefault="00214925" w:rsidP="004C1E38">
                    <w:pPr>
                      <w:rPr>
                        <w:rFonts w:ascii="Arial" w:hAnsi="Arial"/>
                        <w:b/>
                        <w:sz w:val="20"/>
                      </w:rPr>
                    </w:pPr>
                    <w:r>
                      <w:rPr>
                        <w:rFonts w:ascii="Arial" w:hAnsi="Arial"/>
                        <w:b/>
                        <w:sz w:val="20"/>
                      </w:rPr>
                      <w:t>Federal Communications Commission</w:t>
                    </w:r>
                  </w:p>
                  <w:p w14:paraId="3AB40618" w14:textId="77777777" w:rsidR="00214925" w:rsidRDefault="00214925" w:rsidP="004C1E38">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275A8B51" w14:textId="77777777" w:rsidR="00214925" w:rsidRDefault="00214925" w:rsidP="004C1E38">
                    <w:pPr>
                      <w:rPr>
                        <w:rFonts w:ascii="Arial" w:hAnsi="Arial"/>
                        <w:sz w:val="24"/>
                      </w:rPr>
                    </w:pPr>
                    <w:r>
                      <w:rPr>
                        <w:rFonts w:ascii="Arial" w:hAnsi="Arial"/>
                        <w:b/>
                        <w:sz w:val="20"/>
                      </w:rPr>
                      <w:t>Washington, D.C. 20554</w:t>
                    </w:r>
                  </w:p>
                </w:txbxContent>
              </v:textbox>
            </v:shape>
          </w:pict>
        </mc:Fallback>
      </mc:AlternateContent>
    </w:r>
    <w:r>
      <w:rPr>
        <w:rFonts w:ascii="News Gothic MT" w:hAnsi="News Gothic MT"/>
        <w:b w:val="0"/>
        <w:noProof/>
        <w:sz w:val="24"/>
      </w:rPr>
      <mc:AlternateContent>
        <mc:Choice Requires="wps">
          <w:drawing>
            <wp:anchor distT="0" distB="0" distL="114300" distR="114300" simplePos="0" relativeHeight="251676672" behindDoc="0" locked="0" layoutInCell="1" allowOverlap="1" wp14:anchorId="3C3A8A44" wp14:editId="2CD735FC">
              <wp:simplePos x="0" y="0"/>
              <wp:positionH relativeFrom="column">
                <wp:posOffset>3366135</wp:posOffset>
              </wp:positionH>
              <wp:positionV relativeFrom="paragraph">
                <wp:posOffset>76200</wp:posOffset>
              </wp:positionV>
              <wp:extent cx="2640965" cy="5486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B7C37" w14:textId="77777777" w:rsidR="00214925" w:rsidRDefault="00214925" w:rsidP="004C1E38">
                          <w:pPr>
                            <w:spacing w:before="40"/>
                            <w:jc w:val="right"/>
                            <w:rPr>
                              <w:rFonts w:ascii="Arial" w:hAnsi="Arial"/>
                              <w:b/>
                              <w:sz w:val="16"/>
                            </w:rPr>
                          </w:pPr>
                          <w:r>
                            <w:rPr>
                              <w:rFonts w:ascii="Arial" w:hAnsi="Arial"/>
                              <w:b/>
                              <w:sz w:val="16"/>
                            </w:rPr>
                            <w:t>News Media Information 202 / 418-0500</w:t>
                          </w:r>
                        </w:p>
                        <w:p w14:paraId="54190FF6" w14:textId="77777777" w:rsidR="00214925" w:rsidRDefault="00214925" w:rsidP="004C1E3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086433B" w14:textId="77777777" w:rsidR="00214925" w:rsidRDefault="00214925" w:rsidP="004C1E38">
                          <w:pPr>
                            <w:jc w:val="right"/>
                            <w:rPr>
                              <w:rFonts w:ascii="Arial" w:hAnsi="Arial"/>
                              <w:b/>
                              <w:sz w:val="16"/>
                            </w:rPr>
                          </w:pPr>
                          <w:r>
                            <w:rPr>
                              <w:rFonts w:ascii="Arial" w:hAnsi="Arial"/>
                              <w:b/>
                              <w:sz w:val="16"/>
                            </w:rPr>
                            <w:t>TTY: 1-888-835-5322</w:t>
                          </w:r>
                        </w:p>
                        <w:p w14:paraId="19CE19BC" w14:textId="77777777" w:rsidR="00214925" w:rsidRDefault="00214925" w:rsidP="004C1E3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A8A44" id="Text Box 10" o:spid="_x0000_s1027" type="#_x0000_t202" style="position:absolute;left:0;text-align:left;margin-left:265.05pt;margin-top:6pt;width:207.95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Hx5kwoEC&#10;AAAQBQAADgAAAAAAAAAAAAAAAAAuAgAAZHJzL2Uyb0RvYy54bWxQSwECLQAUAAYACAAAACEApE/5&#10;390AAAAJAQAADwAAAAAAAAAAAAAAAADbBAAAZHJzL2Rvd25yZXYueG1sUEsFBgAAAAAEAAQA8wAA&#10;AOUFAAAAAA==&#10;" stroked="f">
              <v:textbox inset=",0,,0">
                <w:txbxContent>
                  <w:p w14:paraId="1B3B7C37" w14:textId="77777777" w:rsidR="00214925" w:rsidRDefault="00214925" w:rsidP="004C1E38">
                    <w:pPr>
                      <w:spacing w:before="40"/>
                      <w:jc w:val="right"/>
                      <w:rPr>
                        <w:rFonts w:ascii="Arial" w:hAnsi="Arial"/>
                        <w:b/>
                        <w:sz w:val="16"/>
                      </w:rPr>
                    </w:pPr>
                    <w:r>
                      <w:rPr>
                        <w:rFonts w:ascii="Arial" w:hAnsi="Arial"/>
                        <w:b/>
                        <w:sz w:val="16"/>
                      </w:rPr>
                      <w:t>News Media Information 202 / 418-0500</w:t>
                    </w:r>
                  </w:p>
                  <w:p w14:paraId="54190FF6" w14:textId="77777777" w:rsidR="00214925" w:rsidRDefault="00214925" w:rsidP="004C1E3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086433B" w14:textId="77777777" w:rsidR="00214925" w:rsidRDefault="00214925" w:rsidP="004C1E38">
                    <w:pPr>
                      <w:jc w:val="right"/>
                      <w:rPr>
                        <w:rFonts w:ascii="Arial" w:hAnsi="Arial"/>
                        <w:b/>
                        <w:sz w:val="16"/>
                      </w:rPr>
                    </w:pPr>
                    <w:r>
                      <w:rPr>
                        <w:rFonts w:ascii="Arial" w:hAnsi="Arial"/>
                        <w:b/>
                        <w:sz w:val="16"/>
                      </w:rPr>
                      <w:t>TTY: 1-888-835-5322</w:t>
                    </w:r>
                  </w:p>
                  <w:p w14:paraId="19CE19BC" w14:textId="77777777" w:rsidR="00214925" w:rsidRDefault="00214925" w:rsidP="004C1E38">
                    <w:pPr>
                      <w:jc w:val="right"/>
                    </w:pPr>
                  </w:p>
                </w:txbxContent>
              </v:textbox>
            </v:shape>
          </w:pict>
        </mc:Fallback>
      </mc:AlternateContent>
    </w:r>
    <w:r>
      <w:rPr>
        <w:rFonts w:ascii="Arial" w:hAnsi="Arial"/>
        <w:b w:val="0"/>
        <w:noProof/>
      </w:rPr>
      <mc:AlternateContent>
        <mc:Choice Requires="wps">
          <w:drawing>
            <wp:anchor distT="0" distB="0" distL="114300" distR="114300" simplePos="0" relativeHeight="251657216" behindDoc="0" locked="0" layoutInCell="0" allowOverlap="1" wp14:anchorId="573ED1DF" wp14:editId="2006433D">
              <wp:simplePos x="0" y="0"/>
              <wp:positionH relativeFrom="column">
                <wp:posOffset>0</wp:posOffset>
              </wp:positionH>
              <wp:positionV relativeFrom="paragraph">
                <wp:posOffset>697865</wp:posOffset>
              </wp:positionV>
              <wp:extent cx="5943600" cy="254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03792"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PyIQIAADk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84B5" w14:textId="77777777" w:rsidR="00214925" w:rsidRDefault="00214925">
    <w:pPr>
      <w:pStyle w:val="Header"/>
      <w:spacing w:before="40"/>
      <w:ind w:firstLine="1080"/>
      <w:rPr>
        <w:rFonts w:ascii="News Gothic MT" w:hAnsi="News Gothic MT"/>
        <w:b w:val="0"/>
        <w:sz w:val="96"/>
      </w:rPr>
    </w:pPr>
    <w:r w:rsidRPr="00F911DE">
      <w:rPr>
        <w:rFonts w:ascii="News Gothic MT" w:hAnsi="News Gothic MT"/>
        <w:b w:val="0"/>
        <w:noProof/>
        <w:sz w:val="24"/>
      </w:rPr>
      <w:drawing>
        <wp:anchor distT="0" distB="0" distL="114300" distR="114300" simplePos="0" relativeHeight="251661312" behindDoc="0" locked="0" layoutInCell="0" allowOverlap="1" wp14:anchorId="2B4E2BDD" wp14:editId="70F599AB">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F911DE">
      <w:rPr>
        <w:rFonts w:ascii="News Gothic MT" w:hAnsi="News Gothic MT"/>
        <w:b w:val="0"/>
        <w:noProof/>
        <w:sz w:val="24"/>
      </w:rPr>
      <mc:AlternateContent>
        <mc:Choice Requires="wps">
          <w:drawing>
            <wp:anchor distT="0" distB="0" distL="114300" distR="114300" simplePos="0" relativeHeight="251658240" behindDoc="0" locked="0" layoutInCell="0" allowOverlap="1" wp14:anchorId="191533E7" wp14:editId="5D74E548">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51A5D" w14:textId="77777777" w:rsidR="00214925" w:rsidRDefault="00214925">
                          <w:pPr>
                            <w:rPr>
                              <w:rFonts w:ascii="Arial" w:hAnsi="Arial"/>
                              <w:b/>
                            </w:rPr>
                          </w:pPr>
                          <w:r>
                            <w:rPr>
                              <w:rFonts w:ascii="Arial" w:hAnsi="Arial"/>
                              <w:b/>
                            </w:rPr>
                            <w:t>Federal Communications Commission</w:t>
                          </w:r>
                        </w:p>
                        <w:p w14:paraId="67D11436" w14:textId="77777777" w:rsidR="00214925" w:rsidRDefault="0021492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B013ED2" w14:textId="77777777" w:rsidR="00214925" w:rsidRDefault="0021492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1533E7"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14:paraId="1D051A5D" w14:textId="77777777" w:rsidR="00214925" w:rsidRDefault="00214925">
                    <w:pPr>
                      <w:rPr>
                        <w:rFonts w:ascii="Arial" w:hAnsi="Arial"/>
                        <w:b/>
                      </w:rPr>
                    </w:pPr>
                    <w:r>
                      <w:rPr>
                        <w:rFonts w:ascii="Arial" w:hAnsi="Arial"/>
                        <w:b/>
                      </w:rPr>
                      <w:t>Federal Communications Commission</w:t>
                    </w:r>
                  </w:p>
                  <w:p w14:paraId="67D11436" w14:textId="77777777" w:rsidR="00214925" w:rsidRDefault="0021492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B013ED2" w14:textId="77777777" w:rsidR="00214925" w:rsidRDefault="00214925">
                    <w:pPr>
                      <w:rPr>
                        <w:rFonts w:ascii="Arial" w:hAnsi="Arial"/>
                        <w:sz w:val="24"/>
                      </w:rPr>
                    </w:pPr>
                    <w:r>
                      <w:rPr>
                        <w:rFonts w:ascii="Arial" w:hAnsi="Arial"/>
                        <w:b/>
                      </w:rPr>
                      <w:t>Washington, D.C. 20554</w:t>
                    </w:r>
                  </w:p>
                </w:txbxContent>
              </v:textbox>
            </v:shape>
          </w:pict>
        </mc:Fallback>
      </mc:AlternateContent>
    </w:r>
    <w:r>
      <w:rPr>
        <w:rFonts w:ascii="News Gothic MT" w:hAnsi="News Gothic MT"/>
        <w:sz w:val="96"/>
      </w:rPr>
      <w:t>PUBLIC NOTICE</w:t>
    </w:r>
  </w:p>
  <w:p w14:paraId="5F44C62E" w14:textId="77777777" w:rsidR="00214925" w:rsidRDefault="00214925">
    <w:pPr>
      <w:pStyle w:val="Header"/>
      <w:tabs>
        <w:tab w:val="left" w:pos="1080"/>
      </w:tabs>
      <w:spacing w:line="1120" w:lineRule="exact"/>
      <w:ind w:left="720"/>
      <w:rPr>
        <w:rFonts w:ascii="Arial" w:hAnsi="Arial"/>
        <w:b w:val="0"/>
        <w:sz w:val="28"/>
      </w:rPr>
    </w:pPr>
    <w:r w:rsidRPr="00F911DE">
      <w:rPr>
        <w:rFonts w:ascii="Arial" w:hAnsi="Arial"/>
        <w:b w:val="0"/>
        <w:noProof/>
      </w:rPr>
      <mc:AlternateContent>
        <mc:Choice Requires="wps">
          <w:drawing>
            <wp:anchor distT="0" distB="0" distL="114300" distR="114300" simplePos="0" relativeHeight="251659264" behindDoc="0" locked="0" layoutInCell="0" allowOverlap="1" wp14:anchorId="688CD61E" wp14:editId="7DFF2A5D">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83097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sidRPr="00F911DE">
      <w:rPr>
        <w:rFonts w:ascii="News Gothic MT" w:hAnsi="News Gothic MT"/>
        <w:b w:val="0"/>
        <w:noProof/>
        <w:sz w:val="24"/>
      </w:rPr>
      <mc:AlternateContent>
        <mc:Choice Requires="wps">
          <w:drawing>
            <wp:anchor distT="0" distB="0" distL="114300" distR="114300" simplePos="0" relativeHeight="251660288" behindDoc="0" locked="0" layoutInCell="0" allowOverlap="1" wp14:anchorId="41094073" wp14:editId="1AFA4FA0">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B9B12" w14:textId="77777777" w:rsidR="00214925" w:rsidRDefault="00214925">
                          <w:pPr>
                            <w:spacing w:before="40"/>
                            <w:jc w:val="right"/>
                            <w:rPr>
                              <w:rFonts w:ascii="Arial" w:hAnsi="Arial"/>
                              <w:b/>
                              <w:sz w:val="16"/>
                            </w:rPr>
                          </w:pPr>
                          <w:r>
                            <w:rPr>
                              <w:rFonts w:ascii="Arial" w:hAnsi="Arial"/>
                              <w:b/>
                              <w:sz w:val="16"/>
                            </w:rPr>
                            <w:t>News Media Information 202 / 418-0500</w:t>
                          </w:r>
                        </w:p>
                        <w:p w14:paraId="36A8D83B" w14:textId="77777777" w:rsidR="00214925" w:rsidRDefault="00214925">
                          <w:pPr>
                            <w:jc w:val="right"/>
                            <w:rPr>
                              <w:rFonts w:ascii="Arial" w:hAnsi="Arial"/>
                              <w:b/>
                              <w:sz w:val="16"/>
                            </w:rPr>
                          </w:pPr>
                          <w:r>
                            <w:rPr>
                              <w:rFonts w:ascii="Arial" w:hAnsi="Arial"/>
                              <w:b/>
                              <w:sz w:val="16"/>
                            </w:rPr>
                            <w:tab/>
                            <w:t>Internet: http://www.fcc.gov</w:t>
                          </w:r>
                        </w:p>
                        <w:p w14:paraId="067C2F58" w14:textId="77777777" w:rsidR="00214925" w:rsidRDefault="00214925">
                          <w:pPr>
                            <w:jc w:val="right"/>
                            <w:rPr>
                              <w:rFonts w:ascii="Arial" w:hAnsi="Arial"/>
                              <w:b/>
                              <w:sz w:val="16"/>
                            </w:rPr>
                          </w:pPr>
                          <w:r>
                            <w:rPr>
                              <w:rFonts w:ascii="Arial" w:hAnsi="Arial"/>
                              <w:b/>
                              <w:sz w:val="16"/>
                            </w:rPr>
                            <w:t>TTY: 1-888-835-5322</w:t>
                          </w:r>
                        </w:p>
                        <w:p w14:paraId="653109A0" w14:textId="77777777" w:rsidR="00214925" w:rsidRDefault="0021492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94073"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14:paraId="31EB9B12" w14:textId="77777777" w:rsidR="00214925" w:rsidRDefault="00214925">
                    <w:pPr>
                      <w:spacing w:before="40"/>
                      <w:jc w:val="right"/>
                      <w:rPr>
                        <w:rFonts w:ascii="Arial" w:hAnsi="Arial"/>
                        <w:b/>
                        <w:sz w:val="16"/>
                      </w:rPr>
                    </w:pPr>
                    <w:r>
                      <w:rPr>
                        <w:rFonts w:ascii="Arial" w:hAnsi="Arial"/>
                        <w:b/>
                        <w:sz w:val="16"/>
                      </w:rPr>
                      <w:t>News Media Information 202 / 418-0500</w:t>
                    </w:r>
                  </w:p>
                  <w:p w14:paraId="36A8D83B" w14:textId="77777777" w:rsidR="00214925" w:rsidRDefault="00214925">
                    <w:pPr>
                      <w:jc w:val="right"/>
                      <w:rPr>
                        <w:rFonts w:ascii="Arial" w:hAnsi="Arial"/>
                        <w:b/>
                        <w:sz w:val="16"/>
                      </w:rPr>
                    </w:pPr>
                    <w:r>
                      <w:rPr>
                        <w:rFonts w:ascii="Arial" w:hAnsi="Arial"/>
                        <w:b/>
                        <w:sz w:val="16"/>
                      </w:rPr>
                      <w:tab/>
                      <w:t>Internet: http://www.fcc.gov</w:t>
                    </w:r>
                  </w:p>
                  <w:p w14:paraId="067C2F58" w14:textId="77777777" w:rsidR="00214925" w:rsidRDefault="00214925">
                    <w:pPr>
                      <w:jc w:val="right"/>
                      <w:rPr>
                        <w:rFonts w:ascii="Arial" w:hAnsi="Arial"/>
                        <w:b/>
                        <w:sz w:val="16"/>
                      </w:rPr>
                    </w:pPr>
                    <w:r>
                      <w:rPr>
                        <w:rFonts w:ascii="Arial" w:hAnsi="Arial"/>
                        <w:b/>
                        <w:sz w:val="16"/>
                      </w:rPr>
                      <w:t>TTY: 1-888-835-5322</w:t>
                    </w:r>
                  </w:p>
                  <w:p w14:paraId="653109A0" w14:textId="77777777" w:rsidR="00214925" w:rsidRDefault="00214925">
                    <w:pPr>
                      <w:jc w:val="right"/>
                    </w:pPr>
                  </w:p>
                </w:txbxContent>
              </v:textbox>
            </v:shape>
          </w:pict>
        </mc:Fallback>
      </mc:AlternateContent>
    </w:r>
  </w:p>
  <w:p w14:paraId="6C73B5EA" w14:textId="77777777" w:rsidR="00214925" w:rsidRDefault="00214925">
    <w:pPr>
      <w:pStyle w:val="Header"/>
      <w:tabs>
        <w:tab w:val="left" w:pos="1080"/>
      </w:tabs>
      <w:ind w:left="720"/>
      <w:rPr>
        <w:rFonts w:ascii="Arial" w:hAnsi="Arial"/>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1EAF"/>
    <w:multiLevelType w:val="hybridMultilevel"/>
    <w:tmpl w:val="AF24999A"/>
    <w:lvl w:ilvl="0" w:tplc="699E6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57658"/>
    <w:multiLevelType w:val="hybridMultilevel"/>
    <w:tmpl w:val="A59E262C"/>
    <w:lvl w:ilvl="0" w:tplc="1C9017E2">
      <w:start w:val="1"/>
      <w:numFmt w:val="bullet"/>
      <w:lvlText w:val=""/>
      <w:lvlJc w:val="left"/>
      <w:pPr>
        <w:tabs>
          <w:tab w:val="num" w:pos="720"/>
        </w:tabs>
        <w:ind w:left="720" w:hanging="360"/>
      </w:pPr>
      <w:rPr>
        <w:rFonts w:ascii="Wingdings" w:hAnsi="Wingdings" w:hint="default"/>
      </w:rPr>
    </w:lvl>
    <w:lvl w:ilvl="1" w:tplc="BC04660A">
      <w:start w:val="1"/>
      <w:numFmt w:val="decimal"/>
      <w:lvlText w:val="(%2)"/>
      <w:lvlJc w:val="left"/>
      <w:pPr>
        <w:tabs>
          <w:tab w:val="num" w:pos="1440"/>
        </w:tabs>
        <w:ind w:left="1440" w:hanging="360"/>
      </w:pPr>
      <w:rPr>
        <w:rFonts w:hint="default"/>
      </w:rPr>
    </w:lvl>
    <w:lvl w:ilvl="2" w:tplc="032042BA">
      <w:start w:val="1"/>
      <w:numFmt w:val="lowerRoman"/>
      <w:lvlText w:val="%3."/>
      <w:lvlJc w:val="right"/>
      <w:pPr>
        <w:tabs>
          <w:tab w:val="num" w:pos="2160"/>
        </w:tabs>
        <w:ind w:left="2160" w:hanging="180"/>
      </w:pPr>
    </w:lvl>
    <w:lvl w:ilvl="3" w:tplc="3B2C5E56" w:tentative="1">
      <w:start w:val="1"/>
      <w:numFmt w:val="decimal"/>
      <w:lvlText w:val="%4."/>
      <w:lvlJc w:val="left"/>
      <w:pPr>
        <w:tabs>
          <w:tab w:val="num" w:pos="2880"/>
        </w:tabs>
        <w:ind w:left="2880" w:hanging="360"/>
      </w:pPr>
    </w:lvl>
    <w:lvl w:ilvl="4" w:tplc="87AC5166" w:tentative="1">
      <w:start w:val="1"/>
      <w:numFmt w:val="lowerLetter"/>
      <w:lvlText w:val="%5."/>
      <w:lvlJc w:val="left"/>
      <w:pPr>
        <w:tabs>
          <w:tab w:val="num" w:pos="3600"/>
        </w:tabs>
        <w:ind w:left="3600" w:hanging="360"/>
      </w:pPr>
    </w:lvl>
    <w:lvl w:ilvl="5" w:tplc="2F4CF674" w:tentative="1">
      <w:start w:val="1"/>
      <w:numFmt w:val="lowerRoman"/>
      <w:lvlText w:val="%6."/>
      <w:lvlJc w:val="right"/>
      <w:pPr>
        <w:tabs>
          <w:tab w:val="num" w:pos="4320"/>
        </w:tabs>
        <w:ind w:left="4320" w:hanging="180"/>
      </w:pPr>
    </w:lvl>
    <w:lvl w:ilvl="6" w:tplc="72EA0872" w:tentative="1">
      <w:start w:val="1"/>
      <w:numFmt w:val="decimal"/>
      <w:lvlText w:val="%7."/>
      <w:lvlJc w:val="left"/>
      <w:pPr>
        <w:tabs>
          <w:tab w:val="num" w:pos="5040"/>
        </w:tabs>
        <w:ind w:left="5040" w:hanging="360"/>
      </w:pPr>
    </w:lvl>
    <w:lvl w:ilvl="7" w:tplc="73FE47BC" w:tentative="1">
      <w:start w:val="1"/>
      <w:numFmt w:val="lowerLetter"/>
      <w:lvlText w:val="%8."/>
      <w:lvlJc w:val="left"/>
      <w:pPr>
        <w:tabs>
          <w:tab w:val="num" w:pos="5760"/>
        </w:tabs>
        <w:ind w:left="5760" w:hanging="360"/>
      </w:pPr>
    </w:lvl>
    <w:lvl w:ilvl="8" w:tplc="69AA3A48" w:tentative="1">
      <w:start w:val="1"/>
      <w:numFmt w:val="lowerRoman"/>
      <w:lvlText w:val="%9."/>
      <w:lvlJc w:val="right"/>
      <w:pPr>
        <w:tabs>
          <w:tab w:val="num" w:pos="6480"/>
        </w:tabs>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DF1BF7"/>
    <w:multiLevelType w:val="hybridMultilevel"/>
    <w:tmpl w:val="097E81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3D0F1B3D"/>
    <w:multiLevelType w:val="singleLevel"/>
    <w:tmpl w:val="0902D07C"/>
    <w:lvl w:ilvl="0">
      <w:start w:val="1"/>
      <w:numFmt w:val="decimal"/>
      <w:pStyle w:val="Paranum"/>
      <w:lvlText w:val="%1."/>
      <w:lvlJc w:val="left"/>
      <w:pPr>
        <w:tabs>
          <w:tab w:val="num" w:pos="6030"/>
        </w:tabs>
        <w:ind w:left="495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3">
    <w:nsid w:val="4A44597F"/>
    <w:multiLevelType w:val="hybridMultilevel"/>
    <w:tmpl w:val="3C90E9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DC674FF"/>
    <w:multiLevelType w:val="hybridMultilevel"/>
    <w:tmpl w:val="1E8E9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0E225D9"/>
    <w:multiLevelType w:val="hybridMultilevel"/>
    <w:tmpl w:val="6F56B5B2"/>
    <w:lvl w:ilvl="0" w:tplc="50FAEECC">
      <w:start w:val="1"/>
      <w:numFmt w:val="bullet"/>
      <w:lvlText w:val=""/>
      <w:lvlJc w:val="left"/>
      <w:pPr>
        <w:tabs>
          <w:tab w:val="num" w:pos="720"/>
        </w:tabs>
        <w:ind w:left="720" w:hanging="360"/>
      </w:pPr>
      <w:rPr>
        <w:rFonts w:ascii="Wingdings" w:hAnsi="Wingdings" w:hint="default"/>
      </w:rPr>
    </w:lvl>
    <w:lvl w:ilvl="1" w:tplc="A04045D2">
      <w:start w:val="1"/>
      <w:numFmt w:val="bullet"/>
      <w:lvlText w:val="o"/>
      <w:lvlJc w:val="left"/>
      <w:pPr>
        <w:tabs>
          <w:tab w:val="num" w:pos="720"/>
        </w:tabs>
        <w:ind w:left="720" w:hanging="360"/>
      </w:pPr>
      <w:rPr>
        <w:rFonts w:ascii="Courier New" w:hAnsi="Courier New" w:cs="Arial" w:hint="default"/>
      </w:rPr>
    </w:lvl>
    <w:lvl w:ilvl="2" w:tplc="1DFC9ABA">
      <w:start w:val="1"/>
      <w:numFmt w:val="bullet"/>
      <w:lvlText w:val=""/>
      <w:lvlJc w:val="left"/>
      <w:pPr>
        <w:tabs>
          <w:tab w:val="num" w:pos="1440"/>
        </w:tabs>
        <w:ind w:left="1440" w:hanging="360"/>
      </w:pPr>
      <w:rPr>
        <w:rFonts w:ascii="Wingdings" w:hAnsi="Wingdings" w:hint="default"/>
      </w:rPr>
    </w:lvl>
    <w:lvl w:ilvl="3" w:tplc="6ED8B2CA" w:tentative="1">
      <w:start w:val="1"/>
      <w:numFmt w:val="bullet"/>
      <w:lvlText w:val=""/>
      <w:lvlJc w:val="left"/>
      <w:pPr>
        <w:tabs>
          <w:tab w:val="num" w:pos="2160"/>
        </w:tabs>
        <w:ind w:left="2160" w:hanging="360"/>
      </w:pPr>
      <w:rPr>
        <w:rFonts w:ascii="Symbol" w:hAnsi="Symbol" w:hint="default"/>
      </w:rPr>
    </w:lvl>
    <w:lvl w:ilvl="4" w:tplc="9F60A49E" w:tentative="1">
      <w:start w:val="1"/>
      <w:numFmt w:val="bullet"/>
      <w:lvlText w:val="o"/>
      <w:lvlJc w:val="left"/>
      <w:pPr>
        <w:tabs>
          <w:tab w:val="num" w:pos="2880"/>
        </w:tabs>
        <w:ind w:left="2880" w:hanging="360"/>
      </w:pPr>
      <w:rPr>
        <w:rFonts w:ascii="Courier New" w:hAnsi="Courier New" w:cs="Arial" w:hint="default"/>
      </w:rPr>
    </w:lvl>
    <w:lvl w:ilvl="5" w:tplc="CDC823D6" w:tentative="1">
      <w:start w:val="1"/>
      <w:numFmt w:val="bullet"/>
      <w:lvlText w:val=""/>
      <w:lvlJc w:val="left"/>
      <w:pPr>
        <w:tabs>
          <w:tab w:val="num" w:pos="3600"/>
        </w:tabs>
        <w:ind w:left="3600" w:hanging="360"/>
      </w:pPr>
      <w:rPr>
        <w:rFonts w:ascii="Wingdings" w:hAnsi="Wingdings" w:hint="default"/>
      </w:rPr>
    </w:lvl>
    <w:lvl w:ilvl="6" w:tplc="3C8C4728" w:tentative="1">
      <w:start w:val="1"/>
      <w:numFmt w:val="bullet"/>
      <w:lvlText w:val=""/>
      <w:lvlJc w:val="left"/>
      <w:pPr>
        <w:tabs>
          <w:tab w:val="num" w:pos="4320"/>
        </w:tabs>
        <w:ind w:left="4320" w:hanging="360"/>
      </w:pPr>
      <w:rPr>
        <w:rFonts w:ascii="Symbol" w:hAnsi="Symbol" w:hint="default"/>
      </w:rPr>
    </w:lvl>
    <w:lvl w:ilvl="7" w:tplc="32181B5A" w:tentative="1">
      <w:start w:val="1"/>
      <w:numFmt w:val="bullet"/>
      <w:lvlText w:val="o"/>
      <w:lvlJc w:val="left"/>
      <w:pPr>
        <w:tabs>
          <w:tab w:val="num" w:pos="5040"/>
        </w:tabs>
        <w:ind w:left="5040" w:hanging="360"/>
      </w:pPr>
      <w:rPr>
        <w:rFonts w:ascii="Courier New" w:hAnsi="Courier New" w:cs="Arial" w:hint="default"/>
      </w:rPr>
    </w:lvl>
    <w:lvl w:ilvl="8" w:tplc="CF104018" w:tentative="1">
      <w:start w:val="1"/>
      <w:numFmt w:val="bullet"/>
      <w:lvlText w:val=""/>
      <w:lvlJc w:val="left"/>
      <w:pPr>
        <w:tabs>
          <w:tab w:val="num" w:pos="5760"/>
        </w:tabs>
        <w:ind w:left="5760" w:hanging="360"/>
      </w:pPr>
      <w:rPr>
        <w:rFonts w:ascii="Wingdings" w:hAnsi="Wingdings" w:hint="default"/>
      </w:rPr>
    </w:lvl>
  </w:abstractNum>
  <w:abstractNum w:abstractNumId="1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2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3">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F72A30"/>
    <w:multiLevelType w:val="hybridMultilevel"/>
    <w:tmpl w:val="5E08B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DF4B5D"/>
    <w:multiLevelType w:val="hybridMultilevel"/>
    <w:tmpl w:val="A5CAE232"/>
    <w:lvl w:ilvl="0" w:tplc="037AC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91286"/>
    <w:multiLevelType w:val="hybridMultilevel"/>
    <w:tmpl w:val="A072DFF6"/>
    <w:lvl w:ilvl="0" w:tplc="440AB89E">
      <w:start w:val="1"/>
      <w:numFmt w:val="bullet"/>
      <w:lvlText w:val=""/>
      <w:lvlJc w:val="left"/>
      <w:pPr>
        <w:tabs>
          <w:tab w:val="num" w:pos="720"/>
        </w:tabs>
        <w:ind w:left="720" w:hanging="360"/>
      </w:pPr>
      <w:rPr>
        <w:rFonts w:ascii="Wingdings" w:hAnsi="Wingdings" w:hint="default"/>
      </w:rPr>
    </w:lvl>
    <w:lvl w:ilvl="1" w:tplc="F8EE6A30" w:tentative="1">
      <w:start w:val="1"/>
      <w:numFmt w:val="bullet"/>
      <w:lvlText w:val="o"/>
      <w:lvlJc w:val="left"/>
      <w:pPr>
        <w:tabs>
          <w:tab w:val="num" w:pos="1440"/>
        </w:tabs>
        <w:ind w:left="1440" w:hanging="360"/>
      </w:pPr>
      <w:rPr>
        <w:rFonts w:ascii="Courier New" w:hAnsi="Courier New" w:cs="Arial" w:hint="default"/>
      </w:rPr>
    </w:lvl>
    <w:lvl w:ilvl="2" w:tplc="4DB21DA8" w:tentative="1">
      <w:start w:val="1"/>
      <w:numFmt w:val="bullet"/>
      <w:lvlText w:val=""/>
      <w:lvlJc w:val="left"/>
      <w:pPr>
        <w:tabs>
          <w:tab w:val="num" w:pos="2160"/>
        </w:tabs>
        <w:ind w:left="2160" w:hanging="360"/>
      </w:pPr>
      <w:rPr>
        <w:rFonts w:ascii="Wingdings" w:hAnsi="Wingdings" w:hint="default"/>
      </w:rPr>
    </w:lvl>
    <w:lvl w:ilvl="3" w:tplc="08920342" w:tentative="1">
      <w:start w:val="1"/>
      <w:numFmt w:val="bullet"/>
      <w:lvlText w:val=""/>
      <w:lvlJc w:val="left"/>
      <w:pPr>
        <w:tabs>
          <w:tab w:val="num" w:pos="2880"/>
        </w:tabs>
        <w:ind w:left="2880" w:hanging="360"/>
      </w:pPr>
      <w:rPr>
        <w:rFonts w:ascii="Symbol" w:hAnsi="Symbol" w:hint="default"/>
      </w:rPr>
    </w:lvl>
    <w:lvl w:ilvl="4" w:tplc="3C6095A0" w:tentative="1">
      <w:start w:val="1"/>
      <w:numFmt w:val="bullet"/>
      <w:lvlText w:val="o"/>
      <w:lvlJc w:val="left"/>
      <w:pPr>
        <w:tabs>
          <w:tab w:val="num" w:pos="3600"/>
        </w:tabs>
        <w:ind w:left="3600" w:hanging="360"/>
      </w:pPr>
      <w:rPr>
        <w:rFonts w:ascii="Courier New" w:hAnsi="Courier New" w:cs="Arial" w:hint="default"/>
      </w:rPr>
    </w:lvl>
    <w:lvl w:ilvl="5" w:tplc="892AA65E" w:tentative="1">
      <w:start w:val="1"/>
      <w:numFmt w:val="bullet"/>
      <w:lvlText w:val=""/>
      <w:lvlJc w:val="left"/>
      <w:pPr>
        <w:tabs>
          <w:tab w:val="num" w:pos="4320"/>
        </w:tabs>
        <w:ind w:left="4320" w:hanging="360"/>
      </w:pPr>
      <w:rPr>
        <w:rFonts w:ascii="Wingdings" w:hAnsi="Wingdings" w:hint="default"/>
      </w:rPr>
    </w:lvl>
    <w:lvl w:ilvl="6" w:tplc="04D488BA" w:tentative="1">
      <w:start w:val="1"/>
      <w:numFmt w:val="bullet"/>
      <w:lvlText w:val=""/>
      <w:lvlJc w:val="left"/>
      <w:pPr>
        <w:tabs>
          <w:tab w:val="num" w:pos="5040"/>
        </w:tabs>
        <w:ind w:left="5040" w:hanging="360"/>
      </w:pPr>
      <w:rPr>
        <w:rFonts w:ascii="Symbol" w:hAnsi="Symbol" w:hint="default"/>
      </w:rPr>
    </w:lvl>
    <w:lvl w:ilvl="7" w:tplc="CB0AF5FA" w:tentative="1">
      <w:start w:val="1"/>
      <w:numFmt w:val="bullet"/>
      <w:lvlText w:val="o"/>
      <w:lvlJc w:val="left"/>
      <w:pPr>
        <w:tabs>
          <w:tab w:val="num" w:pos="5760"/>
        </w:tabs>
        <w:ind w:left="5760" w:hanging="360"/>
      </w:pPr>
      <w:rPr>
        <w:rFonts w:ascii="Courier New" w:hAnsi="Courier New" w:cs="Arial" w:hint="default"/>
      </w:rPr>
    </w:lvl>
    <w:lvl w:ilvl="8" w:tplc="FBAEFC7E" w:tentative="1">
      <w:start w:val="1"/>
      <w:numFmt w:val="bullet"/>
      <w:lvlText w:val=""/>
      <w:lvlJc w:val="left"/>
      <w:pPr>
        <w:tabs>
          <w:tab w:val="num" w:pos="6480"/>
        </w:tabs>
        <w:ind w:left="6480" w:hanging="360"/>
      </w:pPr>
      <w:rPr>
        <w:rFonts w:ascii="Wingdings" w:hAnsi="Wingdings" w:hint="default"/>
      </w:rPr>
    </w:lvl>
  </w:abstractNum>
  <w:abstractNum w:abstractNumId="27">
    <w:nsid w:val="7F0406EE"/>
    <w:multiLevelType w:val="hybridMultilevel"/>
    <w:tmpl w:val="749E4CE6"/>
    <w:lvl w:ilvl="0" w:tplc="2BB0582A">
      <w:start w:val="1"/>
      <w:numFmt w:val="bullet"/>
      <w:lvlText w:val=""/>
      <w:lvlJc w:val="left"/>
      <w:pPr>
        <w:tabs>
          <w:tab w:val="num" w:pos="1440"/>
        </w:tabs>
        <w:ind w:left="1440" w:hanging="360"/>
      </w:pPr>
      <w:rPr>
        <w:rFonts w:ascii="Wingdings" w:hAnsi="Wingdings" w:hint="default"/>
      </w:rPr>
    </w:lvl>
    <w:lvl w:ilvl="1" w:tplc="A18AA50C">
      <w:start w:val="1"/>
      <w:numFmt w:val="decimal"/>
      <w:lvlText w:val="(%2)"/>
      <w:lvlJc w:val="left"/>
      <w:pPr>
        <w:tabs>
          <w:tab w:val="num" w:pos="2160"/>
        </w:tabs>
        <w:ind w:left="2160" w:hanging="360"/>
      </w:pPr>
      <w:rPr>
        <w:rFonts w:hint="default"/>
      </w:rPr>
    </w:lvl>
    <w:lvl w:ilvl="2" w:tplc="4D181140">
      <w:start w:val="1"/>
      <w:numFmt w:val="lowerRoman"/>
      <w:lvlText w:val="%3."/>
      <w:lvlJc w:val="right"/>
      <w:pPr>
        <w:tabs>
          <w:tab w:val="num" w:pos="2880"/>
        </w:tabs>
        <w:ind w:left="2880" w:hanging="180"/>
      </w:pPr>
    </w:lvl>
    <w:lvl w:ilvl="3" w:tplc="0CE621DE">
      <w:numFmt w:val="bullet"/>
      <w:lvlText w:val="-"/>
      <w:lvlJc w:val="left"/>
      <w:pPr>
        <w:tabs>
          <w:tab w:val="num" w:pos="1440"/>
        </w:tabs>
        <w:ind w:left="1440" w:hanging="360"/>
      </w:pPr>
      <w:rPr>
        <w:rFonts w:ascii="Times New Roman" w:eastAsia="Times New Roman" w:hAnsi="Times New Roman" w:cs="Times New Roman" w:hint="default"/>
      </w:rPr>
    </w:lvl>
    <w:lvl w:ilvl="4" w:tplc="BF1C49B4">
      <w:start w:val="1"/>
      <w:numFmt w:val="lowerLetter"/>
      <w:lvlText w:val="%5."/>
      <w:lvlJc w:val="left"/>
      <w:pPr>
        <w:tabs>
          <w:tab w:val="num" w:pos="4320"/>
        </w:tabs>
        <w:ind w:left="4320" w:hanging="360"/>
      </w:pPr>
    </w:lvl>
    <w:lvl w:ilvl="5" w:tplc="E68C0832" w:tentative="1">
      <w:start w:val="1"/>
      <w:numFmt w:val="lowerRoman"/>
      <w:lvlText w:val="%6."/>
      <w:lvlJc w:val="right"/>
      <w:pPr>
        <w:tabs>
          <w:tab w:val="num" w:pos="5040"/>
        </w:tabs>
        <w:ind w:left="5040" w:hanging="180"/>
      </w:pPr>
    </w:lvl>
    <w:lvl w:ilvl="6" w:tplc="BA0E516A" w:tentative="1">
      <w:start w:val="1"/>
      <w:numFmt w:val="decimal"/>
      <w:lvlText w:val="%7."/>
      <w:lvlJc w:val="left"/>
      <w:pPr>
        <w:tabs>
          <w:tab w:val="num" w:pos="5760"/>
        </w:tabs>
        <w:ind w:left="5760" w:hanging="360"/>
      </w:pPr>
    </w:lvl>
    <w:lvl w:ilvl="7" w:tplc="A1D86C16" w:tentative="1">
      <w:start w:val="1"/>
      <w:numFmt w:val="lowerLetter"/>
      <w:lvlText w:val="%8."/>
      <w:lvlJc w:val="left"/>
      <w:pPr>
        <w:tabs>
          <w:tab w:val="num" w:pos="6480"/>
        </w:tabs>
        <w:ind w:left="6480" w:hanging="360"/>
      </w:pPr>
    </w:lvl>
    <w:lvl w:ilvl="8" w:tplc="10EA29C0" w:tentative="1">
      <w:start w:val="1"/>
      <w:numFmt w:val="lowerRoman"/>
      <w:lvlText w:val="%9."/>
      <w:lvlJc w:val="right"/>
      <w:pPr>
        <w:tabs>
          <w:tab w:val="num" w:pos="7200"/>
        </w:tabs>
        <w:ind w:left="7200" w:hanging="180"/>
      </w:pPr>
    </w:lvl>
  </w:abstractNum>
  <w:num w:numId="1">
    <w:abstractNumId w:val="19"/>
  </w:num>
  <w:num w:numId="2">
    <w:abstractNumId w:val="18"/>
  </w:num>
  <w:num w:numId="3">
    <w:abstractNumId w:val="20"/>
  </w:num>
  <w:num w:numId="4">
    <w:abstractNumId w:val="1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17"/>
  </w:num>
  <w:num w:numId="12">
    <w:abstractNumId w:val="11"/>
  </w:num>
  <w:num w:numId="13">
    <w:abstractNumId w:val="23"/>
  </w:num>
  <w:num w:numId="14">
    <w:abstractNumId w:val="12"/>
  </w:num>
  <w:num w:numId="15">
    <w:abstractNumId w:val="16"/>
  </w:num>
  <w:num w:numId="16">
    <w:abstractNumId w:val="2"/>
  </w:num>
  <w:num w:numId="17">
    <w:abstractNumId w:val="27"/>
  </w:num>
  <w:num w:numId="18">
    <w:abstractNumId w:val="26"/>
  </w:num>
  <w:num w:numId="19">
    <w:abstractNumId w:val="21"/>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5"/>
  </w:num>
  <w:num w:numId="24">
    <w:abstractNumId w:val="24"/>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7"/>
  </w:num>
  <w:num w:numId="28">
    <w:abstractNumId w:val="4"/>
  </w:num>
  <w:num w:numId="29">
    <w:abstractNumId w:val="14"/>
  </w:num>
  <w:num w:numId="30">
    <w:abstractNumId w:val="6"/>
  </w:num>
  <w:num w:numId="31">
    <w:abstractNumId w:val="22"/>
  </w:num>
  <w:num w:numId="32">
    <w:abstractNumId w:val="9"/>
  </w:num>
  <w:num w:numId="33">
    <w:abstractNumId w:val="15"/>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0F"/>
    <w:rsid w:val="00000EEC"/>
    <w:rsid w:val="00002123"/>
    <w:rsid w:val="0000320F"/>
    <w:rsid w:val="00003E9E"/>
    <w:rsid w:val="00005590"/>
    <w:rsid w:val="00005E44"/>
    <w:rsid w:val="00007A1D"/>
    <w:rsid w:val="000102D6"/>
    <w:rsid w:val="00011078"/>
    <w:rsid w:val="00012213"/>
    <w:rsid w:val="00013333"/>
    <w:rsid w:val="000139A9"/>
    <w:rsid w:val="000147B2"/>
    <w:rsid w:val="00016BCE"/>
    <w:rsid w:val="000215DD"/>
    <w:rsid w:val="00037AB3"/>
    <w:rsid w:val="000408CA"/>
    <w:rsid w:val="00043031"/>
    <w:rsid w:val="00043239"/>
    <w:rsid w:val="0004582C"/>
    <w:rsid w:val="000511ED"/>
    <w:rsid w:val="000548CF"/>
    <w:rsid w:val="000566A1"/>
    <w:rsid w:val="00061856"/>
    <w:rsid w:val="00070C41"/>
    <w:rsid w:val="00072ED7"/>
    <w:rsid w:val="00074A3E"/>
    <w:rsid w:val="0008081B"/>
    <w:rsid w:val="00093BFB"/>
    <w:rsid w:val="0009420A"/>
    <w:rsid w:val="000948EA"/>
    <w:rsid w:val="000A19BD"/>
    <w:rsid w:val="000A5F16"/>
    <w:rsid w:val="000A7CAF"/>
    <w:rsid w:val="000B07AB"/>
    <w:rsid w:val="000B2F3C"/>
    <w:rsid w:val="000B30C0"/>
    <w:rsid w:val="000B4E24"/>
    <w:rsid w:val="000C22D5"/>
    <w:rsid w:val="000C28F6"/>
    <w:rsid w:val="000C34E2"/>
    <w:rsid w:val="000C5318"/>
    <w:rsid w:val="000C5449"/>
    <w:rsid w:val="000C62C0"/>
    <w:rsid w:val="000D44A1"/>
    <w:rsid w:val="000D5F08"/>
    <w:rsid w:val="000D71F6"/>
    <w:rsid w:val="000D74E1"/>
    <w:rsid w:val="000E040C"/>
    <w:rsid w:val="000E4842"/>
    <w:rsid w:val="000E7418"/>
    <w:rsid w:val="000E7B1A"/>
    <w:rsid w:val="000E7F09"/>
    <w:rsid w:val="000F1C56"/>
    <w:rsid w:val="000F1EBF"/>
    <w:rsid w:val="000F3025"/>
    <w:rsid w:val="001019E2"/>
    <w:rsid w:val="00102045"/>
    <w:rsid w:val="001026BB"/>
    <w:rsid w:val="001035A5"/>
    <w:rsid w:val="001079BF"/>
    <w:rsid w:val="00113D2D"/>
    <w:rsid w:val="0011729E"/>
    <w:rsid w:val="00123793"/>
    <w:rsid w:val="00124200"/>
    <w:rsid w:val="00124383"/>
    <w:rsid w:val="00125EF0"/>
    <w:rsid w:val="001346D2"/>
    <w:rsid w:val="001371BE"/>
    <w:rsid w:val="0014119C"/>
    <w:rsid w:val="00141464"/>
    <w:rsid w:val="0015221B"/>
    <w:rsid w:val="00153F20"/>
    <w:rsid w:val="00163F3E"/>
    <w:rsid w:val="00164A8F"/>
    <w:rsid w:val="00164DBD"/>
    <w:rsid w:val="00166420"/>
    <w:rsid w:val="00167A3C"/>
    <w:rsid w:val="00171A1C"/>
    <w:rsid w:val="00171A64"/>
    <w:rsid w:val="00175914"/>
    <w:rsid w:val="00180781"/>
    <w:rsid w:val="00181E6D"/>
    <w:rsid w:val="001822A8"/>
    <w:rsid w:val="001829C6"/>
    <w:rsid w:val="00182C2A"/>
    <w:rsid w:val="0018633C"/>
    <w:rsid w:val="00190F53"/>
    <w:rsid w:val="00190F59"/>
    <w:rsid w:val="001926CB"/>
    <w:rsid w:val="001969CC"/>
    <w:rsid w:val="001A3F18"/>
    <w:rsid w:val="001A58BE"/>
    <w:rsid w:val="001A71BF"/>
    <w:rsid w:val="001B169B"/>
    <w:rsid w:val="001B2CFB"/>
    <w:rsid w:val="001B4A89"/>
    <w:rsid w:val="001B50D1"/>
    <w:rsid w:val="001C13D2"/>
    <w:rsid w:val="001C1B3A"/>
    <w:rsid w:val="001C411E"/>
    <w:rsid w:val="001C58D0"/>
    <w:rsid w:val="001C6ABE"/>
    <w:rsid w:val="001C7053"/>
    <w:rsid w:val="001C764F"/>
    <w:rsid w:val="001C7CD0"/>
    <w:rsid w:val="001D04D2"/>
    <w:rsid w:val="001D4B75"/>
    <w:rsid w:val="001D5B96"/>
    <w:rsid w:val="001D7CF4"/>
    <w:rsid w:val="001E0D2B"/>
    <w:rsid w:val="001E1B65"/>
    <w:rsid w:val="001E206A"/>
    <w:rsid w:val="001E2153"/>
    <w:rsid w:val="001E2E02"/>
    <w:rsid w:val="001E648C"/>
    <w:rsid w:val="001E6513"/>
    <w:rsid w:val="001F0209"/>
    <w:rsid w:val="001F1D64"/>
    <w:rsid w:val="001F4B12"/>
    <w:rsid w:val="001F7917"/>
    <w:rsid w:val="0020130C"/>
    <w:rsid w:val="0021255E"/>
    <w:rsid w:val="002126E8"/>
    <w:rsid w:val="00213A9F"/>
    <w:rsid w:val="00214925"/>
    <w:rsid w:val="0021628B"/>
    <w:rsid w:val="00216459"/>
    <w:rsid w:val="00217817"/>
    <w:rsid w:val="00221298"/>
    <w:rsid w:val="0022381A"/>
    <w:rsid w:val="002243D2"/>
    <w:rsid w:val="00231A2E"/>
    <w:rsid w:val="0023390E"/>
    <w:rsid w:val="0023515C"/>
    <w:rsid w:val="00236DCC"/>
    <w:rsid w:val="00240925"/>
    <w:rsid w:val="00241C2A"/>
    <w:rsid w:val="00251129"/>
    <w:rsid w:val="002516E2"/>
    <w:rsid w:val="0025274A"/>
    <w:rsid w:val="00252D8A"/>
    <w:rsid w:val="00252E34"/>
    <w:rsid w:val="00253F7D"/>
    <w:rsid w:val="00257C5C"/>
    <w:rsid w:val="00260F21"/>
    <w:rsid w:val="002613F4"/>
    <w:rsid w:val="00261C50"/>
    <w:rsid w:val="0026235A"/>
    <w:rsid w:val="0026406D"/>
    <w:rsid w:val="00265BCA"/>
    <w:rsid w:val="002667B1"/>
    <w:rsid w:val="00267698"/>
    <w:rsid w:val="00270CAC"/>
    <w:rsid w:val="00271B44"/>
    <w:rsid w:val="00274C9E"/>
    <w:rsid w:val="00275944"/>
    <w:rsid w:val="00284411"/>
    <w:rsid w:val="00284AB1"/>
    <w:rsid w:val="00291EF7"/>
    <w:rsid w:val="002A07E8"/>
    <w:rsid w:val="002A4082"/>
    <w:rsid w:val="002A45B8"/>
    <w:rsid w:val="002A6D08"/>
    <w:rsid w:val="002A7724"/>
    <w:rsid w:val="002B2919"/>
    <w:rsid w:val="002B3BE2"/>
    <w:rsid w:val="002C189C"/>
    <w:rsid w:val="002C5B01"/>
    <w:rsid w:val="002D1918"/>
    <w:rsid w:val="002D79A9"/>
    <w:rsid w:val="002E04B7"/>
    <w:rsid w:val="002E08FF"/>
    <w:rsid w:val="002E2961"/>
    <w:rsid w:val="002E3CCB"/>
    <w:rsid w:val="002F1AC6"/>
    <w:rsid w:val="002F39D6"/>
    <w:rsid w:val="002F593C"/>
    <w:rsid w:val="002F5A23"/>
    <w:rsid w:val="002F632A"/>
    <w:rsid w:val="003001D0"/>
    <w:rsid w:val="00301AA9"/>
    <w:rsid w:val="00302951"/>
    <w:rsid w:val="00306A5D"/>
    <w:rsid w:val="00310F1C"/>
    <w:rsid w:val="00312C0A"/>
    <w:rsid w:val="00313B14"/>
    <w:rsid w:val="00314314"/>
    <w:rsid w:val="00315338"/>
    <w:rsid w:val="0031614B"/>
    <w:rsid w:val="00316A0F"/>
    <w:rsid w:val="00317433"/>
    <w:rsid w:val="00327133"/>
    <w:rsid w:val="00327688"/>
    <w:rsid w:val="00332FC4"/>
    <w:rsid w:val="003374A0"/>
    <w:rsid w:val="003411F0"/>
    <w:rsid w:val="003413A5"/>
    <w:rsid w:val="00341854"/>
    <w:rsid w:val="003423A9"/>
    <w:rsid w:val="003430CC"/>
    <w:rsid w:val="00344362"/>
    <w:rsid w:val="003447F6"/>
    <w:rsid w:val="003513AB"/>
    <w:rsid w:val="003555FF"/>
    <w:rsid w:val="00355A04"/>
    <w:rsid w:val="00357D1F"/>
    <w:rsid w:val="00360039"/>
    <w:rsid w:val="0036090F"/>
    <w:rsid w:val="003609EE"/>
    <w:rsid w:val="00360A1F"/>
    <w:rsid w:val="0036526C"/>
    <w:rsid w:val="00367E7C"/>
    <w:rsid w:val="003754A4"/>
    <w:rsid w:val="00375B15"/>
    <w:rsid w:val="00377E9E"/>
    <w:rsid w:val="00383500"/>
    <w:rsid w:val="00392CCF"/>
    <w:rsid w:val="003A0F7E"/>
    <w:rsid w:val="003A12BF"/>
    <w:rsid w:val="003A2B74"/>
    <w:rsid w:val="003A3ABF"/>
    <w:rsid w:val="003A5CCE"/>
    <w:rsid w:val="003B674F"/>
    <w:rsid w:val="003B708E"/>
    <w:rsid w:val="003B7FD7"/>
    <w:rsid w:val="003C4AFE"/>
    <w:rsid w:val="003C5725"/>
    <w:rsid w:val="003C6D63"/>
    <w:rsid w:val="003D2DBC"/>
    <w:rsid w:val="003D30D5"/>
    <w:rsid w:val="003D5244"/>
    <w:rsid w:val="003D5376"/>
    <w:rsid w:val="003E1DBF"/>
    <w:rsid w:val="003E6BC0"/>
    <w:rsid w:val="003E748B"/>
    <w:rsid w:val="00401781"/>
    <w:rsid w:val="004037D7"/>
    <w:rsid w:val="00404B56"/>
    <w:rsid w:val="00407157"/>
    <w:rsid w:val="004103A0"/>
    <w:rsid w:val="00410DBC"/>
    <w:rsid w:val="00412981"/>
    <w:rsid w:val="00420F88"/>
    <w:rsid w:val="004224D8"/>
    <w:rsid w:val="00425574"/>
    <w:rsid w:val="0042737F"/>
    <w:rsid w:val="00432590"/>
    <w:rsid w:val="004327A3"/>
    <w:rsid w:val="00434605"/>
    <w:rsid w:val="00435366"/>
    <w:rsid w:val="004462E9"/>
    <w:rsid w:val="004473CB"/>
    <w:rsid w:val="00453018"/>
    <w:rsid w:val="00454FF7"/>
    <w:rsid w:val="004552BB"/>
    <w:rsid w:val="00460E25"/>
    <w:rsid w:val="0046463B"/>
    <w:rsid w:val="00464B72"/>
    <w:rsid w:val="00466316"/>
    <w:rsid w:val="004706C3"/>
    <w:rsid w:val="00476FC7"/>
    <w:rsid w:val="004775F6"/>
    <w:rsid w:val="00477EF6"/>
    <w:rsid w:val="004814DE"/>
    <w:rsid w:val="004834EB"/>
    <w:rsid w:val="00485DE9"/>
    <w:rsid w:val="0049007F"/>
    <w:rsid w:val="004910E0"/>
    <w:rsid w:val="00492B4D"/>
    <w:rsid w:val="004A0513"/>
    <w:rsid w:val="004A11AA"/>
    <w:rsid w:val="004A1E3F"/>
    <w:rsid w:val="004A5843"/>
    <w:rsid w:val="004A5B82"/>
    <w:rsid w:val="004A7B12"/>
    <w:rsid w:val="004B6A10"/>
    <w:rsid w:val="004C1E38"/>
    <w:rsid w:val="004C42AC"/>
    <w:rsid w:val="004C4FF7"/>
    <w:rsid w:val="004C6A2D"/>
    <w:rsid w:val="004C7B92"/>
    <w:rsid w:val="004D1CC1"/>
    <w:rsid w:val="004D23D7"/>
    <w:rsid w:val="004D38DC"/>
    <w:rsid w:val="004D430F"/>
    <w:rsid w:val="004D546E"/>
    <w:rsid w:val="004D66AE"/>
    <w:rsid w:val="004E27EE"/>
    <w:rsid w:val="004E2DB5"/>
    <w:rsid w:val="004E45E9"/>
    <w:rsid w:val="004F3C4B"/>
    <w:rsid w:val="004F52C0"/>
    <w:rsid w:val="004F60B6"/>
    <w:rsid w:val="004F6A1D"/>
    <w:rsid w:val="00501434"/>
    <w:rsid w:val="005022D5"/>
    <w:rsid w:val="005058DF"/>
    <w:rsid w:val="00510BC8"/>
    <w:rsid w:val="005130D4"/>
    <w:rsid w:val="00514046"/>
    <w:rsid w:val="00514EC1"/>
    <w:rsid w:val="005154DE"/>
    <w:rsid w:val="00526B4A"/>
    <w:rsid w:val="00530FCF"/>
    <w:rsid w:val="0053155C"/>
    <w:rsid w:val="00532DC9"/>
    <w:rsid w:val="005358D1"/>
    <w:rsid w:val="00541924"/>
    <w:rsid w:val="00543E41"/>
    <w:rsid w:val="00546756"/>
    <w:rsid w:val="0054706E"/>
    <w:rsid w:val="00560D12"/>
    <w:rsid w:val="00561A37"/>
    <w:rsid w:val="00563215"/>
    <w:rsid w:val="00563ED7"/>
    <w:rsid w:val="0057106C"/>
    <w:rsid w:val="0057346C"/>
    <w:rsid w:val="005735BA"/>
    <w:rsid w:val="00576784"/>
    <w:rsid w:val="00580755"/>
    <w:rsid w:val="0058194D"/>
    <w:rsid w:val="0058426A"/>
    <w:rsid w:val="00586316"/>
    <w:rsid w:val="00586395"/>
    <w:rsid w:val="0058693C"/>
    <w:rsid w:val="0059088C"/>
    <w:rsid w:val="00593D20"/>
    <w:rsid w:val="005959A1"/>
    <w:rsid w:val="00597953"/>
    <w:rsid w:val="00597AB2"/>
    <w:rsid w:val="005A1AC0"/>
    <w:rsid w:val="005A1B35"/>
    <w:rsid w:val="005A2A51"/>
    <w:rsid w:val="005A4E65"/>
    <w:rsid w:val="005A524E"/>
    <w:rsid w:val="005A7A9C"/>
    <w:rsid w:val="005B0CE5"/>
    <w:rsid w:val="005B2F12"/>
    <w:rsid w:val="005B5EB4"/>
    <w:rsid w:val="005C16D2"/>
    <w:rsid w:val="005C76D1"/>
    <w:rsid w:val="005C79EA"/>
    <w:rsid w:val="005E134D"/>
    <w:rsid w:val="005E6530"/>
    <w:rsid w:val="005E76AF"/>
    <w:rsid w:val="005F172D"/>
    <w:rsid w:val="005F1C04"/>
    <w:rsid w:val="005F674A"/>
    <w:rsid w:val="00600E6B"/>
    <w:rsid w:val="00602852"/>
    <w:rsid w:val="0060374A"/>
    <w:rsid w:val="00604E1E"/>
    <w:rsid w:val="00605571"/>
    <w:rsid w:val="00607A0D"/>
    <w:rsid w:val="00607BE1"/>
    <w:rsid w:val="00610FE8"/>
    <w:rsid w:val="00611687"/>
    <w:rsid w:val="006127BE"/>
    <w:rsid w:val="00613BAE"/>
    <w:rsid w:val="00614107"/>
    <w:rsid w:val="00614DBB"/>
    <w:rsid w:val="00616494"/>
    <w:rsid w:val="00617526"/>
    <w:rsid w:val="00621B61"/>
    <w:rsid w:val="006221E1"/>
    <w:rsid w:val="00622A70"/>
    <w:rsid w:val="00625652"/>
    <w:rsid w:val="00627A71"/>
    <w:rsid w:val="0063239B"/>
    <w:rsid w:val="0063471B"/>
    <w:rsid w:val="006358E8"/>
    <w:rsid w:val="006423DD"/>
    <w:rsid w:val="006461E2"/>
    <w:rsid w:val="0065163D"/>
    <w:rsid w:val="0065186D"/>
    <w:rsid w:val="00652794"/>
    <w:rsid w:val="00652A43"/>
    <w:rsid w:val="0065417E"/>
    <w:rsid w:val="00655E4A"/>
    <w:rsid w:val="006578BB"/>
    <w:rsid w:val="00657974"/>
    <w:rsid w:val="0066063D"/>
    <w:rsid w:val="00663248"/>
    <w:rsid w:val="00665B8F"/>
    <w:rsid w:val="006766D6"/>
    <w:rsid w:val="00684D17"/>
    <w:rsid w:val="00685ED0"/>
    <w:rsid w:val="00686D7C"/>
    <w:rsid w:val="0069746B"/>
    <w:rsid w:val="00697EB8"/>
    <w:rsid w:val="006A4665"/>
    <w:rsid w:val="006A5752"/>
    <w:rsid w:val="006B19FD"/>
    <w:rsid w:val="006B2896"/>
    <w:rsid w:val="006B2AB1"/>
    <w:rsid w:val="006B4599"/>
    <w:rsid w:val="006B4F8B"/>
    <w:rsid w:val="006B6C7B"/>
    <w:rsid w:val="006C3868"/>
    <w:rsid w:val="006D01D8"/>
    <w:rsid w:val="006D0CC1"/>
    <w:rsid w:val="006D0F05"/>
    <w:rsid w:val="006D1CF0"/>
    <w:rsid w:val="006D4F5B"/>
    <w:rsid w:val="006D5652"/>
    <w:rsid w:val="006E0FAF"/>
    <w:rsid w:val="006E2BD3"/>
    <w:rsid w:val="006E2F97"/>
    <w:rsid w:val="006E5D14"/>
    <w:rsid w:val="006F0001"/>
    <w:rsid w:val="006F2315"/>
    <w:rsid w:val="006F5A3B"/>
    <w:rsid w:val="007003CB"/>
    <w:rsid w:val="00701CDA"/>
    <w:rsid w:val="00702F67"/>
    <w:rsid w:val="00703D5F"/>
    <w:rsid w:val="0070474F"/>
    <w:rsid w:val="0070476B"/>
    <w:rsid w:val="0070505F"/>
    <w:rsid w:val="00705F25"/>
    <w:rsid w:val="00710FFB"/>
    <w:rsid w:val="007200CA"/>
    <w:rsid w:val="00721BAE"/>
    <w:rsid w:val="007226DC"/>
    <w:rsid w:val="007241AE"/>
    <w:rsid w:val="007246F9"/>
    <w:rsid w:val="00730E9A"/>
    <w:rsid w:val="00734B0E"/>
    <w:rsid w:val="007418E2"/>
    <w:rsid w:val="0074215D"/>
    <w:rsid w:val="00744E3D"/>
    <w:rsid w:val="00745AFD"/>
    <w:rsid w:val="0075709F"/>
    <w:rsid w:val="007658CC"/>
    <w:rsid w:val="00767D16"/>
    <w:rsid w:val="007709AA"/>
    <w:rsid w:val="00780EB0"/>
    <w:rsid w:val="00785754"/>
    <w:rsid w:val="00785A74"/>
    <w:rsid w:val="00787698"/>
    <w:rsid w:val="00791F57"/>
    <w:rsid w:val="00792F0A"/>
    <w:rsid w:val="0079325D"/>
    <w:rsid w:val="00796175"/>
    <w:rsid w:val="00797B58"/>
    <w:rsid w:val="007A3A56"/>
    <w:rsid w:val="007B145F"/>
    <w:rsid w:val="007B2686"/>
    <w:rsid w:val="007C2D0C"/>
    <w:rsid w:val="007D2EB0"/>
    <w:rsid w:val="007D33EF"/>
    <w:rsid w:val="007D37C8"/>
    <w:rsid w:val="007D601E"/>
    <w:rsid w:val="007E07AC"/>
    <w:rsid w:val="007E196D"/>
    <w:rsid w:val="007E345B"/>
    <w:rsid w:val="007E34DF"/>
    <w:rsid w:val="007E4F99"/>
    <w:rsid w:val="007E77E8"/>
    <w:rsid w:val="007E7FA7"/>
    <w:rsid w:val="007F1F8F"/>
    <w:rsid w:val="007F54E5"/>
    <w:rsid w:val="007F7BB6"/>
    <w:rsid w:val="00803FFD"/>
    <w:rsid w:val="0080684F"/>
    <w:rsid w:val="008215ED"/>
    <w:rsid w:val="00822BAE"/>
    <w:rsid w:val="0082711F"/>
    <w:rsid w:val="00827923"/>
    <w:rsid w:val="00832EEB"/>
    <w:rsid w:val="00835322"/>
    <w:rsid w:val="00836534"/>
    <w:rsid w:val="00840930"/>
    <w:rsid w:val="00841621"/>
    <w:rsid w:val="0086040B"/>
    <w:rsid w:val="008626BC"/>
    <w:rsid w:val="00872B0B"/>
    <w:rsid w:val="00884EF7"/>
    <w:rsid w:val="00886D35"/>
    <w:rsid w:val="008913EA"/>
    <w:rsid w:val="00892788"/>
    <w:rsid w:val="00893AA3"/>
    <w:rsid w:val="00893CE8"/>
    <w:rsid w:val="00895D77"/>
    <w:rsid w:val="00897787"/>
    <w:rsid w:val="008B0150"/>
    <w:rsid w:val="008B0F33"/>
    <w:rsid w:val="008B20AC"/>
    <w:rsid w:val="008B4CC7"/>
    <w:rsid w:val="008C0F7A"/>
    <w:rsid w:val="008C0F8C"/>
    <w:rsid w:val="008C7002"/>
    <w:rsid w:val="008D1C27"/>
    <w:rsid w:val="008D4DE9"/>
    <w:rsid w:val="008D4F2D"/>
    <w:rsid w:val="008D4FA2"/>
    <w:rsid w:val="008D6AD2"/>
    <w:rsid w:val="008D6D24"/>
    <w:rsid w:val="008E086B"/>
    <w:rsid w:val="008E1425"/>
    <w:rsid w:val="008E1CD6"/>
    <w:rsid w:val="008E3CEC"/>
    <w:rsid w:val="008E4844"/>
    <w:rsid w:val="008E55D4"/>
    <w:rsid w:val="008F07AA"/>
    <w:rsid w:val="008F22FC"/>
    <w:rsid w:val="00900385"/>
    <w:rsid w:val="00901A62"/>
    <w:rsid w:val="009042D1"/>
    <w:rsid w:val="00910C6C"/>
    <w:rsid w:val="009112BC"/>
    <w:rsid w:val="009114DA"/>
    <w:rsid w:val="00920F1A"/>
    <w:rsid w:val="00923716"/>
    <w:rsid w:val="0092676F"/>
    <w:rsid w:val="00926EB0"/>
    <w:rsid w:val="00930866"/>
    <w:rsid w:val="00930944"/>
    <w:rsid w:val="009321E6"/>
    <w:rsid w:val="00940034"/>
    <w:rsid w:val="009457B7"/>
    <w:rsid w:val="00946698"/>
    <w:rsid w:val="009473C8"/>
    <w:rsid w:val="0095296E"/>
    <w:rsid w:val="00953355"/>
    <w:rsid w:val="0095382E"/>
    <w:rsid w:val="00956D5B"/>
    <w:rsid w:val="00964B69"/>
    <w:rsid w:val="00965A46"/>
    <w:rsid w:val="0096764B"/>
    <w:rsid w:val="009713B3"/>
    <w:rsid w:val="00974FAA"/>
    <w:rsid w:val="00980A17"/>
    <w:rsid w:val="00983259"/>
    <w:rsid w:val="00984011"/>
    <w:rsid w:val="009905AE"/>
    <w:rsid w:val="00990824"/>
    <w:rsid w:val="00992306"/>
    <w:rsid w:val="00996B21"/>
    <w:rsid w:val="00996EBD"/>
    <w:rsid w:val="009A1320"/>
    <w:rsid w:val="009A1E94"/>
    <w:rsid w:val="009A27A2"/>
    <w:rsid w:val="009A3585"/>
    <w:rsid w:val="009A4C43"/>
    <w:rsid w:val="009A5624"/>
    <w:rsid w:val="009A7F71"/>
    <w:rsid w:val="009B2CDA"/>
    <w:rsid w:val="009B3751"/>
    <w:rsid w:val="009B3F1A"/>
    <w:rsid w:val="009C79C4"/>
    <w:rsid w:val="009C7A05"/>
    <w:rsid w:val="009D122F"/>
    <w:rsid w:val="009D7D5C"/>
    <w:rsid w:val="009E4222"/>
    <w:rsid w:val="009E4A56"/>
    <w:rsid w:val="009E50A9"/>
    <w:rsid w:val="009E6304"/>
    <w:rsid w:val="009E6425"/>
    <w:rsid w:val="009E6884"/>
    <w:rsid w:val="009E7745"/>
    <w:rsid w:val="009E7750"/>
    <w:rsid w:val="009F077F"/>
    <w:rsid w:val="009F0E72"/>
    <w:rsid w:val="009F1D40"/>
    <w:rsid w:val="009F2455"/>
    <w:rsid w:val="009F2555"/>
    <w:rsid w:val="009F38EE"/>
    <w:rsid w:val="00A0421A"/>
    <w:rsid w:val="00A05D9F"/>
    <w:rsid w:val="00A061C2"/>
    <w:rsid w:val="00A07E07"/>
    <w:rsid w:val="00A10D4C"/>
    <w:rsid w:val="00A127A8"/>
    <w:rsid w:val="00A12B43"/>
    <w:rsid w:val="00A17D83"/>
    <w:rsid w:val="00A241D4"/>
    <w:rsid w:val="00A25C36"/>
    <w:rsid w:val="00A27B85"/>
    <w:rsid w:val="00A303B3"/>
    <w:rsid w:val="00A30E01"/>
    <w:rsid w:val="00A36304"/>
    <w:rsid w:val="00A46F51"/>
    <w:rsid w:val="00A50012"/>
    <w:rsid w:val="00A50F6C"/>
    <w:rsid w:val="00A5365F"/>
    <w:rsid w:val="00A56937"/>
    <w:rsid w:val="00A570E2"/>
    <w:rsid w:val="00A60685"/>
    <w:rsid w:val="00A60E9E"/>
    <w:rsid w:val="00A66C0F"/>
    <w:rsid w:val="00A70CFB"/>
    <w:rsid w:val="00A71398"/>
    <w:rsid w:val="00A725AB"/>
    <w:rsid w:val="00A74860"/>
    <w:rsid w:val="00A81B85"/>
    <w:rsid w:val="00A836A3"/>
    <w:rsid w:val="00A851FA"/>
    <w:rsid w:val="00A869DF"/>
    <w:rsid w:val="00A86A39"/>
    <w:rsid w:val="00A8794B"/>
    <w:rsid w:val="00A87E2B"/>
    <w:rsid w:val="00A907E0"/>
    <w:rsid w:val="00A91071"/>
    <w:rsid w:val="00A92A60"/>
    <w:rsid w:val="00A93BD0"/>
    <w:rsid w:val="00A976DC"/>
    <w:rsid w:val="00AA067D"/>
    <w:rsid w:val="00AA374B"/>
    <w:rsid w:val="00AA3E73"/>
    <w:rsid w:val="00AA7977"/>
    <w:rsid w:val="00AA7C34"/>
    <w:rsid w:val="00AB1BD6"/>
    <w:rsid w:val="00AB36FC"/>
    <w:rsid w:val="00AB4535"/>
    <w:rsid w:val="00AC2A7F"/>
    <w:rsid w:val="00AC69E3"/>
    <w:rsid w:val="00AD1DF3"/>
    <w:rsid w:val="00AD327E"/>
    <w:rsid w:val="00AD540A"/>
    <w:rsid w:val="00AD647E"/>
    <w:rsid w:val="00AE0390"/>
    <w:rsid w:val="00AF2156"/>
    <w:rsid w:val="00AF30D7"/>
    <w:rsid w:val="00AF4AD0"/>
    <w:rsid w:val="00AF6EA5"/>
    <w:rsid w:val="00AF7A29"/>
    <w:rsid w:val="00B00CD0"/>
    <w:rsid w:val="00B0128C"/>
    <w:rsid w:val="00B02141"/>
    <w:rsid w:val="00B06BE5"/>
    <w:rsid w:val="00B07F8A"/>
    <w:rsid w:val="00B10806"/>
    <w:rsid w:val="00B10C73"/>
    <w:rsid w:val="00B17978"/>
    <w:rsid w:val="00B2093F"/>
    <w:rsid w:val="00B20D27"/>
    <w:rsid w:val="00B22B98"/>
    <w:rsid w:val="00B248DD"/>
    <w:rsid w:val="00B24D8F"/>
    <w:rsid w:val="00B261D1"/>
    <w:rsid w:val="00B30409"/>
    <w:rsid w:val="00B32C86"/>
    <w:rsid w:val="00B405A4"/>
    <w:rsid w:val="00B414AA"/>
    <w:rsid w:val="00B457C1"/>
    <w:rsid w:val="00B458C5"/>
    <w:rsid w:val="00B45B19"/>
    <w:rsid w:val="00B501D7"/>
    <w:rsid w:val="00B51935"/>
    <w:rsid w:val="00B523F8"/>
    <w:rsid w:val="00B53096"/>
    <w:rsid w:val="00B5395D"/>
    <w:rsid w:val="00B5410F"/>
    <w:rsid w:val="00B62AC5"/>
    <w:rsid w:val="00B64732"/>
    <w:rsid w:val="00B64A88"/>
    <w:rsid w:val="00B64A94"/>
    <w:rsid w:val="00B669D3"/>
    <w:rsid w:val="00B67967"/>
    <w:rsid w:val="00B67AD9"/>
    <w:rsid w:val="00B779D1"/>
    <w:rsid w:val="00B80F44"/>
    <w:rsid w:val="00B825C1"/>
    <w:rsid w:val="00B84BA1"/>
    <w:rsid w:val="00B92D97"/>
    <w:rsid w:val="00B960FE"/>
    <w:rsid w:val="00BA0CF7"/>
    <w:rsid w:val="00BA1787"/>
    <w:rsid w:val="00BA1F09"/>
    <w:rsid w:val="00BA6D99"/>
    <w:rsid w:val="00BA7049"/>
    <w:rsid w:val="00BB03AD"/>
    <w:rsid w:val="00BB1304"/>
    <w:rsid w:val="00BB2329"/>
    <w:rsid w:val="00BB3C77"/>
    <w:rsid w:val="00BB4A3D"/>
    <w:rsid w:val="00BB625D"/>
    <w:rsid w:val="00BC1509"/>
    <w:rsid w:val="00BC73BA"/>
    <w:rsid w:val="00BC7B4D"/>
    <w:rsid w:val="00BD20E6"/>
    <w:rsid w:val="00BD3E52"/>
    <w:rsid w:val="00BD68F9"/>
    <w:rsid w:val="00BE0304"/>
    <w:rsid w:val="00BE50A3"/>
    <w:rsid w:val="00BE6CCD"/>
    <w:rsid w:val="00BE7DCE"/>
    <w:rsid w:val="00BF1AB1"/>
    <w:rsid w:val="00BF293D"/>
    <w:rsid w:val="00BF67F9"/>
    <w:rsid w:val="00C01CA8"/>
    <w:rsid w:val="00C0345F"/>
    <w:rsid w:val="00C03781"/>
    <w:rsid w:val="00C03A32"/>
    <w:rsid w:val="00C0420C"/>
    <w:rsid w:val="00C0549B"/>
    <w:rsid w:val="00C075AF"/>
    <w:rsid w:val="00C12004"/>
    <w:rsid w:val="00C12F9A"/>
    <w:rsid w:val="00C16C9B"/>
    <w:rsid w:val="00C20C8B"/>
    <w:rsid w:val="00C22826"/>
    <w:rsid w:val="00C24B0E"/>
    <w:rsid w:val="00C2656D"/>
    <w:rsid w:val="00C308A8"/>
    <w:rsid w:val="00C33C68"/>
    <w:rsid w:val="00C3566C"/>
    <w:rsid w:val="00C36C0B"/>
    <w:rsid w:val="00C37416"/>
    <w:rsid w:val="00C37B3F"/>
    <w:rsid w:val="00C37C36"/>
    <w:rsid w:val="00C40128"/>
    <w:rsid w:val="00C41251"/>
    <w:rsid w:val="00C45AD2"/>
    <w:rsid w:val="00C467C4"/>
    <w:rsid w:val="00C511A2"/>
    <w:rsid w:val="00C55E27"/>
    <w:rsid w:val="00C560DB"/>
    <w:rsid w:val="00C61EC0"/>
    <w:rsid w:val="00C62821"/>
    <w:rsid w:val="00C6419A"/>
    <w:rsid w:val="00C648AD"/>
    <w:rsid w:val="00C663B0"/>
    <w:rsid w:val="00C707B4"/>
    <w:rsid w:val="00C761E4"/>
    <w:rsid w:val="00C80C40"/>
    <w:rsid w:val="00C84024"/>
    <w:rsid w:val="00C859E1"/>
    <w:rsid w:val="00C912D1"/>
    <w:rsid w:val="00C95855"/>
    <w:rsid w:val="00C95A17"/>
    <w:rsid w:val="00C97032"/>
    <w:rsid w:val="00CA044F"/>
    <w:rsid w:val="00CA59FB"/>
    <w:rsid w:val="00CA787F"/>
    <w:rsid w:val="00CA7AE1"/>
    <w:rsid w:val="00CC0A6F"/>
    <w:rsid w:val="00CC4B8A"/>
    <w:rsid w:val="00CC4D41"/>
    <w:rsid w:val="00CD0283"/>
    <w:rsid w:val="00CD1B16"/>
    <w:rsid w:val="00CD26FC"/>
    <w:rsid w:val="00CD4F97"/>
    <w:rsid w:val="00CD54A3"/>
    <w:rsid w:val="00CD615B"/>
    <w:rsid w:val="00CD7420"/>
    <w:rsid w:val="00CE10C1"/>
    <w:rsid w:val="00CE16E1"/>
    <w:rsid w:val="00CF0DD7"/>
    <w:rsid w:val="00CF149F"/>
    <w:rsid w:val="00CF25A4"/>
    <w:rsid w:val="00CF3C88"/>
    <w:rsid w:val="00CF439C"/>
    <w:rsid w:val="00CF76AF"/>
    <w:rsid w:val="00D00F6F"/>
    <w:rsid w:val="00D01DA5"/>
    <w:rsid w:val="00D020DF"/>
    <w:rsid w:val="00D110BE"/>
    <w:rsid w:val="00D118B5"/>
    <w:rsid w:val="00D11D00"/>
    <w:rsid w:val="00D1256F"/>
    <w:rsid w:val="00D12CEA"/>
    <w:rsid w:val="00D270C7"/>
    <w:rsid w:val="00D31387"/>
    <w:rsid w:val="00D32AFB"/>
    <w:rsid w:val="00D330A3"/>
    <w:rsid w:val="00D37BB9"/>
    <w:rsid w:val="00D431DC"/>
    <w:rsid w:val="00D44086"/>
    <w:rsid w:val="00D44A9D"/>
    <w:rsid w:val="00D514B5"/>
    <w:rsid w:val="00D540B9"/>
    <w:rsid w:val="00D60E3D"/>
    <w:rsid w:val="00D6256A"/>
    <w:rsid w:val="00D63588"/>
    <w:rsid w:val="00D674EA"/>
    <w:rsid w:val="00D76C0C"/>
    <w:rsid w:val="00D76E7C"/>
    <w:rsid w:val="00D82E20"/>
    <w:rsid w:val="00D906A3"/>
    <w:rsid w:val="00D91D59"/>
    <w:rsid w:val="00D94A03"/>
    <w:rsid w:val="00D95A1C"/>
    <w:rsid w:val="00D97A34"/>
    <w:rsid w:val="00DA378F"/>
    <w:rsid w:val="00DA5B7C"/>
    <w:rsid w:val="00DA5BD6"/>
    <w:rsid w:val="00DA6C84"/>
    <w:rsid w:val="00DB66D8"/>
    <w:rsid w:val="00DB7596"/>
    <w:rsid w:val="00DC173A"/>
    <w:rsid w:val="00DC40BB"/>
    <w:rsid w:val="00DC5670"/>
    <w:rsid w:val="00DC6574"/>
    <w:rsid w:val="00DD31CB"/>
    <w:rsid w:val="00DD7410"/>
    <w:rsid w:val="00DE522D"/>
    <w:rsid w:val="00DE56E5"/>
    <w:rsid w:val="00DF4187"/>
    <w:rsid w:val="00DF4EFB"/>
    <w:rsid w:val="00E06CD6"/>
    <w:rsid w:val="00E111F9"/>
    <w:rsid w:val="00E144E7"/>
    <w:rsid w:val="00E1602A"/>
    <w:rsid w:val="00E21392"/>
    <w:rsid w:val="00E26529"/>
    <w:rsid w:val="00E2779D"/>
    <w:rsid w:val="00E31C25"/>
    <w:rsid w:val="00E33BED"/>
    <w:rsid w:val="00E37F75"/>
    <w:rsid w:val="00E40C52"/>
    <w:rsid w:val="00E42616"/>
    <w:rsid w:val="00E43485"/>
    <w:rsid w:val="00E44078"/>
    <w:rsid w:val="00E45F68"/>
    <w:rsid w:val="00E4779E"/>
    <w:rsid w:val="00E507C5"/>
    <w:rsid w:val="00E5125F"/>
    <w:rsid w:val="00E530F2"/>
    <w:rsid w:val="00E5347D"/>
    <w:rsid w:val="00E5489C"/>
    <w:rsid w:val="00E60335"/>
    <w:rsid w:val="00E61EC6"/>
    <w:rsid w:val="00E632AC"/>
    <w:rsid w:val="00E65024"/>
    <w:rsid w:val="00E65871"/>
    <w:rsid w:val="00E67B58"/>
    <w:rsid w:val="00E7167B"/>
    <w:rsid w:val="00E73B04"/>
    <w:rsid w:val="00E83EE1"/>
    <w:rsid w:val="00E90373"/>
    <w:rsid w:val="00E915B0"/>
    <w:rsid w:val="00E95829"/>
    <w:rsid w:val="00E96330"/>
    <w:rsid w:val="00E96DB1"/>
    <w:rsid w:val="00E97155"/>
    <w:rsid w:val="00EA1657"/>
    <w:rsid w:val="00EA1FAF"/>
    <w:rsid w:val="00EB0828"/>
    <w:rsid w:val="00EB1136"/>
    <w:rsid w:val="00EB21F4"/>
    <w:rsid w:val="00EB5E8A"/>
    <w:rsid w:val="00EB6F35"/>
    <w:rsid w:val="00EC0F39"/>
    <w:rsid w:val="00EC1088"/>
    <w:rsid w:val="00EC4AEE"/>
    <w:rsid w:val="00EC6BF1"/>
    <w:rsid w:val="00EC7E1A"/>
    <w:rsid w:val="00ED10E7"/>
    <w:rsid w:val="00ED1654"/>
    <w:rsid w:val="00ED5EE8"/>
    <w:rsid w:val="00EE0EBC"/>
    <w:rsid w:val="00EE0EE3"/>
    <w:rsid w:val="00EE4EF0"/>
    <w:rsid w:val="00EE5962"/>
    <w:rsid w:val="00EF2146"/>
    <w:rsid w:val="00EF3F8F"/>
    <w:rsid w:val="00EF4F44"/>
    <w:rsid w:val="00EF51E0"/>
    <w:rsid w:val="00EF5F32"/>
    <w:rsid w:val="00EF7B09"/>
    <w:rsid w:val="00F013DE"/>
    <w:rsid w:val="00F0194C"/>
    <w:rsid w:val="00F02CFE"/>
    <w:rsid w:val="00F02DF8"/>
    <w:rsid w:val="00F03264"/>
    <w:rsid w:val="00F053EF"/>
    <w:rsid w:val="00F06B9F"/>
    <w:rsid w:val="00F07A28"/>
    <w:rsid w:val="00F07F00"/>
    <w:rsid w:val="00F10A3E"/>
    <w:rsid w:val="00F1134F"/>
    <w:rsid w:val="00F1317E"/>
    <w:rsid w:val="00F14C90"/>
    <w:rsid w:val="00F15D11"/>
    <w:rsid w:val="00F218C6"/>
    <w:rsid w:val="00F21AEB"/>
    <w:rsid w:val="00F2443B"/>
    <w:rsid w:val="00F27227"/>
    <w:rsid w:val="00F30794"/>
    <w:rsid w:val="00F318FC"/>
    <w:rsid w:val="00F32BD0"/>
    <w:rsid w:val="00F338CA"/>
    <w:rsid w:val="00F3574B"/>
    <w:rsid w:val="00F36716"/>
    <w:rsid w:val="00F36E99"/>
    <w:rsid w:val="00F4185D"/>
    <w:rsid w:val="00F443AB"/>
    <w:rsid w:val="00F4443A"/>
    <w:rsid w:val="00F540D4"/>
    <w:rsid w:val="00F55A62"/>
    <w:rsid w:val="00F63C3A"/>
    <w:rsid w:val="00F644C2"/>
    <w:rsid w:val="00F64944"/>
    <w:rsid w:val="00F66F5E"/>
    <w:rsid w:val="00F673C4"/>
    <w:rsid w:val="00F70BEE"/>
    <w:rsid w:val="00F75E81"/>
    <w:rsid w:val="00F808CC"/>
    <w:rsid w:val="00F80F08"/>
    <w:rsid w:val="00F83627"/>
    <w:rsid w:val="00F83D30"/>
    <w:rsid w:val="00F86E00"/>
    <w:rsid w:val="00F87B4E"/>
    <w:rsid w:val="00F87E2B"/>
    <w:rsid w:val="00F90471"/>
    <w:rsid w:val="00F911DE"/>
    <w:rsid w:val="00F9199E"/>
    <w:rsid w:val="00F957C4"/>
    <w:rsid w:val="00F96476"/>
    <w:rsid w:val="00F979C7"/>
    <w:rsid w:val="00F97BE0"/>
    <w:rsid w:val="00FA0739"/>
    <w:rsid w:val="00FA1820"/>
    <w:rsid w:val="00FA1AC2"/>
    <w:rsid w:val="00FA4C5C"/>
    <w:rsid w:val="00FA5F1C"/>
    <w:rsid w:val="00FA6311"/>
    <w:rsid w:val="00FB00F4"/>
    <w:rsid w:val="00FB0639"/>
    <w:rsid w:val="00FB1082"/>
    <w:rsid w:val="00FB22C7"/>
    <w:rsid w:val="00FB6473"/>
    <w:rsid w:val="00FB6570"/>
    <w:rsid w:val="00FC0CCB"/>
    <w:rsid w:val="00FC15A0"/>
    <w:rsid w:val="00FC1B35"/>
    <w:rsid w:val="00FC539E"/>
    <w:rsid w:val="00FC5F7C"/>
    <w:rsid w:val="00FC60A0"/>
    <w:rsid w:val="00FC60EB"/>
    <w:rsid w:val="00FD7319"/>
    <w:rsid w:val="00FE1A5E"/>
    <w:rsid w:val="00FE489F"/>
    <w:rsid w:val="00FE69C1"/>
    <w:rsid w:val="00FE704D"/>
    <w:rsid w:val="00FF2140"/>
    <w:rsid w:val="00FF36FB"/>
    <w:rsid w:val="00FF642F"/>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488C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F4"/>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qFormat/>
    <w:rsid w:val="002613F4"/>
    <w:pPr>
      <w:keepNext/>
      <w:numPr>
        <w:numId w:val="3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0"/>
    <w:autoRedefine/>
    <w:qFormat/>
    <w:rsid w:val="002613F4"/>
    <w:pPr>
      <w:keepNext/>
      <w:numPr>
        <w:ilvl w:val="1"/>
        <w:numId w:val="32"/>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0"/>
    <w:qFormat/>
    <w:rsid w:val="002613F4"/>
    <w:pPr>
      <w:keepNext/>
      <w:numPr>
        <w:ilvl w:val="2"/>
        <w:numId w:val="3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0"/>
    <w:qFormat/>
    <w:rsid w:val="002613F4"/>
    <w:pPr>
      <w:keepNext/>
      <w:numPr>
        <w:ilvl w:val="3"/>
        <w:numId w:val="32"/>
      </w:numPr>
      <w:tabs>
        <w:tab w:val="left" w:pos="2880"/>
      </w:tabs>
      <w:spacing w:after="120"/>
      <w:outlineLvl w:val="3"/>
    </w:pPr>
    <w:rPr>
      <w:b/>
    </w:rPr>
  </w:style>
  <w:style w:type="paragraph" w:styleId="Heading5">
    <w:name w:val="heading 5"/>
    <w:aliases w:val="Heading 5 Char"/>
    <w:basedOn w:val="Normal"/>
    <w:next w:val="ParaNum0"/>
    <w:qFormat/>
    <w:rsid w:val="002613F4"/>
    <w:pPr>
      <w:keepNext/>
      <w:numPr>
        <w:ilvl w:val="4"/>
        <w:numId w:val="32"/>
      </w:numPr>
      <w:tabs>
        <w:tab w:val="left" w:pos="3600"/>
      </w:tabs>
      <w:suppressAutoHyphens/>
      <w:spacing w:after="120"/>
      <w:outlineLvl w:val="4"/>
    </w:pPr>
    <w:rPr>
      <w:b/>
    </w:rPr>
  </w:style>
  <w:style w:type="paragraph" w:styleId="Heading6">
    <w:name w:val="heading 6"/>
    <w:aliases w:val="h6"/>
    <w:basedOn w:val="Normal"/>
    <w:next w:val="ParaNum0"/>
    <w:qFormat/>
    <w:rsid w:val="002613F4"/>
    <w:pPr>
      <w:numPr>
        <w:ilvl w:val="5"/>
        <w:numId w:val="32"/>
      </w:numPr>
      <w:tabs>
        <w:tab w:val="left" w:pos="4320"/>
      </w:tabs>
      <w:spacing w:after="120"/>
      <w:outlineLvl w:val="5"/>
    </w:pPr>
    <w:rPr>
      <w:b/>
    </w:rPr>
  </w:style>
  <w:style w:type="paragraph" w:styleId="Heading7">
    <w:name w:val="heading 7"/>
    <w:aliases w:val="Heading 7 Char"/>
    <w:basedOn w:val="Normal"/>
    <w:next w:val="ParaNum0"/>
    <w:qFormat/>
    <w:rsid w:val="002613F4"/>
    <w:pPr>
      <w:numPr>
        <w:ilvl w:val="6"/>
        <w:numId w:val="32"/>
      </w:numPr>
      <w:tabs>
        <w:tab w:val="left" w:pos="5040"/>
      </w:tabs>
      <w:spacing w:after="120"/>
      <w:ind w:left="5040" w:hanging="720"/>
      <w:outlineLvl w:val="6"/>
    </w:pPr>
    <w:rPr>
      <w:b/>
    </w:rPr>
  </w:style>
  <w:style w:type="paragraph" w:styleId="Heading8">
    <w:name w:val="heading 8"/>
    <w:basedOn w:val="Normal"/>
    <w:next w:val="ParaNum0"/>
    <w:qFormat/>
    <w:rsid w:val="002613F4"/>
    <w:pPr>
      <w:numPr>
        <w:ilvl w:val="7"/>
        <w:numId w:val="3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0"/>
    <w:qFormat/>
    <w:rsid w:val="002613F4"/>
    <w:pPr>
      <w:numPr>
        <w:ilvl w:val="8"/>
        <w:numId w:val="3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2613F4"/>
    <w:pPr>
      <w:tabs>
        <w:tab w:val="center" w:pos="4680"/>
        <w:tab w:val="right" w:pos="9360"/>
      </w:tabs>
    </w:pPr>
    <w:rPr>
      <w:b/>
    </w:rPr>
  </w:style>
  <w:style w:type="paragraph" w:styleId="Footer">
    <w:name w:val="footer"/>
    <w:basedOn w:val="Normal"/>
    <w:rsid w:val="002613F4"/>
    <w:pPr>
      <w:tabs>
        <w:tab w:val="center" w:pos="4320"/>
        <w:tab w:val="right" w:pos="8640"/>
      </w:tabs>
    </w:pPr>
  </w:style>
  <w:style w:type="character" w:styleId="Hyperlink">
    <w:name w:val="Hyperlink"/>
    <w:rsid w:val="002613F4"/>
    <w:rPr>
      <w:color w:val="0000FF"/>
      <w:u w:val="single"/>
    </w:rPr>
  </w:style>
  <w:style w:type="paragraph" w:styleId="BlockText">
    <w:name w:val="Block Text"/>
    <w:basedOn w:val="Normal"/>
    <w:rsid w:val="002613F4"/>
    <w:pPr>
      <w:spacing w:after="240"/>
      <w:ind w:left="1440" w:right="1440"/>
    </w:pPr>
  </w:style>
  <w:style w:type="paragraph" w:customStyle="1" w:styleId="Bullet">
    <w:name w:val="Bullet"/>
    <w:basedOn w:val="Normal"/>
    <w:rsid w:val="002613F4"/>
    <w:p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Style 7,Style 4,Footnote Reference1,Style 34,Style 9,Style 20,callout"/>
    <w:rsid w:val="002613F4"/>
    <w:rPr>
      <w:rFonts w:ascii="Times New Roman" w:hAnsi="Times New Roman"/>
      <w:dstrike w:val="0"/>
      <w:color w:val="auto"/>
      <w:sz w:val="20"/>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3"/>
    <w:rsid w:val="002613F4"/>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2613F4"/>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BodyText">
    <w:name w:val="Body Text"/>
    <w:basedOn w:val="Normal"/>
    <w:pPr>
      <w:tabs>
        <w:tab w:val="num" w:pos="360"/>
        <w:tab w:val="center" w:pos="4680"/>
      </w:tabs>
      <w:suppressAutoHyphens/>
      <w:jc w:val="center"/>
    </w:pPr>
    <w:rPr>
      <w:b/>
      <w:snapToGrid/>
      <w:sz w:val="24"/>
    </w:rPr>
  </w:style>
  <w:style w:type="paragraph" w:customStyle="1" w:styleId="ParaNum0">
    <w:name w:val="ParaNum"/>
    <w:basedOn w:val="Normal"/>
    <w:link w:val="ParaNumChar1"/>
    <w:rsid w:val="002613F4"/>
    <w:pPr>
      <w:numPr>
        <w:numId w:val="31"/>
      </w:numPr>
      <w:tabs>
        <w:tab w:val="clear" w:pos="1080"/>
        <w:tab w:val="num" w:pos="1440"/>
      </w:tabs>
      <w:spacing w:after="120"/>
    </w:pPr>
  </w:style>
  <w:style w:type="character" w:customStyle="1" w:styleId="ParaNumChar1">
    <w:name w:val="ParaNum Char1"/>
    <w:link w:val="ParaNum0"/>
    <w:rPr>
      <w:snapToGrid w:val="0"/>
      <w:kern w:val="28"/>
      <w:sz w:val="22"/>
    </w:rPr>
  </w:style>
  <w:style w:type="character" w:styleId="PageNumber">
    <w:name w:val="page number"/>
    <w:basedOn w:val="DefaultParagraphFont"/>
    <w:rsid w:val="002613F4"/>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sid w:val="002613F4"/>
    <w:rPr>
      <w:sz w:val="20"/>
    </w:rPr>
  </w:style>
  <w:style w:type="character" w:customStyle="1" w:styleId="EndnoteTextChar">
    <w:name w:val="Endnote Text Char"/>
    <w:basedOn w:val="DefaultParagraphFont"/>
    <w:link w:val="EndnoteText"/>
    <w:rPr>
      <w:snapToGrid w:val="0"/>
      <w:kern w:val="28"/>
    </w:rPr>
  </w:style>
  <w:style w:type="character" w:styleId="EndnoteReference">
    <w:name w:val="endnote reference"/>
    <w:rsid w:val="002613F4"/>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3">
    <w:name w:val="Footnote Text Char3"/>
    <w:aliases w:val="ALTS FOOTNOTE Char1,Footnote Text Char1 Char,Footnote Text Char Char Char1,Footnote Text Char5 Char Char Char,Footnote Text Char Char Char Char Char1,Footnote Text Char4 Char Char1 Char Char Char,Footnote Text Char Char1,fn Char Char"/>
    <w:link w:val="FootnoteText"/>
    <w:locked/>
    <w:rsid w:val="00D94A03"/>
  </w:style>
  <w:style w:type="character" w:customStyle="1" w:styleId="ALTSFOOTNOTEChar">
    <w:name w:val="ALTS FOOTNOTE Char"/>
    <w:aliases w:val="Footnote text Char,FOOTNOTE Char,Footnote Text Char2 Char,Footnote Text Char Char Char,Footnote Text Char1 Char Char Char,Footnote Text Char Char Char Char Char,Footnote Text Char1 Char Char Char Char Char,Footnote Text Char2"/>
    <w:uiPriority w:val="99"/>
    <w:rsid w:val="00EF2146"/>
    <w:rPr>
      <w:sz w:val="22"/>
    </w:rPr>
  </w:style>
  <w:style w:type="paragraph" w:customStyle="1" w:styleId="paranum1">
    <w:name w:val="paranum"/>
    <w:basedOn w:val="Normal"/>
    <w:rsid w:val="00EF2146"/>
    <w:pPr>
      <w:spacing w:after="220"/>
      <w:jc w:val="both"/>
    </w:pPr>
    <w:rPr>
      <w:rFonts w:eastAsia="Calibri"/>
      <w:szCs w:val="22"/>
    </w:rPr>
  </w:style>
  <w:style w:type="paragraph" w:styleId="Revision">
    <w:name w:val="Revision"/>
    <w:hidden/>
    <w:uiPriority w:val="99"/>
    <w:semiHidden/>
    <w:rsid w:val="000102D6"/>
    <w:rPr>
      <w:sz w:val="22"/>
    </w:rPr>
  </w:style>
  <w:style w:type="paragraph" w:customStyle="1" w:styleId="StyleParanumLeft">
    <w:name w:val="Style Paranum + Left"/>
    <w:basedOn w:val="Paranum"/>
    <w:rsid w:val="001C764F"/>
    <w:pPr>
      <w:tabs>
        <w:tab w:val="num" w:pos="1440"/>
        <w:tab w:val="num" w:pos="2160"/>
      </w:tabs>
      <w:ind w:left="0"/>
      <w:jc w:val="left"/>
    </w:pPr>
  </w:style>
  <w:style w:type="table" w:styleId="TableGrid">
    <w:name w:val="Table Grid"/>
    <w:basedOn w:val="TableNormal"/>
    <w:uiPriority w:val="39"/>
    <w:rsid w:val="00797B58"/>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semiHidden/>
    <w:unhideWhenUsed/>
    <w:rsid w:val="002F632A"/>
    <w:rPr>
      <w:color w:val="2B579A"/>
      <w:shd w:val="clear" w:color="auto" w:fill="E6E6E6"/>
    </w:rPr>
  </w:style>
  <w:style w:type="character" w:customStyle="1" w:styleId="Mention">
    <w:name w:val="Mention"/>
    <w:basedOn w:val="DefaultParagraphFont"/>
    <w:uiPriority w:val="99"/>
    <w:semiHidden/>
    <w:unhideWhenUsed/>
    <w:rsid w:val="007E34DF"/>
    <w:rPr>
      <w:color w:val="2B579A"/>
      <w:shd w:val="clear" w:color="auto" w:fill="E6E6E6"/>
    </w:rPr>
  </w:style>
  <w:style w:type="paragraph" w:styleId="TOC2">
    <w:name w:val="toc 2"/>
    <w:basedOn w:val="Normal"/>
    <w:next w:val="Normal"/>
    <w:semiHidden/>
    <w:rsid w:val="002613F4"/>
    <w:pPr>
      <w:tabs>
        <w:tab w:val="left" w:pos="720"/>
        <w:tab w:val="right" w:leader="dot" w:pos="9360"/>
      </w:tabs>
      <w:suppressAutoHyphens/>
      <w:ind w:left="720" w:right="720" w:hanging="360"/>
    </w:pPr>
    <w:rPr>
      <w:noProof/>
    </w:rPr>
  </w:style>
  <w:style w:type="paragraph" w:styleId="TOC3">
    <w:name w:val="toc 3"/>
    <w:basedOn w:val="Normal"/>
    <w:next w:val="Normal"/>
    <w:semiHidden/>
    <w:rsid w:val="002613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13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13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13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13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13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13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13F4"/>
    <w:pPr>
      <w:tabs>
        <w:tab w:val="right" w:pos="9360"/>
      </w:tabs>
      <w:suppressAutoHyphens/>
    </w:pPr>
  </w:style>
  <w:style w:type="character" w:customStyle="1" w:styleId="EquationCaption">
    <w:name w:val="_Equation Caption"/>
    <w:rsid w:val="002613F4"/>
  </w:style>
  <w:style w:type="paragraph" w:customStyle="1" w:styleId="Paratitle">
    <w:name w:val="Para title"/>
    <w:basedOn w:val="Normal"/>
    <w:rsid w:val="002613F4"/>
    <w:pPr>
      <w:tabs>
        <w:tab w:val="center" w:pos="9270"/>
      </w:tabs>
      <w:spacing w:after="240"/>
    </w:pPr>
    <w:rPr>
      <w:spacing w:val="-2"/>
    </w:rPr>
  </w:style>
  <w:style w:type="paragraph" w:customStyle="1" w:styleId="TableFormat0">
    <w:name w:val="TableFormat"/>
    <w:basedOn w:val="Bullet"/>
    <w:rsid w:val="002613F4"/>
    <w:pPr>
      <w:tabs>
        <w:tab w:val="clear" w:pos="2160"/>
        <w:tab w:val="left" w:pos="5040"/>
      </w:tabs>
      <w:ind w:left="5040" w:hanging="3600"/>
    </w:pPr>
  </w:style>
  <w:style w:type="paragraph" w:customStyle="1" w:styleId="TOCTitle">
    <w:name w:val="TOC Title"/>
    <w:basedOn w:val="Normal"/>
    <w:rsid w:val="002613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13F4"/>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F4"/>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qFormat/>
    <w:rsid w:val="002613F4"/>
    <w:pPr>
      <w:keepNext/>
      <w:numPr>
        <w:numId w:val="3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0"/>
    <w:autoRedefine/>
    <w:qFormat/>
    <w:rsid w:val="002613F4"/>
    <w:pPr>
      <w:keepNext/>
      <w:numPr>
        <w:ilvl w:val="1"/>
        <w:numId w:val="32"/>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0"/>
    <w:qFormat/>
    <w:rsid w:val="002613F4"/>
    <w:pPr>
      <w:keepNext/>
      <w:numPr>
        <w:ilvl w:val="2"/>
        <w:numId w:val="3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0"/>
    <w:qFormat/>
    <w:rsid w:val="002613F4"/>
    <w:pPr>
      <w:keepNext/>
      <w:numPr>
        <w:ilvl w:val="3"/>
        <w:numId w:val="32"/>
      </w:numPr>
      <w:tabs>
        <w:tab w:val="left" w:pos="2880"/>
      </w:tabs>
      <w:spacing w:after="120"/>
      <w:outlineLvl w:val="3"/>
    </w:pPr>
    <w:rPr>
      <w:b/>
    </w:rPr>
  </w:style>
  <w:style w:type="paragraph" w:styleId="Heading5">
    <w:name w:val="heading 5"/>
    <w:aliases w:val="Heading 5 Char"/>
    <w:basedOn w:val="Normal"/>
    <w:next w:val="ParaNum0"/>
    <w:qFormat/>
    <w:rsid w:val="002613F4"/>
    <w:pPr>
      <w:keepNext/>
      <w:numPr>
        <w:ilvl w:val="4"/>
        <w:numId w:val="32"/>
      </w:numPr>
      <w:tabs>
        <w:tab w:val="left" w:pos="3600"/>
      </w:tabs>
      <w:suppressAutoHyphens/>
      <w:spacing w:after="120"/>
      <w:outlineLvl w:val="4"/>
    </w:pPr>
    <w:rPr>
      <w:b/>
    </w:rPr>
  </w:style>
  <w:style w:type="paragraph" w:styleId="Heading6">
    <w:name w:val="heading 6"/>
    <w:aliases w:val="h6"/>
    <w:basedOn w:val="Normal"/>
    <w:next w:val="ParaNum0"/>
    <w:qFormat/>
    <w:rsid w:val="002613F4"/>
    <w:pPr>
      <w:numPr>
        <w:ilvl w:val="5"/>
        <w:numId w:val="32"/>
      </w:numPr>
      <w:tabs>
        <w:tab w:val="left" w:pos="4320"/>
      </w:tabs>
      <w:spacing w:after="120"/>
      <w:outlineLvl w:val="5"/>
    </w:pPr>
    <w:rPr>
      <w:b/>
    </w:rPr>
  </w:style>
  <w:style w:type="paragraph" w:styleId="Heading7">
    <w:name w:val="heading 7"/>
    <w:aliases w:val="Heading 7 Char"/>
    <w:basedOn w:val="Normal"/>
    <w:next w:val="ParaNum0"/>
    <w:qFormat/>
    <w:rsid w:val="002613F4"/>
    <w:pPr>
      <w:numPr>
        <w:ilvl w:val="6"/>
        <w:numId w:val="32"/>
      </w:numPr>
      <w:tabs>
        <w:tab w:val="left" w:pos="5040"/>
      </w:tabs>
      <w:spacing w:after="120"/>
      <w:ind w:left="5040" w:hanging="720"/>
      <w:outlineLvl w:val="6"/>
    </w:pPr>
    <w:rPr>
      <w:b/>
    </w:rPr>
  </w:style>
  <w:style w:type="paragraph" w:styleId="Heading8">
    <w:name w:val="heading 8"/>
    <w:basedOn w:val="Normal"/>
    <w:next w:val="ParaNum0"/>
    <w:qFormat/>
    <w:rsid w:val="002613F4"/>
    <w:pPr>
      <w:numPr>
        <w:ilvl w:val="7"/>
        <w:numId w:val="32"/>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0"/>
    <w:qFormat/>
    <w:rsid w:val="002613F4"/>
    <w:pPr>
      <w:numPr>
        <w:ilvl w:val="8"/>
        <w:numId w:val="3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2613F4"/>
    <w:pPr>
      <w:tabs>
        <w:tab w:val="center" w:pos="4680"/>
        <w:tab w:val="right" w:pos="9360"/>
      </w:tabs>
    </w:pPr>
    <w:rPr>
      <w:b/>
    </w:rPr>
  </w:style>
  <w:style w:type="paragraph" w:styleId="Footer">
    <w:name w:val="footer"/>
    <w:basedOn w:val="Normal"/>
    <w:rsid w:val="002613F4"/>
    <w:pPr>
      <w:tabs>
        <w:tab w:val="center" w:pos="4320"/>
        <w:tab w:val="right" w:pos="8640"/>
      </w:tabs>
    </w:pPr>
  </w:style>
  <w:style w:type="character" w:styleId="Hyperlink">
    <w:name w:val="Hyperlink"/>
    <w:rsid w:val="002613F4"/>
    <w:rPr>
      <w:color w:val="0000FF"/>
      <w:u w:val="single"/>
    </w:rPr>
  </w:style>
  <w:style w:type="paragraph" w:styleId="BlockText">
    <w:name w:val="Block Text"/>
    <w:basedOn w:val="Normal"/>
    <w:rsid w:val="002613F4"/>
    <w:pPr>
      <w:spacing w:after="240"/>
      <w:ind w:left="1440" w:right="1440"/>
    </w:pPr>
  </w:style>
  <w:style w:type="paragraph" w:customStyle="1" w:styleId="Bullet">
    <w:name w:val="Bullet"/>
    <w:basedOn w:val="Normal"/>
    <w:rsid w:val="002613F4"/>
    <w:p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Style 7,Style 4,Footnote Reference1,Style 34,Style 9,Style 20,callout"/>
    <w:rsid w:val="002613F4"/>
    <w:rPr>
      <w:rFonts w:ascii="Times New Roman" w:hAnsi="Times New Roman"/>
      <w:dstrike w:val="0"/>
      <w:color w:val="auto"/>
      <w:sz w:val="20"/>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3"/>
    <w:rsid w:val="002613F4"/>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2613F4"/>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BodyText">
    <w:name w:val="Body Text"/>
    <w:basedOn w:val="Normal"/>
    <w:pPr>
      <w:tabs>
        <w:tab w:val="num" w:pos="360"/>
        <w:tab w:val="center" w:pos="4680"/>
      </w:tabs>
      <w:suppressAutoHyphens/>
      <w:jc w:val="center"/>
    </w:pPr>
    <w:rPr>
      <w:b/>
      <w:snapToGrid/>
      <w:sz w:val="24"/>
    </w:rPr>
  </w:style>
  <w:style w:type="paragraph" w:customStyle="1" w:styleId="ParaNum0">
    <w:name w:val="ParaNum"/>
    <w:basedOn w:val="Normal"/>
    <w:link w:val="ParaNumChar1"/>
    <w:rsid w:val="002613F4"/>
    <w:pPr>
      <w:numPr>
        <w:numId w:val="31"/>
      </w:numPr>
      <w:tabs>
        <w:tab w:val="clear" w:pos="1080"/>
        <w:tab w:val="num" w:pos="1440"/>
      </w:tabs>
      <w:spacing w:after="120"/>
    </w:pPr>
  </w:style>
  <w:style w:type="character" w:customStyle="1" w:styleId="ParaNumChar1">
    <w:name w:val="ParaNum Char1"/>
    <w:link w:val="ParaNum0"/>
    <w:rPr>
      <w:snapToGrid w:val="0"/>
      <w:kern w:val="28"/>
      <w:sz w:val="22"/>
    </w:rPr>
  </w:style>
  <w:style w:type="character" w:styleId="PageNumber">
    <w:name w:val="page number"/>
    <w:basedOn w:val="DefaultParagraphFont"/>
    <w:rsid w:val="002613F4"/>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sid w:val="002613F4"/>
    <w:rPr>
      <w:sz w:val="20"/>
    </w:rPr>
  </w:style>
  <w:style w:type="character" w:customStyle="1" w:styleId="EndnoteTextChar">
    <w:name w:val="Endnote Text Char"/>
    <w:basedOn w:val="DefaultParagraphFont"/>
    <w:link w:val="EndnoteText"/>
    <w:rPr>
      <w:snapToGrid w:val="0"/>
      <w:kern w:val="28"/>
    </w:rPr>
  </w:style>
  <w:style w:type="character" w:styleId="EndnoteReference">
    <w:name w:val="endnote reference"/>
    <w:rsid w:val="002613F4"/>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3">
    <w:name w:val="Footnote Text Char3"/>
    <w:aliases w:val="ALTS FOOTNOTE Char1,Footnote Text Char1 Char,Footnote Text Char Char Char1,Footnote Text Char5 Char Char Char,Footnote Text Char Char Char Char Char1,Footnote Text Char4 Char Char1 Char Char Char,Footnote Text Char Char1,fn Char Char"/>
    <w:link w:val="FootnoteText"/>
    <w:locked/>
    <w:rsid w:val="00D94A03"/>
  </w:style>
  <w:style w:type="character" w:customStyle="1" w:styleId="ALTSFOOTNOTEChar">
    <w:name w:val="ALTS FOOTNOTE Char"/>
    <w:aliases w:val="Footnote text Char,FOOTNOTE Char,Footnote Text Char2 Char,Footnote Text Char Char Char,Footnote Text Char1 Char Char Char,Footnote Text Char Char Char Char Char,Footnote Text Char1 Char Char Char Char Char,Footnote Text Char2"/>
    <w:uiPriority w:val="99"/>
    <w:rsid w:val="00EF2146"/>
    <w:rPr>
      <w:sz w:val="22"/>
    </w:rPr>
  </w:style>
  <w:style w:type="paragraph" w:customStyle="1" w:styleId="paranum1">
    <w:name w:val="paranum"/>
    <w:basedOn w:val="Normal"/>
    <w:rsid w:val="00EF2146"/>
    <w:pPr>
      <w:spacing w:after="220"/>
      <w:jc w:val="both"/>
    </w:pPr>
    <w:rPr>
      <w:rFonts w:eastAsia="Calibri"/>
      <w:szCs w:val="22"/>
    </w:rPr>
  </w:style>
  <w:style w:type="paragraph" w:styleId="Revision">
    <w:name w:val="Revision"/>
    <w:hidden/>
    <w:uiPriority w:val="99"/>
    <w:semiHidden/>
    <w:rsid w:val="000102D6"/>
    <w:rPr>
      <w:sz w:val="22"/>
    </w:rPr>
  </w:style>
  <w:style w:type="paragraph" w:customStyle="1" w:styleId="StyleParanumLeft">
    <w:name w:val="Style Paranum + Left"/>
    <w:basedOn w:val="Paranum"/>
    <w:rsid w:val="001C764F"/>
    <w:pPr>
      <w:tabs>
        <w:tab w:val="num" w:pos="1440"/>
        <w:tab w:val="num" w:pos="2160"/>
      </w:tabs>
      <w:ind w:left="0"/>
      <w:jc w:val="left"/>
    </w:pPr>
  </w:style>
  <w:style w:type="table" w:styleId="TableGrid">
    <w:name w:val="Table Grid"/>
    <w:basedOn w:val="TableNormal"/>
    <w:uiPriority w:val="39"/>
    <w:rsid w:val="00797B58"/>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1">
    <w:name w:val="Mention1"/>
    <w:basedOn w:val="DefaultParagraphFont"/>
    <w:uiPriority w:val="99"/>
    <w:semiHidden/>
    <w:unhideWhenUsed/>
    <w:rsid w:val="002F632A"/>
    <w:rPr>
      <w:color w:val="2B579A"/>
      <w:shd w:val="clear" w:color="auto" w:fill="E6E6E6"/>
    </w:rPr>
  </w:style>
  <w:style w:type="character" w:customStyle="1" w:styleId="Mention">
    <w:name w:val="Mention"/>
    <w:basedOn w:val="DefaultParagraphFont"/>
    <w:uiPriority w:val="99"/>
    <w:semiHidden/>
    <w:unhideWhenUsed/>
    <w:rsid w:val="007E34DF"/>
    <w:rPr>
      <w:color w:val="2B579A"/>
      <w:shd w:val="clear" w:color="auto" w:fill="E6E6E6"/>
    </w:rPr>
  </w:style>
  <w:style w:type="paragraph" w:styleId="TOC2">
    <w:name w:val="toc 2"/>
    <w:basedOn w:val="Normal"/>
    <w:next w:val="Normal"/>
    <w:semiHidden/>
    <w:rsid w:val="002613F4"/>
    <w:pPr>
      <w:tabs>
        <w:tab w:val="left" w:pos="720"/>
        <w:tab w:val="right" w:leader="dot" w:pos="9360"/>
      </w:tabs>
      <w:suppressAutoHyphens/>
      <w:ind w:left="720" w:right="720" w:hanging="360"/>
    </w:pPr>
    <w:rPr>
      <w:noProof/>
    </w:rPr>
  </w:style>
  <w:style w:type="paragraph" w:styleId="TOC3">
    <w:name w:val="toc 3"/>
    <w:basedOn w:val="Normal"/>
    <w:next w:val="Normal"/>
    <w:semiHidden/>
    <w:rsid w:val="002613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13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13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13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13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13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13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13F4"/>
    <w:pPr>
      <w:tabs>
        <w:tab w:val="right" w:pos="9360"/>
      </w:tabs>
      <w:suppressAutoHyphens/>
    </w:pPr>
  </w:style>
  <w:style w:type="character" w:customStyle="1" w:styleId="EquationCaption">
    <w:name w:val="_Equation Caption"/>
    <w:rsid w:val="002613F4"/>
  </w:style>
  <w:style w:type="paragraph" w:customStyle="1" w:styleId="Paratitle">
    <w:name w:val="Para title"/>
    <w:basedOn w:val="Normal"/>
    <w:rsid w:val="002613F4"/>
    <w:pPr>
      <w:tabs>
        <w:tab w:val="center" w:pos="9270"/>
      </w:tabs>
      <w:spacing w:after="240"/>
    </w:pPr>
    <w:rPr>
      <w:spacing w:val="-2"/>
    </w:rPr>
  </w:style>
  <w:style w:type="paragraph" w:customStyle="1" w:styleId="TableFormat0">
    <w:name w:val="TableFormat"/>
    <w:basedOn w:val="Bullet"/>
    <w:rsid w:val="002613F4"/>
    <w:pPr>
      <w:tabs>
        <w:tab w:val="clear" w:pos="2160"/>
        <w:tab w:val="left" w:pos="5040"/>
      </w:tabs>
      <w:ind w:left="5040" w:hanging="3600"/>
    </w:pPr>
  </w:style>
  <w:style w:type="paragraph" w:customStyle="1" w:styleId="TOCTitle">
    <w:name w:val="TOC Title"/>
    <w:basedOn w:val="Normal"/>
    <w:rsid w:val="002613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13F4"/>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07">
      <w:bodyDiv w:val="1"/>
      <w:marLeft w:val="0"/>
      <w:marRight w:val="0"/>
      <w:marTop w:val="0"/>
      <w:marBottom w:val="0"/>
      <w:divBdr>
        <w:top w:val="none" w:sz="0" w:space="0" w:color="auto"/>
        <w:left w:val="none" w:sz="0" w:space="0" w:color="auto"/>
        <w:bottom w:val="none" w:sz="0" w:space="0" w:color="auto"/>
        <w:right w:val="none" w:sz="0" w:space="0" w:color="auto"/>
      </w:divBdr>
    </w:div>
    <w:div w:id="102383926">
      <w:bodyDiv w:val="1"/>
      <w:marLeft w:val="0"/>
      <w:marRight w:val="0"/>
      <w:marTop w:val="0"/>
      <w:marBottom w:val="0"/>
      <w:divBdr>
        <w:top w:val="none" w:sz="0" w:space="0" w:color="auto"/>
        <w:left w:val="none" w:sz="0" w:space="0" w:color="auto"/>
        <w:bottom w:val="none" w:sz="0" w:space="0" w:color="auto"/>
        <w:right w:val="none" w:sz="0" w:space="0" w:color="auto"/>
      </w:divBdr>
    </w:div>
    <w:div w:id="142935299">
      <w:bodyDiv w:val="1"/>
      <w:marLeft w:val="0"/>
      <w:marRight w:val="0"/>
      <w:marTop w:val="0"/>
      <w:marBottom w:val="0"/>
      <w:divBdr>
        <w:top w:val="none" w:sz="0" w:space="0" w:color="auto"/>
        <w:left w:val="none" w:sz="0" w:space="0" w:color="auto"/>
        <w:bottom w:val="none" w:sz="0" w:space="0" w:color="auto"/>
        <w:right w:val="none" w:sz="0" w:space="0" w:color="auto"/>
      </w:divBdr>
    </w:div>
    <w:div w:id="402916807">
      <w:bodyDiv w:val="1"/>
      <w:marLeft w:val="0"/>
      <w:marRight w:val="0"/>
      <w:marTop w:val="0"/>
      <w:marBottom w:val="0"/>
      <w:divBdr>
        <w:top w:val="none" w:sz="0" w:space="0" w:color="auto"/>
        <w:left w:val="none" w:sz="0" w:space="0" w:color="auto"/>
        <w:bottom w:val="none" w:sz="0" w:space="0" w:color="auto"/>
        <w:right w:val="none" w:sz="0" w:space="0" w:color="auto"/>
      </w:divBdr>
    </w:div>
    <w:div w:id="94346395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470366828">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 w:id="21185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s://www.fcc.gov/ecfs"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cc.gov/maps/100-pct-overlap-2017"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cc.gov/maps/100-pct-overlap-201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ntia.doc.gov/SBDD" TargetMode="External"/><Relationship Id="rId2" Type="http://schemas.openxmlformats.org/officeDocument/2006/relationships/hyperlink" Target="http://www.fcc.gov/encyclopedia/form-477-resources-filers" TargetMode="External"/><Relationship Id="rId1" Type="http://schemas.openxmlformats.org/officeDocument/2006/relationships/hyperlink" Target="http://www.fcc.gov/encyclopedia/study-area-boundary-data-collection" TargetMode="External"/><Relationship Id="rId5" Type="http://schemas.openxmlformats.org/officeDocument/2006/relationships/hyperlink" Target="https://apps.fcc.gov/edocs_public/attachmatch/DOC-345889A1.xlsx" TargetMode="External"/><Relationship Id="rId4" Type="http://schemas.openxmlformats.org/officeDocument/2006/relationships/hyperlink" Target="https://apps.fcc.gov/edocs_public/attachmatch/DOC-345889A1.xsl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Payne\AppData\Local\Microsoft\Windows\Temporary%20Internet%20Files\Content.MSO\60F770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60F770E2</Template>
  <TotalTime>0</TotalTime>
  <Pages>3</Pages>
  <Words>2442</Words>
  <Characters>13648</Characters>
  <Application>Microsoft Office Word</Application>
  <DocSecurity>0</DocSecurity>
  <Lines>430</Lines>
  <Paragraphs>173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16000</CharactersWithSpaces>
  <SharedDoc>false</SharedDoc>
  <HyperlinkBase> </HyperlinkBase>
  <HLinks>
    <vt:vector size="54" baseType="variant">
      <vt:variant>
        <vt:i4>589853</vt:i4>
      </vt:variant>
      <vt:variant>
        <vt:i4>0</vt:i4>
      </vt:variant>
      <vt:variant>
        <vt:i4>0</vt:i4>
      </vt:variant>
      <vt:variant>
        <vt:i4>5</vt:i4>
      </vt:variant>
      <vt:variant>
        <vt:lpwstr>http://apps.fcc.gov/ecfs</vt:lpwstr>
      </vt:variant>
      <vt:variant>
        <vt:lpwstr/>
      </vt:variant>
      <vt:variant>
        <vt:i4>1114232</vt:i4>
      </vt:variant>
      <vt:variant>
        <vt:i4>33</vt:i4>
      </vt:variant>
      <vt:variant>
        <vt:i4>0</vt:i4>
      </vt:variant>
      <vt:variant>
        <vt:i4>5</vt:i4>
      </vt:variant>
      <vt:variant>
        <vt:lpwstr>http://www.fcc.gov/wcb/tapd/Challenge_Process/ChallengeProcessGuide7-31-14.docx</vt:lpwstr>
      </vt:variant>
      <vt:variant>
        <vt:lpwstr/>
      </vt:variant>
      <vt:variant>
        <vt:i4>7995435</vt:i4>
      </vt:variant>
      <vt:variant>
        <vt:i4>30</vt:i4>
      </vt:variant>
      <vt:variant>
        <vt:i4>0</vt:i4>
      </vt:variant>
      <vt:variant>
        <vt:i4>5</vt:i4>
      </vt:variant>
      <vt:variant>
        <vt:lpwstr>http://data.fcc.gov/download/measuring-broadband-america/2014/2014-Fixed-Measuring-Broadband-America-Report.pdf</vt:lpwstr>
      </vt:variant>
      <vt:variant>
        <vt:lpwstr/>
      </vt:variant>
      <vt:variant>
        <vt:i4>1114232</vt:i4>
      </vt:variant>
      <vt:variant>
        <vt:i4>27</vt:i4>
      </vt:variant>
      <vt:variant>
        <vt:i4>0</vt:i4>
      </vt:variant>
      <vt:variant>
        <vt:i4>5</vt:i4>
      </vt:variant>
      <vt:variant>
        <vt:lpwstr>http://www.fcc.gov/wcb/tapd/Challenge_Process/ChallengeProcessGuide7-31-14.docx</vt:lpwstr>
      </vt:variant>
      <vt:variant>
        <vt:lpwstr/>
      </vt:variant>
      <vt:variant>
        <vt:i4>720922</vt:i4>
      </vt:variant>
      <vt:variant>
        <vt:i4>18</vt:i4>
      </vt:variant>
      <vt:variant>
        <vt:i4>0</vt:i4>
      </vt:variant>
      <vt:variant>
        <vt:i4>5</vt:i4>
      </vt:variant>
      <vt:variant>
        <vt:lpwstr>http://apps.fcc.gov/wcb/sabdata/</vt:lpwstr>
      </vt:variant>
      <vt:variant>
        <vt:lpwstr/>
      </vt:variant>
      <vt:variant>
        <vt:i4>720922</vt:i4>
      </vt:variant>
      <vt:variant>
        <vt:i4>15</vt:i4>
      </vt:variant>
      <vt:variant>
        <vt:i4>0</vt:i4>
      </vt:variant>
      <vt:variant>
        <vt:i4>5</vt:i4>
      </vt:variant>
      <vt:variant>
        <vt:lpwstr>http://apps.fcc.gov/wcb/sabdata/</vt:lpwstr>
      </vt:variant>
      <vt:variant>
        <vt:lpwstr/>
      </vt:variant>
      <vt:variant>
        <vt:i4>1114118</vt:i4>
      </vt:variant>
      <vt:variant>
        <vt:i4>9</vt:i4>
      </vt:variant>
      <vt:variant>
        <vt:i4>0</vt:i4>
      </vt:variant>
      <vt:variant>
        <vt:i4>5</vt:i4>
      </vt:variant>
      <vt:variant>
        <vt:lpwstr>http://www2.ntia.doc.gov/SBDD</vt:lpwstr>
      </vt:variant>
      <vt:variant>
        <vt:lpwstr/>
      </vt:variant>
      <vt:variant>
        <vt:i4>720972</vt:i4>
      </vt:variant>
      <vt:variant>
        <vt:i4>6</vt:i4>
      </vt:variant>
      <vt:variant>
        <vt:i4>0</vt:i4>
      </vt:variant>
      <vt:variant>
        <vt:i4>5</vt:i4>
      </vt:variant>
      <vt:variant>
        <vt:lpwstr>http://www.fcc.gov/encyclopedia/form-477-resources-filers</vt:lpwstr>
      </vt:variant>
      <vt:variant>
        <vt:lpwstr/>
      </vt:variant>
      <vt:variant>
        <vt:i4>6619176</vt:i4>
      </vt:variant>
      <vt:variant>
        <vt:i4>3</vt:i4>
      </vt:variant>
      <vt:variant>
        <vt:i4>0</vt:i4>
      </vt:variant>
      <vt:variant>
        <vt:i4>5</vt:i4>
      </vt:variant>
      <vt:variant>
        <vt:lpwstr>http://www.fcc.gov/encyclopedia/study-area-boundary-data-collection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2015-07-27T13:59:00Z</cp:lastPrinted>
  <dcterms:created xsi:type="dcterms:W3CDTF">2017-09-29T16:27:00Z</dcterms:created>
  <dcterms:modified xsi:type="dcterms:W3CDTF">2017-09-29T16:27:00Z</dcterms:modified>
  <cp:category> </cp:category>
  <cp:contentStatus> </cp:contentStatus>
</cp:coreProperties>
</file>