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2265C9" w:rsidP="00096D8C">
      <w:pPr>
        <w:pStyle w:val="StyleBoldCentered"/>
      </w:pPr>
      <w:r>
        <w:rPr>
          <w:caps w:val="0"/>
        </w:rPr>
        <w:t>Washington, DC</w:t>
      </w:r>
      <w:r w:rsidR="00810B6F">
        <w:rPr>
          <w:caps w:val="0"/>
        </w:rPr>
        <w:t xml:space="preserve"> 20554</w:t>
      </w:r>
    </w:p>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Pr="007115F7" w:rsidRDefault="00330FDC" w:rsidP="007115F7">
            <w:pPr>
              <w:tabs>
                <w:tab w:val="center" w:pos="4680"/>
              </w:tabs>
              <w:suppressAutoHyphens/>
              <w:rPr>
                <w:spacing w:val="-2"/>
              </w:rPr>
            </w:pPr>
            <w:r>
              <w:rPr>
                <w:spacing w:val="-2"/>
              </w:rPr>
              <w:t>Gary Braver</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Pr="00330FDC" w:rsidRDefault="004C2EE3">
            <w:pPr>
              <w:tabs>
                <w:tab w:val="center" w:pos="4680"/>
              </w:tabs>
              <w:suppressAutoHyphens/>
              <w:rPr>
                <w:b/>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330FDC" w:rsidRPr="00330FDC" w:rsidRDefault="00330FDC" w:rsidP="00330FDC">
            <w:pPr>
              <w:ind w:left="612"/>
              <w:rPr>
                <w:snapToGrid/>
                <w:color w:val="000000"/>
                <w:spacing w:val="-2"/>
                <w:szCs w:val="22"/>
              </w:rPr>
            </w:pPr>
            <w:r w:rsidRPr="00330FDC">
              <w:rPr>
                <w:color w:val="000000"/>
                <w:spacing w:val="-2"/>
                <w:szCs w:val="22"/>
              </w:rPr>
              <w:t>File No.:  EB-TCD-15-00020134</w:t>
            </w:r>
          </w:p>
          <w:p w:rsidR="00330FDC" w:rsidRPr="00330FDC" w:rsidRDefault="00330FDC" w:rsidP="00330FDC">
            <w:pPr>
              <w:ind w:left="612"/>
              <w:rPr>
                <w:color w:val="000000"/>
                <w:spacing w:val="-2"/>
                <w:szCs w:val="22"/>
              </w:rPr>
            </w:pPr>
            <w:r w:rsidRPr="00330FDC">
              <w:rPr>
                <w:color w:val="000000"/>
                <w:spacing w:val="-2"/>
                <w:szCs w:val="22"/>
              </w:rPr>
              <w:t>NAL/Acct. No.:  201632170007</w:t>
            </w:r>
          </w:p>
          <w:p w:rsidR="00330FDC" w:rsidRPr="00330FDC" w:rsidRDefault="00330FDC" w:rsidP="00330FDC">
            <w:pPr>
              <w:ind w:left="612"/>
              <w:rPr>
                <w:snapToGrid/>
                <w:color w:val="000000"/>
                <w:spacing w:val="-2"/>
                <w:szCs w:val="22"/>
              </w:rPr>
            </w:pPr>
            <w:r w:rsidRPr="00330FDC">
              <w:rPr>
                <w:color w:val="000000"/>
                <w:spacing w:val="-2"/>
                <w:szCs w:val="22"/>
              </w:rPr>
              <w:t>FRN:  0025786179</w:t>
            </w:r>
          </w:p>
          <w:p w:rsidR="004C2EE3" w:rsidRDefault="004C2EE3">
            <w:pPr>
              <w:tabs>
                <w:tab w:val="center" w:pos="4680"/>
              </w:tabs>
              <w:suppressAutoHyphens/>
              <w:rPr>
                <w:spacing w:val="-2"/>
              </w:rPr>
            </w:pPr>
          </w:p>
        </w:tc>
      </w:tr>
    </w:tbl>
    <w:p w:rsidR="00330FDC" w:rsidRPr="00330FDC" w:rsidRDefault="00330FDC" w:rsidP="00330FDC">
      <w:pPr>
        <w:pStyle w:val="StyleBoldCentered"/>
        <w:widowControl/>
        <w:rPr>
          <w:rFonts w:ascii="Times New Roman" w:hAnsi="Times New Roman"/>
          <w:color w:val="000000"/>
        </w:rPr>
      </w:pPr>
      <w:r w:rsidRPr="00330FDC">
        <w:rPr>
          <w:rFonts w:ascii="Times New Roman" w:hAnsi="Times New Roman"/>
          <w:color w:val="000000"/>
        </w:rPr>
        <w:t>order</w:t>
      </w:r>
    </w:p>
    <w:p w:rsidR="00330FDC" w:rsidRPr="00330FDC" w:rsidRDefault="00330FDC" w:rsidP="00330FDC">
      <w:pPr>
        <w:pStyle w:val="BodyText"/>
        <w:tabs>
          <w:tab w:val="left" w:pos="4680"/>
        </w:tabs>
        <w:jc w:val="center"/>
        <w:rPr>
          <w:color w:val="000000"/>
          <w:sz w:val="22"/>
          <w:szCs w:val="22"/>
          <w:u w:val="none"/>
        </w:rPr>
      </w:pPr>
    </w:p>
    <w:p w:rsidR="00330FDC" w:rsidRPr="00303568" w:rsidRDefault="00330FDC" w:rsidP="00330FDC">
      <w:pPr>
        <w:tabs>
          <w:tab w:val="left" w:pos="720"/>
          <w:tab w:val="right" w:pos="9360"/>
        </w:tabs>
        <w:suppressAutoHyphens/>
        <w:spacing w:line="227" w:lineRule="auto"/>
        <w:rPr>
          <w:b/>
          <w:spacing w:val="-2"/>
          <w:szCs w:val="22"/>
        </w:rPr>
      </w:pPr>
      <w:r w:rsidRPr="00037DB0">
        <w:rPr>
          <w:b/>
          <w:spacing w:val="-2"/>
          <w:szCs w:val="22"/>
        </w:rPr>
        <w:t xml:space="preserve">Adopted:  </w:t>
      </w:r>
      <w:r w:rsidR="00CB4E54">
        <w:rPr>
          <w:b/>
          <w:spacing w:val="-2"/>
          <w:szCs w:val="22"/>
        </w:rPr>
        <w:t>August 4</w:t>
      </w:r>
      <w:r>
        <w:rPr>
          <w:b/>
          <w:spacing w:val="-2"/>
          <w:szCs w:val="22"/>
        </w:rPr>
        <w:t>, 2017</w:t>
      </w:r>
      <w:r w:rsidRPr="00037DB0">
        <w:rPr>
          <w:b/>
          <w:spacing w:val="-2"/>
          <w:szCs w:val="22"/>
        </w:rPr>
        <w:tab/>
        <w:t xml:space="preserve">Released:  </w:t>
      </w:r>
      <w:r w:rsidR="00CB4E54">
        <w:rPr>
          <w:b/>
          <w:spacing w:val="-2"/>
          <w:szCs w:val="22"/>
        </w:rPr>
        <w:t>August 4</w:t>
      </w:r>
      <w:r>
        <w:rPr>
          <w:b/>
          <w:spacing w:val="-2"/>
          <w:szCs w:val="22"/>
        </w:rPr>
        <w:t>, 2017</w:t>
      </w:r>
    </w:p>
    <w:p w:rsidR="00330FDC" w:rsidRPr="00330FDC" w:rsidRDefault="00330FDC" w:rsidP="00330FDC">
      <w:pPr>
        <w:pStyle w:val="BodyText"/>
        <w:tabs>
          <w:tab w:val="left" w:pos="4680"/>
        </w:tabs>
        <w:jc w:val="center"/>
        <w:rPr>
          <w:color w:val="000000"/>
          <w:sz w:val="22"/>
          <w:szCs w:val="22"/>
          <w:u w:val="none"/>
        </w:rPr>
      </w:pPr>
    </w:p>
    <w:p w:rsidR="00330FDC" w:rsidRPr="006D73F2" w:rsidRDefault="00330FDC" w:rsidP="00330FDC">
      <w:pPr>
        <w:tabs>
          <w:tab w:val="left" w:pos="720"/>
          <w:tab w:val="left" w:pos="5760"/>
        </w:tabs>
        <w:suppressAutoHyphens/>
        <w:spacing w:line="227" w:lineRule="auto"/>
        <w:jc w:val="both"/>
        <w:rPr>
          <w:spacing w:val="-2"/>
          <w:szCs w:val="22"/>
        </w:rPr>
      </w:pPr>
      <w:r w:rsidRPr="006D73F2">
        <w:rPr>
          <w:spacing w:val="-2"/>
          <w:szCs w:val="22"/>
        </w:rPr>
        <w:t>By the Chief, Enforcement Bureau:</w:t>
      </w:r>
    </w:p>
    <w:p w:rsidR="00330FDC" w:rsidRPr="00330FDC" w:rsidRDefault="00330FDC" w:rsidP="00330FDC">
      <w:pPr>
        <w:pStyle w:val="BodyText"/>
        <w:tabs>
          <w:tab w:val="left" w:pos="4680"/>
        </w:tabs>
        <w:rPr>
          <w:b w:val="0"/>
          <w:color w:val="000000"/>
          <w:sz w:val="22"/>
          <w:szCs w:val="22"/>
          <w:u w:val="none"/>
        </w:rPr>
      </w:pPr>
    </w:p>
    <w:p w:rsidR="00330FDC" w:rsidRPr="00330FDC" w:rsidRDefault="00330FDC" w:rsidP="00330FDC">
      <w:pPr>
        <w:pStyle w:val="Heading1"/>
        <w:rPr>
          <w:color w:val="000000"/>
        </w:rPr>
      </w:pPr>
      <w:r w:rsidRPr="00330FDC">
        <w:rPr>
          <w:color w:val="000000"/>
        </w:rPr>
        <w:t>INTRODUCTION</w:t>
      </w:r>
    </w:p>
    <w:p w:rsidR="00330FDC" w:rsidRDefault="00330FDC" w:rsidP="00330FDC">
      <w:pPr>
        <w:pStyle w:val="ParaNum"/>
      </w:pPr>
      <w:r>
        <w:t>The Enforcement Bureau (Bureau) issued a Notice of Apparent Liability for Forfeiture (</w:t>
      </w:r>
      <w:r w:rsidRPr="00A23049">
        <w:rPr>
          <w:i/>
        </w:rPr>
        <w:t>NAL</w:t>
      </w:r>
      <w:r>
        <w:t>) and proposed a penalty of $25,000 against Mr. Gary Braver for apparently causing the display of misleading or inaccurate caller ID information with the intent to cause harm.</w:t>
      </w:r>
      <w:r>
        <w:rPr>
          <w:rStyle w:val="FootnoteReference"/>
        </w:rPr>
        <w:footnoteReference w:id="2"/>
      </w:r>
      <w:r>
        <w:t xml:space="preserve">  Based on a review of Mr. Braver’s response to the </w:t>
      </w:r>
      <w:r w:rsidRPr="00BE0FFE">
        <w:rPr>
          <w:i/>
        </w:rPr>
        <w:t>NAL</w:t>
      </w:r>
      <w:r>
        <w:t xml:space="preserve"> and new facts provided, we hereby rescind the </w:t>
      </w:r>
      <w:r w:rsidRPr="00A23049">
        <w:rPr>
          <w:i/>
        </w:rPr>
        <w:t>NAL</w:t>
      </w:r>
      <w:r>
        <w:t xml:space="preserve">, as it relates to the determinations regarding Mr. Braver, and cancel the proposed forfeiture imposed upon Mr. Braver.  </w:t>
      </w:r>
    </w:p>
    <w:p w:rsidR="00330FDC" w:rsidRDefault="00330FDC" w:rsidP="00330FDC">
      <w:pPr>
        <w:pStyle w:val="Heading1"/>
      </w:pPr>
      <w:r>
        <w:t>Background</w:t>
      </w:r>
    </w:p>
    <w:p w:rsidR="00330FDC" w:rsidRDefault="00330FDC" w:rsidP="00330FDC">
      <w:pPr>
        <w:pStyle w:val="ParaNum"/>
      </w:pPr>
      <w:r>
        <w:t xml:space="preserve">On August 2, 2016, the Bureau issued an </w:t>
      </w:r>
      <w:r w:rsidRPr="00BE0FFE">
        <w:rPr>
          <w:i/>
        </w:rPr>
        <w:t>NAL</w:t>
      </w:r>
      <w:r>
        <w:t xml:space="preserve"> proposing, in part, a $25,000 forfeiture against Mr. Braver </w:t>
      </w:r>
      <w:r w:rsidR="00A23049">
        <w:t>for his apparent violation of</w:t>
      </w:r>
      <w:r>
        <w:t xml:space="preserve"> the Truth in Caller ID Act of 2009, as codified in Section 227(e) of </w:t>
      </w:r>
      <w:r w:rsidR="008143FD">
        <w:t>the Communications Act of 1934, as amended</w:t>
      </w:r>
      <w:r>
        <w:t>, and Section 64.1604 of the Commission’s rules.</w:t>
      </w:r>
      <w:r>
        <w:rPr>
          <w:rStyle w:val="FootnoteReference"/>
        </w:rPr>
        <w:footnoteReference w:id="3"/>
      </w:r>
      <w:r>
        <w:t xml:space="preserve">  The </w:t>
      </w:r>
      <w:r w:rsidRPr="00551A85">
        <w:rPr>
          <w:i/>
        </w:rPr>
        <w:t>NAL</w:t>
      </w:r>
      <w:r>
        <w:t xml:space="preserve"> found that Mr. Braver, along with a personal acquaintance, Mr. Steven Blumenstock, apparently caused the display of misleading or inaccurate caller ID information with the intent to cause harm</w:t>
      </w:r>
      <w:r>
        <w:rPr>
          <w:spacing w:val="-2"/>
        </w:rPr>
        <w:t xml:space="preserve">.  </w:t>
      </w:r>
      <w:r>
        <w:t xml:space="preserve">Specifically, the </w:t>
      </w:r>
      <w:r>
        <w:rPr>
          <w:i/>
        </w:rPr>
        <w:t>NAL</w:t>
      </w:r>
      <w:r>
        <w:t xml:space="preserve"> found that</w:t>
      </w:r>
      <w:r w:rsidR="00A23049">
        <w:t>,</w:t>
      </w:r>
      <w:r>
        <w:t xml:space="preserve"> over the course of four months, Mr. Blumenstock and Mr. Braver apparently made 31 spoofed telephone calls to Mr. Braver’s ex-wife as part of a campaign of harassment and stalking of Mr. Braver’s ex-wife.  The </w:t>
      </w:r>
      <w:r>
        <w:rPr>
          <w:i/>
        </w:rPr>
        <w:t>NAL</w:t>
      </w:r>
      <w:r>
        <w:t xml:space="preserve"> cited evidence showing that Mr. Blumenstock apparently used a caller ID spoofing app</w:t>
      </w:r>
      <w:r w:rsidR="00DA6EB9">
        <w:t>lication</w:t>
      </w:r>
      <w:r>
        <w:t xml:space="preserve"> on his phone to make apparently unlawful spoofed calls to harass Mr. Braver’s ex-wife.</w:t>
      </w:r>
      <w:r>
        <w:rPr>
          <w:rStyle w:val="FootnoteReference"/>
        </w:rPr>
        <w:footnoteReference w:id="4"/>
      </w:r>
      <w:r>
        <w:t xml:space="preserve">  The </w:t>
      </w:r>
      <w:r>
        <w:rPr>
          <w:i/>
        </w:rPr>
        <w:t>NAL</w:t>
      </w:r>
      <w:r>
        <w:t xml:space="preserve"> also cited evidence showing that</w:t>
      </w:r>
      <w:r w:rsidR="00A23049">
        <w:t>,</w:t>
      </w:r>
      <w:r>
        <w:t xml:space="preserve"> on at least two occasions, Mr. Braver apparently called a landline phone number belonging to Mr. Blumenstock at the same time that Mr. Blumenstock was making harassing phone calls to the victim.</w:t>
      </w:r>
      <w:r>
        <w:rPr>
          <w:rStyle w:val="FootnoteReference"/>
        </w:rPr>
        <w:footnoteReference w:id="5"/>
      </w:r>
      <w:r>
        <w:t xml:space="preserve">  Based on this and other evidence, the </w:t>
      </w:r>
      <w:r>
        <w:rPr>
          <w:i/>
        </w:rPr>
        <w:t>NAL</w:t>
      </w:r>
      <w:r>
        <w:t xml:space="preserve"> concluded that Mr. Braver was apparently a participant in the campaign of harassing telephone calls.  </w:t>
      </w:r>
    </w:p>
    <w:p w:rsidR="00330FDC" w:rsidRDefault="00330FDC" w:rsidP="00330FDC">
      <w:pPr>
        <w:pStyle w:val="ParaNum"/>
        <w:widowControl/>
      </w:pPr>
      <w:r w:rsidRPr="00551A85">
        <w:t>Mr</w:t>
      </w:r>
      <w:r>
        <w:t xml:space="preserve">. Braver filed a response to the </w:t>
      </w:r>
      <w:r>
        <w:rPr>
          <w:i/>
        </w:rPr>
        <w:t xml:space="preserve">NAL </w:t>
      </w:r>
      <w:r>
        <w:t>(</w:t>
      </w:r>
      <w:r>
        <w:rPr>
          <w:i/>
        </w:rPr>
        <w:t>NAL</w:t>
      </w:r>
      <w:r>
        <w:t xml:space="preserve"> Response)</w:t>
      </w:r>
      <w:r>
        <w:rPr>
          <w:i/>
        </w:rPr>
        <w:t xml:space="preserve"> </w:t>
      </w:r>
      <w:r>
        <w:t>on September 26, 2016,</w:t>
      </w:r>
      <w:r>
        <w:rPr>
          <w:rStyle w:val="FootnoteReference"/>
        </w:rPr>
        <w:footnoteReference w:id="6"/>
      </w:r>
      <w:r>
        <w:t xml:space="preserve"> in which he denied both knowledge of, and participation in, the apparently unlawful calls.</w:t>
      </w:r>
      <w:r>
        <w:rPr>
          <w:rStyle w:val="FootnoteReference"/>
        </w:rPr>
        <w:footnoteReference w:id="7"/>
      </w:r>
      <w:r>
        <w:t xml:space="preserve">  Mr. </w:t>
      </w:r>
      <w:r>
        <w:lastRenderedPageBreak/>
        <w:t>Blumenstock</w:t>
      </w:r>
      <w:r w:rsidR="00A23049">
        <w:t xml:space="preserve">, in his separate response to the </w:t>
      </w:r>
      <w:r w:rsidR="00A23049">
        <w:rPr>
          <w:i/>
        </w:rPr>
        <w:t>NAL</w:t>
      </w:r>
      <w:r w:rsidR="00A23049">
        <w:t>,</w:t>
      </w:r>
      <w:r>
        <w:t xml:space="preserve"> admitted that he participated in the violations described in the </w:t>
      </w:r>
      <w:r w:rsidRPr="00A23049">
        <w:rPr>
          <w:i/>
        </w:rPr>
        <w:t>NAL</w:t>
      </w:r>
      <w:r w:rsidR="00A23049">
        <w:t>.</w:t>
      </w:r>
      <w:r>
        <w:rPr>
          <w:rStyle w:val="FootnoteReference"/>
        </w:rPr>
        <w:footnoteReference w:id="8"/>
      </w:r>
      <w:r w:rsidR="00A23049">
        <w:t xml:space="preserve">  O</w:t>
      </w:r>
      <w:r>
        <w:t xml:space="preserve">n </w:t>
      </w:r>
      <w:r w:rsidR="00462DA6">
        <w:t>January 13, 2017</w:t>
      </w:r>
      <w:r>
        <w:t>, the Bureau issued a Forfeiture Order imposing a penalty of $25,000 against Mr. Blumenstock.</w:t>
      </w:r>
      <w:r>
        <w:rPr>
          <w:rStyle w:val="FootnoteReference"/>
        </w:rPr>
        <w:footnoteReference w:id="9"/>
      </w:r>
    </w:p>
    <w:p w:rsidR="00330FDC" w:rsidRDefault="00330FDC" w:rsidP="00330FDC">
      <w:pPr>
        <w:pStyle w:val="Heading1"/>
      </w:pPr>
      <w:r>
        <w:t xml:space="preserve">Discussion  </w:t>
      </w:r>
    </w:p>
    <w:p w:rsidR="00330FDC" w:rsidRDefault="00330FDC" w:rsidP="00330FDC">
      <w:pPr>
        <w:pStyle w:val="ParaNum"/>
      </w:pPr>
      <w:r>
        <w:t xml:space="preserve">In his </w:t>
      </w:r>
      <w:r w:rsidRPr="00CC21E5">
        <w:rPr>
          <w:i/>
        </w:rPr>
        <w:t xml:space="preserve">NAL </w:t>
      </w:r>
      <w:r w:rsidRPr="000332CD">
        <w:t>Response</w:t>
      </w:r>
      <w:r>
        <w:t>, Mr. Braver denies any</w:t>
      </w:r>
      <w:r w:rsidRPr="004D21F4">
        <w:t xml:space="preserve"> </w:t>
      </w:r>
      <w:r>
        <w:t xml:space="preserve">knowledge of, or participation in, the making of the apparently unlawful spoofed telephone calls identified in the </w:t>
      </w:r>
      <w:r w:rsidRPr="00CC21E5">
        <w:rPr>
          <w:i/>
        </w:rPr>
        <w:t>NAL</w:t>
      </w:r>
      <w:r>
        <w:t>.</w:t>
      </w:r>
      <w:r>
        <w:rPr>
          <w:rStyle w:val="FootnoteReference"/>
        </w:rPr>
        <w:footnoteReference w:id="10"/>
      </w:r>
      <w:r>
        <w:t xml:space="preserve">  In addition, Mr. Braver provides a sworn affidavit from Mr. Blumenstock stating that Mr. Braver had no part in making the telephones calls at issue and Mr. Braver did not have knowledge of the telephone calls being made.</w:t>
      </w:r>
      <w:r>
        <w:rPr>
          <w:rStyle w:val="FootnoteReference"/>
        </w:rPr>
        <w:footnoteReference w:id="11"/>
      </w:r>
      <w:r>
        <w:t xml:space="preserve">  With respect to calls that Mr. Braver made to the landline telephone number of Mr. Blumenstock, Mr. Braver explained that those calls were not calls to Mr. Blumenstock, but rather were calls to </w:t>
      </w:r>
      <w:r w:rsidR="008143FD">
        <w:t>Mr. Blumenstock’s ex-wife, Lynn Gottlie</w:t>
      </w:r>
      <w:r>
        <w:t>b Blumenstock, with whom Mr. Braver has a personal relationship.</w:t>
      </w:r>
      <w:r>
        <w:rPr>
          <w:rStyle w:val="FootnoteReference"/>
        </w:rPr>
        <w:footnoteReference w:id="12"/>
      </w:r>
      <w:r>
        <w:t xml:space="preserve">  Mr. Braver alleges in the </w:t>
      </w:r>
      <w:r>
        <w:rPr>
          <w:i/>
        </w:rPr>
        <w:t xml:space="preserve">NAL </w:t>
      </w:r>
      <w:r w:rsidRPr="000332CD">
        <w:t>Response</w:t>
      </w:r>
      <w:r>
        <w:t xml:space="preserve"> that the landline phone number that he dialed was originally registered in </w:t>
      </w:r>
      <w:r w:rsidR="00A23049">
        <w:t>Mr. Blumenstock’s name</w:t>
      </w:r>
      <w:r>
        <w:t>, but that</w:t>
      </w:r>
      <w:r w:rsidR="00A23049">
        <w:t xml:space="preserve"> Mr. and Ms. Blumenstock separated</w:t>
      </w:r>
      <w:r w:rsidR="002D305D">
        <w:t xml:space="preserve"> in 2010 and</w:t>
      </w:r>
      <w:r>
        <w:t xml:space="preserve"> Ms. Blumenstock retained exclusive use of the landline phone</w:t>
      </w:r>
      <w:r w:rsidR="002D305D">
        <w:t xml:space="preserve"> after the separation</w:t>
      </w:r>
      <w:r>
        <w:t>.</w:t>
      </w:r>
      <w:r>
        <w:rPr>
          <w:rStyle w:val="FootnoteReference"/>
        </w:rPr>
        <w:footnoteReference w:id="13"/>
      </w:r>
      <w:r>
        <w:t xml:space="preserve">  The additional facts provided by Mr. Braver in his </w:t>
      </w:r>
      <w:r>
        <w:rPr>
          <w:i/>
        </w:rPr>
        <w:t>NAL</w:t>
      </w:r>
      <w:r>
        <w:t xml:space="preserve"> Response, coupled with the sworn statements and admissions of Mr. Blumenstock,</w:t>
      </w:r>
      <w:r>
        <w:rPr>
          <w:rStyle w:val="FootnoteReference"/>
        </w:rPr>
        <w:footnoteReference w:id="14"/>
      </w:r>
      <w:r>
        <w:t xml:space="preserve"> indicate that Mr. Braver did not participate in the campaign of harassing phone calls to Ms. Braver.</w:t>
      </w:r>
      <w:r w:rsidR="008143FD">
        <w:t xml:space="preserve"> </w:t>
      </w:r>
      <w:r>
        <w:t xml:space="preserve"> Thus, Mr. Braver cannot be held liable for the violations alleged in the </w:t>
      </w:r>
      <w:r>
        <w:rPr>
          <w:i/>
        </w:rPr>
        <w:t>NAL</w:t>
      </w:r>
      <w:r>
        <w:t xml:space="preserve">.  </w:t>
      </w:r>
    </w:p>
    <w:p w:rsidR="00330FDC" w:rsidRDefault="00330FDC" w:rsidP="00330FDC">
      <w:pPr>
        <w:pStyle w:val="Heading1"/>
      </w:pPr>
      <w:r>
        <w:t>conclusion</w:t>
      </w:r>
    </w:p>
    <w:p w:rsidR="00330FDC" w:rsidRDefault="00330FDC" w:rsidP="00330FDC">
      <w:pPr>
        <w:pStyle w:val="ParaNum"/>
      </w:pPr>
      <w:r>
        <w:t xml:space="preserve">Based on the record before us, we conclude that the evidence is insufficient to find that Mr. Braver violated the Truth in Caller ID Act of 2009, as codified in Section 227(e) of the Communications Act of 1934, as amended, and </w:t>
      </w:r>
      <w:r w:rsidR="008143FD">
        <w:t>relevant</w:t>
      </w:r>
      <w:r>
        <w:t xml:space="preserve"> Commission rules.  We hereby rescind the </w:t>
      </w:r>
      <w:r w:rsidRPr="00042D97">
        <w:rPr>
          <w:i/>
        </w:rPr>
        <w:t>NAL</w:t>
      </w:r>
      <w:r>
        <w:t xml:space="preserve"> as it relates to Mr. Braver and cancel the forfeiture imposed upon Mr. Braver.</w:t>
      </w:r>
    </w:p>
    <w:p w:rsidR="00330FDC" w:rsidRDefault="00330FDC" w:rsidP="00330FDC">
      <w:pPr>
        <w:pStyle w:val="Heading1"/>
      </w:pPr>
      <w:r>
        <w:t>ordering clauses</w:t>
      </w:r>
    </w:p>
    <w:p w:rsidR="00330FDC" w:rsidRDefault="00330FDC" w:rsidP="00330FDC">
      <w:pPr>
        <w:pStyle w:val="ParaNum"/>
      </w:pPr>
      <w:r>
        <w:t xml:space="preserve">Accordingly, </w:t>
      </w:r>
      <w:r w:rsidRPr="000332CD">
        <w:rPr>
          <w:b/>
        </w:rPr>
        <w:t>IT IS ORDERED</w:t>
      </w:r>
      <w:r>
        <w:t xml:space="preserve"> that, pursuant to </w:t>
      </w:r>
      <w:r w:rsidR="00E83C7B">
        <w:t>47 U.S.C. § 504(b) and 47 CFR §</w:t>
      </w:r>
      <w:r>
        <w:t xml:space="preserve"> 1.80(f)(4), the Notice of Apparent Liability for Forfeiture issued to Mr.</w:t>
      </w:r>
      <w:r w:rsidR="00B648CD">
        <w:t xml:space="preserve"> Braver</w:t>
      </w:r>
      <w:r>
        <w:t xml:space="preserve"> is hereby </w:t>
      </w:r>
      <w:r w:rsidRPr="000332CD">
        <w:rPr>
          <w:b/>
        </w:rPr>
        <w:t>RESCINDED</w:t>
      </w:r>
      <w:r>
        <w:t xml:space="preserve"> </w:t>
      </w:r>
      <w:r w:rsidR="00E83C7B">
        <w:t xml:space="preserve">as it relates to Mr. Braver, </w:t>
      </w:r>
      <w:r>
        <w:t>and the proposed $25,000 forfeiture</w:t>
      </w:r>
      <w:r w:rsidR="00306141">
        <w:t xml:space="preserve"> imposed </w:t>
      </w:r>
      <w:r w:rsidR="00A23049">
        <w:t>up</w:t>
      </w:r>
      <w:r w:rsidR="00306141">
        <w:t>on Mr. Braver</w:t>
      </w:r>
      <w:r>
        <w:t xml:space="preserve"> is </w:t>
      </w:r>
      <w:r w:rsidRPr="000332CD">
        <w:rPr>
          <w:b/>
        </w:rPr>
        <w:t>CANCEL</w:t>
      </w:r>
      <w:r w:rsidR="00B648CD">
        <w:rPr>
          <w:b/>
        </w:rPr>
        <w:t>L</w:t>
      </w:r>
      <w:r w:rsidRPr="000332CD">
        <w:rPr>
          <w:b/>
        </w:rPr>
        <w:t>ED</w:t>
      </w:r>
      <w:r>
        <w:t>.</w:t>
      </w:r>
    </w:p>
    <w:p w:rsidR="00330FDC" w:rsidRPr="00330FDC" w:rsidRDefault="00330FDC" w:rsidP="00330FDC">
      <w:pPr>
        <w:pStyle w:val="ParaNum"/>
        <w:keepNext/>
        <w:widowControl/>
      </w:pPr>
      <w:r>
        <w:lastRenderedPageBreak/>
        <w:t xml:space="preserve">It is further ordered that copies of this </w:t>
      </w:r>
      <w:r>
        <w:rPr>
          <w:i/>
        </w:rPr>
        <w:t>Order</w:t>
      </w:r>
      <w:r>
        <w:t xml:space="preserve"> shall be sent by first class and certified mail, return receipt requested, to Mr. Braver at his address of record.</w:t>
      </w:r>
    </w:p>
    <w:p w:rsidR="00330FDC" w:rsidRPr="00330FDC" w:rsidRDefault="00330FDC" w:rsidP="00462DA6">
      <w:pPr>
        <w:keepNext/>
        <w:widowControl/>
        <w:spacing w:before="240"/>
        <w:rPr>
          <w:color w:val="000000"/>
        </w:rPr>
      </w:pPr>
      <w:r w:rsidRPr="00330FDC">
        <w:rPr>
          <w:color w:val="000000"/>
        </w:rPr>
        <w:tab/>
      </w:r>
      <w:r w:rsidRPr="00330FDC">
        <w:rPr>
          <w:color w:val="000000"/>
        </w:rPr>
        <w:tab/>
      </w:r>
      <w:r w:rsidRPr="00330FDC">
        <w:rPr>
          <w:color w:val="000000"/>
        </w:rPr>
        <w:tab/>
      </w:r>
      <w:r w:rsidRPr="00330FDC">
        <w:rPr>
          <w:color w:val="000000"/>
        </w:rPr>
        <w:tab/>
      </w:r>
      <w:r w:rsidRPr="00330FDC">
        <w:rPr>
          <w:color w:val="000000"/>
        </w:rPr>
        <w:tab/>
      </w:r>
      <w:r w:rsidRPr="00330FDC">
        <w:rPr>
          <w:color w:val="000000"/>
        </w:rPr>
        <w:tab/>
        <w:t>FEDERAL COMMUNICATIONS COMMISSION</w:t>
      </w:r>
    </w:p>
    <w:p w:rsidR="00330FDC" w:rsidRPr="00330FDC" w:rsidRDefault="00330FDC" w:rsidP="00330FDC">
      <w:pPr>
        <w:rPr>
          <w:color w:val="000000"/>
        </w:rPr>
      </w:pPr>
    </w:p>
    <w:p w:rsidR="00330FDC" w:rsidRPr="00330FDC" w:rsidRDefault="00330FDC" w:rsidP="00330FDC">
      <w:pPr>
        <w:rPr>
          <w:color w:val="000000"/>
        </w:rPr>
      </w:pPr>
    </w:p>
    <w:p w:rsidR="00330FDC" w:rsidRPr="00330FDC" w:rsidRDefault="00330FDC" w:rsidP="00330FDC">
      <w:pPr>
        <w:rPr>
          <w:color w:val="000000"/>
        </w:rPr>
      </w:pPr>
    </w:p>
    <w:p w:rsidR="00330FDC" w:rsidRPr="006D73F2" w:rsidRDefault="00330FDC" w:rsidP="00330FDC">
      <w:pPr>
        <w:rPr>
          <w:szCs w:val="22"/>
        </w:rPr>
      </w:pPr>
      <w:r w:rsidRPr="00330FDC">
        <w:rPr>
          <w:color w:val="000000"/>
        </w:rPr>
        <w:tab/>
      </w:r>
      <w:r w:rsidRPr="00330FDC">
        <w:rPr>
          <w:color w:val="000000"/>
        </w:rPr>
        <w:tab/>
      </w:r>
      <w:r w:rsidRPr="00330FDC">
        <w:rPr>
          <w:color w:val="000000"/>
        </w:rPr>
        <w:tab/>
      </w:r>
    </w:p>
    <w:p w:rsidR="00330FDC" w:rsidRPr="006D73F2" w:rsidRDefault="00330FDC" w:rsidP="00330FDC">
      <w:pPr>
        <w:tabs>
          <w:tab w:val="left" w:pos="0"/>
          <w:tab w:val="left" w:pos="720"/>
          <w:tab w:val="left" w:pos="1440"/>
        </w:tabs>
        <w:suppressAutoHyphens/>
        <w:spacing w:line="240" w:lineRule="atLeast"/>
        <w:rPr>
          <w:szCs w:val="22"/>
        </w:rPr>
      </w:pPr>
      <w:r>
        <w:rPr>
          <w:szCs w:val="22"/>
        </w:rPr>
        <w:tab/>
      </w:r>
      <w:r>
        <w:rPr>
          <w:szCs w:val="22"/>
        </w:rPr>
        <w:tab/>
      </w:r>
      <w:r>
        <w:rPr>
          <w:szCs w:val="22"/>
        </w:rPr>
        <w:tab/>
      </w:r>
      <w:r>
        <w:rPr>
          <w:szCs w:val="22"/>
        </w:rPr>
        <w:tab/>
      </w:r>
      <w:r>
        <w:rPr>
          <w:szCs w:val="22"/>
        </w:rPr>
        <w:tab/>
      </w:r>
      <w:r>
        <w:rPr>
          <w:szCs w:val="22"/>
        </w:rPr>
        <w:tab/>
      </w:r>
      <w:r w:rsidR="00BF0A03">
        <w:rPr>
          <w:szCs w:val="22"/>
        </w:rPr>
        <w:t>Rosemary C. Harold</w:t>
      </w:r>
      <w:r w:rsidRPr="006D73F2">
        <w:rPr>
          <w:szCs w:val="22"/>
        </w:rPr>
        <w:t xml:space="preserve"> </w:t>
      </w:r>
    </w:p>
    <w:p w:rsidR="00330FDC" w:rsidRPr="006D73F2" w:rsidRDefault="00330FDC" w:rsidP="00330FDC">
      <w:pPr>
        <w:ind w:left="3600" w:firstLine="720"/>
        <w:rPr>
          <w:szCs w:val="22"/>
        </w:rPr>
      </w:pPr>
      <w:r w:rsidRPr="006D73F2">
        <w:rPr>
          <w:szCs w:val="22"/>
        </w:rPr>
        <w:t>Chief</w:t>
      </w:r>
    </w:p>
    <w:p w:rsidR="00330FDC" w:rsidRPr="006D73F2" w:rsidRDefault="00330FDC" w:rsidP="00330FDC">
      <w:pPr>
        <w:ind w:left="3600" w:firstLine="720"/>
        <w:rPr>
          <w:szCs w:val="22"/>
        </w:rPr>
      </w:pPr>
      <w:r w:rsidRPr="006D73F2">
        <w:rPr>
          <w:szCs w:val="22"/>
        </w:rPr>
        <w:t>Enforcement Bureau</w:t>
      </w:r>
    </w:p>
    <w:p w:rsidR="00330FDC" w:rsidRPr="006D73F2" w:rsidRDefault="00330FDC" w:rsidP="00330FDC">
      <w:pPr>
        <w:ind w:left="4410"/>
        <w:rPr>
          <w:szCs w:val="22"/>
        </w:rPr>
      </w:pPr>
    </w:p>
    <w:p w:rsidR="002C00E8" w:rsidRPr="002C00E8" w:rsidRDefault="002C00E8" w:rsidP="00330FDC"/>
    <w:sectPr w:rsidR="002C00E8" w:rsidRPr="002C00E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FC9" w:rsidRDefault="00070FC9">
      <w:pPr>
        <w:spacing w:line="20" w:lineRule="exact"/>
      </w:pPr>
    </w:p>
  </w:endnote>
  <w:endnote w:type="continuationSeparator" w:id="0">
    <w:p w:rsidR="00070FC9" w:rsidRDefault="00070FC9">
      <w:r>
        <w:t xml:space="preserve"> </w:t>
      </w:r>
    </w:p>
  </w:endnote>
  <w:endnote w:type="continuationNotice" w:id="1">
    <w:p w:rsidR="00070FC9" w:rsidRDefault="00070FC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1E74C0">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FC9" w:rsidRDefault="00070FC9">
      <w:r>
        <w:separator/>
      </w:r>
    </w:p>
  </w:footnote>
  <w:footnote w:type="continuationSeparator" w:id="0">
    <w:p w:rsidR="00070FC9" w:rsidRDefault="00070FC9" w:rsidP="00C721AC">
      <w:pPr>
        <w:spacing w:before="120"/>
        <w:rPr>
          <w:sz w:val="20"/>
        </w:rPr>
      </w:pPr>
      <w:r>
        <w:rPr>
          <w:sz w:val="20"/>
        </w:rPr>
        <w:t xml:space="preserve">(Continued from previous page)  </w:t>
      </w:r>
      <w:r>
        <w:rPr>
          <w:sz w:val="20"/>
        </w:rPr>
        <w:separator/>
      </w:r>
    </w:p>
  </w:footnote>
  <w:footnote w:type="continuationNotice" w:id="1">
    <w:p w:rsidR="00070FC9" w:rsidRDefault="00070FC9" w:rsidP="00C721AC">
      <w:pPr>
        <w:jc w:val="right"/>
        <w:rPr>
          <w:sz w:val="20"/>
        </w:rPr>
      </w:pPr>
      <w:r>
        <w:rPr>
          <w:sz w:val="20"/>
        </w:rPr>
        <w:t>(continued….)</w:t>
      </w:r>
    </w:p>
  </w:footnote>
  <w:footnote w:id="2">
    <w:p w:rsidR="00330FDC" w:rsidRPr="00C90E14" w:rsidRDefault="00330FDC" w:rsidP="00330FDC">
      <w:pPr>
        <w:pStyle w:val="FootnoteText"/>
      </w:pPr>
      <w:r>
        <w:rPr>
          <w:rStyle w:val="FootnoteReference"/>
        </w:rPr>
        <w:footnoteRef/>
      </w:r>
      <w:r>
        <w:t xml:space="preserve"> </w:t>
      </w:r>
      <w:r>
        <w:rPr>
          <w:i/>
        </w:rPr>
        <w:t>Steven Blumenstock and Gary Braver</w:t>
      </w:r>
      <w:r>
        <w:t>, Notice of Apparent Liability for Forfeiture, 31 FCC Rcd 8648 (2016) (</w:t>
      </w:r>
      <w:r>
        <w:rPr>
          <w:i/>
        </w:rPr>
        <w:t>NAL</w:t>
      </w:r>
      <w:r>
        <w:t>).</w:t>
      </w:r>
    </w:p>
  </w:footnote>
  <w:footnote w:id="3">
    <w:p w:rsidR="00330FDC" w:rsidRPr="00E95EAA" w:rsidRDefault="00330FDC" w:rsidP="00330FDC">
      <w:pPr>
        <w:pStyle w:val="FootnoteText"/>
      </w:pPr>
      <w:r>
        <w:rPr>
          <w:rStyle w:val="FootnoteReference"/>
        </w:rPr>
        <w:footnoteRef/>
      </w:r>
      <w:r>
        <w:t xml:space="preserve"> </w:t>
      </w:r>
      <w:r w:rsidRPr="00862F68">
        <w:rPr>
          <w:i/>
        </w:rPr>
        <w:t>Id.</w:t>
      </w:r>
      <w:r>
        <w:t xml:space="preserve"> at 8653-8654, 8655, paras. 17, 22.</w:t>
      </w:r>
    </w:p>
  </w:footnote>
  <w:footnote w:id="4">
    <w:p w:rsidR="00330FDC" w:rsidRPr="00551A85" w:rsidRDefault="00330FDC" w:rsidP="00330FDC">
      <w:pPr>
        <w:pStyle w:val="FootnoteText"/>
      </w:pPr>
      <w:r>
        <w:rPr>
          <w:rStyle w:val="FootnoteReference"/>
        </w:rPr>
        <w:footnoteRef/>
      </w:r>
      <w:r>
        <w:t xml:space="preserve"> </w:t>
      </w:r>
      <w:r w:rsidRPr="00862F68">
        <w:rPr>
          <w:i/>
        </w:rPr>
        <w:t>Id.</w:t>
      </w:r>
      <w:r>
        <w:rPr>
          <w:i/>
        </w:rPr>
        <w:t xml:space="preserve"> </w:t>
      </w:r>
      <w:r>
        <w:t>at 8652-8653, para. 14.</w:t>
      </w:r>
    </w:p>
  </w:footnote>
  <w:footnote w:id="5">
    <w:p w:rsidR="00330FDC" w:rsidRDefault="00330FDC" w:rsidP="00330FDC">
      <w:pPr>
        <w:pStyle w:val="FootnoteText"/>
      </w:pPr>
      <w:r>
        <w:rPr>
          <w:rStyle w:val="FootnoteReference"/>
        </w:rPr>
        <w:footnoteRef/>
      </w:r>
      <w:r>
        <w:t xml:space="preserve"> </w:t>
      </w:r>
      <w:r w:rsidRPr="00862F68">
        <w:rPr>
          <w:i/>
        </w:rPr>
        <w:t>Id.</w:t>
      </w:r>
      <w:r>
        <w:rPr>
          <w:i/>
        </w:rPr>
        <w:t xml:space="preserve"> </w:t>
      </w:r>
      <w:r>
        <w:t>at 8652-8653, paras. 13, 16.</w:t>
      </w:r>
    </w:p>
  </w:footnote>
  <w:footnote w:id="6">
    <w:p w:rsidR="00330FDC" w:rsidRDefault="00330FDC" w:rsidP="00330FDC">
      <w:pPr>
        <w:pStyle w:val="FootnoteText"/>
      </w:pPr>
      <w:r>
        <w:rPr>
          <w:rStyle w:val="FootnoteReference"/>
        </w:rPr>
        <w:footnoteRef/>
      </w:r>
      <w:r>
        <w:t xml:space="preserve"> Although Mr. Braver’s</w:t>
      </w:r>
      <w:r w:rsidRPr="008E0C76">
        <w:t xml:space="preserve"> resp</w:t>
      </w:r>
      <w:r>
        <w:t>onse was initially due September 1, 2016, we exercise our discretion to consider his response as filed and</w:t>
      </w:r>
      <w:r w:rsidRPr="008E0C76">
        <w:t xml:space="preserve"> address </w:t>
      </w:r>
      <w:r>
        <w:t>the</w:t>
      </w:r>
      <w:r w:rsidRPr="008E0C76">
        <w:t xml:space="preserve"> </w:t>
      </w:r>
      <w:r>
        <w:t>merits of his response herein.</w:t>
      </w:r>
    </w:p>
  </w:footnote>
  <w:footnote w:id="7">
    <w:p w:rsidR="00330FDC" w:rsidRPr="00CF47D2" w:rsidRDefault="00330FDC" w:rsidP="00330FDC">
      <w:pPr>
        <w:pStyle w:val="FootnoteText"/>
      </w:pPr>
      <w:r>
        <w:rPr>
          <w:rStyle w:val="FootnoteReference"/>
        </w:rPr>
        <w:footnoteRef/>
      </w:r>
      <w:r>
        <w:t xml:space="preserve"> On September 26, 2016</w:t>
      </w:r>
      <w:r w:rsidR="00BF0A03">
        <w:t>,</w:t>
      </w:r>
      <w:r>
        <w:t xml:space="preserve"> the Bureau received a sworn, notarized deposition statement under penalty of perjury, dated September 22, 2016, styled as a “Reply to Plaintiffs’ Notice of Apparent Liability for Forfeiture” for the Supreme Court of the State of New York, County of Suffolk and a sworn, notarized deposition document, dated August 16, 2016, signed by Mr. Steven Blumenstock.  The Bureau treat</w:t>
      </w:r>
      <w:r w:rsidR="008143FD">
        <w:t>s</w:t>
      </w:r>
      <w:r>
        <w:t xml:space="preserve"> these documents as Mr. Braver’s Response to the </w:t>
      </w:r>
      <w:r w:rsidRPr="007F532C">
        <w:rPr>
          <w:i/>
        </w:rPr>
        <w:t>NAL</w:t>
      </w:r>
      <w:r>
        <w:t xml:space="preserve"> in EB-TCD-15-00020134.</w:t>
      </w:r>
    </w:p>
  </w:footnote>
  <w:footnote w:id="8">
    <w:p w:rsidR="00330FDC" w:rsidRDefault="00330FDC" w:rsidP="00330FDC">
      <w:pPr>
        <w:pStyle w:val="FootnoteText"/>
      </w:pPr>
      <w:r>
        <w:rPr>
          <w:rStyle w:val="FootnoteReference"/>
        </w:rPr>
        <w:footnoteRef/>
      </w:r>
      <w:r>
        <w:t xml:space="preserve"> Affidavit of Steven Blumenstock, Aug. 16, 2016 (on file in File No. EB-TCD-15-00020134) (Blumenstock Affidavit).</w:t>
      </w:r>
    </w:p>
  </w:footnote>
  <w:footnote w:id="9">
    <w:p w:rsidR="00330FDC" w:rsidRPr="008C64CB" w:rsidRDefault="00330FDC" w:rsidP="00330FDC">
      <w:pPr>
        <w:pStyle w:val="FootnoteText"/>
      </w:pPr>
      <w:r>
        <w:rPr>
          <w:rStyle w:val="FootnoteReference"/>
        </w:rPr>
        <w:footnoteRef/>
      </w:r>
      <w:r>
        <w:t xml:space="preserve"> </w:t>
      </w:r>
      <w:r>
        <w:rPr>
          <w:i/>
        </w:rPr>
        <w:t>Steven Blumenstock</w:t>
      </w:r>
      <w:r>
        <w:t>, Forfeiture Order, DA 17-57 (</w:t>
      </w:r>
      <w:r w:rsidR="00DF7F7C">
        <w:t xml:space="preserve">EB </w:t>
      </w:r>
      <w:r>
        <w:t>Jan. 13, 2017).</w:t>
      </w:r>
    </w:p>
  </w:footnote>
  <w:footnote w:id="10">
    <w:p w:rsidR="00330FDC" w:rsidRPr="00FC5A5A" w:rsidRDefault="00330FDC" w:rsidP="00330FDC">
      <w:pPr>
        <w:pStyle w:val="FootnoteText"/>
      </w:pPr>
      <w:r>
        <w:rPr>
          <w:rStyle w:val="FootnoteReference"/>
        </w:rPr>
        <w:footnoteRef/>
      </w:r>
      <w:r>
        <w:t xml:space="preserve"> </w:t>
      </w:r>
      <w:r>
        <w:rPr>
          <w:i/>
        </w:rPr>
        <w:t>Gary Braver</w:t>
      </w:r>
      <w:r>
        <w:t>, Reply to Plaintiffs’ Notice of Apparent Liability for Forfeiture (Sept. 26, 2016) (on file in File No. EB-TCD-15-000</w:t>
      </w:r>
      <w:r w:rsidR="00DF221F">
        <w:t>20134)</w:t>
      </w:r>
      <w:r>
        <w:t>.</w:t>
      </w:r>
    </w:p>
  </w:footnote>
  <w:footnote w:id="11">
    <w:p w:rsidR="00330FDC" w:rsidRPr="00BA089F" w:rsidRDefault="00330FDC" w:rsidP="00330FDC">
      <w:pPr>
        <w:pStyle w:val="FootnoteText"/>
      </w:pPr>
      <w:r>
        <w:rPr>
          <w:rStyle w:val="FootnoteReference"/>
        </w:rPr>
        <w:footnoteRef/>
      </w:r>
      <w:r>
        <w:t xml:space="preserve"> </w:t>
      </w:r>
      <w:r>
        <w:rPr>
          <w:i/>
        </w:rPr>
        <w:t>Id</w:t>
      </w:r>
      <w:r>
        <w:t>. at 6.</w:t>
      </w:r>
    </w:p>
  </w:footnote>
  <w:footnote w:id="12">
    <w:p w:rsidR="00330FDC" w:rsidRDefault="00330FDC" w:rsidP="00330FDC">
      <w:pPr>
        <w:pStyle w:val="FootnoteText"/>
      </w:pPr>
      <w:r>
        <w:rPr>
          <w:rStyle w:val="FootnoteReference"/>
        </w:rPr>
        <w:footnoteRef/>
      </w:r>
      <w:r>
        <w:t xml:space="preserve"> </w:t>
      </w:r>
      <w:r>
        <w:rPr>
          <w:i/>
        </w:rPr>
        <w:t>Id</w:t>
      </w:r>
      <w:r>
        <w:t>. at 3-4 (explaining</w:t>
      </w:r>
      <w:r>
        <w:rPr>
          <w:i/>
        </w:rPr>
        <w:t xml:space="preserve"> </w:t>
      </w:r>
      <w:r>
        <w:t xml:space="preserve">that </w:t>
      </w:r>
      <w:r w:rsidRPr="00BA089F">
        <w:t>Mr</w:t>
      </w:r>
      <w:r w:rsidR="00BE0FFE">
        <w:t>. Braver and Lynn Gottlie</w:t>
      </w:r>
      <w:r>
        <w:t>b</w:t>
      </w:r>
      <w:r w:rsidR="00BE0FFE">
        <w:t xml:space="preserve"> Blumenstock</w:t>
      </w:r>
      <w:r>
        <w:t xml:space="preserve">, Steven Blumenstock’s ex-wife, are involved in a personal relationship and his calls to that telephone number were associated with that relationship).  </w:t>
      </w:r>
    </w:p>
  </w:footnote>
  <w:footnote w:id="13">
    <w:p w:rsidR="00330FDC" w:rsidRPr="00551A85" w:rsidRDefault="00330FDC" w:rsidP="00330FDC">
      <w:pPr>
        <w:pStyle w:val="FootnoteText"/>
      </w:pPr>
      <w:r>
        <w:rPr>
          <w:rStyle w:val="FootnoteReference"/>
        </w:rPr>
        <w:footnoteRef/>
      </w:r>
      <w:r>
        <w:t xml:space="preserve"> </w:t>
      </w:r>
      <w:r>
        <w:rPr>
          <w:i/>
        </w:rPr>
        <w:t>Id.</w:t>
      </w:r>
      <w:r>
        <w:t xml:space="preserve"> at 4.</w:t>
      </w:r>
    </w:p>
  </w:footnote>
  <w:footnote w:id="14">
    <w:p w:rsidR="00330FDC" w:rsidRDefault="00330FDC" w:rsidP="00330FDC">
      <w:pPr>
        <w:pStyle w:val="FootnoteText"/>
      </w:pPr>
      <w:r>
        <w:rPr>
          <w:rStyle w:val="FootnoteReference"/>
        </w:rPr>
        <w:footnoteRef/>
      </w:r>
      <w:r>
        <w:t xml:space="preserve"> </w:t>
      </w:r>
      <w:r>
        <w:rPr>
          <w:i/>
        </w:rPr>
        <w:t xml:space="preserve">See </w:t>
      </w:r>
      <w:r>
        <w:t>Blumenstock Affidavit.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0A8" w:rsidRDefault="001030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330FDC">
      <w:t xml:space="preserve">DA </w:t>
    </w:r>
    <w:r w:rsidR="00CB4E54">
      <w:t>17-740</w:t>
    </w:r>
  </w:p>
  <w:p w:rsidR="00D25FB5" w:rsidRDefault="001E74C0">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1E74C0"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330FDC">
      <w:rPr>
        <w:spacing w:val="-2"/>
      </w:rPr>
      <w:t xml:space="preserve">DA </w:t>
    </w:r>
    <w:r w:rsidR="00CB4E54" w:rsidRPr="00CB4E54">
      <w:rPr>
        <w:spacing w:val="-2"/>
      </w:rPr>
      <w:t>17-740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0FDC"/>
    <w:rsid w:val="00036039"/>
    <w:rsid w:val="00037F90"/>
    <w:rsid w:val="00042D97"/>
    <w:rsid w:val="00070FC9"/>
    <w:rsid w:val="00076A8F"/>
    <w:rsid w:val="000875BF"/>
    <w:rsid w:val="00096D8C"/>
    <w:rsid w:val="000C0B65"/>
    <w:rsid w:val="000E05FE"/>
    <w:rsid w:val="000E3D42"/>
    <w:rsid w:val="001030A8"/>
    <w:rsid w:val="00122BD5"/>
    <w:rsid w:val="00133F79"/>
    <w:rsid w:val="00194A66"/>
    <w:rsid w:val="001B0F3B"/>
    <w:rsid w:val="001D6BCF"/>
    <w:rsid w:val="001E01CA"/>
    <w:rsid w:val="001E74C0"/>
    <w:rsid w:val="002265C9"/>
    <w:rsid w:val="002476DF"/>
    <w:rsid w:val="00275CF5"/>
    <w:rsid w:val="00280097"/>
    <w:rsid w:val="0028301F"/>
    <w:rsid w:val="00285017"/>
    <w:rsid w:val="002A2D2E"/>
    <w:rsid w:val="002C00E8"/>
    <w:rsid w:val="002D305D"/>
    <w:rsid w:val="00306141"/>
    <w:rsid w:val="00330FDC"/>
    <w:rsid w:val="00343749"/>
    <w:rsid w:val="003660ED"/>
    <w:rsid w:val="003B0550"/>
    <w:rsid w:val="003B694F"/>
    <w:rsid w:val="003F171C"/>
    <w:rsid w:val="00412FC5"/>
    <w:rsid w:val="00422276"/>
    <w:rsid w:val="004242F1"/>
    <w:rsid w:val="00436156"/>
    <w:rsid w:val="00445A00"/>
    <w:rsid w:val="00451B0F"/>
    <w:rsid w:val="00462DA6"/>
    <w:rsid w:val="004C2EE3"/>
    <w:rsid w:val="004E4A22"/>
    <w:rsid w:val="00511968"/>
    <w:rsid w:val="0055614C"/>
    <w:rsid w:val="005A7485"/>
    <w:rsid w:val="005E14C2"/>
    <w:rsid w:val="005F3B0B"/>
    <w:rsid w:val="00607BA5"/>
    <w:rsid w:val="0061180A"/>
    <w:rsid w:val="00626EB6"/>
    <w:rsid w:val="00655D03"/>
    <w:rsid w:val="00683388"/>
    <w:rsid w:val="00683F84"/>
    <w:rsid w:val="006A6A81"/>
    <w:rsid w:val="006F7393"/>
    <w:rsid w:val="0070224F"/>
    <w:rsid w:val="007115F7"/>
    <w:rsid w:val="00785689"/>
    <w:rsid w:val="0079754B"/>
    <w:rsid w:val="007A1E6D"/>
    <w:rsid w:val="007B0EB2"/>
    <w:rsid w:val="007F532C"/>
    <w:rsid w:val="00810B6F"/>
    <w:rsid w:val="008143FD"/>
    <w:rsid w:val="00822CE0"/>
    <w:rsid w:val="00841AB1"/>
    <w:rsid w:val="008C68F1"/>
    <w:rsid w:val="00921803"/>
    <w:rsid w:val="00926503"/>
    <w:rsid w:val="009726D8"/>
    <w:rsid w:val="009B5420"/>
    <w:rsid w:val="009F76DB"/>
    <w:rsid w:val="00A23049"/>
    <w:rsid w:val="00A32C3B"/>
    <w:rsid w:val="00A45F4F"/>
    <w:rsid w:val="00A600A9"/>
    <w:rsid w:val="00A92DCE"/>
    <w:rsid w:val="00AA55B7"/>
    <w:rsid w:val="00AA5B9E"/>
    <w:rsid w:val="00AB2407"/>
    <w:rsid w:val="00AB53DF"/>
    <w:rsid w:val="00B07E5C"/>
    <w:rsid w:val="00B648CD"/>
    <w:rsid w:val="00B811F7"/>
    <w:rsid w:val="00BA5DC6"/>
    <w:rsid w:val="00BA6196"/>
    <w:rsid w:val="00BC6D8C"/>
    <w:rsid w:val="00BE0FFE"/>
    <w:rsid w:val="00BF0A03"/>
    <w:rsid w:val="00C34006"/>
    <w:rsid w:val="00C426B1"/>
    <w:rsid w:val="00C66160"/>
    <w:rsid w:val="00C721AC"/>
    <w:rsid w:val="00C90D6A"/>
    <w:rsid w:val="00CA247E"/>
    <w:rsid w:val="00CB4E54"/>
    <w:rsid w:val="00CC72B6"/>
    <w:rsid w:val="00D0218D"/>
    <w:rsid w:val="00D25FB5"/>
    <w:rsid w:val="00D44223"/>
    <w:rsid w:val="00DA2529"/>
    <w:rsid w:val="00DA6EB9"/>
    <w:rsid w:val="00DB130A"/>
    <w:rsid w:val="00DB2EBB"/>
    <w:rsid w:val="00DC10A1"/>
    <w:rsid w:val="00DC655F"/>
    <w:rsid w:val="00DD0B59"/>
    <w:rsid w:val="00DD7EBD"/>
    <w:rsid w:val="00DF221F"/>
    <w:rsid w:val="00DF62B6"/>
    <w:rsid w:val="00DF7F7C"/>
    <w:rsid w:val="00E07225"/>
    <w:rsid w:val="00E5409F"/>
    <w:rsid w:val="00E83C7B"/>
    <w:rsid w:val="00EE6488"/>
    <w:rsid w:val="00F021FA"/>
    <w:rsid w:val="00F62E97"/>
    <w:rsid w:val="00F64209"/>
    <w:rsid w:val="00F93BF5"/>
    <w:rsid w:val="00FC2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1"/>
    <w:rsid w:val="000E3D42"/>
    <w:pPr>
      <w:spacing w:after="120"/>
    </w:pPr>
  </w:style>
  <w:style w:type="character" w:styleId="FootnoteReference">
    <w:name w:val="footnote reference"/>
    <w:aliases w:val="Style 4,Appel note de bas de p,Style 12,(NECG) Footnote Reference,Style 124,Style 13,o,fr,Style 3,Footnote Reference1,FR,Style 17,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link w:val="Heading1"/>
    <w:locked/>
    <w:rsid w:val="00330FDC"/>
    <w:rPr>
      <w:rFonts w:ascii="Times New Roman Bold" w:hAnsi="Times New Roman Bold"/>
      <w:b/>
      <w:caps/>
      <w:snapToGrid w:val="0"/>
      <w:kern w:val="28"/>
      <w:sz w:val="22"/>
    </w:rPr>
  </w:style>
  <w:style w:type="paragraph" w:styleId="BodyText">
    <w:name w:val="Body Text"/>
    <w:aliases w:val="b"/>
    <w:basedOn w:val="Normal"/>
    <w:link w:val="BodyTextChar"/>
    <w:uiPriority w:val="99"/>
    <w:rsid w:val="00330FDC"/>
    <w:rPr>
      <w:b/>
      <w:kern w:val="0"/>
      <w:sz w:val="24"/>
      <w:u w:val="single"/>
    </w:rPr>
  </w:style>
  <w:style w:type="character" w:customStyle="1" w:styleId="BodyTextChar">
    <w:name w:val="Body Text Char"/>
    <w:aliases w:val="b Char"/>
    <w:link w:val="BodyText"/>
    <w:uiPriority w:val="99"/>
    <w:rsid w:val="00330FDC"/>
    <w:rPr>
      <w:b/>
      <w:snapToGrid w:val="0"/>
      <w:sz w:val="24"/>
      <w:u w:val="single"/>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locked/>
    <w:rsid w:val="00330FDC"/>
  </w:style>
  <w:style w:type="character" w:customStyle="1" w:styleId="ParaNumChar">
    <w:name w:val="ParaNum Char"/>
    <w:link w:val="ParaNum"/>
    <w:locked/>
    <w:rsid w:val="00330FDC"/>
    <w:rPr>
      <w:snapToGrid w:val="0"/>
      <w:kern w:val="28"/>
      <w:sz w:val="22"/>
    </w:rPr>
  </w:style>
  <w:style w:type="character" w:customStyle="1" w:styleId="HeaderChar">
    <w:name w:val="Header Char"/>
    <w:link w:val="Header"/>
    <w:locked/>
    <w:rsid w:val="00330FDC"/>
    <w:rPr>
      <w:b/>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771</Words>
  <Characters>3959</Characters>
  <Application>Microsoft Office Word</Application>
  <DocSecurity>0</DocSecurity>
  <Lines>84</Lines>
  <Paragraphs>32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Orders TOC by Paragraph.dot</vt:lpstr>
      <vt:lpstr>INTRODUCTION</vt:lpstr>
      <vt:lpstr>Background</vt:lpstr>
      <vt:lpstr>Discussion  </vt:lpstr>
      <vt:lpstr>conclusion</vt:lpstr>
      <vt:lpstr>ordering clauses</vt:lpstr>
    </vt:vector>
  </TitlesOfParts>
  <Manager/>
  <Company/>
  <LinksUpToDate>false</LinksUpToDate>
  <CharactersWithSpaces>4741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2017-08-04T18:18:00Z</dcterms:created>
  <dcterms:modified xsi:type="dcterms:W3CDTF">2017-08-04T18:18:00Z</dcterms:modified>
  <cp:category> </cp:category>
  <cp:contentStatus> </cp:contentStatus>
</cp:coreProperties>
</file>