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90734" w14:textId="77777777" w:rsidR="00353DED" w:rsidRDefault="00353DED">
      <w:pPr>
        <w:keepNext/>
        <w:widowControl/>
        <w:jc w:val="center"/>
        <w:rPr>
          <w:b/>
        </w:rPr>
      </w:pPr>
      <w:bookmarkStart w:id="0" w:name="_GoBack"/>
      <w:bookmarkEnd w:id="0"/>
      <w:r>
        <w:rPr>
          <w:b/>
        </w:rPr>
        <w:t>Before the</w:t>
      </w:r>
    </w:p>
    <w:p w14:paraId="5F961906" w14:textId="77777777" w:rsidR="00353DED" w:rsidRDefault="00353DED">
      <w:pPr>
        <w:keepNext/>
        <w:widowControl/>
        <w:jc w:val="center"/>
        <w:rPr>
          <w:b/>
        </w:rPr>
      </w:pPr>
      <w:r>
        <w:rPr>
          <w:b/>
        </w:rPr>
        <w:t>Federal Communications Commission</w:t>
      </w:r>
    </w:p>
    <w:p w14:paraId="1C4AF1CB" w14:textId="77777777" w:rsidR="00353DED" w:rsidRDefault="00353DED">
      <w:pPr>
        <w:keepNext/>
        <w:widowControl/>
        <w:jc w:val="center"/>
        <w:rPr>
          <w:b/>
        </w:rPr>
      </w:pPr>
      <w:r>
        <w:rPr>
          <w:b/>
        </w:rPr>
        <w:t>Washington, D.C. 20554</w:t>
      </w:r>
    </w:p>
    <w:p w14:paraId="022AC0D5" w14:textId="77777777" w:rsidR="00353DED" w:rsidRDefault="00353DED">
      <w:pPr>
        <w:keepNext/>
        <w:widowControl/>
        <w:tabs>
          <w:tab w:val="left" w:pos="-720"/>
        </w:tabs>
        <w:suppressAutoHyphens/>
        <w:spacing w:line="227" w:lineRule="auto"/>
        <w:jc w:val="left"/>
      </w:pPr>
    </w:p>
    <w:p w14:paraId="3D3454D1" w14:textId="77777777" w:rsidR="004F2C3E" w:rsidRDefault="004F2C3E">
      <w:pPr>
        <w:keepNext/>
        <w:widowControl/>
        <w:tabs>
          <w:tab w:val="left" w:pos="-720"/>
        </w:tabs>
        <w:suppressAutoHyphens/>
        <w:spacing w:line="227" w:lineRule="auto"/>
        <w:jc w:val="left"/>
      </w:pPr>
    </w:p>
    <w:tbl>
      <w:tblPr>
        <w:tblW w:w="0" w:type="auto"/>
        <w:tblLayout w:type="fixed"/>
        <w:tblLook w:val="0000" w:firstRow="0" w:lastRow="0" w:firstColumn="0" w:lastColumn="0" w:noHBand="0" w:noVBand="0"/>
      </w:tblPr>
      <w:tblGrid>
        <w:gridCol w:w="4698"/>
        <w:gridCol w:w="630"/>
        <w:gridCol w:w="4248"/>
      </w:tblGrid>
      <w:tr w:rsidR="00353DED" w14:paraId="495D6256" w14:textId="77777777">
        <w:trPr>
          <w:trHeight w:val="1017"/>
        </w:trPr>
        <w:tc>
          <w:tcPr>
            <w:tcW w:w="4698" w:type="dxa"/>
          </w:tcPr>
          <w:p w14:paraId="1BA69A91" w14:textId="77777777" w:rsidR="00353DED" w:rsidRDefault="00353DED">
            <w:pPr>
              <w:keepNext/>
              <w:widowControl/>
              <w:tabs>
                <w:tab w:val="center" w:pos="4680"/>
              </w:tabs>
              <w:suppressAutoHyphens/>
              <w:jc w:val="left"/>
            </w:pPr>
            <w:r>
              <w:t>In the Matter of</w:t>
            </w:r>
          </w:p>
          <w:p w14:paraId="61845F7A" w14:textId="77777777" w:rsidR="00353DED" w:rsidRDefault="00353DED">
            <w:pPr>
              <w:keepNext/>
              <w:widowControl/>
              <w:tabs>
                <w:tab w:val="center" w:pos="4680"/>
              </w:tabs>
              <w:suppressAutoHyphens/>
              <w:jc w:val="left"/>
            </w:pPr>
          </w:p>
          <w:p w14:paraId="2E4FAB01" w14:textId="77777777" w:rsidR="00353DED" w:rsidRDefault="00353DED">
            <w:pPr>
              <w:keepNext/>
              <w:widowControl/>
              <w:tabs>
                <w:tab w:val="center" w:pos="4680"/>
              </w:tabs>
              <w:suppressAutoHyphens/>
              <w:jc w:val="left"/>
            </w:pPr>
            <w:r>
              <w:t>National Exchange Carrier Association, Inc.</w:t>
            </w:r>
          </w:p>
          <w:p w14:paraId="41601D7B" w14:textId="4CAAA059" w:rsidR="00353DED" w:rsidRDefault="00353DED" w:rsidP="00377466">
            <w:pPr>
              <w:keepNext/>
              <w:widowControl/>
              <w:tabs>
                <w:tab w:val="center" w:pos="4680"/>
              </w:tabs>
              <w:suppressAutoHyphens/>
              <w:jc w:val="left"/>
            </w:pPr>
            <w:r>
              <w:t>201</w:t>
            </w:r>
            <w:r w:rsidR="00377466">
              <w:t>7</w:t>
            </w:r>
            <w:r>
              <w:t xml:space="preserve"> Modification of Average Schedules</w:t>
            </w:r>
          </w:p>
        </w:tc>
        <w:tc>
          <w:tcPr>
            <w:tcW w:w="630" w:type="dxa"/>
          </w:tcPr>
          <w:p w14:paraId="1F57C28A" w14:textId="77777777" w:rsidR="00353DED" w:rsidRDefault="00353DED">
            <w:pPr>
              <w:keepNext/>
              <w:widowControl/>
              <w:tabs>
                <w:tab w:val="center" w:pos="4680"/>
              </w:tabs>
              <w:suppressAutoHyphens/>
              <w:jc w:val="left"/>
              <w:rPr>
                <w:b/>
              </w:rPr>
            </w:pPr>
            <w:r>
              <w:rPr>
                <w:b/>
              </w:rPr>
              <w:t>)</w:t>
            </w:r>
          </w:p>
          <w:p w14:paraId="04CEED38" w14:textId="77777777" w:rsidR="00353DED" w:rsidRDefault="00353DED">
            <w:pPr>
              <w:keepNext/>
              <w:widowControl/>
              <w:tabs>
                <w:tab w:val="center" w:pos="4680"/>
              </w:tabs>
              <w:suppressAutoHyphens/>
              <w:jc w:val="left"/>
              <w:rPr>
                <w:b/>
              </w:rPr>
            </w:pPr>
            <w:r>
              <w:rPr>
                <w:b/>
              </w:rPr>
              <w:t>)</w:t>
            </w:r>
          </w:p>
          <w:p w14:paraId="116F42F5" w14:textId="77777777" w:rsidR="00353DED" w:rsidRDefault="00353DED">
            <w:pPr>
              <w:keepNext/>
              <w:widowControl/>
              <w:tabs>
                <w:tab w:val="center" w:pos="4680"/>
              </w:tabs>
              <w:suppressAutoHyphens/>
              <w:jc w:val="left"/>
              <w:rPr>
                <w:b/>
              </w:rPr>
            </w:pPr>
            <w:r>
              <w:rPr>
                <w:b/>
              </w:rPr>
              <w:t>)</w:t>
            </w:r>
          </w:p>
          <w:p w14:paraId="74685AA9" w14:textId="77777777" w:rsidR="00353DED" w:rsidRDefault="00353DED">
            <w:pPr>
              <w:keepNext/>
              <w:widowControl/>
              <w:tabs>
                <w:tab w:val="center" w:pos="4680"/>
              </w:tabs>
              <w:suppressAutoHyphens/>
              <w:jc w:val="left"/>
              <w:rPr>
                <w:b/>
              </w:rPr>
            </w:pPr>
            <w:r>
              <w:rPr>
                <w:b/>
              </w:rPr>
              <w:t>)</w:t>
            </w:r>
          </w:p>
          <w:p w14:paraId="626B054C" w14:textId="77777777" w:rsidR="00353DED" w:rsidRDefault="00353DED">
            <w:pPr>
              <w:keepNext/>
              <w:widowControl/>
              <w:tabs>
                <w:tab w:val="center" w:pos="4680"/>
              </w:tabs>
              <w:suppressAutoHyphens/>
              <w:jc w:val="left"/>
              <w:rPr>
                <w:b/>
              </w:rPr>
            </w:pPr>
            <w:r>
              <w:rPr>
                <w:b/>
              </w:rPr>
              <w:t>)</w:t>
            </w:r>
          </w:p>
        </w:tc>
        <w:tc>
          <w:tcPr>
            <w:tcW w:w="4248" w:type="dxa"/>
          </w:tcPr>
          <w:p w14:paraId="3EB710D9" w14:textId="77777777" w:rsidR="00353DED" w:rsidRDefault="00353DED">
            <w:pPr>
              <w:keepNext/>
              <w:widowControl/>
              <w:tabs>
                <w:tab w:val="center" w:pos="4680"/>
              </w:tabs>
              <w:suppressAutoHyphens/>
              <w:jc w:val="left"/>
            </w:pPr>
          </w:p>
          <w:p w14:paraId="100E1F50" w14:textId="77777777" w:rsidR="00353DED" w:rsidRDefault="00353DED">
            <w:pPr>
              <w:keepNext/>
              <w:widowControl/>
              <w:tabs>
                <w:tab w:val="center" w:pos="4680"/>
              </w:tabs>
              <w:suppressAutoHyphens/>
              <w:jc w:val="left"/>
            </w:pPr>
          </w:p>
          <w:p w14:paraId="08D408AC" w14:textId="70E51451" w:rsidR="00353DED" w:rsidRDefault="00353DED" w:rsidP="00377466">
            <w:pPr>
              <w:keepNext/>
              <w:widowControl/>
              <w:tabs>
                <w:tab w:val="center" w:pos="4680"/>
              </w:tabs>
              <w:suppressAutoHyphens/>
              <w:jc w:val="left"/>
            </w:pPr>
            <w:r>
              <w:t xml:space="preserve">WC Docket No. </w:t>
            </w:r>
            <w:r w:rsidR="00377466">
              <w:t>16</w:t>
            </w:r>
            <w:r w:rsidR="00DA3A4F">
              <w:t>-</w:t>
            </w:r>
            <w:r w:rsidR="00377466">
              <w:t>400</w:t>
            </w:r>
          </w:p>
        </w:tc>
      </w:tr>
    </w:tbl>
    <w:p w14:paraId="1E924B65" w14:textId="77777777" w:rsidR="00353DED" w:rsidRDefault="00353DED">
      <w:pPr>
        <w:keepNext/>
        <w:widowControl/>
        <w:jc w:val="left"/>
      </w:pPr>
    </w:p>
    <w:p w14:paraId="0FC7E66C" w14:textId="77777777" w:rsidR="00353DED" w:rsidRDefault="00353DED">
      <w:pPr>
        <w:pStyle w:val="Heading1"/>
        <w:widowControl/>
        <w:numPr>
          <w:ilvl w:val="0"/>
          <w:numId w:val="0"/>
        </w:numPr>
      </w:pPr>
      <w:r>
        <w:t>order</w:t>
      </w:r>
    </w:p>
    <w:p w14:paraId="02DF7775" w14:textId="21EFD8B3" w:rsidR="00353DED" w:rsidRDefault="00353DED">
      <w:pPr>
        <w:keepNext/>
        <w:widowControl/>
        <w:tabs>
          <w:tab w:val="left" w:pos="720"/>
          <w:tab w:val="left" w:pos="5760"/>
        </w:tabs>
        <w:suppressAutoHyphens/>
        <w:spacing w:line="227" w:lineRule="auto"/>
        <w:jc w:val="left"/>
      </w:pPr>
      <w:r>
        <w:rPr>
          <w:b/>
        </w:rPr>
        <w:t xml:space="preserve">Adopted: </w:t>
      </w:r>
      <w:r w:rsidR="00123E8A">
        <w:rPr>
          <w:b/>
        </w:rPr>
        <w:t xml:space="preserve">May </w:t>
      </w:r>
      <w:r w:rsidR="00756EB8">
        <w:rPr>
          <w:b/>
        </w:rPr>
        <w:t>26</w:t>
      </w:r>
      <w:r>
        <w:rPr>
          <w:b/>
        </w:rPr>
        <w:t>, 201</w:t>
      </w:r>
      <w:r w:rsidR="00377466">
        <w:rPr>
          <w:b/>
        </w:rPr>
        <w:t>7</w:t>
      </w:r>
      <w:r>
        <w:rPr>
          <w:b/>
        </w:rPr>
        <w:tab/>
      </w:r>
      <w:r>
        <w:rPr>
          <w:b/>
        </w:rPr>
        <w:tab/>
      </w:r>
      <w:r>
        <w:rPr>
          <w:b/>
        </w:rPr>
        <w:tab/>
      </w:r>
      <w:r>
        <w:rPr>
          <w:b/>
        </w:rPr>
        <w:tab/>
        <w:t xml:space="preserve">Released: </w:t>
      </w:r>
      <w:r w:rsidR="00123E8A">
        <w:rPr>
          <w:b/>
        </w:rPr>
        <w:t xml:space="preserve">May </w:t>
      </w:r>
      <w:r w:rsidR="00756EB8">
        <w:rPr>
          <w:b/>
        </w:rPr>
        <w:t>26</w:t>
      </w:r>
      <w:r>
        <w:rPr>
          <w:b/>
        </w:rPr>
        <w:t>, 201</w:t>
      </w:r>
      <w:r w:rsidR="00377466">
        <w:rPr>
          <w:b/>
        </w:rPr>
        <w:t>7</w:t>
      </w:r>
    </w:p>
    <w:p w14:paraId="51F67C26" w14:textId="77777777" w:rsidR="00353DED" w:rsidRDefault="00353DED">
      <w:pPr>
        <w:keepNext/>
        <w:widowControl/>
        <w:jc w:val="left"/>
      </w:pPr>
    </w:p>
    <w:p w14:paraId="7805A3EE" w14:textId="77777777" w:rsidR="00353DED" w:rsidRDefault="00353DED">
      <w:pPr>
        <w:keepNext/>
        <w:widowControl/>
        <w:jc w:val="left"/>
      </w:pPr>
      <w:r>
        <w:t>By the Chief, Pricing Policy Division</w:t>
      </w:r>
      <w:r w:rsidR="005F53F7">
        <w:t>, Wireline Competition Bureau</w:t>
      </w:r>
      <w:r>
        <w:t>:</w:t>
      </w:r>
    </w:p>
    <w:p w14:paraId="0B6EE869" w14:textId="77777777" w:rsidR="00353DED" w:rsidRDefault="00353DED">
      <w:pPr>
        <w:keepNext/>
        <w:widowControl/>
        <w:jc w:val="left"/>
      </w:pPr>
    </w:p>
    <w:p w14:paraId="38D6BCDE" w14:textId="4886E5AB" w:rsidR="006A704A" w:rsidRDefault="006F4165" w:rsidP="005430F3">
      <w:pPr>
        <w:pStyle w:val="ParaNum"/>
        <w:spacing w:after="120"/>
        <w:ind w:left="86"/>
        <w:jc w:val="left"/>
      </w:pPr>
      <w:r>
        <w:t>In this O</w:t>
      </w:r>
      <w:r w:rsidR="006A51BC">
        <w:t xml:space="preserve">rder, </w:t>
      </w:r>
      <w:r w:rsidR="008772EB">
        <w:t xml:space="preserve">the Wireline Competition Bureau (Bureau) </w:t>
      </w:r>
      <w:r w:rsidR="006A51BC">
        <w:t>approve</w:t>
      </w:r>
      <w:r w:rsidR="008772EB">
        <w:t>s</w:t>
      </w:r>
      <w:r w:rsidR="006A51BC">
        <w:t xml:space="preserve"> the </w:t>
      </w:r>
      <w:r w:rsidR="002E6E72" w:rsidRPr="002E6E72">
        <w:t xml:space="preserve">formulas for average schedule interstate settlement disbursements in connection with the provision of interstate access services </w:t>
      </w:r>
      <w:r w:rsidR="006A51BC">
        <w:t>proposed by the National Carrier Exchange Association, Inc. (NECA)</w:t>
      </w:r>
      <w:r>
        <w:t>,</w:t>
      </w:r>
      <w:r w:rsidR="006A51BC">
        <w:t xml:space="preserve"> </w:t>
      </w:r>
      <w:r>
        <w:t xml:space="preserve">pursuant to section 69.606 of the Commission’s rules, </w:t>
      </w:r>
      <w:r w:rsidR="006A51BC">
        <w:t>for a one-year period beginning July 1, 2017.</w:t>
      </w:r>
      <w:r>
        <w:rPr>
          <w:rStyle w:val="FootnoteReference"/>
        </w:rPr>
        <w:footnoteReference w:id="2"/>
      </w:r>
      <w:r w:rsidR="006A51BC">
        <w:t xml:space="preserve">  </w:t>
      </w:r>
      <w:r w:rsidR="00377466">
        <w:t>On May 3,</w:t>
      </w:r>
      <w:r w:rsidR="00632825">
        <w:t xml:space="preserve"> 2017,</w:t>
      </w:r>
      <w:r w:rsidR="004616A2">
        <w:t xml:space="preserve"> NECA</w:t>
      </w:r>
      <w:r w:rsidR="001466F7">
        <w:t xml:space="preserve"> proposed a</w:t>
      </w:r>
      <w:r w:rsidR="00632825">
        <w:t xml:space="preserve"> </w:t>
      </w:r>
      <w:r w:rsidR="00377466" w:rsidRPr="00377466">
        <w:t>revision</w:t>
      </w:r>
      <w:r w:rsidR="00632825">
        <w:t xml:space="preserve"> to </w:t>
      </w:r>
      <w:r w:rsidR="009A37FD">
        <w:t>its initial</w:t>
      </w:r>
      <w:r w:rsidR="00506418">
        <w:t xml:space="preserve"> </w:t>
      </w:r>
      <w:r w:rsidR="004E5029">
        <w:t>December 22 Filing</w:t>
      </w:r>
      <w:r w:rsidR="009A37FD">
        <w:t>,</w:t>
      </w:r>
      <w:r w:rsidR="00632825">
        <w:t xml:space="preserve"> </w:t>
      </w:r>
      <w:r w:rsidR="00B6730F">
        <w:t>which affect</w:t>
      </w:r>
      <w:r w:rsidR="001466F7">
        <w:t>s</w:t>
      </w:r>
      <w:r w:rsidR="00377466" w:rsidRPr="00377466">
        <w:t xml:space="preserve"> settlement payments for common line and </w:t>
      </w:r>
      <w:r w:rsidR="00377466">
        <w:t xml:space="preserve">Consumer </w:t>
      </w:r>
      <w:r w:rsidR="004616A2">
        <w:t>Broadband-o</w:t>
      </w:r>
      <w:r w:rsidR="00377466">
        <w:t>nly Loops (C</w:t>
      </w:r>
      <w:r w:rsidR="00377466" w:rsidRPr="00377466">
        <w:t>BOL</w:t>
      </w:r>
      <w:r w:rsidR="00377466">
        <w:t>)</w:t>
      </w:r>
      <w:r w:rsidR="00377466" w:rsidRPr="00377466">
        <w:t>.</w:t>
      </w:r>
      <w:r w:rsidR="00377466" w:rsidRPr="00B10D3F">
        <w:rPr>
          <w:rStyle w:val="FootnoteReference"/>
          <w:color w:val="000000"/>
          <w:szCs w:val="22"/>
        </w:rPr>
        <w:footnoteReference w:id="3"/>
      </w:r>
      <w:r w:rsidR="00C50C9B">
        <w:t xml:space="preserve"> </w:t>
      </w:r>
      <w:r w:rsidR="00632825">
        <w:t xml:space="preserve"> </w:t>
      </w:r>
      <w:r w:rsidR="00971102">
        <w:t>O</w:t>
      </w:r>
      <w:r w:rsidR="00832CDD">
        <w:t xml:space="preserve">n May 11, 2017, </w:t>
      </w:r>
      <w:r w:rsidR="00971102">
        <w:t xml:space="preserve">following a request by Division staff, </w:t>
      </w:r>
      <w:r w:rsidR="00832CDD">
        <w:t>NECA clarified the effect of th</w:t>
      </w:r>
      <w:r w:rsidR="00D81B66">
        <w:t>e May 3, 2017 proposed revision</w:t>
      </w:r>
      <w:r w:rsidR="00832CDD">
        <w:t>.</w:t>
      </w:r>
      <w:r w:rsidR="00832CDD">
        <w:rPr>
          <w:rStyle w:val="FootnoteReference"/>
        </w:rPr>
        <w:footnoteReference w:id="4"/>
      </w:r>
      <w:r w:rsidR="00832CDD">
        <w:t xml:space="preserve"> </w:t>
      </w:r>
      <w:r w:rsidR="00FA0943">
        <w:t xml:space="preserve"> </w:t>
      </w:r>
      <w:r w:rsidR="006A704A" w:rsidRPr="00506418">
        <w:t xml:space="preserve">For the reasons set forth below, we </w:t>
      </w:r>
      <w:r w:rsidR="006A704A">
        <w:t xml:space="preserve">approve the average schedule formulas as proposed by NECA. </w:t>
      </w:r>
    </w:p>
    <w:p w14:paraId="3150839E" w14:textId="6CE1B5D4" w:rsidR="00506418" w:rsidRDefault="00506418" w:rsidP="005430F3">
      <w:pPr>
        <w:pStyle w:val="ParaNum"/>
        <w:spacing w:after="120"/>
        <w:ind w:left="86"/>
        <w:jc w:val="left"/>
      </w:pPr>
      <w:r>
        <w:t>According to NECA, the common line, DSL Voice-Data, and Broadband-Only Second Mile settlement formulas proposed in the December 22 Filing</w:t>
      </w:r>
      <w:r w:rsidRPr="0004012D">
        <w:t xml:space="preserve"> </w:t>
      </w:r>
      <w:r>
        <w:t>reflect the same general structures and methods as current formulas.</w:t>
      </w:r>
      <w:r w:rsidRPr="00B10D3F">
        <w:rPr>
          <w:rStyle w:val="FootnoteReference"/>
          <w:szCs w:val="22"/>
        </w:rPr>
        <w:footnoteReference w:id="5"/>
      </w:r>
      <w:r>
        <w:rPr>
          <w:szCs w:val="22"/>
        </w:rPr>
        <w:t xml:space="preserve"> </w:t>
      </w:r>
      <w:r>
        <w:t xml:space="preserve"> </w:t>
      </w:r>
      <w:r w:rsidR="00832CDD" w:rsidRPr="00832CDD">
        <w:t xml:space="preserve">In the original proposal filed on December 22, 2016, the Loops Per Exchange (LPE) component was calculated using access lines. </w:t>
      </w:r>
      <w:r w:rsidR="009A37FD">
        <w:t xml:space="preserve"> </w:t>
      </w:r>
      <w:r w:rsidR="00832CDD" w:rsidRPr="00832CDD">
        <w:t xml:space="preserve">In the May 3, 2017 filing, NECA </w:t>
      </w:r>
      <w:r w:rsidR="00D81B66">
        <w:t>proposes to revise</w:t>
      </w:r>
      <w:r w:rsidR="00832CDD" w:rsidRPr="00832CDD">
        <w:t xml:space="preserve"> </w:t>
      </w:r>
      <w:r w:rsidR="00832CDD" w:rsidRPr="00832CDD">
        <w:lastRenderedPageBreak/>
        <w:t>the LPE calculation to use the sum of access lines and data-only lines in place of access lines.</w:t>
      </w:r>
      <w:r w:rsidR="00D81B66">
        <w:rPr>
          <w:rStyle w:val="FootnoteReference"/>
        </w:rPr>
        <w:footnoteReference w:id="6"/>
      </w:r>
      <w:r w:rsidR="00832CDD">
        <w:t xml:space="preserve">  </w:t>
      </w:r>
      <w:r>
        <w:t>NECA</w:t>
      </w:r>
      <w:r w:rsidR="000B745D">
        <w:t xml:space="preserve"> states that the </w:t>
      </w:r>
      <w:r w:rsidRPr="00B10D3F">
        <w:t>propose</w:t>
      </w:r>
      <w:r>
        <w:t>d</w:t>
      </w:r>
      <w:r w:rsidRPr="00B10D3F">
        <w:t xml:space="preserve"> formula changes</w:t>
      </w:r>
      <w:r w:rsidRPr="00506418">
        <w:t xml:space="preserve"> would</w:t>
      </w:r>
      <w:r>
        <w:t>, on average,</w:t>
      </w:r>
      <w:r w:rsidRPr="00506418">
        <w:t xml:space="preserve"> increase settlement rates by 0.37 percent, at constant</w:t>
      </w:r>
      <w:r>
        <w:t xml:space="preserve"> demand levels</w:t>
      </w:r>
      <w:r w:rsidR="005376EB">
        <w:t>,</w:t>
      </w:r>
      <w:r>
        <w:t xml:space="preserve"> compared to those rates which are currently in effect</w:t>
      </w:r>
      <w:r w:rsidRPr="00506418">
        <w:t>.</w:t>
      </w:r>
      <w:r w:rsidR="008268BB" w:rsidRPr="00B10D3F">
        <w:rPr>
          <w:rStyle w:val="FootnoteReference"/>
          <w:color w:val="000000"/>
          <w:szCs w:val="22"/>
        </w:rPr>
        <w:footnoteReference w:id="7"/>
      </w:r>
    </w:p>
    <w:p w14:paraId="3DDD1010" w14:textId="79B8AF7E" w:rsidR="00353DED" w:rsidRDefault="00353DED" w:rsidP="009A37FD">
      <w:pPr>
        <w:pStyle w:val="ParaNum"/>
        <w:widowControl/>
        <w:spacing w:after="120"/>
        <w:ind w:left="86"/>
        <w:jc w:val="left"/>
      </w:pPr>
      <w:r>
        <w:t xml:space="preserve">By Public Notice </w:t>
      </w:r>
      <w:r w:rsidR="00E87A9B">
        <w:t xml:space="preserve">released </w:t>
      </w:r>
      <w:r w:rsidR="004079AB">
        <w:t>February 9</w:t>
      </w:r>
      <w:r w:rsidR="00E87A9B">
        <w:t>, 201</w:t>
      </w:r>
      <w:r w:rsidR="004079AB">
        <w:t>7</w:t>
      </w:r>
      <w:r>
        <w:t xml:space="preserve">, we sought comment on NECA’s </w:t>
      </w:r>
      <w:r w:rsidR="00E87A9B">
        <w:t>filing</w:t>
      </w:r>
      <w:r>
        <w:t>.</w:t>
      </w:r>
      <w:r>
        <w:rPr>
          <w:rStyle w:val="FootnoteReference"/>
        </w:rPr>
        <w:footnoteReference w:id="8"/>
      </w:r>
      <w:r>
        <w:t xml:space="preserve">  No comments were filed. </w:t>
      </w:r>
    </w:p>
    <w:p w14:paraId="7DE1AF66" w14:textId="2D811756" w:rsidR="00BB245A" w:rsidRDefault="008935FD" w:rsidP="009A37FD">
      <w:pPr>
        <w:pStyle w:val="ParaNum"/>
        <w:widowControl/>
        <w:spacing w:after="120"/>
        <w:ind w:left="86"/>
        <w:jc w:val="left"/>
      </w:pPr>
      <w:r>
        <w:t xml:space="preserve">We have reviewed the </w:t>
      </w:r>
      <w:r w:rsidR="00353DED">
        <w:t>NECA filing</w:t>
      </w:r>
      <w:r>
        <w:t>s</w:t>
      </w:r>
      <w:r w:rsidR="00353DED">
        <w:t xml:space="preserve"> and find that its proposed formulas are reasonable. </w:t>
      </w:r>
    </w:p>
    <w:p w14:paraId="66DC1456" w14:textId="59176801" w:rsidR="00353DED" w:rsidRDefault="00353DED" w:rsidP="009A37FD">
      <w:pPr>
        <w:pStyle w:val="ParaNum"/>
        <w:widowControl/>
        <w:spacing w:after="120"/>
        <w:ind w:left="86"/>
        <w:jc w:val="left"/>
      </w:pPr>
      <w:r>
        <w:t xml:space="preserve">Accordingly, IT IS ORDERED, </w:t>
      </w:r>
      <w:r w:rsidR="00874B31">
        <w:t xml:space="preserve">pursuant to sections 0.91, 0.291, and 69.606(a) of the Commission’s rules, 47 CFR §§ 0.91, 0.291, and 69.606(a), that the average schedule formulas proposed by the National Exchange Carrier Association, Inc., on December </w:t>
      </w:r>
      <w:r w:rsidR="00BB245A">
        <w:t>22</w:t>
      </w:r>
      <w:r w:rsidR="00874B31">
        <w:t>, 201</w:t>
      </w:r>
      <w:r w:rsidR="00BB245A">
        <w:t>6</w:t>
      </w:r>
      <w:r w:rsidR="00874B31">
        <w:t>,</w:t>
      </w:r>
      <w:r w:rsidR="00BB245A">
        <w:t xml:space="preserve"> and </w:t>
      </w:r>
      <w:r w:rsidR="00180E78">
        <w:t xml:space="preserve">revised </w:t>
      </w:r>
      <w:r w:rsidR="00BB245A">
        <w:t>on May 3, 2017</w:t>
      </w:r>
      <w:r w:rsidR="00874B31">
        <w:t xml:space="preserve"> SHALL BECOME EFFECTIVE July 1, 201</w:t>
      </w:r>
      <w:r w:rsidR="00BB245A">
        <w:t>7</w:t>
      </w:r>
      <w:r w:rsidR="00874B31">
        <w:t>, and remain in effect through June 30, 201</w:t>
      </w:r>
      <w:r w:rsidR="00BB245A">
        <w:t>8</w:t>
      </w:r>
      <w:r>
        <w:t>.</w:t>
      </w:r>
    </w:p>
    <w:p w14:paraId="240502A8" w14:textId="0914DA98" w:rsidR="00353DED" w:rsidRDefault="00353DED">
      <w:pPr>
        <w:pStyle w:val="ParaNum"/>
        <w:widowControl/>
        <w:spacing w:after="120"/>
        <w:ind w:left="86"/>
        <w:jc w:val="left"/>
      </w:pPr>
      <w:r>
        <w:t>I</w:t>
      </w:r>
      <w:r w:rsidR="00474DB6">
        <w:t>T IS FURTHER ORDERED</w:t>
      </w:r>
      <w:r w:rsidR="00146799">
        <w:t xml:space="preserve">, pursuant to section 1.102(b) of the Commission’s rules, 47 CFR § 1.102(b), </w:t>
      </w:r>
      <w:r w:rsidR="00474DB6">
        <w:t>that this O</w:t>
      </w:r>
      <w:r>
        <w:t>rder SHALL BE EFFECTIVE upon release.</w:t>
      </w:r>
    </w:p>
    <w:p w14:paraId="6F43B195" w14:textId="77777777" w:rsidR="00353DED" w:rsidRDefault="00353DED">
      <w:pPr>
        <w:widowControl/>
        <w:ind w:left="4320"/>
        <w:jc w:val="left"/>
        <w:rPr>
          <w:color w:val="000000"/>
        </w:rPr>
      </w:pPr>
    </w:p>
    <w:p w14:paraId="13009712" w14:textId="77777777" w:rsidR="00353DED" w:rsidRDefault="00353DED">
      <w:pPr>
        <w:widowControl/>
        <w:ind w:left="4320"/>
        <w:jc w:val="left"/>
        <w:rPr>
          <w:color w:val="000000"/>
        </w:rPr>
      </w:pPr>
      <w:r>
        <w:rPr>
          <w:color w:val="000000"/>
        </w:rPr>
        <w:t>FEDERAL COMMUNICATIONS COMMISSION</w:t>
      </w:r>
    </w:p>
    <w:p w14:paraId="18B03D6C" w14:textId="77777777" w:rsidR="00353DED" w:rsidRDefault="00353DED">
      <w:pPr>
        <w:widowControl/>
        <w:ind w:left="4320"/>
        <w:jc w:val="left"/>
        <w:rPr>
          <w:color w:val="000000"/>
        </w:rPr>
      </w:pPr>
    </w:p>
    <w:p w14:paraId="3C310E55" w14:textId="77777777" w:rsidR="00353DED" w:rsidRDefault="00353DED">
      <w:pPr>
        <w:widowControl/>
        <w:ind w:left="4320"/>
        <w:jc w:val="left"/>
      </w:pPr>
    </w:p>
    <w:p w14:paraId="40FFB243" w14:textId="77777777" w:rsidR="00353DED" w:rsidRDefault="00353DED">
      <w:pPr>
        <w:widowControl/>
        <w:ind w:left="4320"/>
        <w:jc w:val="left"/>
      </w:pPr>
    </w:p>
    <w:p w14:paraId="2C6696F2" w14:textId="77777777" w:rsidR="00353DED" w:rsidRDefault="00353DED">
      <w:pPr>
        <w:widowControl/>
        <w:ind w:left="4320"/>
        <w:jc w:val="left"/>
      </w:pPr>
    </w:p>
    <w:p w14:paraId="76B99D40" w14:textId="77777777" w:rsidR="00353DED" w:rsidRDefault="006A704A">
      <w:pPr>
        <w:widowControl/>
        <w:ind w:left="4320"/>
        <w:jc w:val="left"/>
        <w:rPr>
          <w:color w:val="000000"/>
        </w:rPr>
      </w:pPr>
      <w:r>
        <w:t xml:space="preserve">Pamela </w:t>
      </w:r>
      <w:r w:rsidR="007E13FA">
        <w:t xml:space="preserve">S. </w:t>
      </w:r>
      <w:r>
        <w:t>Arluk</w:t>
      </w:r>
      <w:r w:rsidR="00353DED">
        <w:t xml:space="preserve"> </w:t>
      </w:r>
    </w:p>
    <w:p w14:paraId="49D28A33" w14:textId="5AAE1377" w:rsidR="00146799" w:rsidRDefault="00353DED">
      <w:pPr>
        <w:widowControl/>
        <w:ind w:left="4320"/>
        <w:jc w:val="left"/>
        <w:rPr>
          <w:color w:val="000000"/>
        </w:rPr>
      </w:pPr>
      <w:r>
        <w:rPr>
          <w:color w:val="000000"/>
        </w:rPr>
        <w:t>Chief</w:t>
      </w:r>
    </w:p>
    <w:p w14:paraId="2D0C9A60" w14:textId="77777777" w:rsidR="00353DED" w:rsidRDefault="00353DED">
      <w:pPr>
        <w:widowControl/>
        <w:ind w:left="4320"/>
        <w:jc w:val="left"/>
        <w:rPr>
          <w:color w:val="000000"/>
        </w:rPr>
      </w:pPr>
      <w:r>
        <w:rPr>
          <w:color w:val="000000"/>
        </w:rPr>
        <w:t>Pricing Policy Division</w:t>
      </w:r>
    </w:p>
    <w:p w14:paraId="578B122A" w14:textId="77777777" w:rsidR="00DE5BDD" w:rsidRDefault="00353DED">
      <w:pPr>
        <w:widowControl/>
        <w:ind w:left="4320"/>
        <w:jc w:val="left"/>
      </w:pPr>
      <w:r>
        <w:rPr>
          <w:color w:val="000000"/>
        </w:rPr>
        <w:t>Wireline Competition Bureau</w:t>
      </w:r>
    </w:p>
    <w:sectPr w:rsidR="00DE5BD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A4B2" w14:textId="77777777" w:rsidR="0074097D" w:rsidRDefault="0074097D">
      <w:pPr>
        <w:spacing w:line="20" w:lineRule="exact"/>
      </w:pPr>
    </w:p>
  </w:endnote>
  <w:endnote w:type="continuationSeparator" w:id="0">
    <w:p w14:paraId="6F7BEA7E" w14:textId="77777777" w:rsidR="0074097D" w:rsidRDefault="0074097D">
      <w:r>
        <w:t xml:space="preserve"> </w:t>
      </w:r>
    </w:p>
  </w:endnote>
  <w:endnote w:type="continuationNotice" w:id="1">
    <w:p w14:paraId="49C41061" w14:textId="77777777" w:rsidR="0074097D" w:rsidRDefault="007409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4BF7" w14:textId="77777777" w:rsidR="00353DED" w:rsidRDefault="00353DED">
    <w:pPr>
      <w:pStyle w:val="Footer"/>
      <w:framePr w:wrap="around" w:vAnchor="text" w:hAnchor="margin" w:xAlign="center" w:y="1"/>
    </w:pPr>
    <w:r>
      <w:fldChar w:fldCharType="begin"/>
    </w:r>
    <w:r>
      <w:instrText xml:space="preserve">PAGE  </w:instrText>
    </w:r>
    <w:r>
      <w:fldChar w:fldCharType="separate"/>
    </w:r>
    <w:r>
      <w:rPr>
        <w:noProof/>
      </w:rPr>
      <w:t>16</w:t>
    </w:r>
    <w:r>
      <w:fldChar w:fldCharType="end"/>
    </w:r>
  </w:p>
  <w:p w14:paraId="4C89330C" w14:textId="77777777" w:rsidR="00353DED" w:rsidRDefault="0035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DCB6" w14:textId="63A1F61B" w:rsidR="00353DED" w:rsidRPr="002742F2" w:rsidRDefault="00353DED">
    <w:pPr>
      <w:pStyle w:val="Footer"/>
      <w:jc w:val="center"/>
      <w:rPr>
        <w:szCs w:val="22"/>
      </w:rPr>
    </w:pPr>
    <w:r w:rsidRPr="002742F2">
      <w:rPr>
        <w:rStyle w:val="PageNumber"/>
        <w:szCs w:val="22"/>
      </w:rPr>
      <w:fldChar w:fldCharType="begin"/>
    </w:r>
    <w:r w:rsidRPr="002742F2">
      <w:rPr>
        <w:rStyle w:val="PageNumber"/>
        <w:szCs w:val="22"/>
      </w:rPr>
      <w:instrText xml:space="preserve"> PAGE </w:instrText>
    </w:r>
    <w:r w:rsidRPr="002742F2">
      <w:rPr>
        <w:rStyle w:val="PageNumber"/>
        <w:szCs w:val="22"/>
      </w:rPr>
      <w:fldChar w:fldCharType="separate"/>
    </w:r>
    <w:r w:rsidR="003E4720">
      <w:rPr>
        <w:rStyle w:val="PageNumber"/>
        <w:noProof/>
        <w:szCs w:val="22"/>
      </w:rPr>
      <w:t>2</w:t>
    </w:r>
    <w:r w:rsidRPr="002742F2">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A0D6" w14:textId="77777777" w:rsidR="00353DED" w:rsidRDefault="00353DE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CBA7" w14:textId="77777777" w:rsidR="0074097D" w:rsidRDefault="0074097D">
      <w:r>
        <w:separator/>
      </w:r>
    </w:p>
  </w:footnote>
  <w:footnote w:type="continuationSeparator" w:id="0">
    <w:p w14:paraId="182598A4" w14:textId="77777777" w:rsidR="0074097D" w:rsidRDefault="0074097D">
      <w:pPr>
        <w:rPr>
          <w:sz w:val="20"/>
        </w:rPr>
      </w:pPr>
      <w:r>
        <w:rPr>
          <w:sz w:val="20"/>
        </w:rPr>
        <w:t xml:space="preserve">(Continued from previous page)  </w:t>
      </w:r>
      <w:r>
        <w:rPr>
          <w:sz w:val="20"/>
        </w:rPr>
        <w:separator/>
      </w:r>
    </w:p>
  </w:footnote>
  <w:footnote w:type="continuationNotice" w:id="1">
    <w:p w14:paraId="1DE03945" w14:textId="77777777" w:rsidR="0074097D" w:rsidRDefault="0074097D">
      <w:pPr>
        <w:rPr>
          <w:sz w:val="20"/>
        </w:rPr>
      </w:pPr>
      <w:r>
        <w:rPr>
          <w:sz w:val="20"/>
        </w:rPr>
        <w:t>(continued….)</w:t>
      </w:r>
    </w:p>
  </w:footnote>
  <w:footnote w:id="2">
    <w:p w14:paraId="1B2F18B9" w14:textId="39DD4E45" w:rsidR="006F4165" w:rsidRDefault="006F4165" w:rsidP="00FD3413">
      <w:pPr>
        <w:pStyle w:val="FootnoteText"/>
        <w:spacing w:after="120"/>
      </w:pPr>
      <w:r>
        <w:rPr>
          <w:rStyle w:val="FootnoteReference"/>
        </w:rPr>
        <w:footnoteRef/>
      </w:r>
      <w:r>
        <w:t xml:space="preserve"> </w:t>
      </w:r>
      <w:r w:rsidR="001466F7" w:rsidRPr="001466F7">
        <w:t>Letter from Richard A. Askoff, Executive Director, Regulatory, NECA, to Marlene H. Dortch, Secretary, FCC, WC Docket No. 16-400 (filed Dec. 22, 2016) (December 22 Filing)</w:t>
      </w:r>
      <w:r w:rsidR="001466F7">
        <w:t xml:space="preserve">.  </w:t>
      </w:r>
      <w:r>
        <w:rPr>
          <w:i/>
        </w:rPr>
        <w:t>S</w:t>
      </w:r>
      <w:r w:rsidRPr="006F4165">
        <w:rPr>
          <w:i/>
        </w:rPr>
        <w:t xml:space="preserve">ee </w:t>
      </w:r>
      <w:r w:rsidR="00B53EC9">
        <w:t xml:space="preserve">47 CFR § 69.606(b).  </w:t>
      </w:r>
      <w:r w:rsidR="00B53EC9" w:rsidRPr="00B53EC9">
        <w:t xml:space="preserve">On November 30, 2016, pursuant to the Commission’s </w:t>
      </w:r>
      <w:r w:rsidR="00B53EC9" w:rsidRPr="00B53EC9">
        <w:rPr>
          <w:i/>
        </w:rPr>
        <w:t>Rate of Return Reform Order</w:t>
      </w:r>
      <w:r w:rsidR="00B53EC9" w:rsidRPr="00B53EC9">
        <w:t xml:space="preserve">, NECA filed interim modifications to its 2016 average schedule formulas to be effective from January 1, 2017, through June 30, 2017.  Letter from Richard A. Askoff, Executive Director, Regulatory, NECA, to Marlene H. Dortch, Secretary, FCC, WC Docket No. 15-298, Attach. at 1 (filed Nov. 30, 2016).  NECA proposed to revise the average schedule formulas to reflect the Commission’s new limit on Operating Expenses and to include a new mechanism to recover the Consumer Broadband-only loop costs established in the </w:t>
      </w:r>
      <w:r w:rsidR="00B53EC9" w:rsidRPr="00B53EC9">
        <w:rPr>
          <w:i/>
        </w:rPr>
        <w:t>Rate-of-Return Order</w:t>
      </w:r>
      <w:r w:rsidR="00B53EC9" w:rsidRPr="00B53EC9">
        <w:t xml:space="preserve">.  </w:t>
      </w:r>
      <w:r w:rsidR="00B53EC9" w:rsidRPr="00B53EC9">
        <w:rPr>
          <w:i/>
        </w:rPr>
        <w:t>Id</w:t>
      </w:r>
      <w:r w:rsidR="00B53EC9" w:rsidRPr="00B53EC9">
        <w:t xml:space="preserve">.  On December 16, 2016, the Bureau approved the modifications on a conditional basis, subject to the tariff review process that occurred in connection with the tariff filing.  </w:t>
      </w:r>
      <w:r w:rsidR="00B53EC9" w:rsidRPr="00B53EC9">
        <w:rPr>
          <w:i/>
        </w:rPr>
        <w:t>See</w:t>
      </w:r>
      <w:r w:rsidR="00B53EC9" w:rsidRPr="00B53EC9">
        <w:t xml:space="preserve"> </w:t>
      </w:r>
      <w:r w:rsidR="00B53EC9" w:rsidRPr="00B53EC9">
        <w:rPr>
          <w:i/>
        </w:rPr>
        <w:t>National Exchange Carrier Association, Inc. 2016 Modification of Average Schedules</w:t>
      </w:r>
      <w:r w:rsidR="00B53EC9" w:rsidRPr="00B53EC9">
        <w:t xml:space="preserve">, Order, WC Docket No. 15-298, 31 FCC Rcd 4354 (WCB 2016). </w:t>
      </w:r>
      <w:r w:rsidR="00101802">
        <w:t xml:space="preserve"> </w:t>
      </w:r>
      <w:r w:rsidR="00B53EC9" w:rsidRPr="00B53EC9">
        <w:rPr>
          <w:i/>
        </w:rPr>
        <w:t xml:space="preserve">See also </w:t>
      </w:r>
      <w:r w:rsidR="00B53EC9" w:rsidRPr="00B53EC9">
        <w:rPr>
          <w:i/>
          <w:iCs/>
        </w:rPr>
        <w:t>Connect America Fund et al.</w:t>
      </w:r>
      <w:r w:rsidR="00B53EC9" w:rsidRPr="00B53EC9">
        <w:t>, WC Docket No. 10-90 et al., Report and Order, Order and Order on Reconsideration and Further Notice of Proposed Rulemaking, 31 FCC Rcd 3089 (2016) (</w:t>
      </w:r>
      <w:r w:rsidR="00B53EC9" w:rsidRPr="00B53EC9">
        <w:rPr>
          <w:i/>
          <w:iCs/>
        </w:rPr>
        <w:t>Rate-of-Return Reform Order</w:t>
      </w:r>
      <w:r w:rsidR="00B53EC9" w:rsidRPr="00B53EC9">
        <w:t>).</w:t>
      </w:r>
    </w:p>
  </w:footnote>
  <w:footnote w:id="3">
    <w:p w14:paraId="61C97597" w14:textId="759C6CBC" w:rsidR="00377466" w:rsidRPr="002250D8" w:rsidRDefault="00377466" w:rsidP="00FD3413">
      <w:pPr>
        <w:pStyle w:val="FootnoteText"/>
        <w:spacing w:after="120"/>
      </w:pPr>
      <w:r w:rsidRPr="002250D8">
        <w:rPr>
          <w:rStyle w:val="FootnoteReference"/>
        </w:rPr>
        <w:footnoteRef/>
      </w:r>
      <w:r w:rsidRPr="002250D8">
        <w:rPr>
          <w:color w:val="000000"/>
        </w:rPr>
        <w:t xml:space="preserve"> </w:t>
      </w:r>
      <w:r w:rsidR="00180E78" w:rsidRPr="002250D8">
        <w:t>Letter from Richar</w:t>
      </w:r>
      <w:r w:rsidR="00180E78">
        <w:t xml:space="preserve">d A. Askoff, Executive Director, </w:t>
      </w:r>
      <w:r w:rsidR="00180E78" w:rsidRPr="002250D8">
        <w:t>Regulatory, NECA, to Marlene</w:t>
      </w:r>
      <w:r w:rsidR="00180E78">
        <w:t xml:space="preserve"> </w:t>
      </w:r>
      <w:r w:rsidR="00180E78" w:rsidRPr="002250D8">
        <w:t xml:space="preserve">H. Dortch, Secretary, FCC, WC Docket No. </w:t>
      </w:r>
      <w:r w:rsidR="00180E78">
        <w:t>16</w:t>
      </w:r>
      <w:r w:rsidR="00180E78" w:rsidRPr="002250D8">
        <w:t>-</w:t>
      </w:r>
      <w:r w:rsidR="00180E78">
        <w:t>400, Attach</w:t>
      </w:r>
      <w:r w:rsidR="00180E78" w:rsidRPr="002250D8">
        <w:t xml:space="preserve"> (filed </w:t>
      </w:r>
      <w:r w:rsidR="00180E78">
        <w:t>May 3</w:t>
      </w:r>
      <w:r w:rsidR="00180E78" w:rsidRPr="002250D8">
        <w:t>, 201</w:t>
      </w:r>
      <w:r w:rsidR="00180E78">
        <w:t>7)</w:t>
      </w:r>
      <w:r w:rsidR="0018557F">
        <w:t xml:space="preserve"> (May 3 Filing)</w:t>
      </w:r>
      <w:r w:rsidR="00180E78" w:rsidRPr="002250D8">
        <w:rPr>
          <w:color w:val="000000"/>
        </w:rPr>
        <w:t xml:space="preserve">. </w:t>
      </w:r>
    </w:p>
  </w:footnote>
  <w:footnote w:id="4">
    <w:p w14:paraId="3B2A19D5" w14:textId="0BFD713B" w:rsidR="00832CDD" w:rsidRDefault="00832CDD" w:rsidP="00FD3413">
      <w:pPr>
        <w:pStyle w:val="FootnoteText"/>
        <w:spacing w:after="120"/>
      </w:pPr>
      <w:r>
        <w:rPr>
          <w:rStyle w:val="FootnoteReference"/>
        </w:rPr>
        <w:footnoteRef/>
      </w:r>
      <w:r>
        <w:t xml:space="preserve"> </w:t>
      </w:r>
      <w:r w:rsidR="00FA0943" w:rsidRPr="00FA0943">
        <w:t>Letter from Tatjana Curovic, Senior Director—Rates, Average Schedules &amp; Advanced Analytics, NECA, to Marlene H. Dortch, Secretary, FCC, WC Docket No. 16-400, (filed May 11, 2017) (May 11 Letter).</w:t>
      </w:r>
    </w:p>
  </w:footnote>
  <w:footnote w:id="5">
    <w:p w14:paraId="7DD1B30A" w14:textId="77777777" w:rsidR="00506418" w:rsidRDefault="00506418" w:rsidP="00506418">
      <w:pPr>
        <w:pStyle w:val="FootnoteText"/>
        <w:spacing w:after="120"/>
      </w:pPr>
      <w:r>
        <w:rPr>
          <w:rStyle w:val="FootnoteReference"/>
        </w:rPr>
        <w:footnoteRef/>
      </w:r>
      <w:r>
        <w:t xml:space="preserve"> December 22 Filing at Summary-1.</w:t>
      </w:r>
    </w:p>
  </w:footnote>
  <w:footnote w:id="6">
    <w:p w14:paraId="1ABFF1F8" w14:textId="7C9FF23D" w:rsidR="00D81B66" w:rsidRDefault="00D81B66" w:rsidP="00FD3413">
      <w:pPr>
        <w:pStyle w:val="FootnoteText"/>
        <w:spacing w:after="120"/>
      </w:pPr>
      <w:r>
        <w:rPr>
          <w:rStyle w:val="FootnoteReference"/>
        </w:rPr>
        <w:footnoteRef/>
      </w:r>
      <w:r>
        <w:t xml:space="preserve"> May 3 Filing at 2.</w:t>
      </w:r>
    </w:p>
  </w:footnote>
  <w:footnote w:id="7">
    <w:p w14:paraId="039F138E" w14:textId="316E96AC" w:rsidR="008268BB" w:rsidRPr="002250D8" w:rsidRDefault="008268BB" w:rsidP="00FD3413">
      <w:pPr>
        <w:pStyle w:val="FootnoteText"/>
        <w:spacing w:after="120"/>
      </w:pPr>
      <w:r w:rsidRPr="002250D8">
        <w:rPr>
          <w:rStyle w:val="FootnoteReference"/>
        </w:rPr>
        <w:footnoteRef/>
      </w:r>
      <w:r w:rsidRPr="002250D8">
        <w:rPr>
          <w:color w:val="000000"/>
        </w:rPr>
        <w:t xml:space="preserve"> </w:t>
      </w:r>
      <w:r w:rsidR="00FA0943">
        <w:t>May 11 Letter at 1</w:t>
      </w:r>
      <w:r w:rsidRPr="002250D8">
        <w:rPr>
          <w:color w:val="000000"/>
        </w:rPr>
        <w:t>.</w:t>
      </w:r>
    </w:p>
  </w:footnote>
  <w:footnote w:id="8">
    <w:p w14:paraId="1007AA83" w14:textId="5E8B27D9" w:rsidR="00353DED" w:rsidRPr="000A519A" w:rsidRDefault="00353DED" w:rsidP="00A853D4">
      <w:pPr>
        <w:pStyle w:val="FootnoteText"/>
        <w:tabs>
          <w:tab w:val="clear" w:pos="720"/>
          <w:tab w:val="clear" w:pos="1440"/>
          <w:tab w:val="left" w:pos="360"/>
        </w:tabs>
        <w:spacing w:after="120"/>
      </w:pPr>
      <w:r>
        <w:rPr>
          <w:rStyle w:val="FootnoteReference"/>
          <w:sz w:val="20"/>
        </w:rPr>
        <w:footnoteRef/>
      </w:r>
      <w:r>
        <w:t xml:space="preserve"> </w:t>
      </w:r>
      <w:r>
        <w:rPr>
          <w:i/>
        </w:rPr>
        <w:t>National Exchange Carrier Association, Inc.’s Proposed 201</w:t>
      </w:r>
      <w:r w:rsidR="004079AB">
        <w:rPr>
          <w:i/>
        </w:rPr>
        <w:t>7</w:t>
      </w:r>
      <w:r>
        <w:rPr>
          <w:i/>
        </w:rPr>
        <w:t xml:space="preserve"> Modification of Average Schedule Formulas</w:t>
      </w:r>
      <w:r>
        <w:t xml:space="preserve">, </w:t>
      </w:r>
      <w:r w:rsidRPr="000A519A">
        <w:t>Public Notice,</w:t>
      </w:r>
      <w:r w:rsidR="000A519A">
        <w:t xml:space="preserve"> WC Docket No. 16-400, 32 FCC Rcd 1232</w:t>
      </w:r>
      <w:r w:rsidRPr="000A519A">
        <w:t xml:space="preserve"> (</w:t>
      </w:r>
      <w:r w:rsidR="00701DCF" w:rsidRPr="000A519A">
        <w:t>WCB</w:t>
      </w:r>
      <w:r w:rsidRPr="000A519A">
        <w:t xml:space="preserve"> 201</w:t>
      </w:r>
      <w:r w:rsidR="000A519A">
        <w:t>7</w:t>
      </w:r>
      <w:r w:rsidRPr="000A519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BB25" w14:textId="77777777" w:rsidR="00AE0ECC" w:rsidRDefault="00AE0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83AF" w14:textId="5F81547D" w:rsidR="00353DED" w:rsidRDefault="00353DED">
    <w:pPr>
      <w:pStyle w:val="Header"/>
    </w:pPr>
    <w:r>
      <w:tab/>
      <w:t>Federal Communications Commission</w:t>
    </w:r>
    <w:r>
      <w:tab/>
      <w:t xml:space="preserve">DA </w:t>
    </w:r>
    <w:r w:rsidR="006D4F83">
      <w:t>17</w:t>
    </w:r>
    <w:r w:rsidR="006A704A">
      <w:t>-</w:t>
    </w:r>
    <w:r w:rsidR="00DF02B5">
      <w:t>522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C298" w14:textId="0CB050A9" w:rsidR="00353DED" w:rsidRDefault="00353DED">
    <w:pPr>
      <w:pStyle w:val="Header"/>
    </w:pPr>
    <w:r>
      <w:tab/>
      <w:t>Federal Communications Commission</w:t>
    </w:r>
    <w:r>
      <w:tab/>
      <w:t xml:space="preserve">DA </w:t>
    </w:r>
    <w:r w:rsidR="00377466">
      <w:t>17</w:t>
    </w:r>
    <w:r>
      <w:t>-</w:t>
    </w:r>
    <w:r w:rsidR="00DF02B5">
      <w:t>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170"/>
        </w:tabs>
        <w:ind w:left="9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DB6C72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5">
    <w:nsid w:val="43D27EFD"/>
    <w:multiLevelType w:val="singleLevel"/>
    <w:tmpl w:val="42701C86"/>
    <w:lvl w:ilvl="0">
      <w:start w:val="1"/>
      <w:numFmt w:val="decimal"/>
      <w:lvlText w:val="%1."/>
      <w:lvlJc w:val="left"/>
      <w:pPr>
        <w:tabs>
          <w:tab w:val="num" w:pos="1440"/>
        </w:tabs>
        <w:ind w:left="1440" w:hanging="720"/>
      </w:p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8"/>
  </w:num>
  <w:num w:numId="3">
    <w:abstractNumId w:val="3"/>
  </w:num>
  <w:num w:numId="4">
    <w:abstractNumId w:val="18"/>
  </w:num>
  <w:num w:numId="5">
    <w:abstractNumId w:val="21"/>
  </w:num>
  <w:num w:numId="6">
    <w:abstractNumId w:val="11"/>
  </w:num>
  <w:num w:numId="7">
    <w:abstractNumId w:val="12"/>
  </w:num>
  <w:num w:numId="8">
    <w:abstractNumId w:val="15"/>
  </w:num>
  <w:num w:numId="9">
    <w:abstractNumId w:val="1"/>
  </w:num>
  <w:num w:numId="10">
    <w:abstractNumId w:val="0"/>
  </w:num>
  <w:num w:numId="11">
    <w:abstractNumId w:val="4"/>
  </w:num>
  <w:num w:numId="12">
    <w:abstractNumId w:val="10"/>
  </w:num>
  <w:num w:numId="13">
    <w:abstractNumId w:val="3"/>
  </w:num>
  <w:num w:numId="14">
    <w:abstractNumId w:val="16"/>
  </w:num>
  <w:num w:numId="15">
    <w:abstractNumId w:val="5"/>
  </w:num>
  <w:num w:numId="16">
    <w:abstractNumId w:val="14"/>
  </w:num>
  <w:num w:numId="17">
    <w:abstractNumId w:val="6"/>
  </w:num>
  <w:num w:numId="18">
    <w:abstractNumId w:val="22"/>
  </w:num>
  <w:num w:numId="19">
    <w:abstractNumId w:val="2"/>
  </w:num>
  <w:num w:numId="20">
    <w:abstractNumId w:val="19"/>
  </w:num>
  <w:num w:numId="21">
    <w:abstractNumId w:val="9"/>
  </w:num>
  <w:num w:numId="22">
    <w:abstractNumId w:val="2"/>
  </w:num>
  <w:num w:numId="23">
    <w:abstractNumId w:val="19"/>
  </w:num>
  <w:num w:numId="24">
    <w:abstractNumId w:val="19"/>
  </w:num>
  <w:num w:numId="25">
    <w:abstractNumId w:val="19"/>
  </w:num>
  <w:num w:numId="26">
    <w:abstractNumId w:val="23"/>
  </w:num>
  <w:num w:numId="27">
    <w:abstractNumId w:val="7"/>
  </w:num>
  <w:num w:numId="28">
    <w:abstractNumId w:val="9"/>
  </w:num>
  <w:num w:numId="29">
    <w:abstractNumId w:val="2"/>
    <w:lvlOverride w:ilvl="0">
      <w:startOverride w:val="14"/>
    </w:lvlOverride>
  </w:num>
  <w:num w:numId="30">
    <w:abstractNumId w:val="2"/>
    <w:lvlOverride w:ilvl="0">
      <w:startOverride w:val="17"/>
    </w:lvlOverride>
  </w:num>
  <w:num w:numId="31">
    <w:abstractNumId w:val="2"/>
    <w:lvlOverride w:ilvl="0">
      <w:startOverride w:val="17"/>
    </w:lvlOverride>
  </w:num>
  <w:num w:numId="32">
    <w:abstractNumId w:val="17"/>
  </w:num>
  <w:num w:numId="33">
    <w:abstractNumId w:val="13"/>
  </w:num>
  <w:num w:numId="34">
    <w:abstractNumId w:val="2"/>
    <w:lvlOverride w:ilvl="0">
      <w:startOverride w:val="1"/>
    </w:lvlOverride>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D"/>
    <w:rsid w:val="0004012D"/>
    <w:rsid w:val="00041B5F"/>
    <w:rsid w:val="00053B93"/>
    <w:rsid w:val="000944A2"/>
    <w:rsid w:val="000A519A"/>
    <w:rsid w:val="000B745D"/>
    <w:rsid w:val="000E76D2"/>
    <w:rsid w:val="000F7971"/>
    <w:rsid w:val="00101802"/>
    <w:rsid w:val="00123E8A"/>
    <w:rsid w:val="001315E0"/>
    <w:rsid w:val="001466F7"/>
    <w:rsid w:val="00146799"/>
    <w:rsid w:val="00167930"/>
    <w:rsid w:val="00172098"/>
    <w:rsid w:val="00180E78"/>
    <w:rsid w:val="0018557F"/>
    <w:rsid w:val="001871D6"/>
    <w:rsid w:val="001E1019"/>
    <w:rsid w:val="001F6841"/>
    <w:rsid w:val="00240636"/>
    <w:rsid w:val="00266B48"/>
    <w:rsid w:val="002742F2"/>
    <w:rsid w:val="002750A3"/>
    <w:rsid w:val="002D0EB0"/>
    <w:rsid w:val="002E6E72"/>
    <w:rsid w:val="00342F78"/>
    <w:rsid w:val="00353DED"/>
    <w:rsid w:val="00377466"/>
    <w:rsid w:val="003B4667"/>
    <w:rsid w:val="003E4720"/>
    <w:rsid w:val="004079AB"/>
    <w:rsid w:val="004156DC"/>
    <w:rsid w:val="004257F2"/>
    <w:rsid w:val="004258F3"/>
    <w:rsid w:val="00441286"/>
    <w:rsid w:val="00443904"/>
    <w:rsid w:val="00453016"/>
    <w:rsid w:val="004616A2"/>
    <w:rsid w:val="004653CE"/>
    <w:rsid w:val="00466DC4"/>
    <w:rsid w:val="00474DB6"/>
    <w:rsid w:val="00480326"/>
    <w:rsid w:val="004B710F"/>
    <w:rsid w:val="004D16D1"/>
    <w:rsid w:val="004E5029"/>
    <w:rsid w:val="004E699B"/>
    <w:rsid w:val="004F2C3E"/>
    <w:rsid w:val="004F3015"/>
    <w:rsid w:val="00506418"/>
    <w:rsid w:val="005376EB"/>
    <w:rsid w:val="005430F3"/>
    <w:rsid w:val="00547AF2"/>
    <w:rsid w:val="00583AFC"/>
    <w:rsid w:val="005B440B"/>
    <w:rsid w:val="005F53F7"/>
    <w:rsid w:val="00632825"/>
    <w:rsid w:val="006337DF"/>
    <w:rsid w:val="006A51BC"/>
    <w:rsid w:val="006A704A"/>
    <w:rsid w:val="006B7E65"/>
    <w:rsid w:val="006D3863"/>
    <w:rsid w:val="006D4F83"/>
    <w:rsid w:val="006F4165"/>
    <w:rsid w:val="00701DCF"/>
    <w:rsid w:val="00703CB8"/>
    <w:rsid w:val="0074097D"/>
    <w:rsid w:val="007465DC"/>
    <w:rsid w:val="00746E10"/>
    <w:rsid w:val="00756EB8"/>
    <w:rsid w:val="00760DA2"/>
    <w:rsid w:val="00766DB6"/>
    <w:rsid w:val="00795460"/>
    <w:rsid w:val="007A0CD2"/>
    <w:rsid w:val="007B24B4"/>
    <w:rsid w:val="007C47CC"/>
    <w:rsid w:val="007C5D94"/>
    <w:rsid w:val="007E13FA"/>
    <w:rsid w:val="007E48C2"/>
    <w:rsid w:val="007E52E1"/>
    <w:rsid w:val="008268BB"/>
    <w:rsid w:val="00832CDD"/>
    <w:rsid w:val="00845F5A"/>
    <w:rsid w:val="00850A44"/>
    <w:rsid w:val="00874B31"/>
    <w:rsid w:val="008772EB"/>
    <w:rsid w:val="008935FD"/>
    <w:rsid w:val="008A4786"/>
    <w:rsid w:val="008B4BEB"/>
    <w:rsid w:val="008C3B3D"/>
    <w:rsid w:val="008F1C68"/>
    <w:rsid w:val="009322F5"/>
    <w:rsid w:val="00955FEE"/>
    <w:rsid w:val="0096439D"/>
    <w:rsid w:val="00971102"/>
    <w:rsid w:val="00986B69"/>
    <w:rsid w:val="009A37FD"/>
    <w:rsid w:val="009B05A4"/>
    <w:rsid w:val="009C6236"/>
    <w:rsid w:val="00A1624C"/>
    <w:rsid w:val="00A76EA1"/>
    <w:rsid w:val="00A853D4"/>
    <w:rsid w:val="00A8759C"/>
    <w:rsid w:val="00A933BA"/>
    <w:rsid w:val="00AC2E45"/>
    <w:rsid w:val="00AC4C7D"/>
    <w:rsid w:val="00AE0ECC"/>
    <w:rsid w:val="00AE47A2"/>
    <w:rsid w:val="00B51054"/>
    <w:rsid w:val="00B53A9D"/>
    <w:rsid w:val="00B53EC9"/>
    <w:rsid w:val="00B6730F"/>
    <w:rsid w:val="00B827C0"/>
    <w:rsid w:val="00BB18FE"/>
    <w:rsid w:val="00BB245A"/>
    <w:rsid w:val="00BE3C72"/>
    <w:rsid w:val="00C216E0"/>
    <w:rsid w:val="00C50C9B"/>
    <w:rsid w:val="00C60999"/>
    <w:rsid w:val="00C82472"/>
    <w:rsid w:val="00C93B69"/>
    <w:rsid w:val="00CB3219"/>
    <w:rsid w:val="00D138B7"/>
    <w:rsid w:val="00D57133"/>
    <w:rsid w:val="00D71159"/>
    <w:rsid w:val="00D81B66"/>
    <w:rsid w:val="00DA3A4F"/>
    <w:rsid w:val="00DA4513"/>
    <w:rsid w:val="00DA6F86"/>
    <w:rsid w:val="00DE5BDD"/>
    <w:rsid w:val="00DF02B5"/>
    <w:rsid w:val="00DF3CF7"/>
    <w:rsid w:val="00E0040C"/>
    <w:rsid w:val="00E03057"/>
    <w:rsid w:val="00E87A9B"/>
    <w:rsid w:val="00EE513A"/>
    <w:rsid w:val="00F168C4"/>
    <w:rsid w:val="00F51B6A"/>
    <w:rsid w:val="00F54246"/>
    <w:rsid w:val="00F870B8"/>
    <w:rsid w:val="00FA05E4"/>
    <w:rsid w:val="00FA0943"/>
    <w:rsid w:val="00FA5712"/>
    <w:rsid w:val="00FA6DC8"/>
    <w:rsid w:val="00FD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69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146799"/>
    <w:rPr>
      <w:sz w:val="16"/>
      <w:szCs w:val="16"/>
    </w:rPr>
  </w:style>
  <w:style w:type="paragraph" w:styleId="CommentText">
    <w:name w:val="annotation text"/>
    <w:basedOn w:val="Normal"/>
    <w:link w:val="CommentTextChar"/>
    <w:rsid w:val="00146799"/>
    <w:rPr>
      <w:sz w:val="20"/>
    </w:rPr>
  </w:style>
  <w:style w:type="character" w:customStyle="1" w:styleId="CommentTextChar">
    <w:name w:val="Comment Text Char"/>
    <w:basedOn w:val="DefaultParagraphFont"/>
    <w:link w:val="CommentText"/>
    <w:rsid w:val="00146799"/>
    <w:rPr>
      <w:snapToGrid w:val="0"/>
      <w:kern w:val="28"/>
    </w:rPr>
  </w:style>
  <w:style w:type="paragraph" w:styleId="CommentSubject">
    <w:name w:val="annotation subject"/>
    <w:basedOn w:val="CommentText"/>
    <w:next w:val="CommentText"/>
    <w:link w:val="CommentSubjectChar"/>
    <w:rsid w:val="00146799"/>
    <w:rPr>
      <w:b/>
      <w:bCs/>
    </w:rPr>
  </w:style>
  <w:style w:type="character" w:customStyle="1" w:styleId="CommentSubjectChar">
    <w:name w:val="Comment Subject Char"/>
    <w:basedOn w:val="CommentTextChar"/>
    <w:link w:val="CommentSubject"/>
    <w:rsid w:val="0014679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146799"/>
    <w:rPr>
      <w:sz w:val="16"/>
      <w:szCs w:val="16"/>
    </w:rPr>
  </w:style>
  <w:style w:type="paragraph" w:styleId="CommentText">
    <w:name w:val="annotation text"/>
    <w:basedOn w:val="Normal"/>
    <w:link w:val="CommentTextChar"/>
    <w:rsid w:val="00146799"/>
    <w:rPr>
      <w:sz w:val="20"/>
    </w:rPr>
  </w:style>
  <w:style w:type="character" w:customStyle="1" w:styleId="CommentTextChar">
    <w:name w:val="Comment Text Char"/>
    <w:basedOn w:val="DefaultParagraphFont"/>
    <w:link w:val="CommentText"/>
    <w:rsid w:val="00146799"/>
    <w:rPr>
      <w:snapToGrid w:val="0"/>
      <w:kern w:val="28"/>
    </w:rPr>
  </w:style>
  <w:style w:type="paragraph" w:styleId="CommentSubject">
    <w:name w:val="annotation subject"/>
    <w:basedOn w:val="CommentText"/>
    <w:next w:val="CommentText"/>
    <w:link w:val="CommentSubjectChar"/>
    <w:rsid w:val="00146799"/>
    <w:rPr>
      <w:b/>
      <w:bCs/>
    </w:rPr>
  </w:style>
  <w:style w:type="character" w:customStyle="1" w:styleId="CommentSubjectChar">
    <w:name w:val="Comment Subject Char"/>
    <w:basedOn w:val="CommentTextChar"/>
    <w:link w:val="CommentSubject"/>
    <w:rsid w:val="0014679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5606">
      <w:bodyDiv w:val="1"/>
      <w:marLeft w:val="0"/>
      <w:marRight w:val="0"/>
      <w:marTop w:val="0"/>
      <w:marBottom w:val="0"/>
      <w:divBdr>
        <w:top w:val="none" w:sz="0" w:space="0" w:color="auto"/>
        <w:left w:val="none" w:sz="0" w:space="0" w:color="auto"/>
        <w:bottom w:val="none" w:sz="0" w:space="0" w:color="auto"/>
        <w:right w:val="none" w:sz="0" w:space="0" w:color="auto"/>
      </w:divBdr>
    </w:div>
    <w:div w:id="1865901516">
      <w:bodyDiv w:val="1"/>
      <w:marLeft w:val="0"/>
      <w:marRight w:val="0"/>
      <w:marTop w:val="0"/>
      <w:marBottom w:val="0"/>
      <w:divBdr>
        <w:top w:val="none" w:sz="0" w:space="0" w:color="auto"/>
        <w:left w:val="none" w:sz="0" w:space="0" w:color="auto"/>
        <w:bottom w:val="none" w:sz="0" w:space="0" w:color="auto"/>
        <w:right w:val="none" w:sz="0" w:space="0" w:color="auto"/>
      </w:divBdr>
    </w:div>
    <w:div w:id="1902248269">
      <w:bodyDiv w:val="1"/>
      <w:marLeft w:val="0"/>
      <w:marRight w:val="0"/>
      <w:marTop w:val="0"/>
      <w:marBottom w:val="0"/>
      <w:divBdr>
        <w:top w:val="none" w:sz="0" w:space="0" w:color="auto"/>
        <w:left w:val="none" w:sz="0" w:space="0" w:color="auto"/>
        <w:bottom w:val="none" w:sz="0" w:space="0" w:color="auto"/>
        <w:right w:val="none" w:sz="0" w:space="0" w:color="auto"/>
      </w:divBdr>
    </w:div>
    <w:div w:id="1922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2173</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2010-03-30T18:30:00Z</cp:lastPrinted>
  <dcterms:created xsi:type="dcterms:W3CDTF">2017-05-26T15:56:00Z</dcterms:created>
  <dcterms:modified xsi:type="dcterms:W3CDTF">2017-05-26T15:56:00Z</dcterms:modified>
  <cp:category> </cp:category>
  <cp:contentStatus> </cp:contentStatus>
</cp:coreProperties>
</file>