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569D2" w14:textId="77777777" w:rsidR="008D4979" w:rsidRPr="0053584A" w:rsidRDefault="008D4979" w:rsidP="00624D1D">
      <w:pPr>
        <w:tabs>
          <w:tab w:val="left" w:pos="1170"/>
        </w:tabs>
        <w:contextualSpacing/>
        <w:jc w:val="center"/>
        <w:rPr>
          <w:b/>
          <w:szCs w:val="22"/>
        </w:rPr>
      </w:pPr>
      <w:bookmarkStart w:id="0" w:name="_GoBack"/>
      <w:bookmarkEnd w:id="0"/>
      <w:r w:rsidRPr="0053584A">
        <w:rPr>
          <w:b/>
          <w:szCs w:val="22"/>
        </w:rPr>
        <w:t>Before the</w:t>
      </w:r>
    </w:p>
    <w:p w14:paraId="3909490C" w14:textId="77777777" w:rsidR="008D4979" w:rsidRPr="0053584A" w:rsidRDefault="008D4979" w:rsidP="008D4979">
      <w:pPr>
        <w:pStyle w:val="StyleBoldCentered"/>
        <w:contextualSpacing/>
        <w:rPr>
          <w:rFonts w:ascii="Times New Roman" w:hAnsi="Times New Roman"/>
        </w:rPr>
      </w:pPr>
      <w:r w:rsidRPr="0053584A">
        <w:rPr>
          <w:rFonts w:ascii="Times New Roman" w:hAnsi="Times New Roman"/>
        </w:rPr>
        <w:t>F</w:t>
      </w:r>
      <w:r w:rsidRPr="0053584A">
        <w:rPr>
          <w:rFonts w:ascii="Times New Roman" w:hAnsi="Times New Roman"/>
          <w:caps w:val="0"/>
        </w:rPr>
        <w:t>ederal Communications Commission</w:t>
      </w:r>
    </w:p>
    <w:p w14:paraId="34442E33" w14:textId="77777777" w:rsidR="008D4979" w:rsidRPr="0053584A" w:rsidRDefault="008D4979" w:rsidP="008D4979">
      <w:pPr>
        <w:pStyle w:val="StyleBoldCentered"/>
        <w:contextualSpacing/>
        <w:rPr>
          <w:rFonts w:ascii="Times New Roman" w:hAnsi="Times New Roman"/>
        </w:rPr>
      </w:pPr>
      <w:r w:rsidRPr="0053584A">
        <w:rPr>
          <w:rFonts w:ascii="Times New Roman" w:hAnsi="Times New Roman"/>
          <w:caps w:val="0"/>
        </w:rPr>
        <w:t>Washington, D.C. 20554</w:t>
      </w:r>
    </w:p>
    <w:p w14:paraId="36AD2708" w14:textId="77777777" w:rsidR="008D4979" w:rsidRDefault="008D4979" w:rsidP="008D4979">
      <w:pPr>
        <w:contextualSpacing/>
        <w:rPr>
          <w:szCs w:val="22"/>
        </w:rPr>
      </w:pPr>
    </w:p>
    <w:p w14:paraId="2BBF22D8" w14:textId="77777777" w:rsidR="000A594C" w:rsidRPr="0053584A" w:rsidRDefault="000A594C" w:rsidP="008D4979">
      <w:pPr>
        <w:contextualSpacing/>
        <w:rPr>
          <w:szCs w:val="22"/>
        </w:rPr>
      </w:pPr>
    </w:p>
    <w:tbl>
      <w:tblPr>
        <w:tblW w:w="0" w:type="auto"/>
        <w:tblLayout w:type="fixed"/>
        <w:tblLook w:val="0000" w:firstRow="0" w:lastRow="0" w:firstColumn="0" w:lastColumn="0" w:noHBand="0" w:noVBand="0"/>
      </w:tblPr>
      <w:tblGrid>
        <w:gridCol w:w="4698"/>
        <w:gridCol w:w="630"/>
        <w:gridCol w:w="4248"/>
      </w:tblGrid>
      <w:tr w:rsidR="008D4979" w:rsidRPr="0053584A" w14:paraId="45E8612D" w14:textId="77777777">
        <w:tc>
          <w:tcPr>
            <w:tcW w:w="4698" w:type="dxa"/>
          </w:tcPr>
          <w:p w14:paraId="5EA87024" w14:textId="77777777" w:rsidR="008D4979" w:rsidRPr="0053584A" w:rsidRDefault="008D4979" w:rsidP="008D4979">
            <w:pPr>
              <w:tabs>
                <w:tab w:val="center" w:pos="4680"/>
              </w:tabs>
              <w:suppressAutoHyphens/>
              <w:contextualSpacing/>
              <w:rPr>
                <w:spacing w:val="-2"/>
                <w:szCs w:val="22"/>
              </w:rPr>
            </w:pPr>
            <w:r w:rsidRPr="0053584A">
              <w:rPr>
                <w:spacing w:val="-2"/>
                <w:szCs w:val="22"/>
              </w:rPr>
              <w:t>In the Matter of</w:t>
            </w:r>
          </w:p>
          <w:p w14:paraId="7EE2ED57" w14:textId="77777777" w:rsidR="008D4979" w:rsidRPr="0053584A" w:rsidRDefault="008D4979" w:rsidP="004E032F">
            <w:pPr>
              <w:tabs>
                <w:tab w:val="center" w:pos="4680"/>
              </w:tabs>
              <w:suppressAutoHyphens/>
              <w:ind w:left="4680" w:hanging="4680"/>
              <w:contextualSpacing/>
              <w:rPr>
                <w:spacing w:val="-2"/>
                <w:szCs w:val="22"/>
              </w:rPr>
            </w:pPr>
          </w:p>
          <w:p w14:paraId="62B821C2" w14:textId="77777777" w:rsidR="008D4979" w:rsidRPr="0053584A" w:rsidRDefault="008D4979" w:rsidP="008D4979">
            <w:pPr>
              <w:tabs>
                <w:tab w:val="center" w:pos="4680"/>
              </w:tabs>
              <w:suppressAutoHyphens/>
              <w:contextualSpacing/>
              <w:rPr>
                <w:spacing w:val="-2"/>
                <w:szCs w:val="22"/>
              </w:rPr>
            </w:pPr>
            <w:r w:rsidRPr="0053584A">
              <w:rPr>
                <w:spacing w:val="-2"/>
                <w:szCs w:val="22"/>
              </w:rPr>
              <w:t>Connect America Fund</w:t>
            </w:r>
          </w:p>
          <w:p w14:paraId="4CF3F2C2" w14:textId="77777777" w:rsidR="008D4979" w:rsidRPr="0053584A" w:rsidRDefault="008D4979" w:rsidP="008D4979">
            <w:pPr>
              <w:tabs>
                <w:tab w:val="center" w:pos="4680"/>
              </w:tabs>
              <w:suppressAutoHyphens/>
              <w:contextualSpacing/>
              <w:rPr>
                <w:spacing w:val="-2"/>
                <w:szCs w:val="22"/>
              </w:rPr>
            </w:pPr>
          </w:p>
          <w:p w14:paraId="45B4C9CD" w14:textId="77777777" w:rsidR="008D4979" w:rsidRPr="0053584A" w:rsidRDefault="008D4979" w:rsidP="008D4979">
            <w:pPr>
              <w:tabs>
                <w:tab w:val="center" w:pos="4680"/>
              </w:tabs>
              <w:suppressAutoHyphens/>
              <w:contextualSpacing/>
              <w:rPr>
                <w:spacing w:val="-2"/>
                <w:szCs w:val="22"/>
              </w:rPr>
            </w:pPr>
            <w:r w:rsidRPr="0053584A">
              <w:rPr>
                <w:spacing w:val="-2"/>
                <w:szCs w:val="22"/>
              </w:rPr>
              <w:t>Developing a Unified Intercarrier Compensation Regime</w:t>
            </w:r>
          </w:p>
          <w:p w14:paraId="43AEA8B2" w14:textId="77777777" w:rsidR="008D4979" w:rsidRPr="0053584A" w:rsidRDefault="008D4979" w:rsidP="008D4979">
            <w:pPr>
              <w:tabs>
                <w:tab w:val="center" w:pos="4680"/>
              </w:tabs>
              <w:suppressAutoHyphens/>
              <w:contextualSpacing/>
              <w:rPr>
                <w:spacing w:val="-2"/>
                <w:szCs w:val="22"/>
              </w:rPr>
            </w:pPr>
          </w:p>
          <w:p w14:paraId="1E8A8BBC" w14:textId="724A173A" w:rsidR="008D4979" w:rsidRPr="0053584A" w:rsidRDefault="00350F8A" w:rsidP="006C542B">
            <w:pPr>
              <w:tabs>
                <w:tab w:val="center" w:pos="4680"/>
              </w:tabs>
              <w:suppressAutoHyphens/>
              <w:contextualSpacing/>
              <w:rPr>
                <w:spacing w:val="-2"/>
                <w:szCs w:val="22"/>
              </w:rPr>
            </w:pPr>
            <w:r>
              <w:rPr>
                <w:spacing w:val="-2"/>
                <w:szCs w:val="22"/>
              </w:rPr>
              <w:t>Petition</w:t>
            </w:r>
            <w:r w:rsidR="008D4979" w:rsidRPr="0053584A">
              <w:rPr>
                <w:spacing w:val="-2"/>
                <w:szCs w:val="22"/>
              </w:rPr>
              <w:t xml:space="preserve"> for Waiver</w:t>
            </w:r>
            <w:r w:rsidR="004C7F9E">
              <w:rPr>
                <w:spacing w:val="-2"/>
                <w:szCs w:val="22"/>
              </w:rPr>
              <w:t xml:space="preserve"> of Section 51.91</w:t>
            </w:r>
            <w:r w:rsidR="006C542B">
              <w:rPr>
                <w:spacing w:val="-2"/>
                <w:szCs w:val="22"/>
              </w:rPr>
              <w:t>7</w:t>
            </w:r>
            <w:r w:rsidR="004C7F9E">
              <w:rPr>
                <w:spacing w:val="-2"/>
                <w:szCs w:val="22"/>
              </w:rPr>
              <w:t>(c) and (d)</w:t>
            </w:r>
            <w:r w:rsidR="008D4979" w:rsidRPr="0053584A">
              <w:rPr>
                <w:spacing w:val="-2"/>
                <w:szCs w:val="22"/>
              </w:rPr>
              <w:t xml:space="preserve"> of the Commission’s Rules</w:t>
            </w:r>
          </w:p>
        </w:tc>
        <w:tc>
          <w:tcPr>
            <w:tcW w:w="630" w:type="dxa"/>
          </w:tcPr>
          <w:p w14:paraId="441F6152" w14:textId="77777777" w:rsidR="008D4979" w:rsidRPr="0053584A" w:rsidRDefault="008D4979" w:rsidP="008D4979">
            <w:pPr>
              <w:tabs>
                <w:tab w:val="center" w:pos="4680"/>
              </w:tabs>
              <w:suppressAutoHyphens/>
              <w:contextualSpacing/>
              <w:rPr>
                <w:b/>
                <w:spacing w:val="-2"/>
                <w:szCs w:val="22"/>
              </w:rPr>
            </w:pPr>
            <w:r w:rsidRPr="0053584A">
              <w:rPr>
                <w:b/>
                <w:spacing w:val="-2"/>
                <w:szCs w:val="22"/>
              </w:rPr>
              <w:t>)</w:t>
            </w:r>
          </w:p>
          <w:p w14:paraId="02E55F35" w14:textId="77777777" w:rsidR="008D4979" w:rsidRPr="0053584A" w:rsidRDefault="008D4979" w:rsidP="008D4979">
            <w:pPr>
              <w:tabs>
                <w:tab w:val="center" w:pos="4680"/>
              </w:tabs>
              <w:suppressAutoHyphens/>
              <w:contextualSpacing/>
              <w:rPr>
                <w:b/>
                <w:spacing w:val="-2"/>
                <w:szCs w:val="22"/>
              </w:rPr>
            </w:pPr>
            <w:r w:rsidRPr="0053584A">
              <w:rPr>
                <w:b/>
                <w:spacing w:val="-2"/>
                <w:szCs w:val="22"/>
              </w:rPr>
              <w:t>)</w:t>
            </w:r>
          </w:p>
          <w:p w14:paraId="3482349E" w14:textId="77777777" w:rsidR="008D4979" w:rsidRPr="0053584A" w:rsidRDefault="008D4979" w:rsidP="008D4979">
            <w:pPr>
              <w:tabs>
                <w:tab w:val="center" w:pos="4680"/>
              </w:tabs>
              <w:suppressAutoHyphens/>
              <w:contextualSpacing/>
              <w:rPr>
                <w:b/>
                <w:spacing w:val="-2"/>
                <w:szCs w:val="22"/>
              </w:rPr>
            </w:pPr>
            <w:r w:rsidRPr="0053584A">
              <w:rPr>
                <w:b/>
                <w:spacing w:val="-2"/>
                <w:szCs w:val="22"/>
              </w:rPr>
              <w:t>)</w:t>
            </w:r>
          </w:p>
          <w:p w14:paraId="02296C5E" w14:textId="77777777" w:rsidR="008D4979" w:rsidRPr="0053584A" w:rsidRDefault="008D4979" w:rsidP="008D4979">
            <w:pPr>
              <w:tabs>
                <w:tab w:val="center" w:pos="4680"/>
              </w:tabs>
              <w:suppressAutoHyphens/>
              <w:contextualSpacing/>
              <w:rPr>
                <w:b/>
                <w:spacing w:val="-2"/>
                <w:szCs w:val="22"/>
              </w:rPr>
            </w:pPr>
            <w:r w:rsidRPr="0053584A">
              <w:rPr>
                <w:b/>
                <w:spacing w:val="-2"/>
                <w:szCs w:val="22"/>
              </w:rPr>
              <w:t>)</w:t>
            </w:r>
          </w:p>
          <w:p w14:paraId="0A2F09E6" w14:textId="77777777" w:rsidR="008D4979" w:rsidRPr="0053584A" w:rsidRDefault="008D4979" w:rsidP="008D4979">
            <w:pPr>
              <w:tabs>
                <w:tab w:val="center" w:pos="4680"/>
              </w:tabs>
              <w:suppressAutoHyphens/>
              <w:contextualSpacing/>
              <w:rPr>
                <w:b/>
                <w:spacing w:val="-2"/>
                <w:szCs w:val="22"/>
              </w:rPr>
            </w:pPr>
            <w:r w:rsidRPr="0053584A">
              <w:rPr>
                <w:b/>
                <w:spacing w:val="-2"/>
                <w:szCs w:val="22"/>
              </w:rPr>
              <w:t>)</w:t>
            </w:r>
          </w:p>
          <w:p w14:paraId="499B756D" w14:textId="77777777" w:rsidR="008D4979" w:rsidRPr="0053584A" w:rsidRDefault="008D4979" w:rsidP="008D4979">
            <w:pPr>
              <w:tabs>
                <w:tab w:val="center" w:pos="4680"/>
              </w:tabs>
              <w:suppressAutoHyphens/>
              <w:contextualSpacing/>
              <w:rPr>
                <w:b/>
                <w:spacing w:val="-2"/>
                <w:szCs w:val="22"/>
              </w:rPr>
            </w:pPr>
            <w:r w:rsidRPr="0053584A">
              <w:rPr>
                <w:b/>
                <w:spacing w:val="-2"/>
                <w:szCs w:val="22"/>
              </w:rPr>
              <w:t>)</w:t>
            </w:r>
          </w:p>
          <w:p w14:paraId="6BF4C242" w14:textId="77777777" w:rsidR="008D4979" w:rsidRPr="0053584A" w:rsidRDefault="008D4979" w:rsidP="008D4979">
            <w:pPr>
              <w:tabs>
                <w:tab w:val="center" w:pos="4680"/>
              </w:tabs>
              <w:suppressAutoHyphens/>
              <w:contextualSpacing/>
              <w:rPr>
                <w:b/>
                <w:spacing w:val="-2"/>
                <w:szCs w:val="22"/>
              </w:rPr>
            </w:pPr>
            <w:r w:rsidRPr="0053584A">
              <w:rPr>
                <w:b/>
                <w:spacing w:val="-2"/>
                <w:szCs w:val="22"/>
              </w:rPr>
              <w:t>)</w:t>
            </w:r>
          </w:p>
          <w:p w14:paraId="27CD4F92" w14:textId="77777777" w:rsidR="008D4979" w:rsidRPr="0053584A" w:rsidRDefault="008D4979" w:rsidP="008D4979">
            <w:pPr>
              <w:tabs>
                <w:tab w:val="center" w:pos="4680"/>
              </w:tabs>
              <w:suppressAutoHyphens/>
              <w:contextualSpacing/>
              <w:rPr>
                <w:b/>
                <w:spacing w:val="-2"/>
                <w:szCs w:val="22"/>
              </w:rPr>
            </w:pPr>
            <w:r w:rsidRPr="0053584A">
              <w:rPr>
                <w:b/>
                <w:spacing w:val="-2"/>
                <w:szCs w:val="22"/>
              </w:rPr>
              <w:t>)</w:t>
            </w:r>
          </w:p>
          <w:p w14:paraId="0A72559B" w14:textId="77777777" w:rsidR="008D4979" w:rsidRPr="0053584A" w:rsidRDefault="008D4979" w:rsidP="008D4979">
            <w:pPr>
              <w:tabs>
                <w:tab w:val="center" w:pos="4680"/>
              </w:tabs>
              <w:suppressAutoHyphens/>
              <w:contextualSpacing/>
              <w:rPr>
                <w:spacing w:val="-2"/>
                <w:szCs w:val="22"/>
              </w:rPr>
            </w:pPr>
            <w:r w:rsidRPr="0053584A">
              <w:rPr>
                <w:b/>
                <w:spacing w:val="-2"/>
                <w:szCs w:val="22"/>
              </w:rPr>
              <w:t>)</w:t>
            </w:r>
          </w:p>
        </w:tc>
        <w:tc>
          <w:tcPr>
            <w:tcW w:w="4248" w:type="dxa"/>
          </w:tcPr>
          <w:p w14:paraId="5F4ACC4F" w14:textId="77777777" w:rsidR="008D4979" w:rsidRPr="0053584A" w:rsidRDefault="008D4979" w:rsidP="008D4979">
            <w:pPr>
              <w:tabs>
                <w:tab w:val="center" w:pos="4680"/>
              </w:tabs>
              <w:suppressAutoHyphens/>
              <w:contextualSpacing/>
              <w:rPr>
                <w:spacing w:val="-2"/>
                <w:szCs w:val="22"/>
              </w:rPr>
            </w:pPr>
          </w:p>
          <w:p w14:paraId="538CEAF5" w14:textId="77777777" w:rsidR="008D4979" w:rsidRPr="0053584A" w:rsidRDefault="008D4979" w:rsidP="008D4979">
            <w:pPr>
              <w:pStyle w:val="TOAHeading"/>
              <w:tabs>
                <w:tab w:val="clear" w:pos="9360"/>
                <w:tab w:val="center" w:pos="4680"/>
              </w:tabs>
              <w:contextualSpacing/>
              <w:rPr>
                <w:spacing w:val="-2"/>
                <w:szCs w:val="22"/>
              </w:rPr>
            </w:pPr>
          </w:p>
          <w:p w14:paraId="601EA74C" w14:textId="77777777" w:rsidR="008D4979" w:rsidRPr="0053584A" w:rsidRDefault="008D4979" w:rsidP="008D4979">
            <w:pPr>
              <w:tabs>
                <w:tab w:val="center" w:pos="4680"/>
              </w:tabs>
              <w:suppressAutoHyphens/>
              <w:contextualSpacing/>
              <w:rPr>
                <w:spacing w:val="-2"/>
                <w:szCs w:val="22"/>
              </w:rPr>
            </w:pPr>
            <w:r w:rsidRPr="0053584A">
              <w:rPr>
                <w:spacing w:val="-2"/>
                <w:szCs w:val="22"/>
              </w:rPr>
              <w:t>WC Docket No. 10-90</w:t>
            </w:r>
          </w:p>
          <w:p w14:paraId="1304F6D6" w14:textId="77777777" w:rsidR="008D4979" w:rsidRPr="0053584A" w:rsidRDefault="008D4979" w:rsidP="008D4979">
            <w:pPr>
              <w:tabs>
                <w:tab w:val="center" w:pos="4680"/>
              </w:tabs>
              <w:suppressAutoHyphens/>
              <w:contextualSpacing/>
              <w:rPr>
                <w:spacing w:val="-2"/>
                <w:szCs w:val="22"/>
              </w:rPr>
            </w:pPr>
          </w:p>
          <w:p w14:paraId="407E3C9E" w14:textId="77777777" w:rsidR="008D4979" w:rsidRPr="0053584A" w:rsidRDefault="008D4979" w:rsidP="008D4979">
            <w:pPr>
              <w:tabs>
                <w:tab w:val="center" w:pos="4680"/>
              </w:tabs>
              <w:suppressAutoHyphens/>
              <w:contextualSpacing/>
              <w:rPr>
                <w:spacing w:val="-2"/>
                <w:szCs w:val="22"/>
              </w:rPr>
            </w:pPr>
            <w:r w:rsidRPr="0053584A">
              <w:rPr>
                <w:spacing w:val="-2"/>
                <w:szCs w:val="22"/>
              </w:rPr>
              <w:t>CC Docket No. 01-92</w:t>
            </w:r>
          </w:p>
        </w:tc>
      </w:tr>
    </w:tbl>
    <w:p w14:paraId="7EE4C4C6" w14:textId="77777777" w:rsidR="008D4979" w:rsidRDefault="008D4979" w:rsidP="008D4979">
      <w:pPr>
        <w:contextualSpacing/>
        <w:rPr>
          <w:szCs w:val="22"/>
        </w:rPr>
      </w:pPr>
    </w:p>
    <w:p w14:paraId="295DE06F" w14:textId="77777777" w:rsidR="000A594C" w:rsidRPr="0053584A" w:rsidRDefault="000A594C" w:rsidP="008D4979">
      <w:pPr>
        <w:contextualSpacing/>
        <w:rPr>
          <w:szCs w:val="22"/>
        </w:rPr>
      </w:pPr>
    </w:p>
    <w:p w14:paraId="1177C996" w14:textId="77777777" w:rsidR="008D4979" w:rsidRPr="0053584A" w:rsidRDefault="008D4979" w:rsidP="008D4979">
      <w:pPr>
        <w:pStyle w:val="StyleBoldCentered"/>
        <w:contextualSpacing/>
        <w:rPr>
          <w:rFonts w:ascii="Times New Roman" w:hAnsi="Times New Roman"/>
        </w:rPr>
      </w:pPr>
      <w:r w:rsidRPr="0053584A">
        <w:rPr>
          <w:rFonts w:ascii="Times New Roman" w:hAnsi="Times New Roman"/>
        </w:rPr>
        <w:t>Order</w:t>
      </w:r>
    </w:p>
    <w:p w14:paraId="3B7D2901" w14:textId="77777777" w:rsidR="008D4979" w:rsidRPr="0053584A" w:rsidRDefault="008D4979" w:rsidP="008D4979">
      <w:pPr>
        <w:tabs>
          <w:tab w:val="left" w:pos="-720"/>
        </w:tabs>
        <w:suppressAutoHyphens/>
        <w:contextualSpacing/>
        <w:rPr>
          <w:spacing w:val="-2"/>
          <w:szCs w:val="22"/>
        </w:rPr>
      </w:pPr>
    </w:p>
    <w:p w14:paraId="4B9AD6F7" w14:textId="12D878E7" w:rsidR="008D4979" w:rsidRPr="0053584A" w:rsidRDefault="008D4979" w:rsidP="008D4979">
      <w:pPr>
        <w:tabs>
          <w:tab w:val="left" w:pos="720"/>
          <w:tab w:val="right" w:pos="9360"/>
        </w:tabs>
        <w:suppressAutoHyphens/>
        <w:contextualSpacing/>
        <w:rPr>
          <w:spacing w:val="-2"/>
          <w:szCs w:val="22"/>
        </w:rPr>
      </w:pPr>
      <w:r w:rsidRPr="0053584A">
        <w:rPr>
          <w:b/>
          <w:spacing w:val="-2"/>
          <w:szCs w:val="22"/>
        </w:rPr>
        <w:t xml:space="preserve">Adopted:  </w:t>
      </w:r>
      <w:r w:rsidR="00B41832">
        <w:rPr>
          <w:b/>
          <w:spacing w:val="-2"/>
          <w:szCs w:val="22"/>
        </w:rPr>
        <w:t>May</w:t>
      </w:r>
      <w:r w:rsidR="007D2380">
        <w:rPr>
          <w:b/>
          <w:spacing w:val="-2"/>
          <w:szCs w:val="22"/>
        </w:rPr>
        <w:t xml:space="preserve"> </w:t>
      </w:r>
      <w:r w:rsidR="00DF04F4">
        <w:rPr>
          <w:b/>
          <w:spacing w:val="-2"/>
          <w:szCs w:val="22"/>
        </w:rPr>
        <w:t>24</w:t>
      </w:r>
      <w:r w:rsidR="002B75A6" w:rsidRPr="0053584A">
        <w:rPr>
          <w:b/>
          <w:spacing w:val="-2"/>
          <w:szCs w:val="22"/>
        </w:rPr>
        <w:t>,</w:t>
      </w:r>
      <w:r w:rsidRPr="0053584A">
        <w:rPr>
          <w:b/>
          <w:spacing w:val="-2"/>
          <w:szCs w:val="22"/>
        </w:rPr>
        <w:t xml:space="preserve"> 201</w:t>
      </w:r>
      <w:r w:rsidR="007A0654">
        <w:rPr>
          <w:b/>
          <w:spacing w:val="-2"/>
          <w:szCs w:val="22"/>
        </w:rPr>
        <w:t>7</w:t>
      </w:r>
      <w:r w:rsidRPr="0053584A">
        <w:rPr>
          <w:b/>
          <w:spacing w:val="-2"/>
          <w:szCs w:val="22"/>
        </w:rPr>
        <w:tab/>
        <w:t xml:space="preserve">Released:  </w:t>
      </w:r>
      <w:r w:rsidR="00B41832">
        <w:rPr>
          <w:b/>
          <w:spacing w:val="-2"/>
          <w:szCs w:val="22"/>
        </w:rPr>
        <w:t>May</w:t>
      </w:r>
      <w:r w:rsidR="007D2380">
        <w:rPr>
          <w:b/>
          <w:spacing w:val="-2"/>
          <w:szCs w:val="22"/>
        </w:rPr>
        <w:t xml:space="preserve"> </w:t>
      </w:r>
      <w:r w:rsidR="00DF04F4">
        <w:rPr>
          <w:b/>
          <w:spacing w:val="-2"/>
          <w:szCs w:val="22"/>
        </w:rPr>
        <w:t>24</w:t>
      </w:r>
      <w:r w:rsidRPr="0053584A">
        <w:rPr>
          <w:b/>
          <w:spacing w:val="-2"/>
          <w:szCs w:val="22"/>
        </w:rPr>
        <w:t>, 201</w:t>
      </w:r>
      <w:r w:rsidR="007A0654">
        <w:rPr>
          <w:b/>
          <w:spacing w:val="-2"/>
          <w:szCs w:val="22"/>
        </w:rPr>
        <w:t>7</w:t>
      </w:r>
    </w:p>
    <w:p w14:paraId="0E35A623" w14:textId="77777777" w:rsidR="008D4979" w:rsidRPr="0053584A" w:rsidRDefault="008D4979" w:rsidP="008D4979">
      <w:pPr>
        <w:contextualSpacing/>
        <w:rPr>
          <w:szCs w:val="22"/>
        </w:rPr>
      </w:pPr>
    </w:p>
    <w:p w14:paraId="3B334F7A" w14:textId="78B6B3CB" w:rsidR="008D4979" w:rsidRPr="0053584A" w:rsidRDefault="008D4979" w:rsidP="008D4979">
      <w:pPr>
        <w:contextualSpacing/>
        <w:rPr>
          <w:szCs w:val="22"/>
        </w:rPr>
      </w:pPr>
      <w:r w:rsidRPr="0053584A">
        <w:rPr>
          <w:szCs w:val="22"/>
        </w:rPr>
        <w:t>By the</w:t>
      </w:r>
      <w:r w:rsidR="00E84285">
        <w:rPr>
          <w:szCs w:val="22"/>
        </w:rPr>
        <w:t xml:space="preserve"> </w:t>
      </w:r>
      <w:r w:rsidRPr="0053584A">
        <w:rPr>
          <w:szCs w:val="22"/>
        </w:rPr>
        <w:t>C</w:t>
      </w:r>
      <w:r w:rsidR="002B75A6" w:rsidRPr="0053584A">
        <w:rPr>
          <w:szCs w:val="22"/>
        </w:rPr>
        <w:t>hief, Wireline Competition Bureau:</w:t>
      </w:r>
    </w:p>
    <w:p w14:paraId="3A7CCF17" w14:textId="77777777" w:rsidR="008D4979" w:rsidRPr="0053584A" w:rsidRDefault="008D4979" w:rsidP="008D4979">
      <w:pPr>
        <w:contextualSpacing/>
        <w:rPr>
          <w:szCs w:val="22"/>
        </w:rPr>
      </w:pPr>
    </w:p>
    <w:p w14:paraId="6121820A" w14:textId="77777777" w:rsidR="008D4979" w:rsidRPr="0053584A" w:rsidRDefault="008D4979" w:rsidP="00093019">
      <w:pPr>
        <w:pStyle w:val="Heading1"/>
        <w:rPr>
          <w:rFonts w:ascii="Times New Roman" w:hAnsi="Times New Roman"/>
          <w:szCs w:val="22"/>
        </w:rPr>
      </w:pPr>
      <w:r w:rsidRPr="0053584A">
        <w:rPr>
          <w:rFonts w:ascii="Times New Roman" w:hAnsi="Times New Roman"/>
          <w:szCs w:val="22"/>
        </w:rPr>
        <w:t>Introduction</w:t>
      </w:r>
    </w:p>
    <w:p w14:paraId="5D86ADEC" w14:textId="4FF85D3D" w:rsidR="000C002B" w:rsidRPr="00FA2AEC" w:rsidRDefault="00DE5D89" w:rsidP="00BD2EBE">
      <w:pPr>
        <w:pStyle w:val="ParaNum"/>
        <w:spacing w:after="0"/>
        <w:rPr>
          <w:szCs w:val="22"/>
        </w:rPr>
      </w:pPr>
      <w:r>
        <w:t xml:space="preserve">In this Order, </w:t>
      </w:r>
      <w:r w:rsidR="000C002B">
        <w:t>consistent with precedent,</w:t>
      </w:r>
      <w:r w:rsidR="000C002B">
        <w:rPr>
          <w:rStyle w:val="FootnoteReference"/>
        </w:rPr>
        <w:footnoteReference w:id="2"/>
      </w:r>
      <w:r w:rsidR="000C002B">
        <w:t xml:space="preserve"> </w:t>
      </w:r>
      <w:r w:rsidR="0078587E">
        <w:t xml:space="preserve">the Wireline Competition Bureau (Bureau) </w:t>
      </w:r>
      <w:r>
        <w:t>grant</w:t>
      </w:r>
      <w:r w:rsidR="0078587E">
        <w:t>s</w:t>
      </w:r>
      <w:r>
        <w:t xml:space="preserve"> in part </w:t>
      </w:r>
      <w:r w:rsidR="004C7F9E">
        <w:t>a</w:t>
      </w:r>
      <w:r w:rsidR="00F67CA5">
        <w:t xml:space="preserve"> </w:t>
      </w:r>
      <w:r w:rsidR="004C7F9E">
        <w:t>petition</w:t>
      </w:r>
      <w:r>
        <w:t xml:space="preserve"> seeking waiver of the </w:t>
      </w:r>
      <w:r w:rsidR="007D5470">
        <w:t xml:space="preserve">intercarrier compensation </w:t>
      </w:r>
      <w:r>
        <w:t xml:space="preserve">recovery rules </w:t>
      </w:r>
      <w:r w:rsidR="000C002B">
        <w:t xml:space="preserve">to allow </w:t>
      </w:r>
      <w:r w:rsidR="004C7F9E">
        <w:t>Windstream Services, LLC (Windstream)</w:t>
      </w:r>
      <w:r w:rsidR="00350F8A">
        <w:t>,</w:t>
      </w:r>
      <w:r w:rsidR="004C7F9E">
        <w:t xml:space="preserve"> to include in its</w:t>
      </w:r>
      <w:r>
        <w:t xml:space="preserve"> recovery calculati</w:t>
      </w:r>
      <w:r w:rsidR="004C7F9E">
        <w:t>ons certain funds that it was</w:t>
      </w:r>
      <w:r>
        <w:t xml:space="preserve"> unable to collect from </w:t>
      </w:r>
      <w:r w:rsidR="006B74A4">
        <w:t xml:space="preserve">Halo Wireless, Inc. (Halo) </w:t>
      </w:r>
      <w:r>
        <w:t>due to an access charge avoidance scheme and subsequent bankruptcy.</w:t>
      </w:r>
      <w:r w:rsidR="004C7F9E">
        <w:rPr>
          <w:rStyle w:val="FootnoteReference"/>
        </w:rPr>
        <w:footnoteReference w:id="3"/>
      </w:r>
      <w:r>
        <w:t xml:space="preserve">  </w:t>
      </w:r>
      <w:r w:rsidR="004C7F9E">
        <w:t xml:space="preserve">Windstream </w:t>
      </w:r>
      <w:r w:rsidR="007D5470">
        <w:t>demonstrate</w:t>
      </w:r>
      <w:r w:rsidR="006C542B">
        <w:t>s</w:t>
      </w:r>
      <w:r w:rsidR="007D5470">
        <w:t xml:space="preserve"> good cause </w:t>
      </w:r>
      <w:r w:rsidR="004C7F9E">
        <w:t>to include in its</w:t>
      </w:r>
      <w:r w:rsidR="0069051F">
        <w:t xml:space="preserve"> recovery calculations revenue associated with traffic eligible for compensation that was terminated during F</w:t>
      </w:r>
      <w:r w:rsidR="004448A6">
        <w:t xml:space="preserve">iscal </w:t>
      </w:r>
      <w:r w:rsidR="0069051F">
        <w:t>Y</w:t>
      </w:r>
      <w:r w:rsidR="004448A6">
        <w:t>ear</w:t>
      </w:r>
      <w:r w:rsidR="0069051F">
        <w:t xml:space="preserve"> 2011</w:t>
      </w:r>
      <w:r w:rsidR="00D42BD9">
        <w:t xml:space="preserve"> (FY 20</w:t>
      </w:r>
      <w:r w:rsidR="00F80182">
        <w:t>1</w:t>
      </w:r>
      <w:r w:rsidR="00D42BD9">
        <w:t>1)</w:t>
      </w:r>
      <w:r w:rsidR="0069051F">
        <w:t xml:space="preserve"> and that otherwise meets the criteria spelled out in our revenue recovery rules.</w:t>
      </w:r>
      <w:r w:rsidR="00553A23">
        <w:rPr>
          <w:rStyle w:val="FootnoteReference"/>
          <w:rFonts w:cstheme="minorBidi"/>
        </w:rPr>
        <w:footnoteReference w:id="4"/>
      </w:r>
      <w:r w:rsidR="0069051F">
        <w:t xml:space="preserve">  </w:t>
      </w:r>
      <w:r w:rsidR="000C002B">
        <w:t>I</w:t>
      </w:r>
      <w:r w:rsidR="0069051F">
        <w:t>ncluding such revenue</w:t>
      </w:r>
      <w:r w:rsidR="00A5493B">
        <w:t xml:space="preserve"> in Windstream’s revenue calculations</w:t>
      </w:r>
      <w:r w:rsidR="00AD5D24">
        <w:t>, subject to the conditions we set forth below,</w:t>
      </w:r>
      <w:r w:rsidR="0069051F">
        <w:t xml:space="preserve"> conforms to the policies</w:t>
      </w:r>
      <w:r w:rsidR="0051428D">
        <w:rPr>
          <w:szCs w:val="22"/>
        </w:rPr>
        <w:t xml:space="preserve"> </w:t>
      </w:r>
      <w:r w:rsidR="0069051F">
        <w:t>underlying the recovery mechanism</w:t>
      </w:r>
      <w:r w:rsidR="007D5470">
        <w:t xml:space="preserve"> adopted in the </w:t>
      </w:r>
      <w:r w:rsidR="007D5470" w:rsidRPr="0051428D">
        <w:rPr>
          <w:i/>
          <w:szCs w:val="22"/>
        </w:rPr>
        <w:t>USF/ICC Transformation Order</w:t>
      </w:r>
      <w:r w:rsidR="007D5470">
        <w:t>.</w:t>
      </w:r>
      <w:r w:rsidR="009203B6">
        <w:rPr>
          <w:rStyle w:val="FootnoteReference"/>
        </w:rPr>
        <w:footnoteReference w:id="5"/>
      </w:r>
    </w:p>
    <w:p w14:paraId="3120E2B8" w14:textId="77777777" w:rsidR="00FA2AEC" w:rsidRPr="00763AE6" w:rsidRDefault="00FA2AEC" w:rsidP="00BC70D5"/>
    <w:p w14:paraId="12CB0CFB" w14:textId="77777777" w:rsidR="008D4979" w:rsidRPr="0053584A" w:rsidRDefault="008D4979" w:rsidP="000720F5">
      <w:pPr>
        <w:pStyle w:val="Heading1"/>
        <w:rPr>
          <w:rFonts w:ascii="Times New Roman" w:hAnsi="Times New Roman"/>
          <w:szCs w:val="22"/>
        </w:rPr>
      </w:pPr>
      <w:r w:rsidRPr="0053584A">
        <w:rPr>
          <w:rFonts w:ascii="Times New Roman" w:hAnsi="Times New Roman"/>
          <w:szCs w:val="22"/>
        </w:rPr>
        <w:t>BACKGROUND</w:t>
      </w:r>
    </w:p>
    <w:p w14:paraId="12BDAF49" w14:textId="77777777" w:rsidR="006A0DA0" w:rsidRPr="0053584A" w:rsidRDefault="006A0DA0" w:rsidP="0004481D">
      <w:pPr>
        <w:pStyle w:val="Heading2"/>
        <w:rPr>
          <w:szCs w:val="22"/>
        </w:rPr>
      </w:pPr>
      <w:r w:rsidRPr="0053584A">
        <w:rPr>
          <w:szCs w:val="22"/>
        </w:rPr>
        <w:t xml:space="preserve">Recovery Calculations Under the </w:t>
      </w:r>
      <w:r w:rsidR="00456F02" w:rsidRPr="0053584A">
        <w:rPr>
          <w:i/>
          <w:szCs w:val="22"/>
        </w:rPr>
        <w:t xml:space="preserve">USF/ICC </w:t>
      </w:r>
      <w:r w:rsidRPr="0053584A">
        <w:rPr>
          <w:i/>
          <w:szCs w:val="22"/>
        </w:rPr>
        <w:t>Transformation Order</w:t>
      </w:r>
    </w:p>
    <w:p w14:paraId="11FA3C8B" w14:textId="57A7722C" w:rsidR="001A2817" w:rsidRPr="0053584A" w:rsidRDefault="001A2817" w:rsidP="001A2817">
      <w:pPr>
        <w:pStyle w:val="ParaNum"/>
        <w:widowControl/>
        <w:rPr>
          <w:szCs w:val="22"/>
        </w:rPr>
      </w:pPr>
      <w:r w:rsidRPr="0053584A">
        <w:rPr>
          <w:szCs w:val="22"/>
        </w:rPr>
        <w:t xml:space="preserve">In the </w:t>
      </w:r>
      <w:r w:rsidRPr="0053584A">
        <w:rPr>
          <w:i/>
          <w:szCs w:val="22"/>
        </w:rPr>
        <w:t>USF/ICC Transformation Order</w:t>
      </w:r>
      <w:r w:rsidRPr="0053584A">
        <w:rPr>
          <w:szCs w:val="22"/>
        </w:rPr>
        <w:t>, the Commission adopted bill-and-keep as the default methodology for all intercarrier compensation (ICC) charges, established a transition path requiring scheduled reductions to ICC charges, and capped all terminating ICC rates in effect as of the effective date of the new rules.</w:t>
      </w:r>
      <w:r w:rsidRPr="0053584A">
        <w:rPr>
          <w:rStyle w:val="FootnoteReference"/>
          <w:sz w:val="22"/>
          <w:szCs w:val="22"/>
        </w:rPr>
        <w:footnoteReference w:id="6"/>
      </w:r>
      <w:r w:rsidRPr="0053584A">
        <w:rPr>
          <w:szCs w:val="22"/>
        </w:rPr>
        <w:t xml:space="preserve">  The Commission also adopted a recovery mechanism to partially mitigate revenue reductions that incumbent LECs would experience as a result of these ICC reductions.</w:t>
      </w:r>
      <w:r w:rsidRPr="0053584A">
        <w:rPr>
          <w:rStyle w:val="FootnoteReference"/>
          <w:sz w:val="22"/>
          <w:szCs w:val="22"/>
        </w:rPr>
        <w:footnoteReference w:id="7"/>
      </w:r>
      <w:r w:rsidRPr="0053584A">
        <w:rPr>
          <w:szCs w:val="22"/>
        </w:rPr>
        <w:t xml:space="preserve">  The Commission designed the recovery mechanism and associated rules to recognize carrier reliance on ICC revenues, but limit recovery in a reasonable manner consistent with the Commission’s goals</w:t>
      </w:r>
      <w:r w:rsidR="00683893">
        <w:rPr>
          <w:szCs w:val="22"/>
        </w:rPr>
        <w:t>.</w:t>
      </w:r>
    </w:p>
    <w:p w14:paraId="47F15CBD" w14:textId="059BCD6C" w:rsidR="006A0DA0" w:rsidRPr="00AA7D02" w:rsidRDefault="00CE4471" w:rsidP="00AA7D02">
      <w:pPr>
        <w:pStyle w:val="ParaNum"/>
        <w:widowControl/>
        <w:rPr>
          <w:szCs w:val="22"/>
        </w:rPr>
      </w:pPr>
      <w:r w:rsidRPr="00AA7D02">
        <w:rPr>
          <w:szCs w:val="22"/>
        </w:rPr>
        <w:t>For price cap</w:t>
      </w:r>
      <w:r w:rsidR="006F1183" w:rsidRPr="00AA7D02">
        <w:rPr>
          <w:szCs w:val="22"/>
        </w:rPr>
        <w:t xml:space="preserve"> incumbent</w:t>
      </w:r>
      <w:r w:rsidR="003D40EB" w:rsidRPr="00AA7D02">
        <w:rPr>
          <w:szCs w:val="22"/>
        </w:rPr>
        <w:t xml:space="preserve"> LECs, the calculation of</w:t>
      </w:r>
      <w:r w:rsidR="006321C9" w:rsidRPr="00AA7D02">
        <w:rPr>
          <w:szCs w:val="22"/>
        </w:rPr>
        <w:t xml:space="preserve"> the </w:t>
      </w:r>
      <w:r w:rsidR="009D2FFC">
        <w:rPr>
          <w:szCs w:val="22"/>
        </w:rPr>
        <w:t>Eligible R</w:t>
      </w:r>
      <w:r w:rsidR="006321C9" w:rsidRPr="00AA7D02">
        <w:rPr>
          <w:szCs w:val="22"/>
        </w:rPr>
        <w:t xml:space="preserve">ecovery changes each year of the transition to reflect specific </w:t>
      </w:r>
      <w:r w:rsidR="002872C4" w:rsidRPr="00AA7D02">
        <w:rPr>
          <w:szCs w:val="22"/>
        </w:rPr>
        <w:t>reductions to</w:t>
      </w:r>
      <w:r w:rsidR="006321C9" w:rsidRPr="00AA7D02">
        <w:rPr>
          <w:szCs w:val="22"/>
        </w:rPr>
        <w:t xml:space="preserve"> access charge</w:t>
      </w:r>
      <w:r w:rsidR="00AA7D02">
        <w:rPr>
          <w:szCs w:val="22"/>
        </w:rPr>
        <w:t>s</w:t>
      </w:r>
      <w:r w:rsidR="006321C9" w:rsidRPr="00AA7D02">
        <w:rPr>
          <w:szCs w:val="22"/>
        </w:rPr>
        <w:t xml:space="preserve"> and reciprocal compensation revenues</w:t>
      </w:r>
      <w:r w:rsidR="009D2FFC">
        <w:rPr>
          <w:szCs w:val="22"/>
        </w:rPr>
        <w:t>, as well as fixed demand changes</w:t>
      </w:r>
      <w:r w:rsidR="006321C9" w:rsidRPr="00AA7D02">
        <w:rPr>
          <w:szCs w:val="22"/>
        </w:rPr>
        <w:t>.</w:t>
      </w:r>
      <w:r w:rsidR="002872C4">
        <w:rPr>
          <w:rStyle w:val="FootnoteReference"/>
          <w:szCs w:val="22"/>
        </w:rPr>
        <w:footnoteReference w:id="8"/>
      </w:r>
      <w:r w:rsidR="006321C9" w:rsidRPr="00AA7D02">
        <w:rPr>
          <w:szCs w:val="22"/>
        </w:rPr>
        <w:t xml:space="preserve">  </w:t>
      </w:r>
      <w:r w:rsidR="009D2FFC">
        <w:rPr>
          <w:szCs w:val="22"/>
        </w:rPr>
        <w:t>E</w:t>
      </w:r>
      <w:r w:rsidR="006321C9" w:rsidRPr="00AA7D02">
        <w:rPr>
          <w:szCs w:val="22"/>
        </w:rPr>
        <w:t xml:space="preserve">ligible </w:t>
      </w:r>
      <w:r w:rsidR="009D2FFC">
        <w:rPr>
          <w:szCs w:val="22"/>
        </w:rPr>
        <w:t>R</w:t>
      </w:r>
      <w:r w:rsidR="006321C9" w:rsidRPr="00AA7D02">
        <w:rPr>
          <w:szCs w:val="22"/>
        </w:rPr>
        <w:t>ecovery is recoverable through the Access Recovery Charge (ARC)</w:t>
      </w:r>
      <w:r w:rsidR="006321C9">
        <w:rPr>
          <w:rStyle w:val="FootnoteReference"/>
          <w:szCs w:val="22"/>
        </w:rPr>
        <w:footnoteReference w:id="9"/>
      </w:r>
      <w:r w:rsidR="006321C9" w:rsidRPr="00AA7D02">
        <w:rPr>
          <w:szCs w:val="22"/>
        </w:rPr>
        <w:t xml:space="preserve"> assessed on end-users, and, to the extent not recoverable through ARCs, through Connect America Fund ICC support (CAF ICC support).</w:t>
      </w:r>
      <w:r w:rsidR="006321C9" w:rsidRPr="0053584A">
        <w:rPr>
          <w:szCs w:val="22"/>
          <w:vertAlign w:val="superscript"/>
        </w:rPr>
        <w:footnoteReference w:id="10"/>
      </w:r>
      <w:r w:rsidR="006321C9" w:rsidRPr="00AA7D02">
        <w:rPr>
          <w:szCs w:val="22"/>
        </w:rPr>
        <w:t xml:space="preserve">  </w:t>
      </w:r>
      <w:r w:rsidR="00D93D66">
        <w:rPr>
          <w:szCs w:val="22"/>
        </w:rPr>
        <w:t xml:space="preserve">Because </w:t>
      </w:r>
      <w:r w:rsidR="008624DB">
        <w:rPr>
          <w:szCs w:val="22"/>
        </w:rPr>
        <w:t xml:space="preserve">Windstream’s </w:t>
      </w:r>
      <w:r w:rsidR="00A82AB7">
        <w:rPr>
          <w:szCs w:val="22"/>
        </w:rPr>
        <w:t>petition only concerns</w:t>
      </w:r>
      <w:r w:rsidR="004F64B2">
        <w:rPr>
          <w:szCs w:val="22"/>
        </w:rPr>
        <w:t xml:space="preserve"> </w:t>
      </w:r>
      <w:r w:rsidR="00D93D66">
        <w:rPr>
          <w:szCs w:val="22"/>
        </w:rPr>
        <w:t xml:space="preserve">the </w:t>
      </w:r>
      <w:r w:rsidR="006321C9" w:rsidRPr="00AA7D02">
        <w:rPr>
          <w:szCs w:val="22"/>
        </w:rPr>
        <w:t xml:space="preserve">amount </w:t>
      </w:r>
      <w:r w:rsidR="00D93D66">
        <w:rPr>
          <w:szCs w:val="22"/>
        </w:rPr>
        <w:t xml:space="preserve">of </w:t>
      </w:r>
      <w:r w:rsidR="006C542B">
        <w:rPr>
          <w:szCs w:val="22"/>
        </w:rPr>
        <w:t xml:space="preserve">the </w:t>
      </w:r>
      <w:r w:rsidR="006321C9" w:rsidRPr="00AA7D02">
        <w:rPr>
          <w:szCs w:val="22"/>
        </w:rPr>
        <w:t xml:space="preserve">Transitional Intrastate Access Service </w:t>
      </w:r>
      <w:r w:rsidR="00E37B03" w:rsidRPr="00AA7D02">
        <w:rPr>
          <w:szCs w:val="22"/>
        </w:rPr>
        <w:t xml:space="preserve">(TIAS) </w:t>
      </w:r>
      <w:r w:rsidR="006321C9" w:rsidRPr="00AA7D02">
        <w:rPr>
          <w:szCs w:val="22"/>
        </w:rPr>
        <w:t>revenue</w:t>
      </w:r>
      <w:r w:rsidR="00231133">
        <w:rPr>
          <w:szCs w:val="22"/>
        </w:rPr>
        <w:t xml:space="preserve"> portion of the Eligible Recovery formula</w:t>
      </w:r>
      <w:r w:rsidR="00D93D66">
        <w:rPr>
          <w:szCs w:val="22"/>
        </w:rPr>
        <w:t>,</w:t>
      </w:r>
      <w:r w:rsidR="004F64B2">
        <w:rPr>
          <w:szCs w:val="22"/>
        </w:rPr>
        <w:t xml:space="preserve"> </w:t>
      </w:r>
      <w:r w:rsidR="00231133">
        <w:rPr>
          <w:szCs w:val="22"/>
        </w:rPr>
        <w:t>we focus our discussion on that specific calculation</w:t>
      </w:r>
      <w:r w:rsidR="00D93D66">
        <w:rPr>
          <w:szCs w:val="22"/>
        </w:rPr>
        <w:t>.</w:t>
      </w:r>
      <w:r w:rsidR="009B0897">
        <w:rPr>
          <w:rStyle w:val="FootnoteReference"/>
          <w:szCs w:val="22"/>
        </w:rPr>
        <w:footnoteReference w:id="11"/>
      </w:r>
      <w:r w:rsidR="00FA17A8" w:rsidRPr="00AA7D02">
        <w:rPr>
          <w:szCs w:val="22"/>
        </w:rPr>
        <w:t xml:space="preserve">  </w:t>
      </w:r>
      <w:r w:rsidR="00D93D66">
        <w:rPr>
          <w:szCs w:val="22"/>
        </w:rPr>
        <w:t xml:space="preserve">The </w:t>
      </w:r>
      <w:r w:rsidR="004F64B2">
        <w:rPr>
          <w:szCs w:val="22"/>
        </w:rPr>
        <w:t>TIAS</w:t>
      </w:r>
      <w:r w:rsidR="00D93D66">
        <w:rPr>
          <w:szCs w:val="22"/>
        </w:rPr>
        <w:t xml:space="preserve"> revenue calculation</w:t>
      </w:r>
      <w:r w:rsidR="004F64B2">
        <w:rPr>
          <w:szCs w:val="22"/>
        </w:rPr>
        <w:t xml:space="preserve"> </w:t>
      </w:r>
      <w:r w:rsidR="00131F55" w:rsidRPr="00AA7D02">
        <w:rPr>
          <w:szCs w:val="22"/>
        </w:rPr>
        <w:t xml:space="preserve">is determined </w:t>
      </w:r>
      <w:r w:rsidR="007D20BC" w:rsidRPr="00AA7D02">
        <w:rPr>
          <w:szCs w:val="22"/>
        </w:rPr>
        <w:t xml:space="preserve">by </w:t>
      </w:r>
      <w:r w:rsidR="00503806">
        <w:rPr>
          <w:szCs w:val="22"/>
        </w:rPr>
        <w:t xml:space="preserve">first </w:t>
      </w:r>
      <w:r w:rsidR="00131F55" w:rsidRPr="00AA7D02">
        <w:rPr>
          <w:szCs w:val="22"/>
        </w:rPr>
        <w:t>calculating the</w:t>
      </w:r>
      <w:r w:rsidR="00E37B03" w:rsidRPr="00AA7D02">
        <w:rPr>
          <w:szCs w:val="22"/>
        </w:rPr>
        <w:t xml:space="preserve"> difference between </w:t>
      </w:r>
      <w:r w:rsidR="00503806">
        <w:rPr>
          <w:szCs w:val="22"/>
        </w:rPr>
        <w:t xml:space="preserve">(1) </w:t>
      </w:r>
      <w:r w:rsidR="00E37B03" w:rsidRPr="00AA7D02">
        <w:rPr>
          <w:szCs w:val="22"/>
        </w:rPr>
        <w:t>the total revenue from TIAS at the carrier’s intr</w:t>
      </w:r>
      <w:r w:rsidR="00503806">
        <w:rPr>
          <w:szCs w:val="22"/>
        </w:rPr>
        <w:t>a</w:t>
      </w:r>
      <w:r w:rsidR="00E37B03" w:rsidRPr="00AA7D02">
        <w:rPr>
          <w:szCs w:val="22"/>
        </w:rPr>
        <w:t xml:space="preserve">state access rates in effect on December 29, 2011, using </w:t>
      </w:r>
      <w:r w:rsidR="00503806">
        <w:rPr>
          <w:szCs w:val="22"/>
        </w:rPr>
        <w:t xml:space="preserve">collected </w:t>
      </w:r>
      <w:r w:rsidR="00E37B03" w:rsidRPr="00AA7D02">
        <w:rPr>
          <w:szCs w:val="22"/>
        </w:rPr>
        <w:t>FY 2011 intrastate access demand for each rate element</w:t>
      </w:r>
      <w:r w:rsidR="00683893">
        <w:rPr>
          <w:szCs w:val="22"/>
        </w:rPr>
        <w:t>,</w:t>
      </w:r>
      <w:r w:rsidR="00E37B03" w:rsidRPr="00AA7D02">
        <w:rPr>
          <w:szCs w:val="22"/>
        </w:rPr>
        <w:t xml:space="preserve"> and </w:t>
      </w:r>
      <w:r w:rsidR="00503806">
        <w:rPr>
          <w:szCs w:val="22"/>
        </w:rPr>
        <w:t xml:space="preserve">(2) the </w:t>
      </w:r>
      <w:r w:rsidR="00E37B03" w:rsidRPr="00AA7D02">
        <w:rPr>
          <w:szCs w:val="22"/>
        </w:rPr>
        <w:t xml:space="preserve">total revenue from TIAS at the carrier’s intrastate access rates in effect </w:t>
      </w:r>
      <w:r w:rsidR="00503806">
        <w:rPr>
          <w:szCs w:val="22"/>
        </w:rPr>
        <w:t xml:space="preserve">for the upcoming tariff period, </w:t>
      </w:r>
      <w:r w:rsidR="00E37B03" w:rsidRPr="00AA7D02">
        <w:rPr>
          <w:szCs w:val="22"/>
        </w:rPr>
        <w:t xml:space="preserve">using </w:t>
      </w:r>
      <w:r w:rsidR="00503806">
        <w:rPr>
          <w:szCs w:val="22"/>
        </w:rPr>
        <w:t xml:space="preserve">collected </w:t>
      </w:r>
      <w:r w:rsidR="00E37B03" w:rsidRPr="00AA7D02">
        <w:rPr>
          <w:szCs w:val="22"/>
        </w:rPr>
        <w:t>FY 2011 intrastate switched access demand for each rate element.</w:t>
      </w:r>
      <w:r w:rsidR="00E37B03">
        <w:rPr>
          <w:rStyle w:val="FootnoteReference"/>
          <w:szCs w:val="22"/>
        </w:rPr>
        <w:footnoteReference w:id="12"/>
      </w:r>
      <w:r w:rsidR="007D20BC" w:rsidRPr="00AA7D02">
        <w:rPr>
          <w:szCs w:val="22"/>
        </w:rPr>
        <w:t xml:space="preserve">  </w:t>
      </w:r>
      <w:r w:rsidR="00FA17A8" w:rsidRPr="00AA7D02">
        <w:rPr>
          <w:szCs w:val="22"/>
        </w:rPr>
        <w:t xml:space="preserve">The </w:t>
      </w:r>
      <w:r w:rsidR="00127054">
        <w:rPr>
          <w:szCs w:val="22"/>
        </w:rPr>
        <w:t xml:space="preserve">difference </w:t>
      </w:r>
      <w:r w:rsidR="00FA17A8" w:rsidRPr="00AA7D02">
        <w:rPr>
          <w:szCs w:val="22"/>
        </w:rPr>
        <w:t xml:space="preserve">is then multiplied by a </w:t>
      </w:r>
      <w:r w:rsidR="00127054">
        <w:rPr>
          <w:szCs w:val="22"/>
        </w:rPr>
        <w:t xml:space="preserve">demand factor </w:t>
      </w:r>
      <w:r w:rsidR="00E05D53">
        <w:rPr>
          <w:szCs w:val="22"/>
        </w:rPr>
        <w:t xml:space="preserve">for the year </w:t>
      </w:r>
      <w:r w:rsidR="00127054">
        <w:rPr>
          <w:szCs w:val="22"/>
        </w:rPr>
        <w:t xml:space="preserve">and a </w:t>
      </w:r>
      <w:r w:rsidR="00FA17A8" w:rsidRPr="00AA7D02">
        <w:rPr>
          <w:szCs w:val="22"/>
        </w:rPr>
        <w:t xml:space="preserve">specific </w:t>
      </w:r>
      <w:r w:rsidR="00127054">
        <w:rPr>
          <w:szCs w:val="22"/>
        </w:rPr>
        <w:t xml:space="preserve">study area base </w:t>
      </w:r>
      <w:r w:rsidR="00FA17A8" w:rsidRPr="00AA7D02">
        <w:rPr>
          <w:szCs w:val="22"/>
        </w:rPr>
        <w:t>factor to determine an amount for this component of Eligible Recovery.</w:t>
      </w:r>
      <w:r w:rsidR="00FA17A8">
        <w:rPr>
          <w:rStyle w:val="FootnoteReference"/>
          <w:szCs w:val="22"/>
        </w:rPr>
        <w:footnoteReference w:id="13"/>
      </w:r>
      <w:r w:rsidR="00FA17A8" w:rsidRPr="00AA7D02">
        <w:rPr>
          <w:szCs w:val="22"/>
        </w:rPr>
        <w:t xml:space="preserve"> </w:t>
      </w:r>
      <w:r w:rsidR="00D93D66">
        <w:rPr>
          <w:szCs w:val="22"/>
        </w:rPr>
        <w:t xml:space="preserve"> Because the </w:t>
      </w:r>
      <w:r w:rsidR="00BB7A92" w:rsidRPr="00AA7D02">
        <w:rPr>
          <w:szCs w:val="22"/>
        </w:rPr>
        <w:t xml:space="preserve">calculation occurs </w:t>
      </w:r>
      <w:r w:rsidR="00BB7A92" w:rsidRPr="00AA7D02">
        <w:rPr>
          <w:szCs w:val="22"/>
        </w:rPr>
        <w:lastRenderedPageBreak/>
        <w:t>in every year of the rate transition</w:t>
      </w:r>
      <w:r w:rsidR="00D93D66">
        <w:rPr>
          <w:szCs w:val="22"/>
        </w:rPr>
        <w:t>,</w:t>
      </w:r>
      <w:r w:rsidR="00CB0A62" w:rsidRPr="00AA7D02">
        <w:rPr>
          <w:szCs w:val="22"/>
        </w:rPr>
        <w:t xml:space="preserve"> any </w:t>
      </w:r>
      <w:r w:rsidR="00771AE3" w:rsidRPr="00AA7D02">
        <w:rPr>
          <w:szCs w:val="22"/>
        </w:rPr>
        <w:t xml:space="preserve">inaccuracies in the </w:t>
      </w:r>
      <w:r w:rsidR="00AD5D24">
        <w:rPr>
          <w:szCs w:val="22"/>
        </w:rPr>
        <w:t xml:space="preserve">2011 </w:t>
      </w:r>
      <w:r w:rsidR="001F317A" w:rsidRPr="00AA7D02">
        <w:rPr>
          <w:szCs w:val="22"/>
        </w:rPr>
        <w:t>TIAS revenue</w:t>
      </w:r>
      <w:r w:rsidR="00CB0A62" w:rsidRPr="00AA7D02">
        <w:rPr>
          <w:szCs w:val="22"/>
        </w:rPr>
        <w:t xml:space="preserve"> calculation</w:t>
      </w:r>
      <w:r w:rsidR="001F317A" w:rsidRPr="00AA7D02">
        <w:rPr>
          <w:szCs w:val="22"/>
        </w:rPr>
        <w:t xml:space="preserve"> affect</w:t>
      </w:r>
      <w:r w:rsidR="00AD5D24">
        <w:rPr>
          <w:szCs w:val="22"/>
        </w:rPr>
        <w:t>s</w:t>
      </w:r>
      <w:r w:rsidR="001F317A" w:rsidRPr="00AA7D02">
        <w:rPr>
          <w:szCs w:val="22"/>
        </w:rPr>
        <w:t xml:space="preserve"> </w:t>
      </w:r>
      <w:r w:rsidR="00D93D66">
        <w:rPr>
          <w:szCs w:val="22"/>
        </w:rPr>
        <w:t xml:space="preserve">Windstream’s </w:t>
      </w:r>
      <w:r w:rsidR="00E91A03">
        <w:rPr>
          <w:szCs w:val="22"/>
        </w:rPr>
        <w:t>Eligible Recovery in each</w:t>
      </w:r>
      <w:r w:rsidR="001F317A" w:rsidRPr="00AA7D02">
        <w:rPr>
          <w:szCs w:val="22"/>
        </w:rPr>
        <w:t xml:space="preserve"> year that recovery amounts are calculated.</w:t>
      </w:r>
      <w:r w:rsidR="001F317A">
        <w:rPr>
          <w:rStyle w:val="FootnoteReference"/>
          <w:szCs w:val="22"/>
        </w:rPr>
        <w:footnoteReference w:id="14"/>
      </w:r>
      <w:r w:rsidR="00921862" w:rsidRPr="00AA7D02">
        <w:rPr>
          <w:szCs w:val="22"/>
        </w:rPr>
        <w:t xml:space="preserve">  </w:t>
      </w:r>
      <w:r w:rsidR="001F317A" w:rsidRPr="00AA7D02">
        <w:rPr>
          <w:szCs w:val="22"/>
        </w:rPr>
        <w:t xml:space="preserve">       </w:t>
      </w:r>
      <w:r w:rsidR="00CB0A62" w:rsidRPr="00AA7D02">
        <w:rPr>
          <w:szCs w:val="22"/>
        </w:rPr>
        <w:t xml:space="preserve"> </w:t>
      </w:r>
      <w:r w:rsidR="00BB7A92" w:rsidRPr="00AA7D02">
        <w:rPr>
          <w:szCs w:val="22"/>
        </w:rPr>
        <w:t xml:space="preserve">   </w:t>
      </w:r>
    </w:p>
    <w:p w14:paraId="117F9A00" w14:textId="77777777" w:rsidR="006A0DA0" w:rsidRPr="0053584A" w:rsidRDefault="006A0DA0" w:rsidP="006A0DA0">
      <w:pPr>
        <w:pStyle w:val="ParaNum"/>
        <w:widowControl/>
        <w:rPr>
          <w:szCs w:val="22"/>
        </w:rPr>
      </w:pPr>
      <w:r w:rsidRPr="0053584A">
        <w:rPr>
          <w:szCs w:val="22"/>
        </w:rPr>
        <w:t xml:space="preserve">In the </w:t>
      </w:r>
      <w:r w:rsidR="00456F02" w:rsidRPr="0053584A">
        <w:rPr>
          <w:i/>
          <w:szCs w:val="22"/>
        </w:rPr>
        <w:t xml:space="preserve">USF/ICC </w:t>
      </w:r>
      <w:r w:rsidRPr="0053584A">
        <w:rPr>
          <w:i/>
          <w:szCs w:val="22"/>
        </w:rPr>
        <w:t>Transformation Order</w:t>
      </w:r>
      <w:r w:rsidRPr="0053584A">
        <w:rPr>
          <w:szCs w:val="22"/>
        </w:rPr>
        <w:t xml:space="preserve">, </w:t>
      </w:r>
      <w:r w:rsidR="00771AE3">
        <w:rPr>
          <w:szCs w:val="22"/>
        </w:rPr>
        <w:t xml:space="preserve">the </w:t>
      </w:r>
      <w:r w:rsidR="00CB0A62">
        <w:rPr>
          <w:szCs w:val="22"/>
        </w:rPr>
        <w:t xml:space="preserve">Commission specified that the baseline for price cap carrier recovery would be total switched access revenues </w:t>
      </w:r>
      <w:r w:rsidR="00CB0A62">
        <w:t>that: “(1) are being reduced as part of reform adopted today; (2) are billed for service provided in FY2011; and (3) for which payment has been received by March 31, 2012.”</w:t>
      </w:r>
      <w:r w:rsidR="00CB0A62">
        <w:rPr>
          <w:rStyle w:val="FootnoteReference"/>
        </w:rPr>
        <w:footnoteReference w:id="15"/>
      </w:r>
      <w:r w:rsidR="00CB0A62">
        <w:rPr>
          <w:szCs w:val="22"/>
        </w:rPr>
        <w:t xml:space="preserve">  It further stated, however, that such baseline shall not include </w:t>
      </w:r>
      <w:r w:rsidR="00837BDC">
        <w:rPr>
          <w:szCs w:val="22"/>
        </w:rPr>
        <w:t xml:space="preserve">“disputed revenues or </w:t>
      </w:r>
      <w:r w:rsidR="00837BDC" w:rsidRPr="001A7380">
        <w:rPr>
          <w:szCs w:val="22"/>
        </w:rPr>
        <w:t>revenues otherwise not recovered, for whatever reason, or the MOU associated with such revenues.</w:t>
      </w:r>
      <w:r w:rsidRPr="001A7380">
        <w:rPr>
          <w:szCs w:val="22"/>
        </w:rPr>
        <w:t>”</w:t>
      </w:r>
      <w:r w:rsidRPr="001A7380">
        <w:rPr>
          <w:rStyle w:val="FootnoteReference"/>
          <w:sz w:val="22"/>
          <w:szCs w:val="22"/>
        </w:rPr>
        <w:footnoteReference w:id="16"/>
      </w:r>
      <w:r w:rsidR="00771AE3" w:rsidRPr="001A7380">
        <w:rPr>
          <w:szCs w:val="22"/>
        </w:rPr>
        <w:t xml:space="preserve">  </w:t>
      </w:r>
      <w:r w:rsidR="0035163D" w:rsidRPr="001A7380">
        <w:rPr>
          <w:szCs w:val="22"/>
        </w:rPr>
        <w:t>Constraining the recovery baseline in this manner is one of several methods the Commission adopted to prevent excessive recovery from end users and the federal universal service fund.  The pr</w:t>
      </w:r>
      <w:r w:rsidR="0035163D">
        <w:rPr>
          <w:szCs w:val="22"/>
        </w:rPr>
        <w:t>ice cap carrier recovery mechanism was</w:t>
      </w:r>
      <w:r w:rsidR="00771AE3">
        <w:rPr>
          <w:szCs w:val="22"/>
        </w:rPr>
        <w:t xml:space="preserve"> designed to provide more certainty and predictability</w:t>
      </w:r>
      <w:r w:rsidR="00800523">
        <w:rPr>
          <w:szCs w:val="22"/>
        </w:rPr>
        <w:t>,</w:t>
      </w:r>
      <w:r w:rsidR="00771AE3">
        <w:rPr>
          <w:szCs w:val="22"/>
        </w:rPr>
        <w:t xml:space="preserve"> so that price cap carrier</w:t>
      </w:r>
      <w:r w:rsidR="0035163D">
        <w:rPr>
          <w:szCs w:val="22"/>
        </w:rPr>
        <w:t>s</w:t>
      </w:r>
      <w:r w:rsidR="00771AE3">
        <w:rPr>
          <w:szCs w:val="22"/>
        </w:rPr>
        <w:t xml:space="preserve"> could better manage the transition to bill-and-keep</w:t>
      </w:r>
      <w:r w:rsidR="00771AE3" w:rsidRPr="0053584A">
        <w:rPr>
          <w:szCs w:val="22"/>
        </w:rPr>
        <w:t>.</w:t>
      </w:r>
      <w:r w:rsidR="00771AE3" w:rsidRPr="0053584A">
        <w:rPr>
          <w:rStyle w:val="FootnoteReference"/>
          <w:sz w:val="22"/>
          <w:szCs w:val="22"/>
        </w:rPr>
        <w:footnoteReference w:id="17"/>
      </w:r>
      <w:r w:rsidR="00771AE3">
        <w:rPr>
          <w:szCs w:val="22"/>
        </w:rPr>
        <w:t xml:space="preserve">  </w:t>
      </w:r>
      <w:r w:rsidR="0035163D">
        <w:rPr>
          <w:szCs w:val="22"/>
        </w:rPr>
        <w:t>Such an approach gave</w:t>
      </w:r>
      <w:r w:rsidR="00771AE3">
        <w:rPr>
          <w:szCs w:val="22"/>
        </w:rPr>
        <w:t xml:space="preserve"> predictability not only to price cap carriers, but also to consumers and universal service contributors.</w:t>
      </w:r>
      <w:r w:rsidR="00771AE3">
        <w:rPr>
          <w:rStyle w:val="FootnoteReference"/>
          <w:szCs w:val="22"/>
        </w:rPr>
        <w:footnoteReference w:id="18"/>
      </w:r>
      <w:r w:rsidR="00771AE3">
        <w:rPr>
          <w:szCs w:val="22"/>
        </w:rPr>
        <w:t xml:space="preserve">  </w:t>
      </w:r>
      <w:r w:rsidR="00771AE3" w:rsidRPr="0053584A">
        <w:rPr>
          <w:szCs w:val="22"/>
        </w:rPr>
        <w:t xml:space="preserve">  </w:t>
      </w:r>
    </w:p>
    <w:p w14:paraId="6743B595" w14:textId="77777777" w:rsidR="006A0DA0" w:rsidRPr="0053584A" w:rsidRDefault="00C4456E" w:rsidP="0004481D">
      <w:pPr>
        <w:pStyle w:val="Heading2"/>
        <w:rPr>
          <w:szCs w:val="22"/>
        </w:rPr>
      </w:pPr>
      <w:bookmarkStart w:id="1" w:name="_Ref380676516"/>
      <w:r>
        <w:rPr>
          <w:szCs w:val="22"/>
        </w:rPr>
        <w:t xml:space="preserve">The Halo Petitions and Orders </w:t>
      </w:r>
    </w:p>
    <w:p w14:paraId="2B9A0F30" w14:textId="5867F9A3" w:rsidR="00DA19DF" w:rsidRDefault="00AD5D24" w:rsidP="00D6349C">
      <w:pPr>
        <w:pStyle w:val="ParaNum"/>
        <w:widowControl/>
        <w:rPr>
          <w:szCs w:val="22"/>
        </w:rPr>
      </w:pPr>
      <w:r>
        <w:rPr>
          <w:szCs w:val="22"/>
        </w:rPr>
        <w:t xml:space="preserve">It is undisputed that Halo, </w:t>
      </w:r>
      <w:r w:rsidR="00226E19">
        <w:rPr>
          <w:szCs w:val="22"/>
        </w:rPr>
        <w:t>a Commercial Mobile Radio Service (CMRS) provider</w:t>
      </w:r>
      <w:r w:rsidR="00683893">
        <w:rPr>
          <w:szCs w:val="22"/>
        </w:rPr>
        <w:t>,</w:t>
      </w:r>
      <w:r w:rsidR="00E67FAA">
        <w:rPr>
          <w:szCs w:val="22"/>
        </w:rPr>
        <w:t xml:space="preserve"> perpetrated a </w:t>
      </w:r>
      <w:r w:rsidR="00C52FA5">
        <w:rPr>
          <w:szCs w:val="22"/>
        </w:rPr>
        <w:t xml:space="preserve">scheme </w:t>
      </w:r>
      <w:r w:rsidR="00E67FAA">
        <w:rPr>
          <w:szCs w:val="22"/>
        </w:rPr>
        <w:t xml:space="preserve">that </w:t>
      </w:r>
      <w:r w:rsidR="00211410" w:rsidRPr="0053584A">
        <w:rPr>
          <w:szCs w:val="22"/>
        </w:rPr>
        <w:t>involved taking calls originated by other carriers, routing them through Halo as the intermediary carrier</w:t>
      </w:r>
      <w:r w:rsidR="009F56F9" w:rsidRPr="0053584A">
        <w:rPr>
          <w:szCs w:val="22"/>
        </w:rPr>
        <w:t>,</w:t>
      </w:r>
      <w:r w:rsidR="00211410" w:rsidRPr="0053584A">
        <w:rPr>
          <w:szCs w:val="22"/>
        </w:rPr>
        <w:t xml:space="preserve"> and then claiming that such calls were originated by a CMRS provider</w:t>
      </w:r>
      <w:r w:rsidR="00E426C9" w:rsidRPr="0053584A">
        <w:rPr>
          <w:szCs w:val="22"/>
        </w:rPr>
        <w:t xml:space="preserve"> </w:t>
      </w:r>
      <w:r w:rsidR="0031355D" w:rsidRPr="0053584A">
        <w:rPr>
          <w:szCs w:val="22"/>
        </w:rPr>
        <w:t>and subject to the intraMTA rule</w:t>
      </w:r>
      <w:r>
        <w:rPr>
          <w:szCs w:val="22"/>
        </w:rPr>
        <w:t>.</w:t>
      </w:r>
      <w:r>
        <w:rPr>
          <w:rStyle w:val="FootnoteReference"/>
          <w:szCs w:val="22"/>
        </w:rPr>
        <w:footnoteReference w:id="19"/>
      </w:r>
      <w:r w:rsidR="009F56F9" w:rsidRPr="0053584A">
        <w:rPr>
          <w:szCs w:val="22"/>
        </w:rPr>
        <w:t xml:space="preserve"> </w:t>
      </w:r>
      <w:r w:rsidR="00262342">
        <w:rPr>
          <w:szCs w:val="22"/>
        </w:rPr>
        <w:t xml:space="preserve"> </w:t>
      </w:r>
      <w:r w:rsidR="009F56F9" w:rsidRPr="0053584A">
        <w:rPr>
          <w:szCs w:val="22"/>
        </w:rPr>
        <w:t xml:space="preserve">In the </w:t>
      </w:r>
      <w:r w:rsidR="00456F02" w:rsidRPr="0053584A">
        <w:rPr>
          <w:i/>
          <w:szCs w:val="22"/>
        </w:rPr>
        <w:t xml:space="preserve">USF/ICC </w:t>
      </w:r>
      <w:r w:rsidR="009F56F9" w:rsidRPr="0053584A">
        <w:rPr>
          <w:i/>
          <w:szCs w:val="22"/>
        </w:rPr>
        <w:t>Transformation Order</w:t>
      </w:r>
      <w:r w:rsidR="009F56F9" w:rsidRPr="0053584A">
        <w:rPr>
          <w:szCs w:val="22"/>
        </w:rPr>
        <w:t xml:space="preserve"> the Commission made clear that the routing of a call over a wireless link in the middle of the call path did not convert a wireline-originated call into a CMRS-originated call for purposes of reciprocal compensation.</w:t>
      </w:r>
      <w:r w:rsidR="009F56F9" w:rsidRPr="0053584A">
        <w:rPr>
          <w:rStyle w:val="FootnoteReference"/>
          <w:sz w:val="22"/>
          <w:szCs w:val="22"/>
        </w:rPr>
        <w:footnoteReference w:id="20"/>
      </w:r>
      <w:r w:rsidR="00211410" w:rsidRPr="0053584A">
        <w:rPr>
          <w:szCs w:val="22"/>
        </w:rPr>
        <w:t xml:space="preserve">  </w:t>
      </w:r>
      <w:r w:rsidR="004D3170" w:rsidRPr="0053584A">
        <w:rPr>
          <w:szCs w:val="22"/>
        </w:rPr>
        <w:t>By</w:t>
      </w:r>
      <w:r w:rsidR="00E426C9" w:rsidRPr="0053584A">
        <w:rPr>
          <w:szCs w:val="22"/>
        </w:rPr>
        <w:t xml:space="preserve"> characterizing the traffic as CMRS-originated traffic</w:t>
      </w:r>
      <w:r w:rsidR="004D3170" w:rsidRPr="0053584A">
        <w:rPr>
          <w:szCs w:val="22"/>
        </w:rPr>
        <w:t>, Halo attempted to avoid paying the requisite compensation to terminating L</w:t>
      </w:r>
      <w:r w:rsidR="00E426C9" w:rsidRPr="0053584A">
        <w:rPr>
          <w:szCs w:val="22"/>
        </w:rPr>
        <w:t>ECs.</w:t>
      </w:r>
      <w:r w:rsidR="00E426C9" w:rsidRPr="0053584A">
        <w:rPr>
          <w:rStyle w:val="FootnoteReference"/>
          <w:sz w:val="22"/>
          <w:szCs w:val="22"/>
        </w:rPr>
        <w:footnoteReference w:id="21"/>
      </w:r>
      <w:bookmarkEnd w:id="1"/>
      <w:r w:rsidR="000265E5">
        <w:rPr>
          <w:szCs w:val="22"/>
        </w:rPr>
        <w:t xml:space="preserve">  When the affected carriers attempted to collect compensation for this traffic, Halo responded with</w:t>
      </w:r>
      <w:r w:rsidR="00A140CA">
        <w:rPr>
          <w:szCs w:val="22"/>
        </w:rPr>
        <w:t xml:space="preserve"> a federal lawsuit and then promptly filed for bankruptcy protection.</w:t>
      </w:r>
      <w:r w:rsidR="00A140CA">
        <w:rPr>
          <w:rStyle w:val="FootnoteReference"/>
          <w:szCs w:val="22"/>
        </w:rPr>
        <w:footnoteReference w:id="22"/>
      </w:r>
      <w:r w:rsidR="00A140CA">
        <w:rPr>
          <w:szCs w:val="22"/>
        </w:rPr>
        <w:t xml:space="preserve">    </w:t>
      </w:r>
    </w:p>
    <w:p w14:paraId="50457A28" w14:textId="0FF41010" w:rsidR="00EA337A" w:rsidRPr="0053584A" w:rsidRDefault="00A5493B" w:rsidP="00D6349C">
      <w:pPr>
        <w:pStyle w:val="ParaNum"/>
        <w:widowControl/>
        <w:rPr>
          <w:szCs w:val="22"/>
        </w:rPr>
      </w:pPr>
      <w:r>
        <w:rPr>
          <w:szCs w:val="22"/>
        </w:rPr>
        <w:t xml:space="preserve">In </w:t>
      </w:r>
      <w:r w:rsidR="00DA7E55" w:rsidRPr="0053584A">
        <w:rPr>
          <w:szCs w:val="22"/>
        </w:rPr>
        <w:t xml:space="preserve">2014, the Commission released an </w:t>
      </w:r>
      <w:r w:rsidR="006C542B">
        <w:rPr>
          <w:szCs w:val="22"/>
        </w:rPr>
        <w:t>o</w:t>
      </w:r>
      <w:r w:rsidR="00DA7E55" w:rsidRPr="0053584A">
        <w:rPr>
          <w:szCs w:val="22"/>
        </w:rPr>
        <w:t xml:space="preserve">rder that granted in part, subject to identified conditions, two petitions seeking waiver of </w:t>
      </w:r>
      <w:r w:rsidR="00DA7E55">
        <w:rPr>
          <w:szCs w:val="22"/>
        </w:rPr>
        <w:t xml:space="preserve">section </w:t>
      </w:r>
      <w:r w:rsidR="00DA7E55" w:rsidRPr="003E521F">
        <w:t>51.917(b)(7)</w:t>
      </w:r>
      <w:r w:rsidR="00DA7E55">
        <w:t xml:space="preserve"> of the Commission’s rules</w:t>
      </w:r>
      <w:r w:rsidR="00DA7E55" w:rsidRPr="0053584A">
        <w:rPr>
          <w:szCs w:val="22"/>
        </w:rPr>
        <w:t>.</w:t>
      </w:r>
      <w:r w:rsidR="00DA7E55" w:rsidRPr="0053584A">
        <w:rPr>
          <w:rStyle w:val="FootnoteReference"/>
          <w:sz w:val="22"/>
          <w:szCs w:val="22"/>
        </w:rPr>
        <w:footnoteReference w:id="23"/>
      </w:r>
      <w:r w:rsidR="00DA7E55" w:rsidRPr="0053584A">
        <w:rPr>
          <w:szCs w:val="22"/>
        </w:rPr>
        <w:t xml:space="preserve">  These waivers allowed the requesting carriers to include in their recovery calculations funds they were unable to collect from Halo due to </w:t>
      </w:r>
      <w:r w:rsidR="00AA7D02">
        <w:rPr>
          <w:szCs w:val="22"/>
        </w:rPr>
        <w:t>the</w:t>
      </w:r>
      <w:r w:rsidR="00DA7E55" w:rsidRPr="0053584A">
        <w:rPr>
          <w:szCs w:val="22"/>
        </w:rPr>
        <w:t xml:space="preserve"> access </w:t>
      </w:r>
      <w:r w:rsidR="00DA7E55">
        <w:rPr>
          <w:szCs w:val="22"/>
        </w:rPr>
        <w:t xml:space="preserve">charge </w:t>
      </w:r>
      <w:r w:rsidR="00DA7E55" w:rsidRPr="0053584A">
        <w:rPr>
          <w:szCs w:val="22"/>
        </w:rPr>
        <w:t>avoidance scheme and subsequent bankruptcy.</w:t>
      </w:r>
      <w:r w:rsidR="00DA7E55" w:rsidRPr="0053584A">
        <w:rPr>
          <w:rStyle w:val="FootnoteReference"/>
          <w:sz w:val="22"/>
          <w:szCs w:val="22"/>
        </w:rPr>
        <w:footnoteReference w:id="24"/>
      </w:r>
      <w:r w:rsidR="00DA7E55" w:rsidRPr="0053584A">
        <w:rPr>
          <w:szCs w:val="22"/>
        </w:rPr>
        <w:t xml:space="preserve">  In the </w:t>
      </w:r>
      <w:r w:rsidR="00DA7E55" w:rsidRPr="0053584A">
        <w:rPr>
          <w:i/>
          <w:szCs w:val="22"/>
        </w:rPr>
        <w:t>Halo Order</w:t>
      </w:r>
      <w:r w:rsidR="00DA7E55" w:rsidRPr="0053584A">
        <w:rPr>
          <w:szCs w:val="22"/>
        </w:rPr>
        <w:t>, the Commission found “that incumbent LECs, upon a showing of good cause, should be permitted to include in their recovery calculations revenues associated with traffic eligible for compensation that was terminated during FY 2011 and that otherwise meets the criteria spelled out in our revenue recovery rules.”</w:t>
      </w:r>
      <w:r w:rsidR="00DA7E55" w:rsidRPr="0053584A">
        <w:rPr>
          <w:rStyle w:val="FootnoteReference"/>
          <w:sz w:val="22"/>
          <w:szCs w:val="22"/>
        </w:rPr>
        <w:footnoteReference w:id="25"/>
      </w:r>
      <w:r w:rsidR="00AD5D24">
        <w:rPr>
          <w:rFonts w:eastAsia="Calibri"/>
          <w:snapToGrid/>
          <w:kern w:val="0"/>
          <w:szCs w:val="22"/>
        </w:rPr>
        <w:t xml:space="preserve">  Subsequently, t</w:t>
      </w:r>
      <w:r w:rsidR="00DA7E55">
        <w:rPr>
          <w:rFonts w:eastAsia="Calibri"/>
          <w:snapToGrid/>
          <w:kern w:val="0"/>
          <w:szCs w:val="22"/>
        </w:rPr>
        <w:t xml:space="preserve">he Bureau released </w:t>
      </w:r>
      <w:r w:rsidR="00AD5D24">
        <w:rPr>
          <w:rFonts w:eastAsia="Calibri"/>
          <w:snapToGrid/>
          <w:kern w:val="0"/>
          <w:szCs w:val="22"/>
        </w:rPr>
        <w:t xml:space="preserve">two </w:t>
      </w:r>
      <w:r w:rsidR="00DA7E55">
        <w:rPr>
          <w:rFonts w:eastAsia="Calibri"/>
          <w:snapToGrid/>
          <w:kern w:val="0"/>
          <w:szCs w:val="22"/>
        </w:rPr>
        <w:t>similar o</w:t>
      </w:r>
      <w:r w:rsidR="00DA7E55" w:rsidRPr="009B342D">
        <w:rPr>
          <w:rFonts w:eastAsia="Calibri"/>
          <w:snapToGrid/>
          <w:kern w:val="0"/>
          <w:szCs w:val="22"/>
        </w:rPr>
        <w:t>rder</w:t>
      </w:r>
      <w:r w:rsidR="00DA7E55">
        <w:rPr>
          <w:rFonts w:eastAsia="Calibri"/>
          <w:snapToGrid/>
          <w:kern w:val="0"/>
          <w:szCs w:val="22"/>
        </w:rPr>
        <w:t xml:space="preserve">s granting </w:t>
      </w:r>
      <w:r w:rsidR="00DA7E55" w:rsidRPr="0053584A">
        <w:rPr>
          <w:rFonts w:eastAsia="Calibri"/>
          <w:snapToGrid/>
          <w:kern w:val="0"/>
          <w:szCs w:val="22"/>
        </w:rPr>
        <w:t>in part, su</w:t>
      </w:r>
      <w:r w:rsidR="00DA7E55">
        <w:rPr>
          <w:rFonts w:eastAsia="Calibri"/>
          <w:snapToGrid/>
          <w:kern w:val="0"/>
          <w:szCs w:val="22"/>
        </w:rPr>
        <w:t xml:space="preserve">bject to identified conditions, </w:t>
      </w:r>
      <w:r w:rsidR="00DA7E55" w:rsidRPr="0053584A">
        <w:rPr>
          <w:rFonts w:eastAsia="Calibri"/>
          <w:snapToGrid/>
          <w:kern w:val="0"/>
          <w:szCs w:val="22"/>
        </w:rPr>
        <w:t xml:space="preserve">additional petitions seeking waiver of </w:t>
      </w:r>
      <w:r w:rsidR="00A33FB1">
        <w:rPr>
          <w:rFonts w:eastAsia="Calibri"/>
          <w:snapToGrid/>
          <w:kern w:val="0"/>
          <w:szCs w:val="22"/>
        </w:rPr>
        <w:t>section</w:t>
      </w:r>
      <w:r w:rsidR="00DA7E55">
        <w:rPr>
          <w:rFonts w:eastAsia="Calibri"/>
          <w:snapToGrid/>
          <w:kern w:val="0"/>
          <w:szCs w:val="22"/>
        </w:rPr>
        <w:t xml:space="preserve"> </w:t>
      </w:r>
      <w:r w:rsidR="00DA7E55" w:rsidRPr="003E521F">
        <w:t>51.917(b)(7)</w:t>
      </w:r>
      <w:r w:rsidR="00DA7E55" w:rsidRPr="0053584A">
        <w:rPr>
          <w:rFonts w:eastAsia="Calibri"/>
          <w:snapToGrid/>
          <w:kern w:val="0"/>
          <w:szCs w:val="22"/>
        </w:rPr>
        <w:t xml:space="preserve"> </w:t>
      </w:r>
      <w:r w:rsidR="00A33FB1">
        <w:rPr>
          <w:rFonts w:eastAsia="Calibri"/>
          <w:snapToGrid/>
          <w:kern w:val="0"/>
          <w:szCs w:val="22"/>
        </w:rPr>
        <w:t xml:space="preserve">of the Commission’s rules </w:t>
      </w:r>
      <w:r w:rsidR="00DA7E55" w:rsidRPr="0053584A">
        <w:rPr>
          <w:rFonts w:eastAsia="Calibri"/>
          <w:snapToGrid/>
          <w:kern w:val="0"/>
          <w:szCs w:val="22"/>
        </w:rPr>
        <w:t xml:space="preserve">under conditions similar to those described in the </w:t>
      </w:r>
      <w:r w:rsidR="00DA7E55" w:rsidRPr="0053584A">
        <w:rPr>
          <w:rFonts w:eastAsia="Calibri"/>
          <w:i/>
          <w:snapToGrid/>
          <w:kern w:val="0"/>
          <w:szCs w:val="22"/>
        </w:rPr>
        <w:t>Halo Order</w:t>
      </w:r>
      <w:r w:rsidR="00DA7E55" w:rsidRPr="0053584A">
        <w:rPr>
          <w:rFonts w:eastAsia="Calibri"/>
          <w:snapToGrid/>
          <w:kern w:val="0"/>
          <w:szCs w:val="22"/>
        </w:rPr>
        <w:t>.</w:t>
      </w:r>
      <w:r w:rsidR="00DA7E55">
        <w:rPr>
          <w:rStyle w:val="FootnoteReference"/>
          <w:rFonts w:eastAsia="Calibri"/>
          <w:kern w:val="0"/>
          <w:szCs w:val="22"/>
        </w:rPr>
        <w:footnoteReference w:id="26"/>
      </w:r>
    </w:p>
    <w:p w14:paraId="146C2295" w14:textId="55F973B0" w:rsidR="006B74A4" w:rsidRPr="0050259F" w:rsidRDefault="00800523" w:rsidP="0050259F">
      <w:pPr>
        <w:pStyle w:val="ParaNum"/>
        <w:widowControl/>
        <w:rPr>
          <w:szCs w:val="22"/>
        </w:rPr>
      </w:pPr>
      <w:r w:rsidRPr="002714D6">
        <w:rPr>
          <w:szCs w:val="22"/>
        </w:rPr>
        <w:t xml:space="preserve"> </w:t>
      </w:r>
      <w:r w:rsidR="00A5493B">
        <w:rPr>
          <w:szCs w:val="22"/>
        </w:rPr>
        <w:t xml:space="preserve">Like the carriers covered in previous Halo </w:t>
      </w:r>
      <w:r w:rsidR="00A33FB1">
        <w:rPr>
          <w:szCs w:val="22"/>
        </w:rPr>
        <w:t>o</w:t>
      </w:r>
      <w:r w:rsidR="00A5493B">
        <w:rPr>
          <w:szCs w:val="22"/>
        </w:rPr>
        <w:t xml:space="preserve">rders, </w:t>
      </w:r>
      <w:r w:rsidR="002714D6" w:rsidRPr="001A7380">
        <w:rPr>
          <w:szCs w:val="22"/>
        </w:rPr>
        <w:t>Windstream terminat</w:t>
      </w:r>
      <w:r w:rsidR="00A5493B">
        <w:rPr>
          <w:szCs w:val="22"/>
        </w:rPr>
        <w:t xml:space="preserve">ed </w:t>
      </w:r>
      <w:r w:rsidR="002714D6" w:rsidRPr="001A7380">
        <w:rPr>
          <w:szCs w:val="22"/>
        </w:rPr>
        <w:t xml:space="preserve">interstate and intrastate access </w:t>
      </w:r>
      <w:r w:rsidR="008D4979" w:rsidRPr="001A7380">
        <w:rPr>
          <w:szCs w:val="22"/>
        </w:rPr>
        <w:t>sent by Halo during FY 2011, bill</w:t>
      </w:r>
      <w:r w:rsidR="00A5493B">
        <w:rPr>
          <w:szCs w:val="22"/>
        </w:rPr>
        <w:t>ed</w:t>
      </w:r>
      <w:r w:rsidR="00CE491A" w:rsidRPr="001A7380">
        <w:rPr>
          <w:szCs w:val="22"/>
        </w:rPr>
        <w:t xml:space="preserve"> Halo for this service,</w:t>
      </w:r>
      <w:r w:rsidR="00A5493B">
        <w:rPr>
          <w:szCs w:val="22"/>
        </w:rPr>
        <w:t xml:space="preserve"> and received </w:t>
      </w:r>
      <w:r w:rsidR="00CE491A" w:rsidRPr="001A7380">
        <w:rPr>
          <w:szCs w:val="22"/>
        </w:rPr>
        <w:t xml:space="preserve">“very limited partial payments” </w:t>
      </w:r>
      <w:r w:rsidR="008D4979" w:rsidRPr="001A7380">
        <w:rPr>
          <w:szCs w:val="22"/>
        </w:rPr>
        <w:t xml:space="preserve">based on </w:t>
      </w:r>
      <w:r w:rsidR="00A5493B">
        <w:rPr>
          <w:szCs w:val="22"/>
        </w:rPr>
        <w:t>Halo’s</w:t>
      </w:r>
      <w:r w:rsidR="008D4979" w:rsidRPr="001A7380">
        <w:rPr>
          <w:szCs w:val="22"/>
        </w:rPr>
        <w:t xml:space="preserve"> theory that the traffic </w:t>
      </w:r>
      <w:r w:rsidR="00543453">
        <w:rPr>
          <w:szCs w:val="22"/>
        </w:rPr>
        <w:t>was</w:t>
      </w:r>
      <w:r w:rsidR="00815D4C" w:rsidRPr="001A7380">
        <w:rPr>
          <w:szCs w:val="22"/>
        </w:rPr>
        <w:t xml:space="preserve"> </w:t>
      </w:r>
      <w:r w:rsidR="008D4979" w:rsidRPr="001A7380">
        <w:rPr>
          <w:szCs w:val="22"/>
        </w:rPr>
        <w:t xml:space="preserve">not subject to access </w:t>
      </w:r>
      <w:r w:rsidR="00815D4C" w:rsidRPr="001A7380">
        <w:rPr>
          <w:szCs w:val="22"/>
        </w:rPr>
        <w:t>or other ICC charges</w:t>
      </w:r>
      <w:r w:rsidR="008D4979" w:rsidRPr="001A7380">
        <w:rPr>
          <w:szCs w:val="22"/>
        </w:rPr>
        <w:t>.</w:t>
      </w:r>
      <w:r w:rsidR="008D4979" w:rsidRPr="001A7380">
        <w:rPr>
          <w:rStyle w:val="FootnoteReference"/>
          <w:sz w:val="22"/>
          <w:szCs w:val="22"/>
        </w:rPr>
        <w:footnoteReference w:id="27"/>
      </w:r>
      <w:r w:rsidR="008D4979" w:rsidRPr="002714D6">
        <w:rPr>
          <w:szCs w:val="22"/>
        </w:rPr>
        <w:t xml:space="preserve">  </w:t>
      </w:r>
      <w:r w:rsidR="00A5493B">
        <w:rPr>
          <w:szCs w:val="22"/>
        </w:rPr>
        <w:t xml:space="preserve">Windstream unsuccessfully </w:t>
      </w:r>
      <w:r w:rsidR="00717D9D">
        <w:rPr>
          <w:szCs w:val="22"/>
        </w:rPr>
        <w:t>attempted to negotiate an</w:t>
      </w:r>
      <w:r w:rsidR="00204246">
        <w:rPr>
          <w:szCs w:val="22"/>
        </w:rPr>
        <w:t xml:space="preserve"> interconnection agreement with Halo pursuant to Sections 251 and 252 of the Communications Act.</w:t>
      </w:r>
      <w:r w:rsidR="00204246">
        <w:rPr>
          <w:rStyle w:val="FootnoteReference"/>
          <w:szCs w:val="22"/>
        </w:rPr>
        <w:footnoteReference w:id="28"/>
      </w:r>
      <w:r w:rsidR="00EA337A">
        <w:rPr>
          <w:szCs w:val="22"/>
        </w:rPr>
        <w:t xml:space="preserve">  </w:t>
      </w:r>
      <w:r w:rsidR="00A5493B">
        <w:t xml:space="preserve">Windstream </w:t>
      </w:r>
      <w:r w:rsidR="00A5493B" w:rsidRPr="0053584A">
        <w:t>seek</w:t>
      </w:r>
      <w:r w:rsidR="00A5493B">
        <w:t>s</w:t>
      </w:r>
      <w:r w:rsidR="00A5493B" w:rsidRPr="0053584A">
        <w:t xml:space="preserve"> waiver of </w:t>
      </w:r>
      <w:r w:rsidR="00A5493B">
        <w:t>the</w:t>
      </w:r>
      <w:r w:rsidR="00A5493B" w:rsidRPr="0053584A">
        <w:t xml:space="preserve"> rule</w:t>
      </w:r>
      <w:r w:rsidR="00A5493B">
        <w:t>s</w:t>
      </w:r>
      <w:r w:rsidR="00A5493B" w:rsidRPr="0053584A">
        <w:t xml:space="preserve"> implementing the recovery mechanism </w:t>
      </w:r>
      <w:r w:rsidR="00A5493B">
        <w:t>so it can</w:t>
      </w:r>
      <w:r w:rsidR="00A5493B" w:rsidRPr="0053584A">
        <w:t xml:space="preserve"> include uncollected revenues from Halo</w:t>
      </w:r>
      <w:r w:rsidR="00A5493B">
        <w:t xml:space="preserve"> in its recovery calculations</w:t>
      </w:r>
      <w:r w:rsidR="00A5493B" w:rsidRPr="0053584A">
        <w:t>.</w:t>
      </w:r>
      <w:r w:rsidR="00A5493B">
        <w:rPr>
          <w:rStyle w:val="FootnoteReference"/>
          <w:szCs w:val="22"/>
        </w:rPr>
        <w:footnoteReference w:id="29"/>
      </w:r>
      <w:r w:rsidR="00A5493B">
        <w:t xml:space="preserve">  </w:t>
      </w:r>
      <w:r w:rsidR="0078587E">
        <w:t>The Bureau sought comment on the petition</w:t>
      </w:r>
      <w:r w:rsidR="0078587E">
        <w:rPr>
          <w:rStyle w:val="FootnoteReference"/>
        </w:rPr>
        <w:footnoteReference w:id="30"/>
      </w:r>
      <w:r w:rsidR="0078587E">
        <w:t xml:space="preserve"> and </w:t>
      </w:r>
      <w:r w:rsidR="00A5493B">
        <w:rPr>
          <w:szCs w:val="22"/>
        </w:rPr>
        <w:t>USTelecom</w:t>
      </w:r>
      <w:r w:rsidR="00A5493B" w:rsidRPr="0091475E">
        <w:rPr>
          <w:szCs w:val="22"/>
        </w:rPr>
        <w:t xml:space="preserve"> filed comments supporting grant of the petition</w:t>
      </w:r>
      <w:r w:rsidR="00A5493B" w:rsidRPr="0053584A">
        <w:rPr>
          <w:szCs w:val="22"/>
        </w:rPr>
        <w:t>.</w:t>
      </w:r>
      <w:r w:rsidR="00A5493B" w:rsidRPr="0053584A">
        <w:rPr>
          <w:rStyle w:val="FootnoteReference"/>
          <w:sz w:val="22"/>
          <w:szCs w:val="22"/>
        </w:rPr>
        <w:footnoteReference w:id="31"/>
      </w:r>
      <w:r w:rsidR="00A5493B">
        <w:rPr>
          <w:szCs w:val="22"/>
        </w:rPr>
        <w:t xml:space="preserve">  </w:t>
      </w:r>
    </w:p>
    <w:p w14:paraId="13775DA3" w14:textId="77777777" w:rsidR="00D83FE4" w:rsidRDefault="008D4979" w:rsidP="008D4979">
      <w:pPr>
        <w:pStyle w:val="Heading1"/>
        <w:rPr>
          <w:rFonts w:ascii="Times New Roman" w:hAnsi="Times New Roman"/>
          <w:szCs w:val="22"/>
        </w:rPr>
      </w:pPr>
      <w:r w:rsidRPr="0053584A">
        <w:rPr>
          <w:rFonts w:ascii="Times New Roman" w:hAnsi="Times New Roman"/>
          <w:szCs w:val="22"/>
        </w:rPr>
        <w:t>discussio</w:t>
      </w:r>
      <w:r w:rsidR="00394A8D">
        <w:rPr>
          <w:rFonts w:ascii="Times New Roman" w:hAnsi="Times New Roman"/>
          <w:szCs w:val="22"/>
        </w:rPr>
        <w:t>n</w:t>
      </w:r>
    </w:p>
    <w:p w14:paraId="654FEFD5" w14:textId="1EA4569C" w:rsidR="001A2817" w:rsidRPr="00AA7D02" w:rsidRDefault="001A2817" w:rsidP="00AA7D02">
      <w:pPr>
        <w:pStyle w:val="ParaNum"/>
        <w:widowControl/>
        <w:rPr>
          <w:rFonts w:eastAsia="Calibri"/>
          <w:snapToGrid/>
        </w:rPr>
      </w:pPr>
      <w:r w:rsidRPr="001A2817">
        <w:rPr>
          <w:rFonts w:eastAsia="Calibri"/>
          <w:snapToGrid/>
        </w:rPr>
        <w:t xml:space="preserve">In this Order we grant in part, subject to identified conditions, </w:t>
      </w:r>
      <w:r w:rsidR="00AA7D02">
        <w:rPr>
          <w:rFonts w:eastAsia="Calibri"/>
          <w:snapToGrid/>
        </w:rPr>
        <w:t>Windstream’s</w:t>
      </w:r>
      <w:r w:rsidRPr="001A2817">
        <w:rPr>
          <w:rFonts w:eastAsia="Calibri"/>
          <w:snapToGrid/>
        </w:rPr>
        <w:t xml:space="preserve"> petition seeking waiver of section 51.915(c) and (d) of the Commission’s rules </w:t>
      </w:r>
      <w:r w:rsidRPr="001A2817">
        <w:rPr>
          <w:rFonts w:eastAsia="Calibri"/>
          <w:snapToGrid/>
          <w:kern w:val="0"/>
          <w:szCs w:val="22"/>
        </w:rPr>
        <w:t>under conditions substantially similar to</w:t>
      </w:r>
      <w:r w:rsidR="009752F8">
        <w:rPr>
          <w:rFonts w:eastAsia="Calibri"/>
          <w:snapToGrid/>
          <w:kern w:val="0"/>
          <w:szCs w:val="22"/>
        </w:rPr>
        <w:t xml:space="preserve"> those</w:t>
      </w:r>
      <w:r w:rsidR="00360436">
        <w:rPr>
          <w:rFonts w:eastAsia="Calibri"/>
          <w:snapToGrid/>
          <w:kern w:val="0"/>
          <w:szCs w:val="22"/>
        </w:rPr>
        <w:t xml:space="preserve"> described in the prior </w:t>
      </w:r>
      <w:r w:rsidRPr="001A2817">
        <w:rPr>
          <w:rFonts w:eastAsia="Calibri"/>
          <w:snapToGrid/>
          <w:kern w:val="0"/>
          <w:szCs w:val="22"/>
        </w:rPr>
        <w:t>orders</w:t>
      </w:r>
      <w:r w:rsidRPr="001A2817">
        <w:rPr>
          <w:rFonts w:eastAsia="Calibri"/>
          <w:snapToGrid/>
        </w:rPr>
        <w:t>.</w:t>
      </w:r>
      <w:r>
        <w:rPr>
          <w:rStyle w:val="FootnoteReference"/>
          <w:rFonts w:eastAsia="Calibri"/>
          <w:snapToGrid/>
          <w:kern w:val="0"/>
          <w:szCs w:val="22"/>
        </w:rPr>
        <w:footnoteReference w:id="32"/>
      </w:r>
      <w:r w:rsidRPr="001A2817">
        <w:rPr>
          <w:rFonts w:eastAsia="Calibri"/>
          <w:snapToGrid/>
        </w:rPr>
        <w:t xml:space="preserve">  Because Windstream is a price cap-regulated LEC, rather than a rate-of-return-regulated LEC, its petition seeks a waiver of the rules governing the recovery mechanism for price cap carriers.</w:t>
      </w:r>
      <w:r>
        <w:rPr>
          <w:rStyle w:val="FootnoteReference"/>
          <w:rFonts w:eastAsia="Calibri"/>
          <w:snapToGrid/>
          <w:kern w:val="0"/>
          <w:szCs w:val="22"/>
        </w:rPr>
        <w:footnoteReference w:id="33"/>
      </w:r>
      <w:r w:rsidRPr="001A2817">
        <w:rPr>
          <w:rFonts w:eastAsia="Calibri"/>
          <w:snapToGrid/>
        </w:rPr>
        <w:t xml:space="preserve">  Although Windstream necessarily seeks a waiver of the recovery rules applicable to price cap LECs, the circumstances supporting the request are essentially identical to the </w:t>
      </w:r>
      <w:r w:rsidR="00D32FF7">
        <w:rPr>
          <w:rFonts w:eastAsia="Calibri"/>
          <w:snapToGrid/>
        </w:rPr>
        <w:t xml:space="preserve">prior </w:t>
      </w:r>
      <w:r w:rsidRPr="001A2817">
        <w:rPr>
          <w:rFonts w:eastAsia="Calibri"/>
          <w:snapToGrid/>
        </w:rPr>
        <w:t xml:space="preserve">waiver </w:t>
      </w:r>
      <w:r w:rsidR="00D32FF7">
        <w:rPr>
          <w:rFonts w:eastAsia="Calibri"/>
          <w:snapToGrid/>
        </w:rPr>
        <w:t>grants</w:t>
      </w:r>
      <w:r w:rsidRPr="001A2817">
        <w:rPr>
          <w:rFonts w:eastAsia="Calibri"/>
          <w:snapToGrid/>
        </w:rPr>
        <w:t xml:space="preserve"> in that they involve a request to include in its recovery calculations funds it was unable to collect from Halo due to its intercarrier compensation avoidance scheme and subsequent bankruptcy.  As the Commission found in the </w:t>
      </w:r>
      <w:r w:rsidRPr="001A2817">
        <w:rPr>
          <w:rFonts w:eastAsia="Calibri"/>
          <w:i/>
          <w:snapToGrid/>
        </w:rPr>
        <w:t>Halo Order</w:t>
      </w:r>
      <w:r w:rsidRPr="001A2817">
        <w:rPr>
          <w:rFonts w:eastAsia="Calibri"/>
          <w:snapToGrid/>
        </w:rPr>
        <w:t>,</w:t>
      </w:r>
      <w:r w:rsidRPr="0053584A">
        <w:t xml:space="preserve"> “including such revenue in the recovery calculations conforms to the policies underlying the recovery mechanism, and excluding them would undermine those policies.”</w:t>
      </w:r>
      <w:r w:rsidRPr="0053584A">
        <w:rPr>
          <w:rStyle w:val="FootnoteReference"/>
          <w:sz w:val="22"/>
          <w:szCs w:val="22"/>
        </w:rPr>
        <w:footnoteReference w:id="34"/>
      </w:r>
      <w:r w:rsidR="009752F8">
        <w:t xml:space="preserve">  Thus</w:t>
      </w:r>
      <w:r w:rsidR="009752F8" w:rsidRPr="0053584A">
        <w:t xml:space="preserve">, we believe </w:t>
      </w:r>
      <w:r w:rsidR="009752F8">
        <w:t>Windstream</w:t>
      </w:r>
      <w:r w:rsidR="009752F8" w:rsidRPr="0053584A">
        <w:t xml:space="preserve"> ha</w:t>
      </w:r>
      <w:r w:rsidR="009752F8">
        <w:t>s</w:t>
      </w:r>
      <w:r w:rsidR="009752F8" w:rsidRPr="0053584A">
        <w:t xml:space="preserve"> demonstrated good cause for waiver to allow </w:t>
      </w:r>
      <w:r w:rsidR="009752F8">
        <w:t>it</w:t>
      </w:r>
      <w:r w:rsidR="009752F8" w:rsidRPr="0053584A">
        <w:t xml:space="preserve"> to include revenues in </w:t>
      </w:r>
      <w:r w:rsidR="009752F8">
        <w:t>its</w:t>
      </w:r>
      <w:r w:rsidR="00360436">
        <w:t xml:space="preserve"> recovery</w:t>
      </w:r>
      <w:r w:rsidR="009752F8" w:rsidRPr="0053584A">
        <w:t xml:space="preserve"> calculations for intrastate access for services provided to Halo during FY 2011 and billed, but not collected, from Halo.</w:t>
      </w:r>
      <w:r w:rsidR="009752F8">
        <w:t xml:space="preserve">  </w:t>
      </w:r>
    </w:p>
    <w:p w14:paraId="46B0B25E" w14:textId="27E0CDF7" w:rsidR="00383A5A" w:rsidRPr="0053584A" w:rsidRDefault="008D4979" w:rsidP="009752F8">
      <w:pPr>
        <w:pStyle w:val="ParaNum"/>
        <w:widowControl/>
        <w:tabs>
          <w:tab w:val="num" w:pos="2160"/>
        </w:tabs>
        <w:rPr>
          <w:szCs w:val="22"/>
        </w:rPr>
      </w:pPr>
      <w:r w:rsidRPr="0053584A">
        <w:rPr>
          <w:szCs w:val="22"/>
        </w:rPr>
        <w:t xml:space="preserve">Generally, the </w:t>
      </w:r>
      <w:r w:rsidRPr="009752F8">
        <w:rPr>
          <w:rFonts w:eastAsia="Calibri"/>
          <w:snapToGrid/>
          <w:kern w:val="0"/>
          <w:szCs w:val="22"/>
        </w:rPr>
        <w:t>Commission’s</w:t>
      </w:r>
      <w:r w:rsidRPr="0053584A">
        <w:rPr>
          <w:szCs w:val="22"/>
        </w:rPr>
        <w:t xml:space="preserve"> rules may be waived </w:t>
      </w:r>
      <w:r w:rsidR="003A13A4" w:rsidRPr="0053584A">
        <w:rPr>
          <w:szCs w:val="22"/>
        </w:rPr>
        <w:t xml:space="preserve">under section 1.3 of our rules </w:t>
      </w:r>
      <w:r w:rsidRPr="0053584A">
        <w:rPr>
          <w:szCs w:val="22"/>
        </w:rPr>
        <w:t>for “good cause</w:t>
      </w:r>
      <w:r w:rsidR="003C0222" w:rsidRPr="0053584A">
        <w:rPr>
          <w:szCs w:val="22"/>
        </w:rPr>
        <w:t xml:space="preserve"> shown</w:t>
      </w:r>
      <w:r w:rsidR="009A1C00" w:rsidRPr="0053584A">
        <w:rPr>
          <w:szCs w:val="22"/>
        </w:rPr>
        <w:t>.</w:t>
      </w:r>
      <w:r w:rsidRPr="0053584A">
        <w:rPr>
          <w:szCs w:val="22"/>
        </w:rPr>
        <w:t>”</w:t>
      </w:r>
      <w:r w:rsidR="00960CF7" w:rsidRPr="0053584A">
        <w:rPr>
          <w:rStyle w:val="FootnoteReference"/>
          <w:sz w:val="22"/>
          <w:szCs w:val="22"/>
        </w:rPr>
        <w:footnoteReference w:id="35"/>
      </w:r>
      <w:r w:rsidRPr="0053584A">
        <w:rPr>
          <w:szCs w:val="22"/>
        </w:rPr>
        <w:t xml:space="preserve">  The Commission may exercise its discretion to waive a rule where</w:t>
      </w:r>
      <w:r w:rsidR="00AD2797">
        <w:rPr>
          <w:szCs w:val="22"/>
        </w:rPr>
        <w:t>:</w:t>
      </w:r>
      <w:r w:rsidRPr="0053584A">
        <w:rPr>
          <w:szCs w:val="22"/>
        </w:rPr>
        <w:t xml:space="preserve"> </w:t>
      </w:r>
      <w:r w:rsidR="009A1C00" w:rsidRPr="0053584A">
        <w:rPr>
          <w:szCs w:val="22"/>
        </w:rPr>
        <w:t xml:space="preserve">(a) </w:t>
      </w:r>
      <w:r w:rsidRPr="0053584A">
        <w:rPr>
          <w:szCs w:val="22"/>
        </w:rPr>
        <w:t>the particular facts make strict compliance inconsistent with the public interest</w:t>
      </w:r>
      <w:r w:rsidR="00AD2797">
        <w:rPr>
          <w:szCs w:val="22"/>
        </w:rPr>
        <w:t>;</w:t>
      </w:r>
      <w:r w:rsidRPr="0053584A">
        <w:rPr>
          <w:szCs w:val="22"/>
        </w:rPr>
        <w:t xml:space="preserve"> </w:t>
      </w:r>
      <w:r w:rsidR="009A1C00" w:rsidRPr="0053584A">
        <w:rPr>
          <w:szCs w:val="22"/>
        </w:rPr>
        <w:t xml:space="preserve">(b) </w:t>
      </w:r>
      <w:r w:rsidRPr="0053584A">
        <w:rPr>
          <w:szCs w:val="22"/>
        </w:rPr>
        <w:t>special circumstances warrant a deviation from the general rule</w:t>
      </w:r>
      <w:r w:rsidR="00AD2797">
        <w:rPr>
          <w:szCs w:val="22"/>
        </w:rPr>
        <w:t>;</w:t>
      </w:r>
      <w:r w:rsidRPr="0053584A">
        <w:rPr>
          <w:szCs w:val="22"/>
        </w:rPr>
        <w:t xml:space="preserve"> and </w:t>
      </w:r>
      <w:r w:rsidR="009A1C00" w:rsidRPr="0053584A">
        <w:rPr>
          <w:szCs w:val="22"/>
        </w:rPr>
        <w:t xml:space="preserve">(c) </w:t>
      </w:r>
      <w:r w:rsidRPr="0053584A">
        <w:rPr>
          <w:szCs w:val="22"/>
        </w:rPr>
        <w:t>such deviation will serve the public interest.</w:t>
      </w:r>
      <w:r w:rsidRPr="0053584A">
        <w:rPr>
          <w:rStyle w:val="FootnoteReference"/>
          <w:sz w:val="22"/>
          <w:szCs w:val="22"/>
        </w:rPr>
        <w:footnoteReference w:id="36"/>
      </w:r>
      <w:r w:rsidRPr="0053584A">
        <w:rPr>
          <w:szCs w:val="22"/>
        </w:rPr>
        <w:t xml:space="preserve">  In making these determinations, the Commission may consider evidence of hardship, equity, and more effective implementation of overall policy on an individual basis.</w:t>
      </w:r>
      <w:r w:rsidRPr="0053584A">
        <w:rPr>
          <w:rStyle w:val="FootnoteReference"/>
          <w:sz w:val="22"/>
          <w:szCs w:val="22"/>
        </w:rPr>
        <w:footnoteReference w:id="37"/>
      </w:r>
      <w:r w:rsidR="00C93DAF" w:rsidRPr="0053584A">
        <w:rPr>
          <w:szCs w:val="22"/>
        </w:rPr>
        <w:t xml:space="preserve">  </w:t>
      </w:r>
    </w:p>
    <w:p w14:paraId="03B7A0E3" w14:textId="5DD8141B" w:rsidR="001C6929" w:rsidRPr="0053584A" w:rsidRDefault="00457CA4" w:rsidP="009752F8">
      <w:pPr>
        <w:pStyle w:val="ParaNum"/>
        <w:widowControl/>
        <w:tabs>
          <w:tab w:val="num" w:pos="2160"/>
        </w:tabs>
        <w:rPr>
          <w:szCs w:val="22"/>
        </w:rPr>
      </w:pPr>
      <w:r w:rsidRPr="0053584A">
        <w:rPr>
          <w:szCs w:val="22"/>
        </w:rPr>
        <w:t xml:space="preserve">In the </w:t>
      </w:r>
      <w:r w:rsidR="00456F02" w:rsidRPr="008624DB">
        <w:rPr>
          <w:i/>
          <w:szCs w:val="22"/>
        </w:rPr>
        <w:t>USF/</w:t>
      </w:r>
      <w:r w:rsidR="00456F02" w:rsidRPr="00284A90">
        <w:rPr>
          <w:i/>
          <w:szCs w:val="22"/>
        </w:rPr>
        <w:t xml:space="preserve">ICC </w:t>
      </w:r>
      <w:r w:rsidRPr="008624DB">
        <w:rPr>
          <w:i/>
          <w:szCs w:val="22"/>
        </w:rPr>
        <w:t>Transformation</w:t>
      </w:r>
      <w:r w:rsidRPr="0053584A">
        <w:rPr>
          <w:i/>
          <w:szCs w:val="22"/>
        </w:rPr>
        <w:t xml:space="preserve"> Order</w:t>
      </w:r>
      <w:r w:rsidRPr="0053584A">
        <w:rPr>
          <w:szCs w:val="22"/>
        </w:rPr>
        <w:t>, the Commission explicitly contemplated that certain circumstances could justify adjustments to recovery baseline amounts, and described some situations where adjustments may be appropriate.</w:t>
      </w:r>
      <w:r w:rsidRPr="0053584A">
        <w:rPr>
          <w:rStyle w:val="FootnoteReference"/>
          <w:sz w:val="22"/>
          <w:szCs w:val="22"/>
        </w:rPr>
        <w:footnoteReference w:id="38"/>
      </w:r>
      <w:r w:rsidRPr="0053584A">
        <w:rPr>
          <w:szCs w:val="22"/>
        </w:rPr>
        <w:t xml:space="preserve">  </w:t>
      </w:r>
      <w:r w:rsidR="00B928AF">
        <w:rPr>
          <w:szCs w:val="22"/>
        </w:rPr>
        <w:t>T</w:t>
      </w:r>
      <w:r w:rsidRPr="0053584A">
        <w:rPr>
          <w:szCs w:val="22"/>
        </w:rPr>
        <w:t xml:space="preserve">he Commission </w:t>
      </w:r>
      <w:r w:rsidR="00B928AF">
        <w:rPr>
          <w:szCs w:val="22"/>
        </w:rPr>
        <w:t xml:space="preserve">recognized </w:t>
      </w:r>
      <w:r w:rsidRPr="0053584A">
        <w:rPr>
          <w:szCs w:val="22"/>
        </w:rPr>
        <w:t xml:space="preserve">that carriers </w:t>
      </w:r>
      <w:r w:rsidR="00B928AF">
        <w:rPr>
          <w:szCs w:val="22"/>
        </w:rPr>
        <w:t>could</w:t>
      </w:r>
      <w:r w:rsidRPr="0053584A">
        <w:rPr>
          <w:szCs w:val="22"/>
        </w:rPr>
        <w:t xml:space="preserve"> file requests for “waiver of our rules defining the Baseline to account for revenues billed for terminating switched access service or reciprocal compensation provided in FY2011 but recovered after the March 31, 2012 cut-off as the result of the decision of a court or regulatory agency of competent jurisdiction.”</w:t>
      </w:r>
      <w:r w:rsidRPr="0053584A">
        <w:rPr>
          <w:rStyle w:val="FootnoteReference"/>
          <w:sz w:val="22"/>
          <w:szCs w:val="22"/>
        </w:rPr>
        <w:footnoteReference w:id="39"/>
      </w:r>
      <w:r w:rsidR="00482DD9" w:rsidRPr="0053584A">
        <w:rPr>
          <w:szCs w:val="22"/>
        </w:rPr>
        <w:t xml:space="preserve"> </w:t>
      </w:r>
      <w:r w:rsidR="008C660F" w:rsidRPr="0053584A">
        <w:rPr>
          <w:szCs w:val="22"/>
        </w:rPr>
        <w:t xml:space="preserve"> </w:t>
      </w:r>
    </w:p>
    <w:p w14:paraId="36A3C4AF" w14:textId="7149A293" w:rsidR="00B2015D" w:rsidRPr="0053584A" w:rsidRDefault="00C26591" w:rsidP="009752F8">
      <w:pPr>
        <w:pStyle w:val="ParaNum"/>
        <w:widowControl/>
        <w:tabs>
          <w:tab w:val="num" w:pos="2160"/>
        </w:tabs>
        <w:rPr>
          <w:szCs w:val="22"/>
        </w:rPr>
      </w:pPr>
      <w:r w:rsidRPr="0053584A">
        <w:rPr>
          <w:szCs w:val="22"/>
        </w:rPr>
        <w:t xml:space="preserve">In the </w:t>
      </w:r>
      <w:r w:rsidRPr="0053584A">
        <w:rPr>
          <w:i/>
          <w:szCs w:val="22"/>
        </w:rPr>
        <w:t>Halo Order</w:t>
      </w:r>
      <w:r w:rsidRPr="0053584A">
        <w:rPr>
          <w:szCs w:val="22"/>
        </w:rPr>
        <w:t xml:space="preserve">, the </w:t>
      </w:r>
      <w:r w:rsidR="00482DD9" w:rsidRPr="0053584A">
        <w:rPr>
          <w:szCs w:val="22"/>
        </w:rPr>
        <w:t>Commission</w:t>
      </w:r>
      <w:r w:rsidRPr="0053584A">
        <w:rPr>
          <w:szCs w:val="22"/>
        </w:rPr>
        <w:t xml:space="preserve"> considered the guidance provided in the </w:t>
      </w:r>
      <w:r w:rsidR="00456F02" w:rsidRPr="0053584A">
        <w:rPr>
          <w:i/>
          <w:szCs w:val="22"/>
        </w:rPr>
        <w:t xml:space="preserve">USF/ICC </w:t>
      </w:r>
      <w:r w:rsidRPr="0053584A">
        <w:rPr>
          <w:i/>
          <w:szCs w:val="22"/>
        </w:rPr>
        <w:t>Transformation Order</w:t>
      </w:r>
      <w:r w:rsidRPr="0053584A">
        <w:rPr>
          <w:szCs w:val="22"/>
        </w:rPr>
        <w:t xml:space="preserve"> as applied to the circumstances surrounding Halo.</w:t>
      </w:r>
      <w:r w:rsidRPr="0053584A">
        <w:rPr>
          <w:rStyle w:val="FootnoteReference"/>
          <w:sz w:val="22"/>
          <w:szCs w:val="22"/>
        </w:rPr>
        <w:footnoteReference w:id="40"/>
      </w:r>
      <w:r w:rsidRPr="0053584A">
        <w:rPr>
          <w:szCs w:val="22"/>
        </w:rPr>
        <w:t xml:space="preserve"> </w:t>
      </w:r>
      <w:r w:rsidR="00482DD9" w:rsidRPr="0053584A">
        <w:rPr>
          <w:szCs w:val="22"/>
        </w:rPr>
        <w:t xml:space="preserve"> </w:t>
      </w:r>
      <w:r w:rsidRPr="0053584A">
        <w:rPr>
          <w:szCs w:val="22"/>
        </w:rPr>
        <w:t xml:space="preserve">It determined </w:t>
      </w:r>
      <w:r w:rsidR="00482DD9" w:rsidRPr="0053584A">
        <w:rPr>
          <w:szCs w:val="22"/>
        </w:rPr>
        <w:t xml:space="preserve">that the </w:t>
      </w:r>
      <w:r w:rsidR="00E368DF" w:rsidRPr="0053584A">
        <w:rPr>
          <w:i/>
          <w:szCs w:val="22"/>
        </w:rPr>
        <w:t>Halo Order</w:t>
      </w:r>
      <w:r w:rsidR="00E368DF" w:rsidRPr="0053584A">
        <w:rPr>
          <w:szCs w:val="22"/>
        </w:rPr>
        <w:t xml:space="preserve"> petitioners</w:t>
      </w:r>
      <w:r w:rsidR="00482DD9" w:rsidRPr="0053584A">
        <w:rPr>
          <w:szCs w:val="22"/>
        </w:rPr>
        <w:t xml:space="preserve"> “</w:t>
      </w:r>
      <w:r w:rsidR="004F063F" w:rsidRPr="0053584A">
        <w:rPr>
          <w:szCs w:val="22"/>
        </w:rPr>
        <w:t xml:space="preserve">have not recovered the revenues that they seek to include in their </w:t>
      </w:r>
      <w:r w:rsidR="00F85BDC">
        <w:rPr>
          <w:szCs w:val="22"/>
        </w:rPr>
        <w:t>Base Period Revenue (</w:t>
      </w:r>
      <w:r w:rsidR="004F063F" w:rsidRPr="0053584A">
        <w:rPr>
          <w:szCs w:val="22"/>
        </w:rPr>
        <w:t>BPR</w:t>
      </w:r>
      <w:r w:rsidR="00F85BDC">
        <w:rPr>
          <w:szCs w:val="22"/>
        </w:rPr>
        <w:t>)</w:t>
      </w:r>
      <w:r w:rsidR="004F063F" w:rsidRPr="0053584A">
        <w:rPr>
          <w:szCs w:val="22"/>
        </w:rPr>
        <w:t xml:space="preserve"> and, as a result of Halo’s bankruptcy protection, it is unlikely that they will.  Accordingly, Petitioners’ ability to fall within the four corners of that guidance is at best delayed, and is ultimately uncertain.</w:t>
      </w:r>
      <w:r w:rsidR="00482DD9" w:rsidRPr="0053584A">
        <w:rPr>
          <w:szCs w:val="22"/>
        </w:rPr>
        <w:t>”</w:t>
      </w:r>
      <w:r w:rsidR="00482DD9" w:rsidRPr="0053584A">
        <w:rPr>
          <w:rStyle w:val="FootnoteReference"/>
          <w:sz w:val="22"/>
          <w:szCs w:val="22"/>
        </w:rPr>
        <w:footnoteReference w:id="41"/>
      </w:r>
      <w:r w:rsidR="001C6929" w:rsidRPr="0053584A">
        <w:rPr>
          <w:szCs w:val="22"/>
        </w:rPr>
        <w:t xml:space="preserve">  </w:t>
      </w:r>
      <w:r w:rsidR="00E76F82" w:rsidRPr="0053584A">
        <w:rPr>
          <w:szCs w:val="22"/>
        </w:rPr>
        <w:t>The Commission</w:t>
      </w:r>
      <w:r w:rsidR="002E03E6" w:rsidRPr="0053584A">
        <w:rPr>
          <w:szCs w:val="22"/>
        </w:rPr>
        <w:t xml:space="preserve"> further reasoned that </w:t>
      </w:r>
      <w:r w:rsidR="00E70F20" w:rsidRPr="0053584A">
        <w:rPr>
          <w:szCs w:val="22"/>
        </w:rPr>
        <w:t>“</w:t>
      </w:r>
      <w:r w:rsidR="008D4979" w:rsidRPr="0053584A">
        <w:rPr>
          <w:szCs w:val="22"/>
        </w:rPr>
        <w:t>it would be contrary to, and would impe</w:t>
      </w:r>
      <w:r w:rsidR="001C6929" w:rsidRPr="0053584A">
        <w:rPr>
          <w:szCs w:val="22"/>
        </w:rPr>
        <w:t xml:space="preserve">de effective implementation of </w:t>
      </w:r>
      <w:r w:rsidR="008D4979" w:rsidRPr="0053584A">
        <w:rPr>
          <w:szCs w:val="22"/>
        </w:rPr>
        <w:t xml:space="preserve">these policies if Halo’s non-payment </w:t>
      </w:r>
      <w:r w:rsidR="00B34829" w:rsidRPr="0053584A">
        <w:rPr>
          <w:szCs w:val="22"/>
        </w:rPr>
        <w:t xml:space="preserve">due to </w:t>
      </w:r>
      <w:r w:rsidR="00D366B9" w:rsidRPr="0053584A">
        <w:rPr>
          <w:szCs w:val="22"/>
        </w:rPr>
        <w:t xml:space="preserve">bankruptcy </w:t>
      </w:r>
      <w:r w:rsidR="00D75291" w:rsidRPr="0053584A">
        <w:rPr>
          <w:szCs w:val="22"/>
        </w:rPr>
        <w:t xml:space="preserve">for services that were provided </w:t>
      </w:r>
      <w:r w:rsidR="00D366B9" w:rsidRPr="0053584A">
        <w:rPr>
          <w:szCs w:val="22"/>
        </w:rPr>
        <w:t>locked</w:t>
      </w:r>
      <w:r w:rsidR="008D4979" w:rsidRPr="0053584A">
        <w:rPr>
          <w:szCs w:val="22"/>
        </w:rPr>
        <w:t xml:space="preserve"> providers harmed by Halo</w:t>
      </w:r>
      <w:r w:rsidR="009178B2" w:rsidRPr="0053584A">
        <w:rPr>
          <w:szCs w:val="22"/>
        </w:rPr>
        <w:t xml:space="preserve">’s </w:t>
      </w:r>
      <w:r w:rsidR="00BF50E9" w:rsidRPr="0053584A">
        <w:rPr>
          <w:szCs w:val="22"/>
        </w:rPr>
        <w:t>non-compliance</w:t>
      </w:r>
      <w:r w:rsidR="008D4979" w:rsidRPr="0053584A">
        <w:rPr>
          <w:szCs w:val="22"/>
        </w:rPr>
        <w:t xml:space="preserve"> into </w:t>
      </w:r>
      <w:r w:rsidR="007F13A7" w:rsidRPr="0053584A">
        <w:rPr>
          <w:szCs w:val="22"/>
        </w:rPr>
        <w:t xml:space="preserve">a lower BPR </w:t>
      </w:r>
      <w:r w:rsidR="008D4979" w:rsidRPr="0053584A">
        <w:rPr>
          <w:szCs w:val="22"/>
        </w:rPr>
        <w:t>for the durati</w:t>
      </w:r>
      <w:r w:rsidR="00E70F20" w:rsidRPr="0053584A">
        <w:rPr>
          <w:szCs w:val="22"/>
        </w:rPr>
        <w:t>on of the ICC rate transition.”</w:t>
      </w:r>
      <w:r w:rsidR="00CB2DD7" w:rsidRPr="0053584A">
        <w:rPr>
          <w:rStyle w:val="FootnoteReference"/>
          <w:sz w:val="22"/>
          <w:szCs w:val="22"/>
        </w:rPr>
        <w:footnoteReference w:id="42"/>
      </w:r>
      <w:r w:rsidR="00486F5C">
        <w:rPr>
          <w:szCs w:val="22"/>
        </w:rPr>
        <w:t xml:space="preserve">  </w:t>
      </w:r>
      <w:r w:rsidR="00486F5C" w:rsidRPr="00486F5C">
        <w:rPr>
          <w:szCs w:val="22"/>
        </w:rPr>
        <w:t xml:space="preserve">The Commission thus granted conditional waivers, thereby allowing petitioners to </w:t>
      </w:r>
      <w:r w:rsidR="00486F5C" w:rsidRPr="00486F5C">
        <w:rPr>
          <w:color w:val="212121"/>
          <w:szCs w:val="22"/>
        </w:rPr>
        <w:t xml:space="preserve">include in their </w:t>
      </w:r>
      <w:r w:rsidR="00A232DD">
        <w:rPr>
          <w:color w:val="212121"/>
          <w:szCs w:val="22"/>
        </w:rPr>
        <w:t xml:space="preserve">Eligible Recovery </w:t>
      </w:r>
      <w:r w:rsidR="00486F5C" w:rsidRPr="00486F5C">
        <w:rPr>
          <w:color w:val="212121"/>
          <w:szCs w:val="22"/>
        </w:rPr>
        <w:t>calculations unpaid amounts that had been billed to Halo for intrastate access service provided during FY 2011.</w:t>
      </w:r>
    </w:p>
    <w:p w14:paraId="43BD4B76" w14:textId="77777777" w:rsidR="002E03E6" w:rsidRDefault="00457CA4" w:rsidP="00B3727A">
      <w:pPr>
        <w:pStyle w:val="ParaNum"/>
        <w:rPr>
          <w:szCs w:val="22"/>
        </w:rPr>
      </w:pPr>
      <w:r w:rsidRPr="0053584A">
        <w:rPr>
          <w:szCs w:val="22"/>
        </w:rPr>
        <w:t>Given the similarity in circumstances here</w:t>
      </w:r>
      <w:r w:rsidR="00CB2DD7" w:rsidRPr="0053584A">
        <w:rPr>
          <w:szCs w:val="22"/>
        </w:rPr>
        <w:t xml:space="preserve">, </w:t>
      </w:r>
      <w:r w:rsidR="00B2015D" w:rsidRPr="0053584A">
        <w:rPr>
          <w:szCs w:val="22"/>
        </w:rPr>
        <w:t xml:space="preserve">we find </w:t>
      </w:r>
      <w:r w:rsidR="007C6BDD" w:rsidRPr="0053584A">
        <w:rPr>
          <w:szCs w:val="22"/>
        </w:rPr>
        <w:t>that inclusion</w:t>
      </w:r>
      <w:r w:rsidR="00B2015D" w:rsidRPr="0053584A">
        <w:rPr>
          <w:szCs w:val="22"/>
        </w:rPr>
        <w:t xml:space="preserve"> of the revenues associated with unpaid a</w:t>
      </w:r>
      <w:r w:rsidR="00360436">
        <w:rPr>
          <w:szCs w:val="22"/>
        </w:rPr>
        <w:t>mounts billed to Halo in the recovery</w:t>
      </w:r>
      <w:r w:rsidR="00B2015D" w:rsidRPr="0053584A">
        <w:rPr>
          <w:szCs w:val="22"/>
        </w:rPr>
        <w:t xml:space="preserve"> calculations</w:t>
      </w:r>
      <w:r w:rsidR="00863470" w:rsidRPr="0053584A">
        <w:rPr>
          <w:szCs w:val="22"/>
        </w:rPr>
        <w:t xml:space="preserve">, coupled with </w:t>
      </w:r>
      <w:r w:rsidR="00407D74">
        <w:rPr>
          <w:szCs w:val="22"/>
        </w:rPr>
        <w:t>sufficient</w:t>
      </w:r>
      <w:r w:rsidR="00407D74" w:rsidRPr="0053584A">
        <w:rPr>
          <w:szCs w:val="22"/>
        </w:rPr>
        <w:t xml:space="preserve"> </w:t>
      </w:r>
      <w:r w:rsidR="00863470" w:rsidRPr="0053584A">
        <w:rPr>
          <w:szCs w:val="22"/>
        </w:rPr>
        <w:t>safeguards</w:t>
      </w:r>
      <w:r w:rsidR="00113D91">
        <w:rPr>
          <w:szCs w:val="22"/>
        </w:rPr>
        <w:t xml:space="preserve"> as defined herein</w:t>
      </w:r>
      <w:r w:rsidR="00863470" w:rsidRPr="0053584A">
        <w:rPr>
          <w:szCs w:val="22"/>
        </w:rPr>
        <w:t>,</w:t>
      </w:r>
      <w:r w:rsidR="00B2015D" w:rsidRPr="0053584A">
        <w:rPr>
          <w:szCs w:val="22"/>
        </w:rPr>
        <w:t xml:space="preserve"> </w:t>
      </w:r>
      <w:r w:rsidR="00D73570" w:rsidRPr="0053584A">
        <w:rPr>
          <w:szCs w:val="22"/>
        </w:rPr>
        <w:t xml:space="preserve">would produce </w:t>
      </w:r>
      <w:r w:rsidR="00E67FAA">
        <w:rPr>
          <w:szCs w:val="22"/>
        </w:rPr>
        <w:t>appropriate</w:t>
      </w:r>
      <w:r w:rsidR="00D73570" w:rsidRPr="0053584A">
        <w:rPr>
          <w:szCs w:val="22"/>
        </w:rPr>
        <w:t xml:space="preserve"> recovery calculations</w:t>
      </w:r>
      <w:r w:rsidRPr="0053584A">
        <w:rPr>
          <w:szCs w:val="22"/>
        </w:rPr>
        <w:t xml:space="preserve"> for </w:t>
      </w:r>
      <w:r w:rsidR="001C627A">
        <w:t>Windstream</w:t>
      </w:r>
      <w:r w:rsidR="00D73570" w:rsidRPr="0053584A">
        <w:rPr>
          <w:szCs w:val="22"/>
        </w:rPr>
        <w:t xml:space="preserve">.  </w:t>
      </w:r>
      <w:r w:rsidR="00B101B6" w:rsidRPr="0053584A">
        <w:rPr>
          <w:szCs w:val="22"/>
        </w:rPr>
        <w:t xml:space="preserve">In particular, </w:t>
      </w:r>
      <w:r w:rsidR="001C627A">
        <w:t xml:space="preserve">Windstream </w:t>
      </w:r>
      <w:r w:rsidR="00B101B6" w:rsidRPr="0053584A">
        <w:rPr>
          <w:szCs w:val="22"/>
        </w:rPr>
        <w:t>claim</w:t>
      </w:r>
      <w:r w:rsidR="001C627A">
        <w:rPr>
          <w:szCs w:val="22"/>
        </w:rPr>
        <w:t>s</w:t>
      </w:r>
      <w:r w:rsidR="00B101B6" w:rsidRPr="0053584A">
        <w:rPr>
          <w:szCs w:val="22"/>
        </w:rPr>
        <w:t xml:space="preserve"> that </w:t>
      </w:r>
      <w:r w:rsidR="001C627A">
        <w:rPr>
          <w:szCs w:val="22"/>
        </w:rPr>
        <w:t>it was</w:t>
      </w:r>
      <w:r w:rsidR="00B101B6" w:rsidRPr="0053584A">
        <w:rPr>
          <w:szCs w:val="22"/>
        </w:rPr>
        <w:t xml:space="preserve"> unable to include revenues from intrastate access charges billed to Halo for service provided during FY 2011 because Halo </w:t>
      </w:r>
      <w:r w:rsidR="002C23C3">
        <w:rPr>
          <w:szCs w:val="22"/>
        </w:rPr>
        <w:t>made</w:t>
      </w:r>
      <w:r w:rsidR="00543453">
        <w:rPr>
          <w:szCs w:val="22"/>
        </w:rPr>
        <w:t xml:space="preserve"> only</w:t>
      </w:r>
      <w:r w:rsidR="002C23C3">
        <w:rPr>
          <w:szCs w:val="22"/>
        </w:rPr>
        <w:t xml:space="preserve"> </w:t>
      </w:r>
      <w:r w:rsidR="00543453">
        <w:rPr>
          <w:szCs w:val="22"/>
        </w:rPr>
        <w:t>“</w:t>
      </w:r>
      <w:r w:rsidR="002C23C3">
        <w:rPr>
          <w:szCs w:val="22"/>
        </w:rPr>
        <w:t>very limited partial payments”</w:t>
      </w:r>
      <w:r w:rsidR="00B101B6" w:rsidRPr="0053584A">
        <w:rPr>
          <w:szCs w:val="22"/>
        </w:rPr>
        <w:t xml:space="preserve"> for the services provided</w:t>
      </w:r>
      <w:r w:rsidR="00EE3206">
        <w:rPr>
          <w:szCs w:val="22"/>
        </w:rPr>
        <w:t>.</w:t>
      </w:r>
      <w:r w:rsidR="00FA2263" w:rsidRPr="0053584A">
        <w:rPr>
          <w:rStyle w:val="FootnoteReference"/>
          <w:sz w:val="22"/>
          <w:szCs w:val="22"/>
        </w:rPr>
        <w:footnoteReference w:id="43"/>
      </w:r>
      <w:r w:rsidR="00BB749D">
        <w:rPr>
          <w:szCs w:val="22"/>
        </w:rPr>
        <w:t xml:space="preserve"> </w:t>
      </w:r>
      <w:r w:rsidR="00EE3206">
        <w:rPr>
          <w:szCs w:val="22"/>
        </w:rPr>
        <w:t xml:space="preserve"> Windstream was unable to collect any additional </w:t>
      </w:r>
      <w:r w:rsidR="00884898">
        <w:rPr>
          <w:szCs w:val="22"/>
        </w:rPr>
        <w:t xml:space="preserve">access </w:t>
      </w:r>
      <w:r w:rsidR="00EE3206">
        <w:rPr>
          <w:szCs w:val="22"/>
        </w:rPr>
        <w:t xml:space="preserve">payments from Halo, and </w:t>
      </w:r>
      <w:r w:rsidR="00BB749D">
        <w:rPr>
          <w:szCs w:val="22"/>
        </w:rPr>
        <w:t>Halo</w:t>
      </w:r>
      <w:r w:rsidR="00EE3206">
        <w:rPr>
          <w:szCs w:val="22"/>
        </w:rPr>
        <w:t>’s assets were</w:t>
      </w:r>
      <w:r w:rsidR="00BB749D">
        <w:rPr>
          <w:szCs w:val="22"/>
        </w:rPr>
        <w:t xml:space="preserve"> liquidated pursuant to </w:t>
      </w:r>
      <w:r w:rsidR="00EE3206">
        <w:rPr>
          <w:szCs w:val="22"/>
        </w:rPr>
        <w:t xml:space="preserve">a </w:t>
      </w:r>
      <w:r w:rsidR="00BB749D">
        <w:rPr>
          <w:szCs w:val="22"/>
        </w:rPr>
        <w:t>bankruptcy proceeding in 201</w:t>
      </w:r>
      <w:r w:rsidR="00B622DD">
        <w:rPr>
          <w:szCs w:val="22"/>
        </w:rPr>
        <w:t>6</w:t>
      </w:r>
      <w:r w:rsidR="00BB749D">
        <w:rPr>
          <w:szCs w:val="22"/>
        </w:rPr>
        <w:t>.</w:t>
      </w:r>
      <w:r w:rsidR="00BB749D">
        <w:rPr>
          <w:rStyle w:val="FootnoteReference"/>
          <w:szCs w:val="22"/>
        </w:rPr>
        <w:footnoteReference w:id="44"/>
      </w:r>
      <w:r w:rsidR="00B101B6" w:rsidRPr="0053584A">
        <w:rPr>
          <w:szCs w:val="22"/>
        </w:rPr>
        <w:t xml:space="preserve"> </w:t>
      </w:r>
    </w:p>
    <w:p w14:paraId="5004B832" w14:textId="176FCBEA" w:rsidR="00346876" w:rsidRPr="00030443" w:rsidRDefault="00B928AF" w:rsidP="009752F8">
      <w:pPr>
        <w:pStyle w:val="ParaNum"/>
        <w:rPr>
          <w:szCs w:val="22"/>
        </w:rPr>
      </w:pPr>
      <w:r>
        <w:t xml:space="preserve">Because Windstream is a price cap carrier, </w:t>
      </w:r>
      <w:r w:rsidR="00842E85">
        <w:t>the waiver request</w:t>
      </w:r>
      <w:r w:rsidR="009B5AD5">
        <w:t xml:space="preserve"> under consideration here </w:t>
      </w:r>
      <w:r w:rsidR="0014312F">
        <w:t>necessarily</w:t>
      </w:r>
      <w:r w:rsidR="00360436">
        <w:t xml:space="preserve"> involves different recovery rules</w:t>
      </w:r>
      <w:r w:rsidR="009B5AD5">
        <w:t xml:space="preserve"> than those conditionally granted in </w:t>
      </w:r>
      <w:r w:rsidR="005816DC">
        <w:t xml:space="preserve">the </w:t>
      </w:r>
      <w:r w:rsidR="00842E85">
        <w:t>three prior</w:t>
      </w:r>
      <w:r w:rsidR="009B5AD5">
        <w:t xml:space="preserve"> </w:t>
      </w:r>
      <w:r w:rsidR="009B5AD5" w:rsidRPr="00655C87">
        <w:rPr>
          <w:i/>
        </w:rPr>
        <w:t>Halo Order</w:t>
      </w:r>
      <w:r w:rsidR="00842E85">
        <w:rPr>
          <w:i/>
        </w:rPr>
        <w:t>s</w:t>
      </w:r>
      <w:r w:rsidR="009B5AD5">
        <w:t xml:space="preserve">.  </w:t>
      </w:r>
      <w:r w:rsidR="0014312F">
        <w:t>T</w:t>
      </w:r>
      <w:r w:rsidR="00DF3027">
        <w:t xml:space="preserve">here </w:t>
      </w:r>
      <w:r w:rsidR="001D1AB9">
        <w:t xml:space="preserve">is </w:t>
      </w:r>
      <w:r w:rsidR="00DF3027">
        <w:t xml:space="preserve">nothing about the nature of </w:t>
      </w:r>
      <w:r w:rsidR="00842E85">
        <w:t>price cap carrier</w:t>
      </w:r>
      <w:r w:rsidR="00AD243C">
        <w:t>s’ recovery</w:t>
      </w:r>
      <w:r w:rsidR="00DF3027">
        <w:t xml:space="preserve"> </w:t>
      </w:r>
      <w:r w:rsidR="00C73B09">
        <w:t>that would warrant a different decision</w:t>
      </w:r>
      <w:r w:rsidR="0014312F">
        <w:t>, however</w:t>
      </w:r>
      <w:r w:rsidR="00C73B09">
        <w:t>.</w:t>
      </w:r>
      <w:r w:rsidR="009B5AD5">
        <w:t xml:space="preserve">  </w:t>
      </w:r>
      <w:r w:rsidR="001D1AB9">
        <w:t xml:space="preserve">Both </w:t>
      </w:r>
      <w:r w:rsidR="00842E85">
        <w:t>price cap and rate-of-return carriers rely on</w:t>
      </w:r>
      <w:r w:rsidR="0014312F">
        <w:t xml:space="preserve"> underlying revenue calculations to determine Eligible Recovery</w:t>
      </w:r>
      <w:r w:rsidR="001D1AB9">
        <w:t xml:space="preserve">.  </w:t>
      </w:r>
      <w:r w:rsidR="00C73B09">
        <w:t xml:space="preserve">The rationale offered in support of </w:t>
      </w:r>
      <w:r w:rsidR="009B5AD5">
        <w:t xml:space="preserve">the conditional grant </w:t>
      </w:r>
      <w:r w:rsidR="001D1AB9">
        <w:t>with respect to uncollected intrastate access revenues</w:t>
      </w:r>
      <w:r w:rsidR="00842E85">
        <w:t xml:space="preserve"> for rate-of-return carriers</w:t>
      </w:r>
      <w:r w:rsidR="001D1AB9">
        <w:t xml:space="preserve"> </w:t>
      </w:r>
      <w:r w:rsidR="009B5AD5">
        <w:t>in the</w:t>
      </w:r>
      <w:r w:rsidR="00DF3027">
        <w:t xml:space="preserve"> </w:t>
      </w:r>
      <w:r w:rsidR="00DF3027" w:rsidRPr="00ED0BB1">
        <w:rPr>
          <w:i/>
        </w:rPr>
        <w:t>Halo Order</w:t>
      </w:r>
      <w:r w:rsidR="00842E85">
        <w:rPr>
          <w:i/>
        </w:rPr>
        <w:t>s</w:t>
      </w:r>
      <w:r w:rsidR="009B5AD5">
        <w:rPr>
          <w:i/>
        </w:rPr>
        <w:t xml:space="preserve"> </w:t>
      </w:r>
      <w:r w:rsidR="00C73B09">
        <w:t>appl</w:t>
      </w:r>
      <w:r w:rsidR="00F85BDC">
        <w:t>ies</w:t>
      </w:r>
      <w:r w:rsidR="009B5AD5" w:rsidRPr="0065591E">
        <w:t xml:space="preserve"> </w:t>
      </w:r>
      <w:r w:rsidR="00C81C9E">
        <w:t>equally</w:t>
      </w:r>
      <w:r w:rsidR="003E6B40">
        <w:t xml:space="preserve"> </w:t>
      </w:r>
      <w:r w:rsidR="009B5AD5" w:rsidRPr="0065591E">
        <w:t>to</w:t>
      </w:r>
      <w:r w:rsidR="0014312F">
        <w:t xml:space="preserve"> price cap carriers such as</w:t>
      </w:r>
      <w:r w:rsidR="009B5AD5" w:rsidRPr="0065591E">
        <w:t xml:space="preserve"> </w:t>
      </w:r>
      <w:r w:rsidR="00842E85">
        <w:t>Windstream</w:t>
      </w:r>
      <w:r w:rsidR="009B5AD5">
        <w:rPr>
          <w:i/>
        </w:rPr>
        <w:t>.</w:t>
      </w:r>
      <w:r w:rsidR="00FD24CB" w:rsidRPr="009C4D9B">
        <w:rPr>
          <w:rStyle w:val="FootnoteReference"/>
          <w:sz w:val="22"/>
          <w:szCs w:val="22"/>
        </w:rPr>
        <w:footnoteReference w:id="45"/>
      </w:r>
      <w:r w:rsidR="00DB2A84" w:rsidRPr="00BC70D5">
        <w:t xml:space="preserve">  </w:t>
      </w:r>
      <w:r w:rsidR="00DB2A84" w:rsidRPr="00D21A57">
        <w:t>The uncollected TIAS revenues here are comparable to the uncollected TIAS revenues of rate-of-return carriers and shou</w:t>
      </w:r>
      <w:r w:rsidR="007C216D" w:rsidRPr="00D21A57">
        <w:t>l</w:t>
      </w:r>
      <w:r w:rsidR="00DB2A84" w:rsidRPr="00D21A57">
        <w:t>d similarly be included in establishing the in</w:t>
      </w:r>
      <w:r w:rsidR="00D21A57">
        <w:t>i</w:t>
      </w:r>
      <w:r w:rsidR="00DB2A84" w:rsidRPr="00D21A57">
        <w:t>tial basel</w:t>
      </w:r>
      <w:r w:rsidR="007C216D" w:rsidRPr="00D21A57">
        <w:t>i</w:t>
      </w:r>
      <w:r w:rsidR="00DB2A84" w:rsidRPr="00D21A57">
        <w:t>ne from which Eligible</w:t>
      </w:r>
      <w:r w:rsidR="00FD24CB" w:rsidRPr="00030443">
        <w:rPr>
          <w:szCs w:val="22"/>
        </w:rPr>
        <w:t xml:space="preserve"> </w:t>
      </w:r>
      <w:r w:rsidR="00DB2A84" w:rsidRPr="00030443">
        <w:rPr>
          <w:szCs w:val="22"/>
        </w:rPr>
        <w:t>Recovery is determined.</w:t>
      </w:r>
      <w:r w:rsidR="00FD24CB" w:rsidRPr="00030443">
        <w:rPr>
          <w:szCs w:val="22"/>
        </w:rPr>
        <w:t xml:space="preserve"> </w:t>
      </w:r>
    </w:p>
    <w:p w14:paraId="601B3732" w14:textId="7DF9E2B6" w:rsidR="006F44FC" w:rsidRPr="0053584A" w:rsidRDefault="002E03E6" w:rsidP="008D4979">
      <w:pPr>
        <w:pStyle w:val="ParaNum"/>
        <w:rPr>
          <w:szCs w:val="22"/>
        </w:rPr>
      </w:pPr>
      <w:r w:rsidRPr="0053584A">
        <w:rPr>
          <w:szCs w:val="22"/>
        </w:rPr>
        <w:t xml:space="preserve">To ensure that </w:t>
      </w:r>
      <w:r w:rsidR="00842E85">
        <w:rPr>
          <w:szCs w:val="22"/>
        </w:rPr>
        <w:t>Windstream’s</w:t>
      </w:r>
      <w:r w:rsidRPr="0053584A">
        <w:rPr>
          <w:szCs w:val="22"/>
        </w:rPr>
        <w:t xml:space="preserve"> adjustments to </w:t>
      </w:r>
      <w:r w:rsidR="00FD1618">
        <w:rPr>
          <w:szCs w:val="22"/>
        </w:rPr>
        <w:t>its</w:t>
      </w:r>
      <w:r w:rsidRPr="0053584A">
        <w:rPr>
          <w:szCs w:val="22"/>
        </w:rPr>
        <w:t xml:space="preserve"> calculations include only uncollected revenues billed to Halo for eligible traffic terminated during FY 2011, </w:t>
      </w:r>
      <w:r w:rsidR="00E70F20" w:rsidRPr="0053584A">
        <w:rPr>
          <w:szCs w:val="22"/>
        </w:rPr>
        <w:t>w</w:t>
      </w:r>
      <w:r w:rsidR="00A67652" w:rsidRPr="0053584A">
        <w:rPr>
          <w:szCs w:val="22"/>
        </w:rPr>
        <w:t xml:space="preserve">e grant </w:t>
      </w:r>
      <w:r w:rsidR="00842E85">
        <w:rPr>
          <w:szCs w:val="22"/>
        </w:rPr>
        <w:t>the</w:t>
      </w:r>
      <w:r w:rsidR="00A67652" w:rsidRPr="0053584A">
        <w:rPr>
          <w:szCs w:val="22"/>
        </w:rPr>
        <w:t xml:space="preserve"> waiver request subject to the following conditions</w:t>
      </w:r>
      <w:r w:rsidR="00486F5C">
        <w:rPr>
          <w:szCs w:val="22"/>
        </w:rPr>
        <w:t xml:space="preserve">, which are identical </w:t>
      </w:r>
      <w:r w:rsidR="00E62229">
        <w:rPr>
          <w:szCs w:val="22"/>
        </w:rPr>
        <w:t xml:space="preserve">in substance </w:t>
      </w:r>
      <w:r w:rsidR="00486F5C">
        <w:rPr>
          <w:szCs w:val="22"/>
        </w:rPr>
        <w:t xml:space="preserve">to the conditions adopted in </w:t>
      </w:r>
      <w:r w:rsidR="00A232DD">
        <w:rPr>
          <w:szCs w:val="22"/>
        </w:rPr>
        <w:t xml:space="preserve">previous </w:t>
      </w:r>
      <w:r w:rsidR="00486F5C" w:rsidRPr="004B75DA">
        <w:rPr>
          <w:i/>
          <w:szCs w:val="22"/>
        </w:rPr>
        <w:t>Halo Order</w:t>
      </w:r>
      <w:r w:rsidR="00A232DD">
        <w:rPr>
          <w:i/>
          <w:szCs w:val="22"/>
        </w:rPr>
        <w:t>s</w:t>
      </w:r>
      <w:r w:rsidRPr="0053584A">
        <w:rPr>
          <w:szCs w:val="22"/>
        </w:rPr>
        <w:t>.</w:t>
      </w:r>
      <w:r w:rsidR="00A67652" w:rsidRPr="0053584A">
        <w:rPr>
          <w:szCs w:val="22"/>
        </w:rPr>
        <w:t xml:space="preserve">  Prior to the implementation of the relief granted in this Order, </w:t>
      </w:r>
      <w:r w:rsidR="00842E85">
        <w:rPr>
          <w:szCs w:val="22"/>
        </w:rPr>
        <w:t xml:space="preserve">Windstream </w:t>
      </w:r>
      <w:r w:rsidR="00A67652" w:rsidRPr="0053584A">
        <w:rPr>
          <w:szCs w:val="22"/>
        </w:rPr>
        <w:t>must</w:t>
      </w:r>
      <w:r w:rsidR="00D56713" w:rsidRPr="0053584A">
        <w:rPr>
          <w:szCs w:val="22"/>
        </w:rPr>
        <w:t xml:space="preserve">, </w:t>
      </w:r>
      <w:r w:rsidR="00F85BDC">
        <w:rPr>
          <w:szCs w:val="22"/>
        </w:rPr>
        <w:t xml:space="preserve">as a condition of </w:t>
      </w:r>
      <w:r w:rsidR="00D56713" w:rsidRPr="0053584A">
        <w:rPr>
          <w:szCs w:val="22"/>
        </w:rPr>
        <w:t>receiv</w:t>
      </w:r>
      <w:r w:rsidR="00F85BDC">
        <w:rPr>
          <w:szCs w:val="22"/>
        </w:rPr>
        <w:t>ing</w:t>
      </w:r>
      <w:r w:rsidR="00D56713" w:rsidRPr="0053584A">
        <w:rPr>
          <w:szCs w:val="22"/>
        </w:rPr>
        <w:t xml:space="preserve"> such relief,</w:t>
      </w:r>
      <w:r w:rsidR="00A67652" w:rsidRPr="0053584A">
        <w:rPr>
          <w:szCs w:val="22"/>
        </w:rPr>
        <w:t xml:space="preserve"> certify</w:t>
      </w:r>
      <w:r w:rsidR="004A0CB3" w:rsidRPr="0053584A">
        <w:rPr>
          <w:szCs w:val="22"/>
        </w:rPr>
        <w:t xml:space="preserve"> </w:t>
      </w:r>
      <w:r w:rsidR="00E31F9D" w:rsidRPr="0053584A">
        <w:rPr>
          <w:szCs w:val="22"/>
        </w:rPr>
        <w:t xml:space="preserve">under penalty of perjury </w:t>
      </w:r>
      <w:r w:rsidR="004A0CB3" w:rsidRPr="0053584A">
        <w:rPr>
          <w:szCs w:val="22"/>
        </w:rPr>
        <w:t>the following:</w:t>
      </w:r>
    </w:p>
    <w:p w14:paraId="0F215BA0" w14:textId="64383F18" w:rsidR="006F44FC" w:rsidRPr="0053584A" w:rsidRDefault="006F44FC" w:rsidP="00B50177">
      <w:pPr>
        <w:pStyle w:val="ParaNum"/>
        <w:widowControl/>
        <w:numPr>
          <w:ilvl w:val="0"/>
          <w:numId w:val="22"/>
        </w:numPr>
        <w:rPr>
          <w:szCs w:val="22"/>
        </w:rPr>
      </w:pPr>
      <w:r w:rsidRPr="0053584A">
        <w:rPr>
          <w:szCs w:val="22"/>
        </w:rPr>
        <w:t xml:space="preserve">First, </w:t>
      </w:r>
      <w:r w:rsidR="008D4979" w:rsidRPr="0053584A">
        <w:rPr>
          <w:szCs w:val="22"/>
        </w:rPr>
        <w:t xml:space="preserve">that it terminated all </w:t>
      </w:r>
      <w:r w:rsidR="002741B9" w:rsidRPr="0053584A">
        <w:rPr>
          <w:szCs w:val="22"/>
        </w:rPr>
        <w:t>of</w:t>
      </w:r>
      <w:r w:rsidR="00892946" w:rsidRPr="0053584A">
        <w:rPr>
          <w:szCs w:val="22"/>
        </w:rPr>
        <w:t xml:space="preserve"> the intrastate</w:t>
      </w:r>
      <w:r w:rsidR="003E6B40">
        <w:rPr>
          <w:szCs w:val="22"/>
        </w:rPr>
        <w:t xml:space="preserve"> </w:t>
      </w:r>
      <w:r w:rsidR="00456123">
        <w:rPr>
          <w:szCs w:val="22"/>
        </w:rPr>
        <w:t xml:space="preserve">access </w:t>
      </w:r>
      <w:r w:rsidR="002E011F">
        <w:rPr>
          <w:szCs w:val="22"/>
        </w:rPr>
        <w:t xml:space="preserve">(compensable traffic) </w:t>
      </w:r>
      <w:r w:rsidR="008D4979" w:rsidRPr="0053584A">
        <w:rPr>
          <w:szCs w:val="22"/>
        </w:rPr>
        <w:t>sent to it by Halo for termination during FY 2011</w:t>
      </w:r>
      <w:r w:rsidR="00D47EE9" w:rsidRPr="0053584A">
        <w:rPr>
          <w:szCs w:val="22"/>
        </w:rPr>
        <w:t xml:space="preserve"> that it seeks to add to its </w:t>
      </w:r>
      <w:r w:rsidR="007F29A6">
        <w:rPr>
          <w:szCs w:val="22"/>
        </w:rPr>
        <w:t>recovery</w:t>
      </w:r>
      <w:r w:rsidR="00D47EE9" w:rsidRPr="0053584A">
        <w:rPr>
          <w:szCs w:val="22"/>
        </w:rPr>
        <w:t xml:space="preserve"> calculations</w:t>
      </w:r>
      <w:r w:rsidR="008D4979" w:rsidRPr="0053584A">
        <w:rPr>
          <w:szCs w:val="22"/>
        </w:rPr>
        <w:t>.  This condition will limit</w:t>
      </w:r>
      <w:r w:rsidR="002721FA">
        <w:rPr>
          <w:szCs w:val="22"/>
        </w:rPr>
        <w:t xml:space="preserve"> </w:t>
      </w:r>
      <w:r w:rsidR="008D4979" w:rsidRPr="0053584A">
        <w:rPr>
          <w:szCs w:val="22"/>
        </w:rPr>
        <w:t xml:space="preserve">adjustments to reflect traffic for compensable services </w:t>
      </w:r>
      <w:r w:rsidR="002741B9" w:rsidRPr="0053584A">
        <w:rPr>
          <w:szCs w:val="22"/>
        </w:rPr>
        <w:t xml:space="preserve">that </w:t>
      </w:r>
      <w:r w:rsidR="008D4979" w:rsidRPr="0053584A">
        <w:rPr>
          <w:szCs w:val="22"/>
        </w:rPr>
        <w:t>were actually provided.</w:t>
      </w:r>
    </w:p>
    <w:p w14:paraId="0DC4B02B" w14:textId="77777777" w:rsidR="006F44FC" w:rsidRPr="0053584A" w:rsidRDefault="006F44FC" w:rsidP="00B50177">
      <w:pPr>
        <w:pStyle w:val="ParaNum"/>
        <w:widowControl/>
        <w:numPr>
          <w:ilvl w:val="0"/>
          <w:numId w:val="22"/>
        </w:numPr>
        <w:rPr>
          <w:szCs w:val="22"/>
        </w:rPr>
      </w:pPr>
      <w:r w:rsidRPr="0053584A">
        <w:rPr>
          <w:szCs w:val="22"/>
        </w:rPr>
        <w:t xml:space="preserve">Second, </w:t>
      </w:r>
      <w:r w:rsidR="008D4979" w:rsidRPr="0053584A">
        <w:rPr>
          <w:szCs w:val="22"/>
        </w:rPr>
        <w:t xml:space="preserve">that </w:t>
      </w:r>
      <w:r w:rsidR="001660C3" w:rsidRPr="0053584A">
        <w:rPr>
          <w:szCs w:val="22"/>
        </w:rPr>
        <w:t>it</w:t>
      </w:r>
      <w:r w:rsidR="008D4979" w:rsidRPr="0053584A">
        <w:rPr>
          <w:szCs w:val="22"/>
        </w:rPr>
        <w:t xml:space="preserve"> billed Halo for such </w:t>
      </w:r>
      <w:r w:rsidR="003E6B40">
        <w:rPr>
          <w:szCs w:val="22"/>
        </w:rPr>
        <w:t>compensable</w:t>
      </w:r>
      <w:r w:rsidR="00892946" w:rsidRPr="0053584A">
        <w:rPr>
          <w:szCs w:val="22"/>
        </w:rPr>
        <w:t xml:space="preserve"> </w:t>
      </w:r>
      <w:r w:rsidR="008D4979" w:rsidRPr="0053584A">
        <w:rPr>
          <w:szCs w:val="22"/>
        </w:rPr>
        <w:t>traffic during FY 2011</w:t>
      </w:r>
      <w:r w:rsidR="00655E14" w:rsidRPr="0053584A">
        <w:rPr>
          <w:szCs w:val="22"/>
        </w:rPr>
        <w:t xml:space="preserve"> or before the close of the next regular billing cycle in F</w:t>
      </w:r>
      <w:r w:rsidR="005503A2" w:rsidRPr="0053584A">
        <w:rPr>
          <w:szCs w:val="22"/>
        </w:rPr>
        <w:t xml:space="preserve">iscal </w:t>
      </w:r>
      <w:r w:rsidR="00655E14" w:rsidRPr="0053584A">
        <w:rPr>
          <w:szCs w:val="22"/>
        </w:rPr>
        <w:t>Y</w:t>
      </w:r>
      <w:r w:rsidR="005503A2" w:rsidRPr="0053584A">
        <w:rPr>
          <w:szCs w:val="22"/>
        </w:rPr>
        <w:t>ear</w:t>
      </w:r>
      <w:r w:rsidR="00655E14" w:rsidRPr="0053584A">
        <w:rPr>
          <w:szCs w:val="22"/>
        </w:rPr>
        <w:t xml:space="preserve"> 2012</w:t>
      </w:r>
      <w:r w:rsidR="00E31F9D" w:rsidRPr="0053584A">
        <w:rPr>
          <w:szCs w:val="22"/>
        </w:rPr>
        <w:t xml:space="preserve"> for the amounts to be added to </w:t>
      </w:r>
      <w:r w:rsidR="001D5AD4">
        <w:rPr>
          <w:szCs w:val="22"/>
        </w:rPr>
        <w:t xml:space="preserve">the </w:t>
      </w:r>
      <w:r w:rsidR="007C216D">
        <w:rPr>
          <w:szCs w:val="22"/>
        </w:rPr>
        <w:t xml:space="preserve">Eligible Recovery </w:t>
      </w:r>
      <w:r w:rsidR="001D5AD4">
        <w:rPr>
          <w:szCs w:val="22"/>
        </w:rPr>
        <w:t>c</w:t>
      </w:r>
      <w:r w:rsidR="00E31F9D" w:rsidRPr="0053584A">
        <w:rPr>
          <w:szCs w:val="22"/>
        </w:rPr>
        <w:t>alculations</w:t>
      </w:r>
      <w:r w:rsidR="008D4979" w:rsidRPr="0053584A">
        <w:rPr>
          <w:szCs w:val="22"/>
        </w:rPr>
        <w:t xml:space="preserve">.  This condition is designed to limit adjustments to those relating to revenue that Petitioners attempted to collect from Halo for </w:t>
      </w:r>
      <w:r w:rsidR="00456123">
        <w:rPr>
          <w:szCs w:val="22"/>
        </w:rPr>
        <w:t xml:space="preserve">the </w:t>
      </w:r>
      <w:r w:rsidR="008D4979" w:rsidRPr="0053584A">
        <w:rPr>
          <w:szCs w:val="22"/>
        </w:rPr>
        <w:t xml:space="preserve">provision of </w:t>
      </w:r>
      <w:r w:rsidR="002741B9" w:rsidRPr="0053584A">
        <w:rPr>
          <w:szCs w:val="22"/>
        </w:rPr>
        <w:t xml:space="preserve">compensable </w:t>
      </w:r>
      <w:r w:rsidR="008D4979" w:rsidRPr="0053584A">
        <w:rPr>
          <w:szCs w:val="22"/>
        </w:rPr>
        <w:t>t</w:t>
      </w:r>
      <w:r w:rsidR="00456123">
        <w:rPr>
          <w:szCs w:val="22"/>
        </w:rPr>
        <w:t>raffic</w:t>
      </w:r>
      <w:r w:rsidR="008D4979" w:rsidRPr="0053584A">
        <w:rPr>
          <w:szCs w:val="22"/>
        </w:rPr>
        <w:t xml:space="preserve"> during FY 2011.</w:t>
      </w:r>
    </w:p>
    <w:p w14:paraId="4DA70716" w14:textId="77777777" w:rsidR="00CD4250" w:rsidRPr="0053584A" w:rsidRDefault="00CD4250" w:rsidP="00CD4250">
      <w:pPr>
        <w:pStyle w:val="ParaNum"/>
        <w:numPr>
          <w:ilvl w:val="0"/>
          <w:numId w:val="22"/>
        </w:numPr>
        <w:rPr>
          <w:szCs w:val="22"/>
        </w:rPr>
      </w:pPr>
      <w:r w:rsidRPr="0053584A">
        <w:rPr>
          <w:szCs w:val="22"/>
        </w:rPr>
        <w:t xml:space="preserve">Third, that a court or state regulatory agency </w:t>
      </w:r>
      <w:r w:rsidR="00D75291" w:rsidRPr="0053584A">
        <w:rPr>
          <w:szCs w:val="22"/>
        </w:rPr>
        <w:t xml:space="preserve">of competent jurisdiction </w:t>
      </w:r>
      <w:r w:rsidR="00467985" w:rsidRPr="0053584A">
        <w:rPr>
          <w:szCs w:val="22"/>
        </w:rPr>
        <w:t>(</w:t>
      </w:r>
      <w:r w:rsidR="00467985" w:rsidRPr="00430C83">
        <w:rPr>
          <w:szCs w:val="22"/>
        </w:rPr>
        <w:t>e.g.</w:t>
      </w:r>
      <w:r w:rsidR="00467985" w:rsidRPr="0053584A">
        <w:rPr>
          <w:szCs w:val="22"/>
        </w:rPr>
        <w:t xml:space="preserve">, a state commission) </w:t>
      </w:r>
      <w:r w:rsidRPr="0053584A">
        <w:rPr>
          <w:szCs w:val="22"/>
        </w:rPr>
        <w:t xml:space="preserve">has made a finding of liability </w:t>
      </w:r>
      <w:r w:rsidR="00113D91">
        <w:rPr>
          <w:szCs w:val="22"/>
        </w:rPr>
        <w:t xml:space="preserve">against Halo </w:t>
      </w:r>
      <w:r w:rsidRPr="0053584A">
        <w:rPr>
          <w:szCs w:val="22"/>
        </w:rPr>
        <w:t xml:space="preserve">regarding the </w:t>
      </w:r>
      <w:r w:rsidR="00113D91">
        <w:rPr>
          <w:szCs w:val="22"/>
        </w:rPr>
        <w:t xml:space="preserve">requested </w:t>
      </w:r>
      <w:r w:rsidRPr="0053584A">
        <w:rPr>
          <w:szCs w:val="22"/>
        </w:rPr>
        <w:t>compensation for such traffic.</w:t>
      </w:r>
      <w:r w:rsidR="00113D91">
        <w:rPr>
          <w:rStyle w:val="FootnoteReference"/>
          <w:szCs w:val="22"/>
        </w:rPr>
        <w:footnoteReference w:id="46"/>
      </w:r>
    </w:p>
    <w:p w14:paraId="1BC7A9F1" w14:textId="77777777" w:rsidR="006F44FC" w:rsidRPr="0053584A" w:rsidRDefault="00CD4250" w:rsidP="00B4266E">
      <w:pPr>
        <w:pStyle w:val="ParaNum"/>
        <w:numPr>
          <w:ilvl w:val="0"/>
          <w:numId w:val="22"/>
        </w:numPr>
        <w:rPr>
          <w:szCs w:val="22"/>
        </w:rPr>
      </w:pPr>
      <w:r w:rsidRPr="0053584A">
        <w:rPr>
          <w:szCs w:val="22"/>
        </w:rPr>
        <w:t>Fourth</w:t>
      </w:r>
      <w:r w:rsidR="006F44FC" w:rsidRPr="0053584A">
        <w:rPr>
          <w:szCs w:val="22"/>
        </w:rPr>
        <w:t xml:space="preserve">, </w:t>
      </w:r>
      <w:r w:rsidR="008C3E5A" w:rsidRPr="0053584A">
        <w:rPr>
          <w:szCs w:val="22"/>
        </w:rPr>
        <w:t xml:space="preserve">that it </w:t>
      </w:r>
      <w:r w:rsidR="008D4979" w:rsidRPr="0053584A">
        <w:rPr>
          <w:szCs w:val="22"/>
        </w:rPr>
        <w:t xml:space="preserve">filed a timely claim in the Halo bankruptcy case </w:t>
      </w:r>
      <w:r w:rsidR="00513252" w:rsidRPr="0053584A">
        <w:rPr>
          <w:szCs w:val="22"/>
        </w:rPr>
        <w:t xml:space="preserve">that </w:t>
      </w:r>
      <w:r w:rsidR="008D4979" w:rsidRPr="0053584A">
        <w:rPr>
          <w:szCs w:val="22"/>
        </w:rPr>
        <w:t>request</w:t>
      </w:r>
      <w:r w:rsidR="00513252" w:rsidRPr="0053584A">
        <w:rPr>
          <w:szCs w:val="22"/>
        </w:rPr>
        <w:t xml:space="preserve">s </w:t>
      </w:r>
      <w:r w:rsidR="008D4979" w:rsidRPr="0053584A">
        <w:rPr>
          <w:szCs w:val="22"/>
        </w:rPr>
        <w:t>compensation for such traffic</w:t>
      </w:r>
      <w:r w:rsidR="006F44FC" w:rsidRPr="0053584A">
        <w:rPr>
          <w:szCs w:val="22"/>
        </w:rPr>
        <w:t>,</w:t>
      </w:r>
      <w:r w:rsidR="008D4979" w:rsidRPr="0053584A">
        <w:rPr>
          <w:szCs w:val="22"/>
        </w:rPr>
        <w:t xml:space="preserve"> and any adjustment for a study area resulting from this Order </w:t>
      </w:r>
      <w:r w:rsidR="008C3E5A" w:rsidRPr="0053584A">
        <w:rPr>
          <w:szCs w:val="22"/>
        </w:rPr>
        <w:t>does</w:t>
      </w:r>
      <w:r w:rsidR="008D4979" w:rsidRPr="0053584A">
        <w:rPr>
          <w:szCs w:val="22"/>
        </w:rPr>
        <w:t xml:space="preserve"> not exceed the </w:t>
      </w:r>
      <w:r w:rsidR="002741B9" w:rsidRPr="0053584A">
        <w:rPr>
          <w:szCs w:val="22"/>
        </w:rPr>
        <w:t>terminating</w:t>
      </w:r>
      <w:r w:rsidR="008D4979" w:rsidRPr="0053584A">
        <w:rPr>
          <w:szCs w:val="22"/>
        </w:rPr>
        <w:t xml:space="preserve"> portion of </w:t>
      </w:r>
      <w:r w:rsidR="001660C3" w:rsidRPr="0053584A">
        <w:rPr>
          <w:szCs w:val="22"/>
        </w:rPr>
        <w:t xml:space="preserve">such </w:t>
      </w:r>
      <w:r w:rsidR="00A61E31" w:rsidRPr="0053584A">
        <w:rPr>
          <w:szCs w:val="22"/>
        </w:rPr>
        <w:t>p</w:t>
      </w:r>
      <w:r w:rsidR="008D4979" w:rsidRPr="0053584A">
        <w:rPr>
          <w:szCs w:val="22"/>
        </w:rPr>
        <w:t xml:space="preserve">etitioner’s bankruptcy claim for that study area.  These requirements are intended to prevent </w:t>
      </w:r>
      <w:r w:rsidR="004E032F">
        <w:rPr>
          <w:szCs w:val="22"/>
        </w:rPr>
        <w:t>Windstream</w:t>
      </w:r>
      <w:r w:rsidR="008D4979" w:rsidRPr="0053584A">
        <w:rPr>
          <w:szCs w:val="22"/>
        </w:rPr>
        <w:t xml:space="preserve"> from taking actions now to increase </w:t>
      </w:r>
      <w:r w:rsidR="004E032F">
        <w:rPr>
          <w:szCs w:val="22"/>
        </w:rPr>
        <w:t>its</w:t>
      </w:r>
      <w:r w:rsidR="008D4979" w:rsidRPr="0053584A">
        <w:rPr>
          <w:szCs w:val="22"/>
        </w:rPr>
        <w:t xml:space="preserve"> adjustments beyond the amounts of their claims in the Halo bankruptcy case.</w:t>
      </w:r>
    </w:p>
    <w:p w14:paraId="55CF38F3" w14:textId="77777777" w:rsidR="008D4979" w:rsidRDefault="00CD4250" w:rsidP="00B4266E">
      <w:pPr>
        <w:pStyle w:val="ParaNum"/>
        <w:numPr>
          <w:ilvl w:val="0"/>
          <w:numId w:val="22"/>
        </w:numPr>
        <w:rPr>
          <w:szCs w:val="22"/>
        </w:rPr>
      </w:pPr>
      <w:r w:rsidRPr="0053584A">
        <w:rPr>
          <w:szCs w:val="22"/>
        </w:rPr>
        <w:t>Fifth</w:t>
      </w:r>
      <w:r w:rsidR="008D4979" w:rsidRPr="0053584A">
        <w:rPr>
          <w:szCs w:val="22"/>
        </w:rPr>
        <w:t xml:space="preserve">, that </w:t>
      </w:r>
      <w:r w:rsidR="001660C3" w:rsidRPr="0053584A">
        <w:rPr>
          <w:szCs w:val="22"/>
        </w:rPr>
        <w:t>its</w:t>
      </w:r>
      <w:r w:rsidR="008D4979" w:rsidRPr="0053584A">
        <w:rPr>
          <w:szCs w:val="22"/>
        </w:rPr>
        <w:t xml:space="preserve"> adjustment amounts do not include any interest, late payment fees, collection fees, or attorney fees</w:t>
      </w:r>
      <w:r w:rsidR="00757BD2" w:rsidRPr="0053584A">
        <w:rPr>
          <w:szCs w:val="22"/>
        </w:rPr>
        <w:t xml:space="preserve">, in order to ensure that </w:t>
      </w:r>
      <w:r w:rsidR="001D5AD4">
        <w:rPr>
          <w:szCs w:val="22"/>
        </w:rPr>
        <w:t xml:space="preserve">the requested </w:t>
      </w:r>
      <w:r w:rsidR="00757BD2" w:rsidRPr="0053584A">
        <w:rPr>
          <w:szCs w:val="22"/>
        </w:rPr>
        <w:t>adjustments are limited to revenue associated with compensable traffic, and do not include other types of revenue</w:t>
      </w:r>
      <w:r w:rsidR="008D4979" w:rsidRPr="0053584A">
        <w:rPr>
          <w:szCs w:val="22"/>
        </w:rPr>
        <w:t>.</w:t>
      </w:r>
      <w:r w:rsidR="0061076E" w:rsidRPr="0053584A">
        <w:rPr>
          <w:szCs w:val="22"/>
        </w:rPr>
        <w:t xml:space="preserve">  In addition, such certification must confirm that the revenues supporting the requested adjustments are not already included in the </w:t>
      </w:r>
      <w:r w:rsidR="001D5AD4">
        <w:rPr>
          <w:szCs w:val="22"/>
        </w:rPr>
        <w:t xml:space="preserve">Eligible Recovery </w:t>
      </w:r>
      <w:r w:rsidR="0061076E" w:rsidRPr="0053584A">
        <w:rPr>
          <w:szCs w:val="22"/>
        </w:rPr>
        <w:t>calculations.</w:t>
      </w:r>
    </w:p>
    <w:p w14:paraId="09C8972D" w14:textId="0E3AB2EF" w:rsidR="00F7710A" w:rsidRPr="00847715" w:rsidRDefault="00272315" w:rsidP="00150053">
      <w:pPr>
        <w:pStyle w:val="ParaNum"/>
        <w:widowControl/>
      </w:pPr>
      <w:r w:rsidRPr="00094326">
        <w:rPr>
          <w:szCs w:val="22"/>
        </w:rPr>
        <w:t xml:space="preserve">It is important to note that </w:t>
      </w:r>
      <w:r w:rsidR="00AB3457">
        <w:rPr>
          <w:szCs w:val="22"/>
        </w:rPr>
        <w:t>Windstream</w:t>
      </w:r>
      <w:r w:rsidRPr="00094326">
        <w:rPr>
          <w:szCs w:val="22"/>
        </w:rPr>
        <w:t xml:space="preserve"> recovered the maximum amount possible from ARCs and received CAF ICC support in tariff years 2012, 2013, 2014</w:t>
      </w:r>
      <w:r w:rsidR="00466A4A" w:rsidRPr="00094326">
        <w:rPr>
          <w:szCs w:val="22"/>
        </w:rPr>
        <w:t>, 2015</w:t>
      </w:r>
      <w:r w:rsidR="001118F7">
        <w:rPr>
          <w:szCs w:val="22"/>
        </w:rPr>
        <w:t>, and 2016</w:t>
      </w:r>
      <w:r w:rsidRPr="00094326">
        <w:rPr>
          <w:szCs w:val="22"/>
        </w:rPr>
        <w:t xml:space="preserve">.  </w:t>
      </w:r>
      <w:r w:rsidR="00F7710A" w:rsidRPr="00094326">
        <w:t xml:space="preserve">Therefore, any additional recovery mechanism revenue that </w:t>
      </w:r>
      <w:r w:rsidR="00466A4A" w:rsidRPr="00094326">
        <w:t>Windstream</w:t>
      </w:r>
      <w:r w:rsidR="00F7710A" w:rsidRPr="00094326">
        <w:t xml:space="preserve"> receive</w:t>
      </w:r>
      <w:r w:rsidR="00466A4A" w:rsidRPr="00094326">
        <w:t>s</w:t>
      </w:r>
      <w:r w:rsidR="00F7710A" w:rsidRPr="00094326">
        <w:t xml:space="preserve"> as a result of this Order for</w:t>
      </w:r>
      <w:r w:rsidR="00F7710A" w:rsidRPr="0053584A">
        <w:t xml:space="preserve"> 2012, 2013, 2014,</w:t>
      </w:r>
      <w:r w:rsidR="00466A4A">
        <w:t xml:space="preserve"> 2015,</w:t>
      </w:r>
      <w:r w:rsidR="00F7710A" w:rsidRPr="0053584A">
        <w:t xml:space="preserve"> </w:t>
      </w:r>
      <w:r w:rsidR="001118F7">
        <w:t xml:space="preserve">2016, </w:t>
      </w:r>
      <w:r w:rsidR="00F7710A" w:rsidRPr="0053584A">
        <w:t>and potentially for future tariff years, will come from CAF ICC support and not from ARCs.</w:t>
      </w:r>
      <w:r w:rsidR="00F7710A" w:rsidRPr="0053584A">
        <w:rPr>
          <w:rStyle w:val="FootnoteReference"/>
          <w:szCs w:val="22"/>
        </w:rPr>
        <w:footnoteReference w:id="47"/>
      </w:r>
      <w:r w:rsidR="00F7710A">
        <w:t xml:space="preserve">  </w:t>
      </w:r>
    </w:p>
    <w:p w14:paraId="6F5C451A" w14:textId="77777777" w:rsidR="008D4979" w:rsidRPr="0053584A" w:rsidRDefault="008D4979" w:rsidP="005A78D3">
      <w:pPr>
        <w:pStyle w:val="Heading1"/>
        <w:rPr>
          <w:rFonts w:ascii="Times New Roman" w:hAnsi="Times New Roman"/>
          <w:szCs w:val="22"/>
        </w:rPr>
      </w:pPr>
      <w:r w:rsidRPr="0053584A">
        <w:rPr>
          <w:rFonts w:ascii="Times New Roman" w:hAnsi="Times New Roman"/>
          <w:szCs w:val="22"/>
        </w:rPr>
        <w:t>Administrative Implementation of relief granted</w:t>
      </w:r>
    </w:p>
    <w:p w14:paraId="41D3F9A5" w14:textId="5CD97387" w:rsidR="008D4979" w:rsidRPr="00272315" w:rsidRDefault="008D4979" w:rsidP="001D5AD4">
      <w:pPr>
        <w:pStyle w:val="ParaNum"/>
      </w:pPr>
      <w:r w:rsidRPr="00272315">
        <w:t xml:space="preserve">This section addresses how the amount of relief granted in this </w:t>
      </w:r>
      <w:r w:rsidR="00592A9A" w:rsidRPr="00272315">
        <w:t>O</w:t>
      </w:r>
      <w:r w:rsidRPr="00272315">
        <w:t>rder is to be determined and the process for payment by the Universal Service Administrative Company (USAC).</w:t>
      </w:r>
      <w:r w:rsidRPr="0053584A">
        <w:rPr>
          <w:rStyle w:val="FootnoteReference"/>
          <w:sz w:val="22"/>
          <w:szCs w:val="22"/>
        </w:rPr>
        <w:footnoteReference w:id="48"/>
      </w:r>
      <w:r w:rsidRPr="00272315">
        <w:t xml:space="preserve">  </w:t>
      </w:r>
      <w:r w:rsidR="009E666E" w:rsidRPr="00272315">
        <w:t xml:space="preserve">For the purpose of adding </w:t>
      </w:r>
      <w:r w:rsidR="007077C9" w:rsidRPr="00272315">
        <w:t>the relevant</w:t>
      </w:r>
      <w:r w:rsidR="009E666E" w:rsidRPr="00272315">
        <w:t xml:space="preserve"> Halo revenues to </w:t>
      </w:r>
      <w:r w:rsidR="00140C1A">
        <w:t>its</w:t>
      </w:r>
      <w:r w:rsidR="009752F8">
        <w:t xml:space="preserve"> recovery</w:t>
      </w:r>
      <w:r w:rsidR="009E666E" w:rsidRPr="00272315">
        <w:t xml:space="preserve"> calculations</w:t>
      </w:r>
      <w:r w:rsidRPr="00272315">
        <w:t xml:space="preserve">, </w:t>
      </w:r>
      <w:r w:rsidR="00272315">
        <w:t>Windstream</w:t>
      </w:r>
      <w:r w:rsidRPr="00272315">
        <w:t xml:space="preserve"> shall determine for each affected study area the amount of unpaid </w:t>
      </w:r>
      <w:r w:rsidR="006E2E1F" w:rsidRPr="00272315">
        <w:t xml:space="preserve">terminating </w:t>
      </w:r>
      <w:r w:rsidR="007E18AE" w:rsidRPr="00272315">
        <w:t xml:space="preserve">intrastate </w:t>
      </w:r>
      <w:r w:rsidRPr="00272315">
        <w:t>revenues that were billed to Halo during FY 2011</w:t>
      </w:r>
      <w:r w:rsidR="00CA4349" w:rsidRPr="00272315">
        <w:t xml:space="preserve"> for which a court or state regulatory agency </w:t>
      </w:r>
      <w:r w:rsidR="00D47E9D" w:rsidRPr="00272315">
        <w:t xml:space="preserve">of competent jurisdiction </w:t>
      </w:r>
      <w:r w:rsidR="00CA4349" w:rsidRPr="00272315">
        <w:t>has determined liability</w:t>
      </w:r>
      <w:r w:rsidRPr="00272315">
        <w:t xml:space="preserve"> </w:t>
      </w:r>
      <w:r w:rsidR="002A7172" w:rsidRPr="00272315">
        <w:t xml:space="preserve">against Halo </w:t>
      </w:r>
      <w:r w:rsidRPr="00272315">
        <w:t>and that are associated with the waiver request</w:t>
      </w:r>
      <w:r w:rsidR="00592A9A" w:rsidRPr="00272315">
        <w:t>s</w:t>
      </w:r>
      <w:r w:rsidRPr="00272315">
        <w:t xml:space="preserve">.  This number represents the amount billed to Halo that was uncollected by </w:t>
      </w:r>
      <w:r w:rsidR="00272315">
        <w:t>Windstream</w:t>
      </w:r>
      <w:r w:rsidR="00272315" w:rsidRPr="00272315">
        <w:t xml:space="preserve"> </w:t>
      </w:r>
      <w:r w:rsidRPr="00272315">
        <w:t>for each affected study area</w:t>
      </w:r>
      <w:r w:rsidR="0088771B" w:rsidRPr="00272315">
        <w:t xml:space="preserve"> for </w:t>
      </w:r>
      <w:r w:rsidR="006E2E1F" w:rsidRPr="00272315">
        <w:t>terminating</w:t>
      </w:r>
      <w:r w:rsidR="007E18AE" w:rsidRPr="00272315">
        <w:t xml:space="preserve"> </w:t>
      </w:r>
      <w:r w:rsidR="0088771B" w:rsidRPr="00272315">
        <w:t xml:space="preserve">services </w:t>
      </w:r>
      <w:r w:rsidR="006E2E1F" w:rsidRPr="00272315">
        <w:t xml:space="preserve">rendered </w:t>
      </w:r>
      <w:r w:rsidR="0088771B" w:rsidRPr="00272315">
        <w:t>during FY 2011</w:t>
      </w:r>
      <w:r w:rsidR="00484BEA" w:rsidRPr="00272315">
        <w:t xml:space="preserve"> and </w:t>
      </w:r>
      <w:r w:rsidR="00AC3381" w:rsidRPr="00272315">
        <w:t xml:space="preserve">it </w:t>
      </w:r>
      <w:r w:rsidR="00484BEA" w:rsidRPr="00272315">
        <w:t>is the starting point for determining the amount recoverable pursuant to th</w:t>
      </w:r>
      <w:r w:rsidR="00592A9A" w:rsidRPr="00272315">
        <w:t>ese</w:t>
      </w:r>
      <w:r w:rsidR="00484BEA" w:rsidRPr="00272315">
        <w:t xml:space="preserve"> waiver</w:t>
      </w:r>
      <w:r w:rsidR="00592A9A" w:rsidRPr="00272315">
        <w:t>s</w:t>
      </w:r>
      <w:r w:rsidRPr="00272315">
        <w:t xml:space="preserve">.  To derive a representative collected revenue amount for the amounts billed to Halo, </w:t>
      </w:r>
      <w:r w:rsidR="009E677E">
        <w:t>Windstream</w:t>
      </w:r>
      <w:r w:rsidR="009E677E" w:rsidRPr="00272315">
        <w:t xml:space="preserve"> </w:t>
      </w:r>
      <w:r w:rsidRPr="00272315">
        <w:t xml:space="preserve">shall adjust the billed amount by the uncollectible factor used for the initial </w:t>
      </w:r>
      <w:r w:rsidR="001D5AD4">
        <w:t xml:space="preserve">Eligible Recovery </w:t>
      </w:r>
      <w:r w:rsidRPr="00272315">
        <w:t xml:space="preserve">determination for </w:t>
      </w:r>
      <w:r w:rsidR="00F85BDC">
        <w:t xml:space="preserve">each </w:t>
      </w:r>
      <w:r w:rsidRPr="00272315">
        <w:t>relevant study area</w:t>
      </w:r>
      <w:r w:rsidR="00C21FB7">
        <w:t xml:space="preserve"> to determine the FY 2011 demand</w:t>
      </w:r>
      <w:r w:rsidRPr="00272315">
        <w:t xml:space="preserve">.  </w:t>
      </w:r>
      <w:r w:rsidR="00D21A57">
        <w:t>For each affected study area, Windstream</w:t>
      </w:r>
      <w:r w:rsidR="00D21A57" w:rsidRPr="00272315">
        <w:t xml:space="preserve"> may </w:t>
      </w:r>
      <w:r w:rsidR="00D21A57">
        <w:t>increase its Eligible Recovery by the lesser of</w:t>
      </w:r>
      <w:r w:rsidRPr="00272315">
        <w:t xml:space="preserve"> </w:t>
      </w:r>
      <w:r w:rsidR="009E677E">
        <w:t xml:space="preserve">Windstream’s </w:t>
      </w:r>
      <w:r w:rsidRPr="00272315">
        <w:t xml:space="preserve">claim amount in the Halo bankruptcy case </w:t>
      </w:r>
      <w:r w:rsidR="006E2E1F" w:rsidRPr="00272315">
        <w:t xml:space="preserve">or </w:t>
      </w:r>
      <w:r w:rsidR="00312AE3" w:rsidRPr="00272315">
        <w:t>s</w:t>
      </w:r>
      <w:r w:rsidR="006E2E1F" w:rsidRPr="00272315">
        <w:t xml:space="preserve">tate </w:t>
      </w:r>
      <w:r w:rsidR="00312AE3" w:rsidRPr="00272315">
        <w:t xml:space="preserve">commission </w:t>
      </w:r>
      <w:r w:rsidR="00D21A57">
        <w:t>award</w:t>
      </w:r>
      <w:r w:rsidRPr="00272315">
        <w:t>.</w:t>
      </w:r>
      <w:r w:rsidR="001B53CA" w:rsidRPr="0053584A">
        <w:rPr>
          <w:rStyle w:val="FootnoteReference"/>
          <w:sz w:val="22"/>
          <w:szCs w:val="22"/>
        </w:rPr>
        <w:footnoteReference w:id="49"/>
      </w:r>
      <w:r w:rsidRPr="00272315">
        <w:t xml:space="preserve">  </w:t>
      </w:r>
    </w:p>
    <w:p w14:paraId="7C1D0AE0" w14:textId="4A597934" w:rsidR="00923789" w:rsidRPr="00177494" w:rsidRDefault="008D4979" w:rsidP="008C5CF1">
      <w:pPr>
        <w:pStyle w:val="ParaNum"/>
        <w:rPr>
          <w:szCs w:val="22"/>
        </w:rPr>
      </w:pPr>
      <w:r w:rsidRPr="002A7172">
        <w:rPr>
          <w:szCs w:val="22"/>
        </w:rPr>
        <w:t xml:space="preserve">In addition, </w:t>
      </w:r>
      <w:r w:rsidR="009E677E">
        <w:rPr>
          <w:szCs w:val="22"/>
        </w:rPr>
        <w:t>Windstream</w:t>
      </w:r>
      <w:r w:rsidR="009E677E" w:rsidRPr="00272315">
        <w:rPr>
          <w:szCs w:val="22"/>
        </w:rPr>
        <w:t xml:space="preserve"> </w:t>
      </w:r>
      <w:r w:rsidR="009E677E">
        <w:rPr>
          <w:szCs w:val="22"/>
        </w:rPr>
        <w:t xml:space="preserve">is </w:t>
      </w:r>
      <w:r w:rsidRPr="002A7172">
        <w:rPr>
          <w:szCs w:val="22"/>
        </w:rPr>
        <w:t>required to file with the Commission</w:t>
      </w:r>
      <w:r w:rsidR="002A7172" w:rsidRPr="002A7172">
        <w:rPr>
          <w:szCs w:val="22"/>
        </w:rPr>
        <w:t xml:space="preserve"> </w:t>
      </w:r>
      <w:r w:rsidR="009061A3">
        <w:rPr>
          <w:szCs w:val="22"/>
        </w:rPr>
        <w:t>–</w:t>
      </w:r>
      <w:r w:rsidR="002A7172" w:rsidRPr="002A7172">
        <w:rPr>
          <w:szCs w:val="22"/>
        </w:rPr>
        <w:t xml:space="preserve"> </w:t>
      </w:r>
      <w:r w:rsidRPr="002A7172">
        <w:rPr>
          <w:szCs w:val="22"/>
        </w:rPr>
        <w:t>and certify to the accuracy of</w:t>
      </w:r>
      <w:r w:rsidR="002A7172" w:rsidRPr="002A7172">
        <w:rPr>
          <w:szCs w:val="22"/>
        </w:rPr>
        <w:t xml:space="preserve"> </w:t>
      </w:r>
      <w:r w:rsidR="009061A3">
        <w:rPr>
          <w:szCs w:val="22"/>
        </w:rPr>
        <w:t>–</w:t>
      </w:r>
      <w:r w:rsidR="002A7172">
        <w:rPr>
          <w:szCs w:val="22"/>
        </w:rPr>
        <w:t xml:space="preserve"> </w:t>
      </w:r>
      <w:r w:rsidRPr="002A7172">
        <w:rPr>
          <w:szCs w:val="22"/>
        </w:rPr>
        <w:t>the different categories of charges (</w:t>
      </w:r>
      <w:r w:rsidRPr="00430C83">
        <w:rPr>
          <w:szCs w:val="22"/>
        </w:rPr>
        <w:t>e.g.</w:t>
      </w:r>
      <w:r w:rsidR="00006D1C" w:rsidRPr="002A7172">
        <w:rPr>
          <w:szCs w:val="22"/>
        </w:rPr>
        <w:t>,</w:t>
      </w:r>
      <w:r w:rsidRPr="002A7172">
        <w:rPr>
          <w:szCs w:val="22"/>
        </w:rPr>
        <w:t xml:space="preserve"> intrastate access, interstate access,</w:t>
      </w:r>
      <w:r w:rsidR="006E2E1F" w:rsidRPr="002A7172">
        <w:rPr>
          <w:szCs w:val="22"/>
        </w:rPr>
        <w:t xml:space="preserve"> net reciprocal compensation,</w:t>
      </w:r>
      <w:r w:rsidRPr="00F70CC2">
        <w:rPr>
          <w:szCs w:val="22"/>
        </w:rPr>
        <w:t xml:space="preserve"> interest, late payment fees, collection fees, attorney’s fees) and amounts for each category included in </w:t>
      </w:r>
      <w:r w:rsidR="00140C1A">
        <w:rPr>
          <w:szCs w:val="22"/>
        </w:rPr>
        <w:t>its</w:t>
      </w:r>
      <w:r w:rsidRPr="00F70CC2">
        <w:rPr>
          <w:szCs w:val="22"/>
        </w:rPr>
        <w:t xml:space="preserve"> Halo bankruptcy </w:t>
      </w:r>
      <w:r w:rsidR="007E18AE" w:rsidRPr="00F16C9A">
        <w:rPr>
          <w:szCs w:val="22"/>
        </w:rPr>
        <w:t>or state</w:t>
      </w:r>
      <w:r w:rsidRPr="00F16C9A">
        <w:rPr>
          <w:szCs w:val="22"/>
        </w:rPr>
        <w:t xml:space="preserve"> </w:t>
      </w:r>
      <w:r w:rsidR="00312AE3" w:rsidRPr="0025151B">
        <w:rPr>
          <w:szCs w:val="22"/>
        </w:rPr>
        <w:t>commission</w:t>
      </w:r>
      <w:r w:rsidR="00312AE3" w:rsidRPr="00BF3188">
        <w:rPr>
          <w:szCs w:val="22"/>
        </w:rPr>
        <w:t xml:space="preserve"> </w:t>
      </w:r>
      <w:r w:rsidRPr="00BF3188">
        <w:rPr>
          <w:szCs w:val="22"/>
        </w:rPr>
        <w:t>claims.</w:t>
      </w:r>
      <w:r w:rsidRPr="0053584A">
        <w:rPr>
          <w:rStyle w:val="FootnoteReference"/>
          <w:sz w:val="22"/>
          <w:szCs w:val="22"/>
        </w:rPr>
        <w:footnoteReference w:id="50"/>
      </w:r>
      <w:r w:rsidRPr="002A7172">
        <w:rPr>
          <w:szCs w:val="22"/>
        </w:rPr>
        <w:t xml:space="preserve">  For the specific purpose of implementing the relief granted in this Order, </w:t>
      </w:r>
      <w:r w:rsidR="009E677E">
        <w:rPr>
          <w:szCs w:val="22"/>
        </w:rPr>
        <w:t>Windstream</w:t>
      </w:r>
      <w:r w:rsidR="009E677E" w:rsidRPr="00272315">
        <w:rPr>
          <w:szCs w:val="22"/>
        </w:rPr>
        <w:t xml:space="preserve"> </w:t>
      </w:r>
      <w:r w:rsidRPr="002A7172">
        <w:rPr>
          <w:szCs w:val="22"/>
        </w:rPr>
        <w:t xml:space="preserve">shall </w:t>
      </w:r>
      <w:r w:rsidR="002B6674" w:rsidRPr="002A7172">
        <w:rPr>
          <w:szCs w:val="22"/>
        </w:rPr>
        <w:t xml:space="preserve">submit </w:t>
      </w:r>
      <w:r w:rsidR="00006D1C" w:rsidRPr="002A7172">
        <w:rPr>
          <w:szCs w:val="22"/>
        </w:rPr>
        <w:t xml:space="preserve">to USAC and the relevant state commission </w:t>
      </w:r>
      <w:r w:rsidR="002B6674" w:rsidRPr="00F70CC2">
        <w:rPr>
          <w:szCs w:val="22"/>
        </w:rPr>
        <w:t>revised</w:t>
      </w:r>
      <w:r w:rsidR="00125630" w:rsidRPr="00177494">
        <w:rPr>
          <w:szCs w:val="22"/>
        </w:rPr>
        <w:t xml:space="preserve"> data that was filed pursuant to section 54.304(d) of the Commission’s rules.</w:t>
      </w:r>
      <w:r w:rsidR="00981183" w:rsidRPr="0053584A">
        <w:rPr>
          <w:rStyle w:val="FootnoteReference"/>
          <w:sz w:val="22"/>
          <w:szCs w:val="22"/>
        </w:rPr>
        <w:footnoteReference w:id="51"/>
      </w:r>
      <w:r w:rsidRPr="002A7172">
        <w:rPr>
          <w:szCs w:val="22"/>
        </w:rPr>
        <w:t xml:space="preserve">  </w:t>
      </w:r>
      <w:r w:rsidR="009E677E">
        <w:rPr>
          <w:szCs w:val="22"/>
        </w:rPr>
        <w:t>Windstream</w:t>
      </w:r>
      <w:r w:rsidR="009E677E" w:rsidRPr="00272315">
        <w:rPr>
          <w:szCs w:val="22"/>
        </w:rPr>
        <w:t xml:space="preserve"> </w:t>
      </w:r>
      <w:r w:rsidRPr="002A7172">
        <w:rPr>
          <w:szCs w:val="22"/>
        </w:rPr>
        <w:t xml:space="preserve">should note the </w:t>
      </w:r>
      <w:r w:rsidR="00AC3381" w:rsidRPr="002A7172">
        <w:rPr>
          <w:szCs w:val="22"/>
        </w:rPr>
        <w:t xml:space="preserve">DA </w:t>
      </w:r>
      <w:r w:rsidRPr="002A7172">
        <w:rPr>
          <w:szCs w:val="22"/>
        </w:rPr>
        <w:t>number of this Order as authority for the request and include supporting documentation for the calculations.  An officer of the company must certify, under penalty of perjury, that the requested amount is calculated in a manner consistent wit</w:t>
      </w:r>
      <w:r w:rsidRPr="00F70CC2">
        <w:rPr>
          <w:szCs w:val="22"/>
        </w:rPr>
        <w:t>h the requirements of this Order.</w:t>
      </w:r>
    </w:p>
    <w:p w14:paraId="01372EB6" w14:textId="66AFC043" w:rsidR="006E595E" w:rsidRPr="0053584A" w:rsidRDefault="00923789" w:rsidP="008C5CF1">
      <w:pPr>
        <w:pStyle w:val="ParaNum"/>
        <w:rPr>
          <w:szCs w:val="22"/>
        </w:rPr>
      </w:pPr>
      <w:r w:rsidRPr="0053584A">
        <w:rPr>
          <w:szCs w:val="22"/>
        </w:rPr>
        <w:t xml:space="preserve">To effectuate the relief granted by this waiver, </w:t>
      </w:r>
      <w:r w:rsidR="009E677E">
        <w:rPr>
          <w:szCs w:val="22"/>
        </w:rPr>
        <w:t>Windstream</w:t>
      </w:r>
      <w:r w:rsidR="009E677E" w:rsidRPr="00272315">
        <w:rPr>
          <w:szCs w:val="22"/>
        </w:rPr>
        <w:t xml:space="preserve"> </w:t>
      </w:r>
      <w:r w:rsidRPr="0053584A">
        <w:rPr>
          <w:szCs w:val="22"/>
        </w:rPr>
        <w:t xml:space="preserve">shall file with the Commission in the Electronic Tariff Filing System corrected </w:t>
      </w:r>
      <w:r w:rsidR="00846EA8" w:rsidRPr="0053584A">
        <w:rPr>
          <w:szCs w:val="22"/>
        </w:rPr>
        <w:t>Tariff Review Plan (</w:t>
      </w:r>
      <w:r w:rsidRPr="0053584A">
        <w:rPr>
          <w:szCs w:val="22"/>
        </w:rPr>
        <w:t>TRP</w:t>
      </w:r>
      <w:r w:rsidR="00846EA8" w:rsidRPr="0053584A">
        <w:rPr>
          <w:szCs w:val="22"/>
        </w:rPr>
        <w:t>)</w:t>
      </w:r>
      <w:r w:rsidRPr="0053584A">
        <w:rPr>
          <w:szCs w:val="22"/>
        </w:rPr>
        <w:t xml:space="preserve"> worksheets with amended Eligible Recovery amounts</w:t>
      </w:r>
      <w:r w:rsidR="00125630" w:rsidRPr="0053584A">
        <w:rPr>
          <w:szCs w:val="22"/>
        </w:rPr>
        <w:t>, as well as the</w:t>
      </w:r>
      <w:r w:rsidRPr="0053584A">
        <w:rPr>
          <w:szCs w:val="22"/>
        </w:rPr>
        <w:t xml:space="preserve"> required certifications</w:t>
      </w:r>
      <w:r w:rsidR="00125630" w:rsidRPr="0053584A">
        <w:rPr>
          <w:szCs w:val="22"/>
        </w:rPr>
        <w:t xml:space="preserve">.  </w:t>
      </w:r>
      <w:r w:rsidRPr="0053584A">
        <w:rPr>
          <w:szCs w:val="22"/>
        </w:rPr>
        <w:t>E</w:t>
      </w:r>
      <w:r w:rsidR="008D4979" w:rsidRPr="0053584A">
        <w:rPr>
          <w:szCs w:val="22"/>
        </w:rPr>
        <w:t xml:space="preserve">ach </w:t>
      </w:r>
      <w:r w:rsidR="005D1FBE" w:rsidRPr="0053584A">
        <w:rPr>
          <w:szCs w:val="22"/>
        </w:rPr>
        <w:t>p</w:t>
      </w:r>
      <w:r w:rsidR="008D4979" w:rsidRPr="0053584A">
        <w:rPr>
          <w:szCs w:val="22"/>
        </w:rPr>
        <w:t xml:space="preserve">etitioner shall </w:t>
      </w:r>
      <w:r w:rsidRPr="0053584A">
        <w:rPr>
          <w:szCs w:val="22"/>
        </w:rPr>
        <w:t xml:space="preserve">also </w:t>
      </w:r>
      <w:r w:rsidR="008D4979" w:rsidRPr="0053584A">
        <w:rPr>
          <w:szCs w:val="22"/>
        </w:rPr>
        <w:t xml:space="preserve">file a </w:t>
      </w:r>
      <w:r w:rsidRPr="0053584A">
        <w:rPr>
          <w:szCs w:val="22"/>
        </w:rPr>
        <w:t>notice</w:t>
      </w:r>
      <w:r w:rsidR="008D4979" w:rsidRPr="0053584A">
        <w:rPr>
          <w:szCs w:val="22"/>
        </w:rPr>
        <w:t xml:space="preserve"> of its</w:t>
      </w:r>
      <w:r w:rsidR="00125630" w:rsidRPr="0053584A">
        <w:rPr>
          <w:szCs w:val="22"/>
        </w:rPr>
        <w:t xml:space="preserve"> corrected TRP filing in the Electronic Comment Filing System (ECFS</w:t>
      </w:r>
      <w:r w:rsidR="002B6674" w:rsidRPr="0053584A">
        <w:rPr>
          <w:szCs w:val="22"/>
        </w:rPr>
        <w:t>) in</w:t>
      </w:r>
      <w:r w:rsidR="008D4979" w:rsidRPr="0053584A">
        <w:rPr>
          <w:szCs w:val="22"/>
        </w:rPr>
        <w:t xml:space="preserve"> WC Docket No. 10-90</w:t>
      </w:r>
      <w:r w:rsidRPr="0053584A">
        <w:rPr>
          <w:szCs w:val="22"/>
        </w:rPr>
        <w:t>,</w:t>
      </w:r>
      <w:r w:rsidR="001A0C46" w:rsidRPr="0053584A">
        <w:rPr>
          <w:szCs w:val="22"/>
        </w:rPr>
        <w:t xml:space="preserve"> and must e-mail a copy of the notice to Richard Kwiatkowski, Pricing Policy Division, Wireline Competition Bureau, at </w:t>
      </w:r>
      <w:hyperlink r:id="rId8" w:history="1">
        <w:r w:rsidR="00A232DD" w:rsidRPr="00624789">
          <w:rPr>
            <w:rStyle w:val="Hyperlink"/>
            <w:szCs w:val="22"/>
          </w:rPr>
          <w:t>Richard.Kwiatkowski@fcc.gov</w:t>
        </w:r>
      </w:hyperlink>
      <w:r w:rsidR="001A0C46" w:rsidRPr="0053584A">
        <w:rPr>
          <w:szCs w:val="22"/>
        </w:rPr>
        <w:t>.</w:t>
      </w:r>
      <w:r w:rsidR="008D4979" w:rsidRPr="0053584A">
        <w:rPr>
          <w:szCs w:val="22"/>
        </w:rPr>
        <w:t xml:space="preserve">  If a </w:t>
      </w:r>
      <w:r w:rsidR="0088771B" w:rsidRPr="0053584A">
        <w:rPr>
          <w:szCs w:val="22"/>
        </w:rPr>
        <w:t xml:space="preserve">state </w:t>
      </w:r>
      <w:r w:rsidR="008C660F" w:rsidRPr="0053584A">
        <w:rPr>
          <w:szCs w:val="22"/>
        </w:rPr>
        <w:t>commission</w:t>
      </w:r>
      <w:r w:rsidR="008D4979" w:rsidRPr="0053584A">
        <w:rPr>
          <w:szCs w:val="22"/>
        </w:rPr>
        <w:t xml:space="preserve"> </w:t>
      </w:r>
      <w:r w:rsidR="00D40C9C" w:rsidRPr="0053584A">
        <w:rPr>
          <w:szCs w:val="22"/>
        </w:rPr>
        <w:t xml:space="preserve">or other interested person </w:t>
      </w:r>
      <w:r w:rsidR="008D4979" w:rsidRPr="0053584A">
        <w:rPr>
          <w:szCs w:val="22"/>
        </w:rPr>
        <w:t>objects</w:t>
      </w:r>
      <w:r w:rsidR="00981183" w:rsidRPr="0053584A">
        <w:rPr>
          <w:szCs w:val="22"/>
        </w:rPr>
        <w:t xml:space="preserve"> to the revised data,</w:t>
      </w:r>
      <w:r w:rsidR="008D4979" w:rsidRPr="0053584A">
        <w:rPr>
          <w:szCs w:val="22"/>
        </w:rPr>
        <w:t xml:space="preserve"> </w:t>
      </w:r>
      <w:r w:rsidR="00125630" w:rsidRPr="0053584A">
        <w:rPr>
          <w:szCs w:val="22"/>
        </w:rPr>
        <w:t xml:space="preserve">it </w:t>
      </w:r>
      <w:r w:rsidR="008D4979" w:rsidRPr="0053584A">
        <w:rPr>
          <w:szCs w:val="22"/>
        </w:rPr>
        <w:t>shall file its objection in WC Docket No. 10-90</w:t>
      </w:r>
      <w:r w:rsidR="00006D1C" w:rsidRPr="0053584A">
        <w:rPr>
          <w:szCs w:val="22"/>
        </w:rPr>
        <w:t xml:space="preserve"> </w:t>
      </w:r>
      <w:r w:rsidR="00BB581A" w:rsidRPr="0053584A">
        <w:rPr>
          <w:szCs w:val="22"/>
        </w:rPr>
        <w:t xml:space="preserve">within </w:t>
      </w:r>
      <w:r w:rsidR="00D91843" w:rsidRPr="0053584A">
        <w:rPr>
          <w:szCs w:val="22"/>
        </w:rPr>
        <w:t xml:space="preserve">21 </w:t>
      </w:r>
      <w:r w:rsidR="00BB581A" w:rsidRPr="0053584A">
        <w:rPr>
          <w:szCs w:val="22"/>
        </w:rPr>
        <w:t>days of the filing</w:t>
      </w:r>
      <w:r w:rsidR="00981183" w:rsidRPr="0053584A">
        <w:rPr>
          <w:szCs w:val="22"/>
        </w:rPr>
        <w:t xml:space="preserve"> of the notice in ECFS</w:t>
      </w:r>
      <w:r w:rsidR="008D4979" w:rsidRPr="0053584A">
        <w:rPr>
          <w:szCs w:val="22"/>
        </w:rPr>
        <w:t xml:space="preserve">.  The Wireline Competition Bureau (Bureau) </w:t>
      </w:r>
      <w:r w:rsidR="00E0658D" w:rsidRPr="0053584A">
        <w:rPr>
          <w:szCs w:val="22"/>
        </w:rPr>
        <w:t>will</w:t>
      </w:r>
      <w:r w:rsidR="00D328F2" w:rsidRPr="0053584A">
        <w:rPr>
          <w:szCs w:val="22"/>
        </w:rPr>
        <w:t xml:space="preserve"> </w:t>
      </w:r>
      <w:r w:rsidR="008D4979" w:rsidRPr="0053584A">
        <w:rPr>
          <w:szCs w:val="22"/>
        </w:rPr>
        <w:t xml:space="preserve">release a Public Notice in WC Docket No. 10-90 directing USAC to withhold payment while the Bureau </w:t>
      </w:r>
      <w:r w:rsidR="0088771B" w:rsidRPr="0053584A">
        <w:rPr>
          <w:szCs w:val="22"/>
        </w:rPr>
        <w:t xml:space="preserve">resolves </w:t>
      </w:r>
      <w:r w:rsidR="008D4979" w:rsidRPr="0053584A">
        <w:rPr>
          <w:szCs w:val="22"/>
        </w:rPr>
        <w:t>objections.</w:t>
      </w:r>
      <w:r w:rsidR="00D328F2" w:rsidRPr="0053584A">
        <w:rPr>
          <w:rStyle w:val="FootnoteReference"/>
          <w:sz w:val="22"/>
          <w:szCs w:val="22"/>
        </w:rPr>
        <w:footnoteReference w:id="52"/>
      </w:r>
      <w:r w:rsidR="008D4979" w:rsidRPr="0053584A">
        <w:rPr>
          <w:szCs w:val="22"/>
        </w:rPr>
        <w:t xml:space="preserve">  If such a Public Notice </w:t>
      </w:r>
      <w:r w:rsidR="008C3E5A" w:rsidRPr="0053584A">
        <w:rPr>
          <w:szCs w:val="22"/>
        </w:rPr>
        <w:t xml:space="preserve">is not released </w:t>
      </w:r>
      <w:r w:rsidR="008D4979" w:rsidRPr="0053584A">
        <w:rPr>
          <w:szCs w:val="22"/>
        </w:rPr>
        <w:t xml:space="preserve">in the relevant docket within </w:t>
      </w:r>
      <w:r w:rsidR="00D91843" w:rsidRPr="0053584A">
        <w:rPr>
          <w:szCs w:val="22"/>
        </w:rPr>
        <w:t xml:space="preserve">45 </w:t>
      </w:r>
      <w:r w:rsidR="008D4979" w:rsidRPr="0053584A">
        <w:rPr>
          <w:szCs w:val="22"/>
        </w:rPr>
        <w:t xml:space="preserve">days of a </w:t>
      </w:r>
      <w:r w:rsidR="005D1FBE" w:rsidRPr="0053584A">
        <w:rPr>
          <w:szCs w:val="22"/>
        </w:rPr>
        <w:t>p</w:t>
      </w:r>
      <w:r w:rsidR="008D4979" w:rsidRPr="0053584A">
        <w:rPr>
          <w:szCs w:val="22"/>
        </w:rPr>
        <w:t xml:space="preserve">etitioner’s request, USAC shall proceed to process the </w:t>
      </w:r>
      <w:r w:rsidR="005D1FBE" w:rsidRPr="0053584A">
        <w:rPr>
          <w:szCs w:val="22"/>
        </w:rPr>
        <w:t>p</w:t>
      </w:r>
      <w:r w:rsidR="008D4979" w:rsidRPr="0053584A">
        <w:rPr>
          <w:szCs w:val="22"/>
        </w:rPr>
        <w:t xml:space="preserve">etitioner’s request and issue payment.  </w:t>
      </w:r>
      <w:r w:rsidR="00D328F2" w:rsidRPr="0053584A">
        <w:rPr>
          <w:szCs w:val="22"/>
        </w:rPr>
        <w:t>The Commission has d</w:t>
      </w:r>
      <w:r w:rsidR="008D4979" w:rsidRPr="0053584A">
        <w:rPr>
          <w:szCs w:val="22"/>
        </w:rPr>
        <w:t>elegate</w:t>
      </w:r>
      <w:r w:rsidR="00D328F2" w:rsidRPr="0053584A">
        <w:rPr>
          <w:szCs w:val="22"/>
        </w:rPr>
        <w:t>d</w:t>
      </w:r>
      <w:r w:rsidR="008D4979" w:rsidRPr="0053584A">
        <w:rPr>
          <w:szCs w:val="22"/>
        </w:rPr>
        <w:t xml:space="preserve"> authority to the Bureau to determine and carry out appropriate procedures to resolve objections.</w:t>
      </w:r>
      <w:r w:rsidR="00D328F2" w:rsidRPr="0053584A">
        <w:rPr>
          <w:rStyle w:val="FootnoteReference"/>
          <w:sz w:val="22"/>
          <w:szCs w:val="22"/>
        </w:rPr>
        <w:footnoteReference w:id="53"/>
      </w:r>
    </w:p>
    <w:p w14:paraId="3D07AEFE" w14:textId="77777777" w:rsidR="008D4979" w:rsidRPr="0053584A" w:rsidRDefault="008D4979" w:rsidP="00E22C62">
      <w:pPr>
        <w:pStyle w:val="Heading1"/>
        <w:rPr>
          <w:rFonts w:ascii="Times New Roman" w:hAnsi="Times New Roman"/>
          <w:szCs w:val="22"/>
        </w:rPr>
      </w:pPr>
      <w:r w:rsidRPr="0053584A">
        <w:rPr>
          <w:rFonts w:ascii="Times New Roman" w:hAnsi="Times New Roman"/>
          <w:szCs w:val="22"/>
        </w:rPr>
        <w:t>Ordering Clauses</w:t>
      </w:r>
    </w:p>
    <w:p w14:paraId="6AD12CED" w14:textId="77777777" w:rsidR="008D4979" w:rsidRDefault="008D4979" w:rsidP="00F23A91">
      <w:pPr>
        <w:pStyle w:val="ParaNum"/>
        <w:rPr>
          <w:szCs w:val="22"/>
        </w:rPr>
      </w:pPr>
      <w:r w:rsidRPr="0053584A">
        <w:rPr>
          <w:szCs w:val="22"/>
        </w:rPr>
        <w:t>Accordingly, IT IS ORDERED that, pursuant to sections 1, 4(i) and (j), 201-202, 251, and 254 of the Communications Act of 1934, as amended, 47 U.S.C. §§ 151, 154(i) and (j), 201-202, 251, and 254, and section</w:t>
      </w:r>
      <w:r w:rsidR="003A0679" w:rsidRPr="0053584A">
        <w:rPr>
          <w:szCs w:val="22"/>
        </w:rPr>
        <w:t>s 0.91, 0.201(d), 0.291 and</w:t>
      </w:r>
      <w:r w:rsidRPr="0053584A">
        <w:rPr>
          <w:szCs w:val="22"/>
        </w:rPr>
        <w:t xml:space="preserve"> 1.3 </w:t>
      </w:r>
      <w:r w:rsidR="006467FE">
        <w:rPr>
          <w:szCs w:val="22"/>
        </w:rPr>
        <w:t>of the Commission’s rules, 47 CFR</w:t>
      </w:r>
      <w:r w:rsidRPr="0053584A">
        <w:rPr>
          <w:szCs w:val="22"/>
        </w:rPr>
        <w:t xml:space="preserve"> §</w:t>
      </w:r>
      <w:r w:rsidR="003A0679" w:rsidRPr="0053584A">
        <w:rPr>
          <w:szCs w:val="22"/>
        </w:rPr>
        <w:t>§ 0.91, 0.201(d), 0.291 and</w:t>
      </w:r>
      <w:r w:rsidRPr="0053584A">
        <w:rPr>
          <w:szCs w:val="22"/>
        </w:rPr>
        <w:t xml:space="preserve"> 1.3, the</w:t>
      </w:r>
      <w:r w:rsidR="00EE2189" w:rsidRPr="0053584A">
        <w:rPr>
          <w:szCs w:val="22"/>
        </w:rPr>
        <w:t xml:space="preserve"> Petition for Limited Waiver filed </w:t>
      </w:r>
      <w:r w:rsidR="009E677E">
        <w:rPr>
          <w:szCs w:val="22"/>
        </w:rPr>
        <w:t xml:space="preserve">by </w:t>
      </w:r>
      <w:r w:rsidR="009E677E">
        <w:t xml:space="preserve">Windstream Services, LLC </w:t>
      </w:r>
      <w:r w:rsidR="00EE2189" w:rsidRPr="0053584A">
        <w:rPr>
          <w:szCs w:val="22"/>
        </w:rPr>
        <w:t xml:space="preserve">on </w:t>
      </w:r>
      <w:r w:rsidR="009E677E">
        <w:rPr>
          <w:szCs w:val="22"/>
        </w:rPr>
        <w:t>September 1, 2015</w:t>
      </w:r>
      <w:r w:rsidR="00EE2189" w:rsidRPr="0053584A">
        <w:rPr>
          <w:szCs w:val="22"/>
        </w:rPr>
        <w:t xml:space="preserve">, </w:t>
      </w:r>
      <w:r w:rsidR="009E677E">
        <w:rPr>
          <w:szCs w:val="22"/>
        </w:rPr>
        <w:t>IS</w:t>
      </w:r>
      <w:r w:rsidRPr="0053584A">
        <w:rPr>
          <w:szCs w:val="22"/>
        </w:rPr>
        <w:t xml:space="preserve"> GRANTED to the extent specified herein, and </w:t>
      </w:r>
      <w:r w:rsidR="009E677E">
        <w:rPr>
          <w:szCs w:val="22"/>
        </w:rPr>
        <w:t>IS</w:t>
      </w:r>
      <w:r w:rsidR="00403DFC">
        <w:rPr>
          <w:szCs w:val="22"/>
        </w:rPr>
        <w:t xml:space="preserve"> OTHERWISE</w:t>
      </w:r>
      <w:r w:rsidRPr="0053584A">
        <w:rPr>
          <w:szCs w:val="22"/>
        </w:rPr>
        <w:t xml:space="preserve"> DENIED.</w:t>
      </w:r>
    </w:p>
    <w:p w14:paraId="75B55F8E" w14:textId="1B3947B0" w:rsidR="008D4979" w:rsidRPr="0053584A" w:rsidRDefault="008D4979" w:rsidP="008D4979">
      <w:pPr>
        <w:pStyle w:val="ParaNum"/>
        <w:rPr>
          <w:szCs w:val="22"/>
        </w:rPr>
      </w:pPr>
      <w:r w:rsidRPr="0053584A">
        <w:rPr>
          <w:szCs w:val="22"/>
        </w:rPr>
        <w:t xml:space="preserve">IT IS FURTHER ORDERED that the Universal Service Administrative Company </w:t>
      </w:r>
      <w:r w:rsidRPr="0053584A">
        <w:rPr>
          <w:caps/>
          <w:szCs w:val="22"/>
        </w:rPr>
        <w:t>shall make payments</w:t>
      </w:r>
      <w:r w:rsidRPr="0053584A">
        <w:rPr>
          <w:szCs w:val="22"/>
        </w:rPr>
        <w:t xml:space="preserve"> in accordance with the requirements of paragraph</w:t>
      </w:r>
      <w:r w:rsidR="00D90F3C" w:rsidRPr="0053584A">
        <w:rPr>
          <w:szCs w:val="22"/>
        </w:rPr>
        <w:t>s</w:t>
      </w:r>
      <w:r w:rsidRPr="0053584A">
        <w:rPr>
          <w:szCs w:val="22"/>
        </w:rPr>
        <w:t xml:space="preserve"> </w:t>
      </w:r>
      <w:r w:rsidR="00440729">
        <w:rPr>
          <w:szCs w:val="22"/>
        </w:rPr>
        <w:t>16</w:t>
      </w:r>
      <w:r w:rsidR="00C651EF">
        <w:rPr>
          <w:szCs w:val="22"/>
        </w:rPr>
        <w:t xml:space="preserve"> </w:t>
      </w:r>
      <w:r w:rsidR="00D01EAF">
        <w:rPr>
          <w:szCs w:val="22"/>
        </w:rPr>
        <w:t>through</w:t>
      </w:r>
      <w:r w:rsidR="00814364">
        <w:rPr>
          <w:szCs w:val="22"/>
        </w:rPr>
        <w:t xml:space="preserve"> </w:t>
      </w:r>
      <w:r w:rsidR="00440729">
        <w:rPr>
          <w:szCs w:val="22"/>
        </w:rPr>
        <w:t>1</w:t>
      </w:r>
      <w:r w:rsidR="00D01EAF">
        <w:rPr>
          <w:szCs w:val="22"/>
        </w:rPr>
        <w:t>8</w:t>
      </w:r>
      <w:r w:rsidR="00D90F3C" w:rsidRPr="0053584A">
        <w:rPr>
          <w:szCs w:val="22"/>
        </w:rPr>
        <w:t xml:space="preserve"> </w:t>
      </w:r>
      <w:r w:rsidRPr="0053584A">
        <w:rPr>
          <w:szCs w:val="22"/>
        </w:rPr>
        <w:t>of this Order.</w:t>
      </w:r>
    </w:p>
    <w:p w14:paraId="4A1FB44F" w14:textId="7AD1A869" w:rsidR="008D4979" w:rsidRDefault="008D4979" w:rsidP="005D4888">
      <w:pPr>
        <w:pStyle w:val="ParaNum"/>
        <w:keepNext/>
        <w:widowControl/>
        <w:rPr>
          <w:szCs w:val="22"/>
        </w:rPr>
      </w:pPr>
      <w:r w:rsidRPr="0053584A">
        <w:rPr>
          <w:szCs w:val="22"/>
        </w:rPr>
        <w:t>IT IS FURTHER ORDERED that pursuant to section 1.10</w:t>
      </w:r>
      <w:r w:rsidR="00CA7FCC">
        <w:rPr>
          <w:szCs w:val="22"/>
        </w:rPr>
        <w:t>2(b)(1)</w:t>
      </w:r>
      <w:r w:rsidRPr="0053584A">
        <w:rPr>
          <w:szCs w:val="22"/>
        </w:rPr>
        <w:t xml:space="preserve"> </w:t>
      </w:r>
      <w:r w:rsidR="009E677E">
        <w:rPr>
          <w:szCs w:val="22"/>
        </w:rPr>
        <w:t>of the Commission’s rules, 47 CFR</w:t>
      </w:r>
      <w:r w:rsidRPr="0053584A">
        <w:rPr>
          <w:szCs w:val="22"/>
        </w:rPr>
        <w:t xml:space="preserve"> § 1.10</w:t>
      </w:r>
      <w:r w:rsidR="00CA7FCC">
        <w:rPr>
          <w:szCs w:val="22"/>
        </w:rPr>
        <w:t>2(b)(1)</w:t>
      </w:r>
      <w:r w:rsidRPr="0053584A">
        <w:rPr>
          <w:szCs w:val="22"/>
        </w:rPr>
        <w:t>, this Order SHALL BE EFFECTIVE upon release.</w:t>
      </w:r>
    </w:p>
    <w:p w14:paraId="5836BF1A" w14:textId="77777777" w:rsidR="00150053" w:rsidRPr="0053584A" w:rsidRDefault="00150053" w:rsidP="00150053">
      <w:pPr>
        <w:pStyle w:val="ParaNum"/>
        <w:keepNext/>
        <w:widowControl/>
        <w:numPr>
          <w:ilvl w:val="0"/>
          <w:numId w:val="0"/>
        </w:numPr>
        <w:ind w:left="720"/>
        <w:rPr>
          <w:szCs w:val="22"/>
        </w:rPr>
      </w:pPr>
    </w:p>
    <w:p w14:paraId="3D551FEE" w14:textId="77777777" w:rsidR="006A4847" w:rsidRPr="0053584A" w:rsidRDefault="006A4847" w:rsidP="00E22C62">
      <w:pPr>
        <w:rPr>
          <w:szCs w:val="22"/>
        </w:rPr>
      </w:pPr>
      <w:r w:rsidRPr="0053584A">
        <w:rPr>
          <w:szCs w:val="22"/>
        </w:rPr>
        <w:tab/>
      </w:r>
      <w:r w:rsidRPr="0053584A">
        <w:rPr>
          <w:szCs w:val="22"/>
        </w:rPr>
        <w:tab/>
      </w:r>
      <w:r w:rsidRPr="0053584A">
        <w:rPr>
          <w:szCs w:val="22"/>
        </w:rPr>
        <w:tab/>
      </w:r>
      <w:r w:rsidRPr="0053584A">
        <w:rPr>
          <w:szCs w:val="22"/>
        </w:rPr>
        <w:tab/>
      </w:r>
      <w:r w:rsidRPr="0053584A">
        <w:rPr>
          <w:szCs w:val="22"/>
        </w:rPr>
        <w:tab/>
      </w:r>
      <w:r w:rsidRPr="0053584A">
        <w:rPr>
          <w:szCs w:val="22"/>
        </w:rPr>
        <w:tab/>
        <w:t>FEDERAL COMMUNICATIONS COMMISSION</w:t>
      </w:r>
    </w:p>
    <w:p w14:paraId="05B6B027" w14:textId="77777777" w:rsidR="006A4847" w:rsidRPr="0053584A" w:rsidRDefault="006A4847" w:rsidP="00E22C62">
      <w:pPr>
        <w:rPr>
          <w:szCs w:val="22"/>
        </w:rPr>
      </w:pPr>
    </w:p>
    <w:p w14:paraId="4C906E9B" w14:textId="77777777" w:rsidR="006A4847" w:rsidRPr="0053584A" w:rsidRDefault="006A4847" w:rsidP="00E22C62">
      <w:pPr>
        <w:rPr>
          <w:szCs w:val="22"/>
        </w:rPr>
      </w:pPr>
    </w:p>
    <w:p w14:paraId="5BF0111D" w14:textId="77777777" w:rsidR="006A4847" w:rsidRPr="0053584A" w:rsidRDefault="006A4847" w:rsidP="00E22C62">
      <w:pPr>
        <w:rPr>
          <w:szCs w:val="22"/>
        </w:rPr>
      </w:pPr>
    </w:p>
    <w:p w14:paraId="23CD7974" w14:textId="77777777" w:rsidR="006A4847" w:rsidRPr="0053584A" w:rsidRDefault="006A4847" w:rsidP="00E22C62">
      <w:pPr>
        <w:rPr>
          <w:szCs w:val="22"/>
        </w:rPr>
      </w:pPr>
    </w:p>
    <w:p w14:paraId="1CB90A8B" w14:textId="77777777" w:rsidR="006A4847" w:rsidRPr="0053584A" w:rsidRDefault="009E371A" w:rsidP="00624D1D">
      <w:pPr>
        <w:ind w:left="3600" w:firstLine="720"/>
        <w:rPr>
          <w:szCs w:val="22"/>
        </w:rPr>
      </w:pPr>
      <w:r>
        <w:rPr>
          <w:szCs w:val="22"/>
        </w:rPr>
        <w:t xml:space="preserve">Kris </w:t>
      </w:r>
      <w:r w:rsidR="00540060">
        <w:rPr>
          <w:szCs w:val="22"/>
        </w:rPr>
        <w:t xml:space="preserve">Anne </w:t>
      </w:r>
      <w:r w:rsidRPr="009E371A">
        <w:rPr>
          <w:szCs w:val="22"/>
        </w:rPr>
        <w:t>Monteith</w:t>
      </w:r>
    </w:p>
    <w:p w14:paraId="01D64134" w14:textId="4810AA9B" w:rsidR="00C63B38" w:rsidRPr="0053584A" w:rsidRDefault="00E46681" w:rsidP="00624D1D">
      <w:pPr>
        <w:ind w:left="3600" w:firstLine="720"/>
        <w:rPr>
          <w:szCs w:val="22"/>
        </w:rPr>
      </w:pPr>
      <w:r w:rsidRPr="0053584A">
        <w:rPr>
          <w:szCs w:val="22"/>
        </w:rPr>
        <w:t>Chief</w:t>
      </w:r>
    </w:p>
    <w:p w14:paraId="13901F0A" w14:textId="77777777" w:rsidR="00E30244" w:rsidRPr="003E521F" w:rsidRDefault="00E30244" w:rsidP="00624D1D">
      <w:pPr>
        <w:ind w:left="3600" w:firstLine="720"/>
        <w:rPr>
          <w:szCs w:val="22"/>
        </w:rPr>
      </w:pPr>
      <w:r w:rsidRPr="0053584A">
        <w:rPr>
          <w:szCs w:val="22"/>
        </w:rPr>
        <w:t>Wireline Competition Bureau</w:t>
      </w:r>
    </w:p>
    <w:sectPr w:rsidR="00E30244" w:rsidRPr="003E521F" w:rsidSect="00E800F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4F148" w14:textId="77777777" w:rsidR="00472AD6" w:rsidRDefault="00472AD6">
      <w:pPr>
        <w:spacing w:line="20" w:lineRule="exact"/>
      </w:pPr>
    </w:p>
  </w:endnote>
  <w:endnote w:type="continuationSeparator" w:id="0">
    <w:p w14:paraId="1AF59B6E" w14:textId="77777777" w:rsidR="00472AD6" w:rsidRDefault="00472AD6">
      <w:r>
        <w:t xml:space="preserve"> </w:t>
      </w:r>
    </w:p>
  </w:endnote>
  <w:endnote w:type="continuationNotice" w:id="1">
    <w:p w14:paraId="7138CF58" w14:textId="77777777" w:rsidR="00472AD6" w:rsidRDefault="00472A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C7335" w14:textId="77777777" w:rsidR="002741B9" w:rsidRDefault="002741B9" w:rsidP="008D4979">
    <w:pPr>
      <w:pStyle w:val="Footer"/>
      <w:framePr w:wrap="around" w:vAnchor="text" w:hAnchor="margin" w:xAlign="center" w:y="1"/>
    </w:pPr>
    <w:r>
      <w:fldChar w:fldCharType="begin"/>
    </w:r>
    <w:r>
      <w:instrText xml:space="preserve">PAGE  </w:instrText>
    </w:r>
    <w:r>
      <w:fldChar w:fldCharType="end"/>
    </w:r>
  </w:p>
  <w:p w14:paraId="49BC92C4" w14:textId="77777777" w:rsidR="002741B9" w:rsidRDefault="00274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0B2BC" w14:textId="1583B9B8" w:rsidR="002741B9" w:rsidRDefault="002741B9" w:rsidP="008D4979">
    <w:pPr>
      <w:pStyle w:val="Footer"/>
      <w:framePr w:wrap="around" w:vAnchor="text" w:hAnchor="margin" w:xAlign="center" w:y="1"/>
    </w:pPr>
    <w:r>
      <w:fldChar w:fldCharType="begin"/>
    </w:r>
    <w:r>
      <w:instrText xml:space="preserve">PAGE  </w:instrText>
    </w:r>
    <w:r>
      <w:fldChar w:fldCharType="separate"/>
    </w:r>
    <w:r w:rsidR="004D1D71">
      <w:rPr>
        <w:noProof/>
      </w:rPr>
      <w:t>2</w:t>
    </w:r>
    <w:r>
      <w:rPr>
        <w:noProof/>
      </w:rPr>
      <w:fldChar w:fldCharType="end"/>
    </w:r>
  </w:p>
  <w:p w14:paraId="4075A7E5" w14:textId="77777777" w:rsidR="002741B9" w:rsidRDefault="002741B9" w:rsidP="002A65D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D858E" w14:textId="77777777" w:rsidR="002741B9" w:rsidRDefault="002741B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B43CE" w14:textId="77777777" w:rsidR="00472AD6" w:rsidRDefault="00472AD6">
      <w:r>
        <w:separator/>
      </w:r>
    </w:p>
  </w:footnote>
  <w:footnote w:type="continuationSeparator" w:id="0">
    <w:p w14:paraId="4C56198E" w14:textId="77777777" w:rsidR="00472AD6" w:rsidRDefault="00472AD6" w:rsidP="008D4979">
      <w:pPr>
        <w:spacing w:before="120"/>
        <w:rPr>
          <w:sz w:val="20"/>
        </w:rPr>
      </w:pPr>
      <w:r>
        <w:rPr>
          <w:sz w:val="20"/>
        </w:rPr>
        <w:t xml:space="preserve">(Continued from previous page)  </w:t>
      </w:r>
      <w:r>
        <w:rPr>
          <w:sz w:val="20"/>
        </w:rPr>
        <w:separator/>
      </w:r>
    </w:p>
  </w:footnote>
  <w:footnote w:type="continuationNotice" w:id="1">
    <w:p w14:paraId="2D72310A" w14:textId="77777777" w:rsidR="00472AD6" w:rsidRDefault="00472AD6" w:rsidP="008D4979">
      <w:pPr>
        <w:jc w:val="right"/>
        <w:rPr>
          <w:sz w:val="20"/>
        </w:rPr>
      </w:pPr>
      <w:r>
        <w:rPr>
          <w:sz w:val="20"/>
        </w:rPr>
        <w:t>(continued…)</w:t>
      </w:r>
    </w:p>
  </w:footnote>
  <w:footnote w:id="2">
    <w:p w14:paraId="4335A69E" w14:textId="10DF6C39" w:rsidR="000C002B" w:rsidRDefault="000C002B" w:rsidP="000C002B">
      <w:pPr>
        <w:pStyle w:val="FootnoteText"/>
      </w:pPr>
      <w:r>
        <w:rPr>
          <w:rStyle w:val="FootnoteReference"/>
        </w:rPr>
        <w:footnoteRef/>
      </w:r>
      <w:r w:rsidR="00F37185">
        <w:rPr>
          <w:i/>
        </w:rPr>
        <w:t xml:space="preserve"> </w:t>
      </w:r>
      <w:r w:rsidR="00F14DAE" w:rsidRPr="002714D6">
        <w:rPr>
          <w:i/>
        </w:rPr>
        <w:t>See generally Connect America Fund; Developing a Unified Intercarrier Compensation Regime; Petitions for Waiver of Section 51.917(b)(7) of the Commission’s Rules</w:t>
      </w:r>
      <w:r w:rsidR="00F14DAE" w:rsidRPr="002714D6">
        <w:t>, Order, 29 FCC Rcd 9958 (2014) (</w:t>
      </w:r>
      <w:r w:rsidR="00F14DAE" w:rsidRPr="002714D6">
        <w:rPr>
          <w:i/>
        </w:rPr>
        <w:t>Halo Order</w:t>
      </w:r>
      <w:r w:rsidR="00F14DAE" w:rsidRPr="002714D6">
        <w:t xml:space="preserve">); </w:t>
      </w:r>
      <w:r w:rsidR="00F14DAE" w:rsidRPr="002714D6">
        <w:rPr>
          <w:i/>
        </w:rPr>
        <w:t>Connect America Fund; Developing a Unified Intercarrier Compensation Regime; Petitions for Waiver of Section 51.917(b)(7) of the Commission’s Rules</w:t>
      </w:r>
      <w:r w:rsidR="00F14DAE" w:rsidRPr="002714D6">
        <w:t>, Order, 30 FCC Rcd 6430 (</w:t>
      </w:r>
      <w:r w:rsidR="00CA006F">
        <w:t>WCB</w:t>
      </w:r>
      <w:r w:rsidR="00F14DAE" w:rsidRPr="006467FE">
        <w:t xml:space="preserve"> 2014) (</w:t>
      </w:r>
      <w:r w:rsidR="00F14DAE" w:rsidRPr="00BC70D5">
        <w:rPr>
          <w:i/>
        </w:rPr>
        <w:t>Halo II Order</w:t>
      </w:r>
      <w:r w:rsidR="00F14DAE" w:rsidRPr="006467FE">
        <w:t xml:space="preserve">); </w:t>
      </w:r>
      <w:r w:rsidR="00F14DAE" w:rsidRPr="002714D6">
        <w:rPr>
          <w:i/>
        </w:rPr>
        <w:t xml:space="preserve">Connect America Fund; Developing a Unified Intercarrier Compensation Regime; </w:t>
      </w:r>
      <w:r w:rsidR="00F14DAE" w:rsidRPr="006467FE">
        <w:rPr>
          <w:i/>
        </w:rPr>
        <w:t>Petitions for Waiver of Section 51.917(b)(7) of the Commission’s Rules</w:t>
      </w:r>
      <w:r w:rsidR="00F14DAE" w:rsidRPr="006467FE">
        <w:t xml:space="preserve">, Order, </w:t>
      </w:r>
      <w:r w:rsidR="00FA2AEC">
        <w:t xml:space="preserve">31 FCC Rcd 13303 </w:t>
      </w:r>
      <w:r w:rsidR="00F14DAE" w:rsidRPr="006467FE">
        <w:t>(WCB 2016) (</w:t>
      </w:r>
      <w:r w:rsidR="00F14DAE" w:rsidRPr="006467FE">
        <w:rPr>
          <w:i/>
        </w:rPr>
        <w:t>Halo III Order</w:t>
      </w:r>
      <w:r w:rsidR="00F14DAE" w:rsidRPr="006467FE">
        <w:t>)</w:t>
      </w:r>
      <w:r w:rsidR="00A232DD">
        <w:t xml:space="preserve"> (collectively </w:t>
      </w:r>
      <w:r w:rsidR="00A232DD" w:rsidRPr="004B75DA">
        <w:rPr>
          <w:i/>
        </w:rPr>
        <w:t>Halo Orders</w:t>
      </w:r>
      <w:r w:rsidR="00A232DD">
        <w:t>)</w:t>
      </w:r>
      <w:r w:rsidR="00CA006F">
        <w:t>.</w:t>
      </w:r>
      <w:r w:rsidR="00A232DD">
        <w:t xml:space="preserve">  </w:t>
      </w:r>
    </w:p>
  </w:footnote>
  <w:footnote w:id="3">
    <w:p w14:paraId="7C45CE6A" w14:textId="0DC7FE70" w:rsidR="004C7F9E" w:rsidRDefault="004C7F9E">
      <w:pPr>
        <w:pStyle w:val="FootnoteText"/>
      </w:pPr>
      <w:r>
        <w:rPr>
          <w:rStyle w:val="FootnoteReference"/>
        </w:rPr>
        <w:footnoteRef/>
      </w:r>
      <w:r>
        <w:t xml:space="preserve"> Windstream filed its petition on behalf of 24 incumbent local exchange carrier </w:t>
      </w:r>
      <w:r w:rsidR="00DC3811">
        <w:t xml:space="preserve">(LEC) </w:t>
      </w:r>
      <w:r>
        <w:t xml:space="preserve">subsidiaries.  </w:t>
      </w:r>
      <w:r w:rsidRPr="004C7F9E">
        <w:rPr>
          <w:i/>
        </w:rPr>
        <w:t>See</w:t>
      </w:r>
      <w:r>
        <w:t xml:space="preserve"> </w:t>
      </w:r>
      <w:r w:rsidRPr="003E521F">
        <w:t xml:space="preserve">Petition of </w:t>
      </w:r>
      <w:r>
        <w:t xml:space="preserve">Windstream Services, LLC </w:t>
      </w:r>
      <w:r w:rsidRPr="003E521F">
        <w:t>for Limited Waiver of Se</w:t>
      </w:r>
      <w:r>
        <w:t>ction 51.91</w:t>
      </w:r>
      <w:r w:rsidR="004217C7">
        <w:t>7</w:t>
      </w:r>
      <w:r w:rsidRPr="003E521F">
        <w:t>(c)</w:t>
      </w:r>
      <w:r>
        <w:t xml:space="preserve"> and (d)</w:t>
      </w:r>
      <w:r w:rsidRPr="003E521F">
        <w:t xml:space="preserve">, WC Docket No. </w:t>
      </w:r>
      <w:r>
        <w:t xml:space="preserve">10-90 et al., at 1 </w:t>
      </w:r>
      <w:r w:rsidR="00360436">
        <w:t>n.1 (filed Sept. 1, 2015) (</w:t>
      </w:r>
      <w:r w:rsidRPr="003E521F">
        <w:t>Petition)</w:t>
      </w:r>
      <w:r>
        <w:t>.</w:t>
      </w:r>
      <w:r w:rsidR="005618C8">
        <w:t xml:space="preserve">  Windstream mistakenly titled its petition as seeking waiver of </w:t>
      </w:r>
      <w:r w:rsidR="005618C8" w:rsidRPr="005618C8">
        <w:t>section 51.91</w:t>
      </w:r>
      <w:r w:rsidR="005618C8">
        <w:t>7(c)</w:t>
      </w:r>
      <w:r w:rsidR="00E12D28">
        <w:t xml:space="preserve"> and (d)</w:t>
      </w:r>
      <w:r w:rsidR="005618C8">
        <w:t xml:space="preserve"> of the Commission</w:t>
      </w:r>
      <w:r w:rsidR="004E032F">
        <w:t>’</w:t>
      </w:r>
      <w:r w:rsidR="005618C8">
        <w:t xml:space="preserve">s rules.  To </w:t>
      </w:r>
      <w:r w:rsidR="006C542B">
        <w:t>obtain</w:t>
      </w:r>
      <w:r w:rsidR="005618C8" w:rsidRPr="005618C8">
        <w:t xml:space="preserve"> the requested relief, </w:t>
      </w:r>
      <w:r w:rsidR="005618C8">
        <w:t>Windstream</w:t>
      </w:r>
      <w:r w:rsidR="005618C8" w:rsidRPr="005618C8">
        <w:t xml:space="preserve"> re</w:t>
      </w:r>
      <w:r w:rsidR="005618C8">
        <w:t>quires a waiver of section 51.915</w:t>
      </w:r>
      <w:r w:rsidR="005618C8" w:rsidRPr="005618C8">
        <w:t>(</w:t>
      </w:r>
      <w:r w:rsidR="005618C8">
        <w:t>c</w:t>
      </w:r>
      <w:r w:rsidR="005618C8" w:rsidRPr="005618C8">
        <w:t>)</w:t>
      </w:r>
      <w:r w:rsidR="005618C8">
        <w:t xml:space="preserve"> and </w:t>
      </w:r>
      <w:r w:rsidR="005618C8" w:rsidRPr="005618C8">
        <w:t>(</w:t>
      </w:r>
      <w:r w:rsidR="005618C8">
        <w:t>d</w:t>
      </w:r>
      <w:r w:rsidR="005618C8" w:rsidRPr="005618C8">
        <w:t xml:space="preserve">). </w:t>
      </w:r>
      <w:r w:rsidR="0033188D">
        <w:t xml:space="preserve"> </w:t>
      </w:r>
      <w:r w:rsidR="005618C8" w:rsidRPr="005618C8">
        <w:t xml:space="preserve">Accordingly, we will consider </w:t>
      </w:r>
      <w:r w:rsidR="005618C8">
        <w:t>the request</w:t>
      </w:r>
      <w:r w:rsidR="005618C8" w:rsidRPr="005618C8">
        <w:t xml:space="preserve"> as if </w:t>
      </w:r>
      <w:r w:rsidR="005618C8">
        <w:t>Windstream</w:t>
      </w:r>
      <w:r w:rsidR="005618C8" w:rsidRPr="005618C8">
        <w:t xml:space="preserve"> had requested a waiver of the correct rule</w:t>
      </w:r>
      <w:r w:rsidR="005618C8">
        <w:t>s, as is clear from the substance of its petition</w:t>
      </w:r>
      <w:r w:rsidR="00FA091B">
        <w:t>,</w:t>
      </w:r>
      <w:r w:rsidR="00A33FB1">
        <w:t xml:space="preserve"> and will hereinafter characterize </w:t>
      </w:r>
      <w:r w:rsidR="00FA091B">
        <w:t xml:space="preserve">its </w:t>
      </w:r>
      <w:r w:rsidR="00A33FB1">
        <w:t xml:space="preserve">request as a request for waiver </w:t>
      </w:r>
      <w:r w:rsidR="00FA091B">
        <w:t xml:space="preserve">of </w:t>
      </w:r>
      <w:r w:rsidR="00A33FB1">
        <w:t>section 51.915(c) and (d)</w:t>
      </w:r>
      <w:r w:rsidR="005618C8" w:rsidRPr="005618C8">
        <w:t>.</w:t>
      </w:r>
    </w:p>
  </w:footnote>
  <w:footnote w:id="4">
    <w:p w14:paraId="1D0CC29A" w14:textId="77777777" w:rsidR="00553A23" w:rsidRDefault="00553A23" w:rsidP="00553A23">
      <w:pPr>
        <w:pStyle w:val="FootnoteText"/>
      </w:pPr>
      <w:r>
        <w:rPr>
          <w:rStyle w:val="FootnoteReference"/>
        </w:rPr>
        <w:footnoteRef/>
      </w:r>
      <w:r>
        <w:t xml:space="preserve"> For the purposes of the recovery mechanism, FY 2011 is defined as Oct. 1, 2010 to Sept. 30, 2011.  </w:t>
      </w:r>
      <w:r>
        <w:rPr>
          <w:i/>
        </w:rPr>
        <w:t>See</w:t>
      </w:r>
      <w:r>
        <w:t xml:space="preserve"> 47 CFR § 51.903(e).</w:t>
      </w:r>
    </w:p>
  </w:footnote>
  <w:footnote w:id="5">
    <w:p w14:paraId="0D925ECC" w14:textId="77777777" w:rsidR="009203B6" w:rsidRDefault="009203B6">
      <w:pPr>
        <w:pStyle w:val="FootnoteText"/>
      </w:pPr>
      <w:r>
        <w:rPr>
          <w:rStyle w:val="FootnoteReference"/>
        </w:rPr>
        <w:footnoteRef/>
      </w:r>
      <w:r>
        <w:t xml:space="preserve"> </w:t>
      </w:r>
      <w:r w:rsidR="00025B56" w:rsidRPr="00025B56">
        <w:rPr>
          <w:i/>
        </w:rPr>
        <w:t xml:space="preserve">See </w:t>
      </w:r>
      <w:r w:rsidR="00025B56" w:rsidRPr="003E521F">
        <w:rPr>
          <w:i/>
        </w:rPr>
        <w:t>Connect America Fund et al.</w:t>
      </w:r>
      <w:r w:rsidR="00025B56" w:rsidRPr="00F817F4">
        <w:t>,</w:t>
      </w:r>
      <w:r w:rsidR="00025B56" w:rsidRPr="003E521F">
        <w:rPr>
          <w:i/>
        </w:rPr>
        <w:t xml:space="preserve"> </w:t>
      </w:r>
      <w:r w:rsidR="00025B56" w:rsidRPr="003E521F">
        <w:t xml:space="preserve">WC Docket No. 10-90 et al., Report and Order and Further Notice of Proposed Rulemaking, 26 FCC Rcd </w:t>
      </w:r>
      <w:r w:rsidR="00025B56">
        <w:t xml:space="preserve">17663, </w:t>
      </w:r>
      <w:r w:rsidR="00025B56" w:rsidRPr="003E521F">
        <w:t>17956-87, paras. 847-904 (2011) (</w:t>
      </w:r>
      <w:r w:rsidR="00025B56" w:rsidRPr="003E521F">
        <w:rPr>
          <w:i/>
        </w:rPr>
        <w:t>USF/ICC Transformation Order</w:t>
      </w:r>
      <w:r w:rsidR="00025B56" w:rsidRPr="003E521F">
        <w:t xml:space="preserve">), </w:t>
      </w:r>
      <w:r w:rsidR="00025B56" w:rsidRPr="003E521F">
        <w:rPr>
          <w:i/>
        </w:rPr>
        <w:t>pets</w:t>
      </w:r>
      <w:r w:rsidR="00025B56" w:rsidRPr="003E521F">
        <w:t xml:space="preserve">. </w:t>
      </w:r>
      <w:r w:rsidR="00025B56" w:rsidRPr="003E521F">
        <w:rPr>
          <w:i/>
        </w:rPr>
        <w:t>for review</w:t>
      </w:r>
      <w:r w:rsidR="00025B56" w:rsidRPr="003E521F">
        <w:t xml:space="preserve"> </w:t>
      </w:r>
      <w:r w:rsidR="00025B56" w:rsidRPr="003E521F">
        <w:rPr>
          <w:i/>
        </w:rPr>
        <w:t>denied sub nom. In re:</w:t>
      </w:r>
      <w:r w:rsidR="00025B56" w:rsidRPr="003E521F">
        <w:t xml:space="preserve"> </w:t>
      </w:r>
      <w:r w:rsidR="00025B56" w:rsidRPr="003E521F">
        <w:rPr>
          <w:i/>
        </w:rPr>
        <w:t>FCC 11-161</w:t>
      </w:r>
      <w:r w:rsidR="00025B56" w:rsidRPr="00BC70D5">
        <w:t>,</w:t>
      </w:r>
      <w:r w:rsidR="00025B56">
        <w:t xml:space="preserve"> 753 F.3d 1015 (10th Cir. 2014).</w:t>
      </w:r>
    </w:p>
  </w:footnote>
  <w:footnote w:id="6">
    <w:p w14:paraId="434B6B36" w14:textId="77777777" w:rsidR="001A2817" w:rsidRPr="003E521F" w:rsidRDefault="001A2817" w:rsidP="001A2817">
      <w:pPr>
        <w:pStyle w:val="FootnoteText"/>
      </w:pPr>
      <w:r w:rsidRPr="003E521F">
        <w:rPr>
          <w:rStyle w:val="FootnoteReference"/>
        </w:rPr>
        <w:footnoteRef/>
      </w:r>
      <w:r w:rsidRPr="003E521F">
        <w:t xml:space="preserve"> </w:t>
      </w:r>
      <w:r w:rsidRPr="003E521F">
        <w:rPr>
          <w:i/>
        </w:rPr>
        <w:t>See</w:t>
      </w:r>
      <w:r>
        <w:rPr>
          <w:i/>
        </w:rPr>
        <w:t xml:space="preserve"> </w:t>
      </w:r>
      <w:r w:rsidRPr="003E521F">
        <w:rPr>
          <w:i/>
        </w:rPr>
        <w:t>USF/ICC Transformation Order</w:t>
      </w:r>
      <w:r w:rsidRPr="007B58D2">
        <w:t>,</w:t>
      </w:r>
      <w:r>
        <w:rPr>
          <w:i/>
        </w:rPr>
        <w:t xml:space="preserve"> </w:t>
      </w:r>
      <w:r>
        <w:t>26 FCC Rcd at</w:t>
      </w:r>
      <w:r w:rsidRPr="003E521F">
        <w:t xml:space="preserve"> </w:t>
      </w:r>
      <w:r>
        <w:t xml:space="preserve">17904, para. 740, 17932, para. 798, 17934, para. 801, </w:t>
      </w:r>
      <w:r w:rsidRPr="003E521F">
        <w:t xml:space="preserve">18026-28, paras. 970-71; </w:t>
      </w:r>
      <w:r w:rsidRPr="003E521F">
        <w:rPr>
          <w:i/>
        </w:rPr>
        <w:t>see also</w:t>
      </w:r>
      <w:r>
        <w:t xml:space="preserve"> 47 CFR § 51.</w:t>
      </w:r>
      <w:r w:rsidRPr="003E521F">
        <w:t>713.</w:t>
      </w:r>
    </w:p>
  </w:footnote>
  <w:footnote w:id="7">
    <w:p w14:paraId="3F5CCBD0" w14:textId="77777777" w:rsidR="001A2817" w:rsidRPr="003E521F" w:rsidRDefault="001A2817" w:rsidP="001A2817">
      <w:pPr>
        <w:pStyle w:val="FootnoteText"/>
      </w:pPr>
      <w:r w:rsidRPr="003E521F">
        <w:rPr>
          <w:rStyle w:val="FootnoteReference"/>
        </w:rPr>
        <w:footnoteRef/>
      </w:r>
      <w:r w:rsidRPr="003E521F">
        <w:t xml:space="preserve"> </w:t>
      </w:r>
      <w:r w:rsidR="00B73DEF">
        <w:rPr>
          <w:i/>
        </w:rPr>
        <w:t>See id.</w:t>
      </w:r>
      <w:r w:rsidRPr="003E521F" w:rsidDel="007B58D2">
        <w:rPr>
          <w:i/>
        </w:rPr>
        <w:t xml:space="preserve"> </w:t>
      </w:r>
      <w:r w:rsidRPr="003E521F">
        <w:t>at 17956-87, paras. 847-904.</w:t>
      </w:r>
    </w:p>
  </w:footnote>
  <w:footnote w:id="8">
    <w:p w14:paraId="6603B231" w14:textId="77777777" w:rsidR="002872C4" w:rsidRDefault="002872C4">
      <w:pPr>
        <w:pStyle w:val="FootnoteText"/>
      </w:pPr>
      <w:r>
        <w:rPr>
          <w:rStyle w:val="FootnoteReference"/>
        </w:rPr>
        <w:footnoteRef/>
      </w:r>
      <w:r>
        <w:t xml:space="preserve"> </w:t>
      </w:r>
      <w:r w:rsidRPr="002872C4">
        <w:rPr>
          <w:i/>
        </w:rPr>
        <w:t>See</w:t>
      </w:r>
      <w:r>
        <w:t xml:space="preserve"> 47 CFR § 51.915(d)(i)-(viii).</w:t>
      </w:r>
    </w:p>
  </w:footnote>
  <w:footnote w:id="9">
    <w:p w14:paraId="36D7F484" w14:textId="77777777" w:rsidR="006321C9" w:rsidRPr="00333462" w:rsidRDefault="006321C9" w:rsidP="006321C9">
      <w:pPr>
        <w:pStyle w:val="FootnoteText"/>
      </w:pPr>
      <w:r>
        <w:rPr>
          <w:rStyle w:val="FootnoteReference"/>
        </w:rPr>
        <w:footnoteRef/>
      </w:r>
      <w:r>
        <w:t xml:space="preserve"> </w:t>
      </w:r>
      <w:r w:rsidRPr="003E521F">
        <w:t xml:space="preserve">The ARC is the end-user charge component of the ICC recovery mechanism adopted in the </w:t>
      </w:r>
      <w:r w:rsidRPr="003E521F">
        <w:rPr>
          <w:i/>
        </w:rPr>
        <w:t>USF/ICC Transformation Order</w:t>
      </w:r>
      <w:r w:rsidRPr="00BC70D5">
        <w:t>.</w:t>
      </w:r>
      <w:r w:rsidRPr="003E521F">
        <w:t xml:space="preserve">  Incumbent LECs are authorized to charge ARCs, subject to annual caps and to an overall rate ceiling, in order to partially mitigate the effect of reduced intercarrier revenues on carriers.  </w:t>
      </w:r>
      <w:r w:rsidRPr="003E521F">
        <w:rPr>
          <w:i/>
        </w:rPr>
        <w:t>See USF/ICC Transformation Order</w:t>
      </w:r>
      <w:r w:rsidRPr="003E521F">
        <w:t>,</w:t>
      </w:r>
      <w:r w:rsidRPr="003E521F">
        <w:rPr>
          <w:i/>
        </w:rPr>
        <w:t xml:space="preserve"> </w:t>
      </w:r>
      <w:r w:rsidRPr="003E521F">
        <w:t xml:space="preserve">26 FCC Rcd at 17677, para. 36, 17957, para. 849; </w:t>
      </w:r>
      <w:r w:rsidRPr="003E521F">
        <w:rPr>
          <w:i/>
        </w:rPr>
        <w:t>see also</w:t>
      </w:r>
      <w:r w:rsidR="006467FE">
        <w:t xml:space="preserve"> 47 </w:t>
      </w:r>
      <w:r w:rsidR="006467FE" w:rsidRPr="00333462">
        <w:t>CFR</w:t>
      </w:r>
      <w:r w:rsidRPr="00333462">
        <w:t xml:space="preserve"> §§ 51.915(e), 51.917(e).</w:t>
      </w:r>
    </w:p>
  </w:footnote>
  <w:footnote w:id="10">
    <w:p w14:paraId="15CC4951" w14:textId="77777777" w:rsidR="006321C9" w:rsidRPr="003E521F" w:rsidRDefault="006321C9" w:rsidP="006321C9">
      <w:pPr>
        <w:pStyle w:val="FootnoteText"/>
      </w:pPr>
      <w:r w:rsidRPr="00333462">
        <w:rPr>
          <w:rStyle w:val="FootnoteReference"/>
        </w:rPr>
        <w:footnoteRef/>
      </w:r>
      <w:r w:rsidRPr="00333462">
        <w:t xml:space="preserve"> </w:t>
      </w:r>
      <w:r w:rsidRPr="00333462">
        <w:rPr>
          <w:i/>
        </w:rPr>
        <w:t>See USF/ICC Transformation Order</w:t>
      </w:r>
      <w:r w:rsidRPr="00333462">
        <w:t>, 26 FCC Rcd at 17981, para. 896.</w:t>
      </w:r>
    </w:p>
  </w:footnote>
  <w:footnote w:id="11">
    <w:p w14:paraId="59256857" w14:textId="44E93CEC" w:rsidR="009B0897" w:rsidRDefault="009B0897">
      <w:pPr>
        <w:pStyle w:val="FootnoteText"/>
      </w:pPr>
      <w:r>
        <w:rPr>
          <w:rStyle w:val="FootnoteReference"/>
        </w:rPr>
        <w:footnoteRef/>
      </w:r>
      <w:r>
        <w:t xml:space="preserve"> </w:t>
      </w:r>
      <w:r w:rsidRPr="009B0897">
        <w:rPr>
          <w:i/>
        </w:rPr>
        <w:t>See</w:t>
      </w:r>
      <w:r>
        <w:t xml:space="preserve"> 47 C</w:t>
      </w:r>
      <w:r w:rsidR="008061B9">
        <w:t xml:space="preserve">FR </w:t>
      </w:r>
      <w:r>
        <w:t>§ 51.915(d)(i)-(viii</w:t>
      </w:r>
      <w:r w:rsidRPr="009B0897">
        <w:t>).  Transitional Access Service is defined as “terminating End Office Access Service that was subject to intrastate access rates as of December 31, 2011; terminating Tandem-Switched Transport Access Service that was subject to intrastate access rates as of December 31, 2011; and originating and terminating Dedicated Transport Access Service that was subject to intrastate access rates as of December 31, 2011.”  47 CFR §</w:t>
      </w:r>
      <w:r w:rsidR="003D7D8F">
        <w:t> </w:t>
      </w:r>
      <w:r w:rsidRPr="009B0897">
        <w:t>51.903(j).</w:t>
      </w:r>
    </w:p>
  </w:footnote>
  <w:footnote w:id="12">
    <w:p w14:paraId="0B20A920" w14:textId="77777777" w:rsidR="00E37B03" w:rsidRDefault="00E37B03">
      <w:pPr>
        <w:pStyle w:val="FootnoteText"/>
      </w:pPr>
      <w:r>
        <w:rPr>
          <w:rStyle w:val="FootnoteReference"/>
        </w:rPr>
        <w:footnoteRef/>
      </w:r>
      <w:r w:rsidR="00B73DEF">
        <w:t xml:space="preserve"> </w:t>
      </w:r>
      <w:r w:rsidR="00B73DEF" w:rsidRPr="00B73DEF">
        <w:rPr>
          <w:i/>
        </w:rPr>
        <w:t>Id</w:t>
      </w:r>
      <w:r w:rsidR="00B73DEF">
        <w:t>.</w:t>
      </w:r>
      <w:r>
        <w:t xml:space="preserve"> § 51.907(b)(2)</w:t>
      </w:r>
      <w:r w:rsidR="00131F55">
        <w:t>(i)-(ii).</w:t>
      </w:r>
    </w:p>
  </w:footnote>
  <w:footnote w:id="13">
    <w:p w14:paraId="7F04EA17" w14:textId="27AA15C0" w:rsidR="00FA17A8" w:rsidRDefault="00FA17A8">
      <w:pPr>
        <w:pStyle w:val="FootnoteText"/>
      </w:pPr>
      <w:r>
        <w:rPr>
          <w:rStyle w:val="FootnoteReference"/>
        </w:rPr>
        <w:footnoteRef/>
      </w:r>
      <w:r>
        <w:t xml:space="preserve"> The rules require that each component of the Eligible Recovery calculation be multiplied by the Price Cap Carrier Traffic Demand Factor</w:t>
      </w:r>
      <w:r w:rsidR="00A77C8F">
        <w:t>, which was 90 percent for the one-year period beginning July 1, 2012</w:t>
      </w:r>
      <w:r w:rsidR="004F1BE7">
        <w:t>,</w:t>
      </w:r>
      <w:r w:rsidR="00A77C8F">
        <w:t xml:space="preserve"> and is reduced by ten percent of its previous value in each subsequent ann</w:t>
      </w:r>
      <w:r w:rsidR="00B73DEF">
        <w:t xml:space="preserve">ual access tariff filing. </w:t>
      </w:r>
      <w:r w:rsidR="004F1BE7">
        <w:t xml:space="preserve"> </w:t>
      </w:r>
      <w:r w:rsidR="00B73DEF" w:rsidRPr="00B73DEF">
        <w:rPr>
          <w:i/>
        </w:rPr>
        <w:t>Id</w:t>
      </w:r>
      <w:r w:rsidR="00B73DEF">
        <w:t>.</w:t>
      </w:r>
      <w:r w:rsidR="00A77C8F">
        <w:t xml:space="preserve"> § 51.915(b)(10).  </w:t>
      </w:r>
      <w:r>
        <w:t>Once all of the comp</w:t>
      </w:r>
      <w:r w:rsidR="00DB70E0">
        <w:t>onents are calculated and multiplied individually by the Price Cap Carrier Traffic Demand Factor</w:t>
      </w:r>
      <w:r>
        <w:t xml:space="preserve">, the sum is multiplied by a base factor that varies depending on whether the price cap carrier participated in the </w:t>
      </w:r>
      <w:r w:rsidRPr="00360436">
        <w:rPr>
          <w:i/>
        </w:rPr>
        <w:t>CALLS</w:t>
      </w:r>
      <w:r>
        <w:t xml:space="preserve"> access reform plan.  </w:t>
      </w:r>
      <w:r w:rsidRPr="00A77C8F">
        <w:rPr>
          <w:i/>
        </w:rPr>
        <w:t>See</w:t>
      </w:r>
      <w:r w:rsidR="00B73DEF">
        <w:t xml:space="preserve"> </w:t>
      </w:r>
      <w:r w:rsidR="00B73DEF" w:rsidRPr="00B73DEF">
        <w:rPr>
          <w:i/>
        </w:rPr>
        <w:t>id</w:t>
      </w:r>
      <w:r w:rsidR="00B73DEF" w:rsidRPr="00BC70D5">
        <w:rPr>
          <w:i/>
        </w:rPr>
        <w:t>.</w:t>
      </w:r>
      <w:r w:rsidR="008061B9">
        <w:t xml:space="preserve"> </w:t>
      </w:r>
      <w:r>
        <w:t>§ 51.</w:t>
      </w:r>
      <w:r w:rsidR="00A77C8F">
        <w:t>915(b)(1), (2), (8</w:t>
      </w:r>
      <w:r w:rsidR="00601B48">
        <w:t>),</w:t>
      </w:r>
      <w:r w:rsidR="00A77C8F">
        <w:t xml:space="preserve"> and (9).</w:t>
      </w:r>
      <w:r>
        <w:t xml:space="preserve"> </w:t>
      </w:r>
    </w:p>
  </w:footnote>
  <w:footnote w:id="14">
    <w:p w14:paraId="7A9580C5" w14:textId="77777777" w:rsidR="001F317A" w:rsidRDefault="001F317A">
      <w:pPr>
        <w:pStyle w:val="FootnoteText"/>
      </w:pPr>
      <w:r>
        <w:rPr>
          <w:rStyle w:val="FootnoteReference"/>
        </w:rPr>
        <w:footnoteRef/>
      </w:r>
      <w:r>
        <w:t xml:space="preserve"> </w:t>
      </w:r>
      <w:r>
        <w:rPr>
          <w:szCs w:val="22"/>
        </w:rPr>
        <w:t>Although this amount is reduced each year by operation of the demand factor, it continues to impact the overall Eligible Recovery calculation.</w:t>
      </w:r>
      <w:r w:rsidR="005E3A82">
        <w:rPr>
          <w:szCs w:val="22"/>
        </w:rPr>
        <w:t xml:space="preserve">  </w:t>
      </w:r>
      <w:r w:rsidR="005E3A82" w:rsidRPr="005E3A82">
        <w:rPr>
          <w:i/>
          <w:szCs w:val="22"/>
        </w:rPr>
        <w:t>See</w:t>
      </w:r>
      <w:r w:rsidR="005E3A82">
        <w:rPr>
          <w:szCs w:val="22"/>
        </w:rPr>
        <w:t xml:space="preserve"> </w:t>
      </w:r>
      <w:r w:rsidR="00B73DEF" w:rsidRPr="00B73DEF">
        <w:rPr>
          <w:i/>
        </w:rPr>
        <w:t>id</w:t>
      </w:r>
      <w:r w:rsidR="00B73DEF" w:rsidRPr="00BC70D5">
        <w:rPr>
          <w:i/>
        </w:rPr>
        <w:t>.</w:t>
      </w:r>
      <w:r w:rsidR="005E3A82">
        <w:t xml:space="preserve"> § 51.915(d</w:t>
      </w:r>
      <w:r w:rsidR="005E3A82" w:rsidRPr="005E3A82">
        <w:t>).</w:t>
      </w:r>
    </w:p>
  </w:footnote>
  <w:footnote w:id="15">
    <w:p w14:paraId="5479EEB1" w14:textId="77777777" w:rsidR="00CB0A62" w:rsidRDefault="00CB0A62">
      <w:pPr>
        <w:pStyle w:val="FootnoteText"/>
      </w:pPr>
      <w:r>
        <w:rPr>
          <w:rStyle w:val="FootnoteReference"/>
        </w:rPr>
        <w:footnoteRef/>
      </w:r>
      <w:r>
        <w:t xml:space="preserve"> </w:t>
      </w:r>
      <w:r w:rsidR="00771AE3" w:rsidRPr="00771AE3">
        <w:rPr>
          <w:i/>
        </w:rPr>
        <w:t>See</w:t>
      </w:r>
      <w:r w:rsidR="00771AE3">
        <w:t xml:space="preserve"> </w:t>
      </w:r>
      <w:r w:rsidR="00771AE3" w:rsidRPr="003E521F">
        <w:rPr>
          <w:i/>
        </w:rPr>
        <w:t>USF/ICC Transformation Order</w:t>
      </w:r>
      <w:r w:rsidR="00771AE3">
        <w:t>, 26 FCC Rcd at</w:t>
      </w:r>
      <w:r>
        <w:t xml:space="preserve"> 17971, para. 880.</w:t>
      </w:r>
    </w:p>
  </w:footnote>
  <w:footnote w:id="16">
    <w:p w14:paraId="64C6D025" w14:textId="77777777" w:rsidR="006A0DA0" w:rsidRPr="003E521F" w:rsidRDefault="006A0DA0" w:rsidP="00F80182">
      <w:pPr>
        <w:pStyle w:val="FootnoteText"/>
      </w:pPr>
      <w:r w:rsidRPr="003E521F">
        <w:rPr>
          <w:rStyle w:val="FootnoteReference"/>
        </w:rPr>
        <w:footnoteRef/>
      </w:r>
      <w:r w:rsidRPr="003E521F">
        <w:t xml:space="preserve"> </w:t>
      </w:r>
      <w:r w:rsidRPr="003E521F">
        <w:rPr>
          <w:i/>
        </w:rPr>
        <w:t>See id.</w:t>
      </w:r>
      <w:r w:rsidRPr="003E521F">
        <w:t xml:space="preserve"> at</w:t>
      </w:r>
      <w:r w:rsidR="00837BDC">
        <w:t xml:space="preserve"> 17971-72, para. 880</w:t>
      </w:r>
      <w:r w:rsidR="00CC5531">
        <w:t>.</w:t>
      </w:r>
    </w:p>
  </w:footnote>
  <w:footnote w:id="17">
    <w:p w14:paraId="3A2BFF19" w14:textId="77777777" w:rsidR="00771AE3" w:rsidRPr="003E521F" w:rsidRDefault="00771AE3" w:rsidP="00771AE3">
      <w:pPr>
        <w:pStyle w:val="FootnoteText"/>
      </w:pPr>
      <w:r w:rsidRPr="003E521F">
        <w:rPr>
          <w:rStyle w:val="FootnoteReference"/>
        </w:rPr>
        <w:footnoteRef/>
      </w:r>
      <w:r w:rsidRPr="003E521F">
        <w:t xml:space="preserve"> </w:t>
      </w:r>
      <w:r w:rsidRPr="003E521F">
        <w:rPr>
          <w:i/>
        </w:rPr>
        <w:t>See generally</w:t>
      </w:r>
      <w:r w:rsidRPr="003E521F">
        <w:t xml:space="preserve"> </w:t>
      </w:r>
      <w:r w:rsidR="00360436">
        <w:rPr>
          <w:i/>
        </w:rPr>
        <w:t>id.</w:t>
      </w:r>
      <w:r>
        <w:t xml:space="preserve"> at 17971-77, paras. 879-90</w:t>
      </w:r>
      <w:r w:rsidRPr="003E521F">
        <w:t xml:space="preserve"> (describing the recov</w:t>
      </w:r>
      <w:r>
        <w:t>ery mechanism for price cap</w:t>
      </w:r>
      <w:r w:rsidRPr="003E521F">
        <w:t xml:space="preserve"> LECs).  </w:t>
      </w:r>
    </w:p>
  </w:footnote>
  <w:footnote w:id="18">
    <w:p w14:paraId="44E62BE3" w14:textId="77777777" w:rsidR="00771AE3" w:rsidRDefault="00771AE3">
      <w:pPr>
        <w:pStyle w:val="FootnoteText"/>
      </w:pPr>
      <w:r>
        <w:rPr>
          <w:rStyle w:val="FootnoteReference"/>
        </w:rPr>
        <w:footnoteRef/>
      </w:r>
      <w:r>
        <w:t xml:space="preserve"> </w:t>
      </w:r>
      <w:r w:rsidRPr="002714D6">
        <w:rPr>
          <w:i/>
        </w:rPr>
        <w:t>Id.</w:t>
      </w:r>
      <w:r>
        <w:t xml:space="preserve"> at 17977, para. 890.</w:t>
      </w:r>
    </w:p>
  </w:footnote>
  <w:footnote w:id="19">
    <w:p w14:paraId="4D2E7A15" w14:textId="477F812B" w:rsidR="00AD5D24" w:rsidRDefault="00AD5D24" w:rsidP="00AD5D24">
      <w:pPr>
        <w:pStyle w:val="FootnoteText"/>
      </w:pPr>
      <w:r>
        <w:rPr>
          <w:rStyle w:val="FootnoteReference"/>
        </w:rPr>
        <w:footnoteRef/>
      </w:r>
      <w:r>
        <w:t xml:space="preserve"> </w:t>
      </w:r>
      <w:r w:rsidR="005333BB" w:rsidRPr="003E521F">
        <w:rPr>
          <w:i/>
        </w:rPr>
        <w:t>See</w:t>
      </w:r>
      <w:r w:rsidR="005333BB" w:rsidRPr="003E521F">
        <w:t xml:space="preserve"> 47 CFR § 51.701(b)</w:t>
      </w:r>
      <w:r w:rsidR="005333BB" w:rsidRPr="009F2497">
        <w:t>.</w:t>
      </w:r>
    </w:p>
  </w:footnote>
  <w:footnote w:id="20">
    <w:p w14:paraId="0B0E5093" w14:textId="77777777" w:rsidR="009F56F9" w:rsidRPr="003E521F" w:rsidRDefault="009F56F9" w:rsidP="00F80182">
      <w:pPr>
        <w:pStyle w:val="FootnoteText"/>
      </w:pPr>
      <w:r w:rsidRPr="003E521F">
        <w:rPr>
          <w:rStyle w:val="FootnoteReference"/>
        </w:rPr>
        <w:footnoteRef/>
      </w:r>
      <w:r w:rsidRPr="003E521F">
        <w:t xml:space="preserve"> </w:t>
      </w:r>
      <w:r w:rsidRPr="003E521F">
        <w:rPr>
          <w:i/>
        </w:rPr>
        <w:t xml:space="preserve">See </w:t>
      </w:r>
      <w:r w:rsidR="004C2C0B">
        <w:rPr>
          <w:i/>
        </w:rPr>
        <w:t>USF/ICC Transformation Order</w:t>
      </w:r>
      <w:r w:rsidR="004C2C0B">
        <w:t>, 26 FCC Rcd</w:t>
      </w:r>
      <w:r w:rsidRPr="003E521F">
        <w:t xml:space="preserve"> at 18042, para. 1006.</w:t>
      </w:r>
    </w:p>
  </w:footnote>
  <w:footnote w:id="21">
    <w:p w14:paraId="3F35BBD1" w14:textId="77777777" w:rsidR="00E426C9" w:rsidRPr="003E521F" w:rsidRDefault="00E426C9" w:rsidP="00F80182">
      <w:pPr>
        <w:pStyle w:val="FootnoteText"/>
      </w:pPr>
      <w:r w:rsidRPr="003E521F">
        <w:rPr>
          <w:rStyle w:val="FootnoteReference"/>
        </w:rPr>
        <w:footnoteRef/>
      </w:r>
      <w:r w:rsidRPr="003E521F">
        <w:t xml:space="preserve"> </w:t>
      </w:r>
      <w:r w:rsidRPr="00D433E9">
        <w:t xml:space="preserve">By doing so, Halo not only attempted to disguise traffic otherwise subject to access charges as subject to reciprocal compensation, but also attempted to avoid paying </w:t>
      </w:r>
      <w:r w:rsidR="003D3587" w:rsidRPr="001A7380">
        <w:t>compensation for traffic terminated by the LECs</w:t>
      </w:r>
      <w:r w:rsidRPr="001A7380">
        <w:t xml:space="preserve">. </w:t>
      </w:r>
      <w:r w:rsidR="00360436">
        <w:rPr>
          <w:i/>
        </w:rPr>
        <w:t xml:space="preserve"> </w:t>
      </w:r>
      <w:r w:rsidR="003D3587" w:rsidRPr="001A7380">
        <w:t xml:space="preserve"> </w:t>
      </w:r>
      <w:r w:rsidR="00360436" w:rsidRPr="00360436">
        <w:rPr>
          <w:i/>
        </w:rPr>
        <w:t>See</w:t>
      </w:r>
      <w:r w:rsidR="00360436">
        <w:t xml:space="preserve"> </w:t>
      </w:r>
      <w:r w:rsidR="003D3587" w:rsidRPr="001A7380">
        <w:t>Petition at</w:t>
      </w:r>
      <w:r w:rsidR="002714D6" w:rsidRPr="001A7380">
        <w:t xml:space="preserve"> 6</w:t>
      </w:r>
      <w:r w:rsidR="003D3587" w:rsidRPr="001A7380">
        <w:t xml:space="preserve"> (stating that Halo </w:t>
      </w:r>
      <w:r w:rsidR="003D7D8F" w:rsidRPr="001A7380">
        <w:t>made only “very limited partial payments” for</w:t>
      </w:r>
      <w:r w:rsidR="002714D6" w:rsidRPr="001A7380">
        <w:t xml:space="preserve"> ICC charges).</w:t>
      </w:r>
    </w:p>
  </w:footnote>
  <w:footnote w:id="22">
    <w:p w14:paraId="0B732568" w14:textId="46EFEA60" w:rsidR="00A140CA" w:rsidRDefault="00A140CA">
      <w:pPr>
        <w:pStyle w:val="FootnoteText"/>
      </w:pPr>
      <w:r>
        <w:rPr>
          <w:rStyle w:val="FootnoteReference"/>
        </w:rPr>
        <w:footnoteRef/>
      </w:r>
      <w:r w:rsidR="00B73DEF">
        <w:t xml:space="preserve"> </w:t>
      </w:r>
      <w:r w:rsidR="00B73DEF" w:rsidRPr="00B73DEF">
        <w:rPr>
          <w:i/>
        </w:rPr>
        <w:t>Id</w:t>
      </w:r>
      <w:r w:rsidR="00B73DEF">
        <w:t>.</w:t>
      </w:r>
      <w:r>
        <w:t xml:space="preserve"> at 6-7.  The Halo bankruptcy case was converted to a Chapter 7 (liquidation)</w:t>
      </w:r>
      <w:r w:rsidR="007C0C63">
        <w:t xml:space="preserve"> case, was fully administered, and was terminated by Order of the Bankruptcy Court on January 4, 2016.  </w:t>
      </w:r>
      <w:r w:rsidR="007C0C63" w:rsidRPr="00AB4C3F">
        <w:rPr>
          <w:i/>
        </w:rPr>
        <w:t xml:space="preserve">See </w:t>
      </w:r>
      <w:r w:rsidR="008B194D">
        <w:rPr>
          <w:i/>
        </w:rPr>
        <w:t>“</w:t>
      </w:r>
      <w:r w:rsidR="007C0C63">
        <w:t>Order Discharging Chapter 7 Trustee and Closing Chapter 7 Case</w:t>
      </w:r>
      <w:r w:rsidR="008B194D">
        <w:t>,”</w:t>
      </w:r>
      <w:r w:rsidR="002F5B6E">
        <w:t xml:space="preserve"> </w:t>
      </w:r>
      <w:r w:rsidR="008B194D">
        <w:t>filed on Jan. 4, 2016 (In re Halo Wireless, Inc., Case No. 11-42464-BTR, Bankr. E.D. Tex.).</w:t>
      </w:r>
      <w:r w:rsidR="00105397">
        <w:t xml:space="preserve">  </w:t>
      </w:r>
      <w:r>
        <w:t xml:space="preserve">    </w:t>
      </w:r>
    </w:p>
  </w:footnote>
  <w:footnote w:id="23">
    <w:p w14:paraId="5B6ED082" w14:textId="77777777" w:rsidR="00DA7E55" w:rsidRPr="003E521F" w:rsidRDefault="00DA7E55" w:rsidP="00DA7E55">
      <w:pPr>
        <w:pStyle w:val="FootnoteText"/>
      </w:pPr>
      <w:r w:rsidRPr="003E521F">
        <w:rPr>
          <w:rStyle w:val="FootnoteReference"/>
        </w:rPr>
        <w:footnoteRef/>
      </w:r>
      <w:r w:rsidRPr="003E521F">
        <w:t xml:space="preserve"> </w:t>
      </w:r>
      <w:r w:rsidRPr="003E521F">
        <w:rPr>
          <w:i/>
        </w:rPr>
        <w:t xml:space="preserve">See </w:t>
      </w:r>
      <w:r>
        <w:rPr>
          <w:i/>
        </w:rPr>
        <w:t>Halo Order</w:t>
      </w:r>
      <w:r w:rsidRPr="003E521F">
        <w:t xml:space="preserve">, 29 FCC Rcd </w:t>
      </w:r>
      <w:r>
        <w:t xml:space="preserve">at </w:t>
      </w:r>
      <w:r w:rsidRPr="003E521F">
        <w:t>9958</w:t>
      </w:r>
      <w:r>
        <w:t>, para. 2; 47 CFR § 51.917(b)(7).</w:t>
      </w:r>
    </w:p>
  </w:footnote>
  <w:footnote w:id="24">
    <w:p w14:paraId="4542013D" w14:textId="77777777" w:rsidR="00DA7E55" w:rsidRPr="00C36B26" w:rsidRDefault="00DA7E55" w:rsidP="00DA7E55">
      <w:pPr>
        <w:pStyle w:val="FootnoteText"/>
      </w:pPr>
      <w:r w:rsidRPr="003E521F">
        <w:rPr>
          <w:rStyle w:val="FootnoteReference"/>
        </w:rPr>
        <w:footnoteRef/>
      </w:r>
      <w:r w:rsidRPr="003E521F">
        <w:t xml:space="preserve"> </w:t>
      </w:r>
      <w:r w:rsidR="00B73DEF" w:rsidRPr="00B73DEF">
        <w:rPr>
          <w:i/>
        </w:rPr>
        <w:t>See</w:t>
      </w:r>
      <w:r w:rsidR="00B73DEF">
        <w:t xml:space="preserve"> </w:t>
      </w:r>
      <w:r>
        <w:rPr>
          <w:i/>
        </w:rPr>
        <w:t>Halo Order</w:t>
      </w:r>
      <w:r>
        <w:t>, 29 FCC Rcd at 9958, para. 2.</w:t>
      </w:r>
    </w:p>
  </w:footnote>
  <w:footnote w:id="25">
    <w:p w14:paraId="10365E39" w14:textId="77777777" w:rsidR="00DA7E55" w:rsidRPr="007821BC" w:rsidRDefault="00DA7E55" w:rsidP="00DA7E55">
      <w:pPr>
        <w:pStyle w:val="FootnoteText"/>
        <w:rPr>
          <w:i/>
        </w:rPr>
      </w:pPr>
      <w:r w:rsidRPr="003E521F">
        <w:rPr>
          <w:rStyle w:val="FootnoteReference"/>
        </w:rPr>
        <w:footnoteRef/>
      </w:r>
      <w:r w:rsidRPr="003E521F">
        <w:t xml:space="preserve"> </w:t>
      </w:r>
      <w:r>
        <w:rPr>
          <w:i/>
        </w:rPr>
        <w:t>Id.</w:t>
      </w:r>
    </w:p>
  </w:footnote>
  <w:footnote w:id="26">
    <w:p w14:paraId="10C97B1D" w14:textId="53E3EC7D" w:rsidR="00DA7E55" w:rsidRDefault="00DA7E55" w:rsidP="00DA7E55">
      <w:pPr>
        <w:pStyle w:val="FootnoteText"/>
      </w:pPr>
      <w:r>
        <w:rPr>
          <w:rStyle w:val="FootnoteReference"/>
        </w:rPr>
        <w:footnoteRef/>
      </w:r>
      <w:r>
        <w:t xml:space="preserve"> </w:t>
      </w:r>
      <w:r w:rsidRPr="003E521F">
        <w:rPr>
          <w:i/>
        </w:rPr>
        <w:t>See</w:t>
      </w:r>
      <w:r>
        <w:rPr>
          <w:i/>
        </w:rPr>
        <w:t xml:space="preserve"> generally Halo II Order</w:t>
      </w:r>
      <w:r>
        <w:t xml:space="preserve">; </w:t>
      </w:r>
      <w:r w:rsidRPr="00F67CA5">
        <w:rPr>
          <w:i/>
        </w:rPr>
        <w:t>Halo III Order</w:t>
      </w:r>
      <w:r>
        <w:t>.</w:t>
      </w:r>
    </w:p>
  </w:footnote>
  <w:footnote w:id="27">
    <w:p w14:paraId="1C84C92D" w14:textId="77777777" w:rsidR="002741B9" w:rsidRPr="003E521F" w:rsidRDefault="002741B9" w:rsidP="00F80182">
      <w:pPr>
        <w:pStyle w:val="FootnoteText"/>
        <w:rPr>
          <w:i/>
        </w:rPr>
      </w:pPr>
      <w:r w:rsidRPr="003E521F">
        <w:rPr>
          <w:rStyle w:val="FootnoteReference"/>
        </w:rPr>
        <w:footnoteRef/>
      </w:r>
      <w:r w:rsidRPr="003E521F">
        <w:rPr>
          <w:i/>
        </w:rPr>
        <w:t xml:space="preserve"> See</w:t>
      </w:r>
      <w:r w:rsidRPr="003E521F">
        <w:t xml:space="preserve"> Petition </w:t>
      </w:r>
      <w:r w:rsidR="002714D6">
        <w:t>at 5-7.</w:t>
      </w:r>
    </w:p>
  </w:footnote>
  <w:footnote w:id="28">
    <w:p w14:paraId="2D267B52" w14:textId="77777777" w:rsidR="00204246" w:rsidRDefault="00204246">
      <w:pPr>
        <w:pStyle w:val="FootnoteText"/>
      </w:pPr>
      <w:r>
        <w:rPr>
          <w:rStyle w:val="FootnoteReference"/>
        </w:rPr>
        <w:footnoteRef/>
      </w:r>
      <w:r w:rsidR="00360436">
        <w:t xml:space="preserve"> </w:t>
      </w:r>
      <w:r w:rsidR="00360436" w:rsidRPr="00360436">
        <w:rPr>
          <w:i/>
        </w:rPr>
        <w:t>Id</w:t>
      </w:r>
      <w:r w:rsidR="00360436" w:rsidRPr="00BC70D5">
        <w:rPr>
          <w:i/>
        </w:rPr>
        <w:t>.</w:t>
      </w:r>
      <w:r>
        <w:t xml:space="preserve"> at 4-5, 10.</w:t>
      </w:r>
    </w:p>
  </w:footnote>
  <w:footnote w:id="29">
    <w:p w14:paraId="3855C691" w14:textId="77777777" w:rsidR="00A5493B" w:rsidRDefault="00A5493B" w:rsidP="00A5493B">
      <w:pPr>
        <w:pStyle w:val="FootnoteText"/>
      </w:pPr>
      <w:r>
        <w:rPr>
          <w:rStyle w:val="FootnoteReference"/>
        </w:rPr>
        <w:footnoteRef/>
      </w:r>
      <w:r>
        <w:t xml:space="preserve"> </w:t>
      </w:r>
      <w:r w:rsidRPr="004B672D">
        <w:rPr>
          <w:i/>
        </w:rPr>
        <w:t>See</w:t>
      </w:r>
      <w:r>
        <w:t xml:space="preserve"> </w:t>
      </w:r>
      <w:r w:rsidRPr="00360436">
        <w:rPr>
          <w:i/>
        </w:rPr>
        <w:t>id</w:t>
      </w:r>
      <w:r w:rsidRPr="00BC70D5">
        <w:rPr>
          <w:i/>
        </w:rPr>
        <w:t>.</w:t>
      </w:r>
      <w:r>
        <w:t xml:space="preserve"> at 1-4.</w:t>
      </w:r>
    </w:p>
  </w:footnote>
  <w:footnote w:id="30">
    <w:p w14:paraId="10C577D0" w14:textId="284FE301" w:rsidR="0078587E" w:rsidRDefault="0078587E" w:rsidP="0078587E">
      <w:pPr>
        <w:pStyle w:val="FootnoteText"/>
      </w:pPr>
      <w:r>
        <w:rPr>
          <w:rStyle w:val="FootnoteReference"/>
        </w:rPr>
        <w:footnoteRef/>
      </w:r>
      <w:r>
        <w:t xml:space="preserve"> </w:t>
      </w:r>
      <w:r w:rsidRPr="00BC70D5">
        <w:rPr>
          <w:i/>
        </w:rPr>
        <w:t>Wireline Competition Bureau Seeks Comment on Windstream Petition for Limited Waiver of the Commission’s Intercarrier Compensation Revenue Recovery Rules for Price Cap Carriers</w:t>
      </w:r>
      <w:r>
        <w:t xml:space="preserve">, CC Docket No. 01-92, WC Docket No. 10-90, Public Notice, 30 FCC Rcd 10145 (WCB 2015).  </w:t>
      </w:r>
    </w:p>
  </w:footnote>
  <w:footnote w:id="31">
    <w:p w14:paraId="4DAF70FB" w14:textId="77777777" w:rsidR="00A5493B" w:rsidRPr="003E521F" w:rsidRDefault="00A5493B" w:rsidP="00A5493B">
      <w:pPr>
        <w:pStyle w:val="FootnoteText"/>
      </w:pPr>
      <w:r w:rsidRPr="003E521F">
        <w:rPr>
          <w:rStyle w:val="FootnoteReference"/>
        </w:rPr>
        <w:footnoteRef/>
      </w:r>
      <w:r>
        <w:t xml:space="preserve"> </w:t>
      </w:r>
      <w:r w:rsidRPr="006D5624">
        <w:rPr>
          <w:i/>
        </w:rPr>
        <w:t>See</w:t>
      </w:r>
      <w:r w:rsidR="00B73DEF">
        <w:t xml:space="preserve"> USTelecom</w:t>
      </w:r>
      <w:r>
        <w:t xml:space="preserve"> Comments</w:t>
      </w:r>
      <w:r w:rsidRPr="006D5624">
        <w:t>.</w:t>
      </w:r>
    </w:p>
  </w:footnote>
  <w:footnote w:id="32">
    <w:p w14:paraId="5E8E31E3" w14:textId="4615E53F" w:rsidR="001A2817" w:rsidRDefault="001A2817" w:rsidP="001A2817">
      <w:pPr>
        <w:pStyle w:val="FootnoteText"/>
      </w:pPr>
      <w:r>
        <w:rPr>
          <w:rStyle w:val="FootnoteReference"/>
        </w:rPr>
        <w:footnoteRef/>
      </w:r>
      <w:r>
        <w:rPr>
          <w:snapToGrid w:val="0"/>
        </w:rPr>
        <w:t xml:space="preserve"> </w:t>
      </w:r>
      <w:r w:rsidRPr="00A2530C">
        <w:rPr>
          <w:i/>
          <w:snapToGrid w:val="0"/>
        </w:rPr>
        <w:t>See generally Halo Order</w:t>
      </w:r>
      <w:r>
        <w:rPr>
          <w:snapToGrid w:val="0"/>
        </w:rPr>
        <w:t xml:space="preserve">; </w:t>
      </w:r>
      <w:r>
        <w:rPr>
          <w:i/>
        </w:rPr>
        <w:t>Halo II Order</w:t>
      </w:r>
      <w:r>
        <w:t>;</w:t>
      </w:r>
      <w:r w:rsidRPr="00F67CA5">
        <w:rPr>
          <w:i/>
        </w:rPr>
        <w:t xml:space="preserve"> Halo III Order</w:t>
      </w:r>
      <w:r>
        <w:t>.</w:t>
      </w:r>
    </w:p>
  </w:footnote>
  <w:footnote w:id="33">
    <w:p w14:paraId="101CB01A" w14:textId="51087F3F" w:rsidR="001A2817" w:rsidRDefault="001A2817" w:rsidP="001A2817">
      <w:pPr>
        <w:pStyle w:val="FootnoteText"/>
      </w:pPr>
      <w:r>
        <w:rPr>
          <w:rStyle w:val="FootnoteReference"/>
        </w:rPr>
        <w:footnoteRef/>
      </w:r>
      <w:r>
        <w:t xml:space="preserve"> </w:t>
      </w:r>
      <w:r w:rsidRPr="00202B55">
        <w:rPr>
          <w:i/>
        </w:rPr>
        <w:t>See</w:t>
      </w:r>
      <w:r w:rsidR="00360436">
        <w:t xml:space="preserve"> </w:t>
      </w:r>
      <w:r>
        <w:t>Petition at 1-5; 47 CFR § 51.915(c), (d).</w:t>
      </w:r>
    </w:p>
  </w:footnote>
  <w:footnote w:id="34">
    <w:p w14:paraId="379C98BB" w14:textId="77777777" w:rsidR="001A2817" w:rsidRPr="003E521F" w:rsidRDefault="001A2817" w:rsidP="001A2817">
      <w:pPr>
        <w:pStyle w:val="FootnoteText"/>
      </w:pPr>
      <w:r w:rsidRPr="003E521F">
        <w:rPr>
          <w:rStyle w:val="FootnoteReference"/>
        </w:rPr>
        <w:footnoteRef/>
      </w:r>
      <w:r w:rsidRPr="003E521F">
        <w:t xml:space="preserve"> </w:t>
      </w:r>
      <w:r w:rsidRPr="003E521F">
        <w:rPr>
          <w:i/>
        </w:rPr>
        <w:t>Halo Order</w:t>
      </w:r>
      <w:r>
        <w:t xml:space="preserve">, </w:t>
      </w:r>
      <w:r w:rsidRPr="003E521F">
        <w:t xml:space="preserve">29 FCC Rcd </w:t>
      </w:r>
      <w:r>
        <w:t xml:space="preserve">at </w:t>
      </w:r>
      <w:r w:rsidRPr="003E521F">
        <w:t>9958</w:t>
      </w:r>
      <w:r>
        <w:t>,</w:t>
      </w:r>
      <w:r w:rsidRPr="003E521F">
        <w:t xml:space="preserve"> para. 2</w:t>
      </w:r>
      <w:r w:rsidR="00360436">
        <w:t>.</w:t>
      </w:r>
    </w:p>
  </w:footnote>
  <w:footnote w:id="35">
    <w:p w14:paraId="0D9C1C1F" w14:textId="4E067A2A" w:rsidR="002741B9" w:rsidRPr="003E521F" w:rsidRDefault="002741B9" w:rsidP="00F80182">
      <w:pPr>
        <w:pStyle w:val="FootnoteText"/>
      </w:pPr>
      <w:r w:rsidRPr="003E521F">
        <w:rPr>
          <w:rStyle w:val="FootnoteReference"/>
        </w:rPr>
        <w:footnoteRef/>
      </w:r>
      <w:r w:rsidR="006467FE">
        <w:t xml:space="preserve"> 47 CFR</w:t>
      </w:r>
      <w:r w:rsidRPr="003E521F">
        <w:t xml:space="preserve"> § 1.3; </w:t>
      </w:r>
      <w:r w:rsidR="006467FE" w:rsidRPr="006467FE">
        <w:rPr>
          <w:i/>
        </w:rPr>
        <w:t xml:space="preserve">Ne. Cellular Tel. Co. v. </w:t>
      </w:r>
      <w:r w:rsidR="009A0D48">
        <w:rPr>
          <w:i/>
        </w:rPr>
        <w:t>Fed. Commc’ns Comm’n</w:t>
      </w:r>
      <w:r w:rsidR="006467FE" w:rsidRPr="006467FE">
        <w:t>, 897 F.2d 1164, 1166 (D.C. Cir. 1990).</w:t>
      </w:r>
    </w:p>
  </w:footnote>
  <w:footnote w:id="36">
    <w:p w14:paraId="38EF911A" w14:textId="77777777" w:rsidR="002741B9" w:rsidRPr="003E521F" w:rsidRDefault="002741B9" w:rsidP="00F80182">
      <w:pPr>
        <w:pStyle w:val="FootnoteText"/>
      </w:pPr>
      <w:r w:rsidRPr="003E521F">
        <w:rPr>
          <w:rStyle w:val="FootnoteReference"/>
        </w:rPr>
        <w:footnoteRef/>
      </w:r>
      <w:r w:rsidRPr="003E521F">
        <w:t xml:space="preserve"> </w:t>
      </w:r>
      <w:r w:rsidR="006467FE">
        <w:rPr>
          <w:i/>
        </w:rPr>
        <w:t>Ne.</w:t>
      </w:r>
      <w:r w:rsidRPr="003E521F">
        <w:rPr>
          <w:i/>
        </w:rPr>
        <w:t xml:space="preserve"> Cellular</w:t>
      </w:r>
      <w:r w:rsidRPr="003E521F">
        <w:t>, 897 F.2d at 1166.</w:t>
      </w:r>
    </w:p>
  </w:footnote>
  <w:footnote w:id="37">
    <w:p w14:paraId="599E62FE" w14:textId="698974C6" w:rsidR="002741B9" w:rsidRPr="003E521F" w:rsidRDefault="002741B9" w:rsidP="00F80182">
      <w:pPr>
        <w:pStyle w:val="FootnoteText"/>
      </w:pPr>
      <w:r w:rsidRPr="003E521F">
        <w:rPr>
          <w:rStyle w:val="FootnoteReference"/>
        </w:rPr>
        <w:footnoteRef/>
      </w:r>
      <w:r w:rsidRPr="003E521F">
        <w:t xml:space="preserve"> </w:t>
      </w:r>
      <w:r w:rsidRPr="003E521F">
        <w:rPr>
          <w:i/>
        </w:rPr>
        <w:t xml:space="preserve">WAIT Radio v. </w:t>
      </w:r>
      <w:r w:rsidR="009A0D48">
        <w:rPr>
          <w:i/>
        </w:rPr>
        <w:t>Fed. Commc’ns Comm’n</w:t>
      </w:r>
      <w:r w:rsidRPr="003E521F">
        <w:t xml:space="preserve">, 418 F.2d 1153, 1159 (D.C. Cir. 1969); </w:t>
      </w:r>
      <w:r w:rsidR="009A0BF0">
        <w:rPr>
          <w:i/>
        </w:rPr>
        <w:t>Ne.</w:t>
      </w:r>
      <w:r w:rsidRPr="003E521F">
        <w:rPr>
          <w:i/>
        </w:rPr>
        <w:t xml:space="preserve"> Cellular</w:t>
      </w:r>
      <w:r w:rsidRPr="003E521F">
        <w:t>, 897 F.2d at 1166.</w:t>
      </w:r>
    </w:p>
  </w:footnote>
  <w:footnote w:id="38">
    <w:p w14:paraId="2C488E3B" w14:textId="77777777" w:rsidR="00457CA4" w:rsidRPr="003E521F" w:rsidRDefault="00457CA4" w:rsidP="00F80182">
      <w:pPr>
        <w:pStyle w:val="FootnoteText"/>
      </w:pPr>
      <w:r w:rsidRPr="003E521F">
        <w:rPr>
          <w:rStyle w:val="FootnoteReference"/>
        </w:rPr>
        <w:footnoteRef/>
      </w:r>
      <w:r w:rsidRPr="003E521F">
        <w:t xml:space="preserve"> </w:t>
      </w:r>
      <w:r w:rsidRPr="003E521F">
        <w:rPr>
          <w:i/>
        </w:rPr>
        <w:t>See</w:t>
      </w:r>
      <w:r w:rsidRPr="003E521F">
        <w:t xml:space="preserve"> </w:t>
      </w:r>
      <w:r w:rsidR="00832E78" w:rsidRPr="003E521F">
        <w:rPr>
          <w:i/>
        </w:rPr>
        <w:t>USF/ICC</w:t>
      </w:r>
      <w:r w:rsidR="00832E78" w:rsidRPr="003E521F">
        <w:t xml:space="preserve"> </w:t>
      </w:r>
      <w:r w:rsidRPr="003E521F">
        <w:rPr>
          <w:i/>
        </w:rPr>
        <w:t>Transformation Order</w:t>
      </w:r>
      <w:r w:rsidRPr="003E521F">
        <w:t>, 26 FCC Rcd at 17982, para. 898 n.1745.</w:t>
      </w:r>
    </w:p>
  </w:footnote>
  <w:footnote w:id="39">
    <w:p w14:paraId="76852CBF" w14:textId="77777777" w:rsidR="00457CA4" w:rsidRPr="003E521F" w:rsidRDefault="00457CA4" w:rsidP="00F80182">
      <w:pPr>
        <w:pStyle w:val="FootnoteText"/>
      </w:pPr>
      <w:r w:rsidRPr="003E521F">
        <w:rPr>
          <w:rStyle w:val="FootnoteReference"/>
        </w:rPr>
        <w:footnoteRef/>
      </w:r>
      <w:r w:rsidRPr="003E521F">
        <w:t xml:space="preserve"> </w:t>
      </w:r>
      <w:r w:rsidRPr="003E521F">
        <w:rPr>
          <w:i/>
        </w:rPr>
        <w:t>Id.</w:t>
      </w:r>
    </w:p>
  </w:footnote>
  <w:footnote w:id="40">
    <w:p w14:paraId="6E1287E1" w14:textId="77777777" w:rsidR="00C26591" w:rsidRPr="003E521F" w:rsidRDefault="00C26591" w:rsidP="00F80182">
      <w:pPr>
        <w:pStyle w:val="FootnoteText"/>
      </w:pPr>
      <w:r w:rsidRPr="003E521F">
        <w:rPr>
          <w:rStyle w:val="FootnoteReference"/>
        </w:rPr>
        <w:footnoteRef/>
      </w:r>
      <w:r w:rsidRPr="003E521F">
        <w:t xml:space="preserve"> The “ICC recovery mechanism adopted in the </w:t>
      </w:r>
      <w:r w:rsidR="00D80827">
        <w:t>[</w:t>
      </w:r>
      <w:r w:rsidR="00456F02" w:rsidRPr="003E521F">
        <w:rPr>
          <w:i/>
        </w:rPr>
        <w:t>USF/ICC</w:t>
      </w:r>
      <w:r w:rsidR="00D80827">
        <w:t>]</w:t>
      </w:r>
      <w:r w:rsidR="00456F02" w:rsidRPr="003E521F">
        <w:rPr>
          <w:i/>
        </w:rPr>
        <w:t xml:space="preserve"> </w:t>
      </w:r>
      <w:r w:rsidRPr="003E521F">
        <w:rPr>
          <w:i/>
        </w:rPr>
        <w:t>Transformation Order</w:t>
      </w:r>
      <w:r w:rsidRPr="003E521F">
        <w:t xml:space="preserve"> was designed, among other things, to provide predictability to incumbent LECs that had been receiving implicit ICC subsidies and to mitigate marketplace disruption during the ICC reform transition.”</w:t>
      </w:r>
      <w:r w:rsidR="0029612F" w:rsidRPr="003E521F">
        <w:t xml:space="preserve">  </w:t>
      </w:r>
      <w:r w:rsidR="0029612F" w:rsidRPr="003E521F">
        <w:rPr>
          <w:i/>
        </w:rPr>
        <w:t>Halo Order</w:t>
      </w:r>
      <w:r w:rsidR="000F7DA5">
        <w:t xml:space="preserve">, </w:t>
      </w:r>
      <w:r w:rsidR="000F7DA5" w:rsidRPr="002E21B8">
        <w:t>29</w:t>
      </w:r>
      <w:r w:rsidR="000F7DA5" w:rsidRPr="003E521F">
        <w:t xml:space="preserve"> FCC Rcd </w:t>
      </w:r>
      <w:r w:rsidR="000F7DA5">
        <w:t>at 9963-64,</w:t>
      </w:r>
      <w:r w:rsidR="000F7DA5" w:rsidRPr="003E521F">
        <w:t xml:space="preserve"> </w:t>
      </w:r>
      <w:r w:rsidR="0029612F" w:rsidRPr="003E521F">
        <w:t>para. 17</w:t>
      </w:r>
      <w:r w:rsidR="0029612F" w:rsidRPr="003E521F">
        <w:rPr>
          <w:i/>
        </w:rPr>
        <w:t xml:space="preserve"> </w:t>
      </w:r>
      <w:r w:rsidR="00D80827" w:rsidRPr="006467FE">
        <w:t>(</w:t>
      </w:r>
      <w:r w:rsidR="00D80827">
        <w:t>ci</w:t>
      </w:r>
      <w:r w:rsidR="0029612F" w:rsidRPr="003E521F">
        <w:t xml:space="preserve">ting </w:t>
      </w:r>
      <w:r w:rsidR="00456F02" w:rsidRPr="003E521F">
        <w:rPr>
          <w:i/>
        </w:rPr>
        <w:t>USF/ICC</w:t>
      </w:r>
      <w:r w:rsidR="00456F02" w:rsidRPr="003E521F">
        <w:t xml:space="preserve"> </w:t>
      </w:r>
      <w:r w:rsidR="0029612F" w:rsidRPr="003E521F">
        <w:rPr>
          <w:i/>
        </w:rPr>
        <w:t>Transformation Order</w:t>
      </w:r>
      <w:r w:rsidR="0029612F" w:rsidRPr="003E521F">
        <w:t>, 26 FCC Rcd at 17962, para. 858</w:t>
      </w:r>
      <w:r w:rsidR="00D80827">
        <w:t>)</w:t>
      </w:r>
      <w:r w:rsidR="0029612F" w:rsidRPr="003E521F">
        <w:t>.</w:t>
      </w:r>
    </w:p>
  </w:footnote>
  <w:footnote w:id="41">
    <w:p w14:paraId="57F3C38A" w14:textId="77777777" w:rsidR="00482DD9" w:rsidRPr="003E521F" w:rsidRDefault="00482DD9" w:rsidP="00F80182">
      <w:pPr>
        <w:pStyle w:val="FootnoteText"/>
      </w:pPr>
      <w:r w:rsidRPr="003E521F">
        <w:rPr>
          <w:rStyle w:val="FootnoteReference"/>
        </w:rPr>
        <w:footnoteRef/>
      </w:r>
      <w:r w:rsidRPr="003E521F">
        <w:t xml:space="preserve"> </w:t>
      </w:r>
      <w:r w:rsidRPr="003E521F">
        <w:rPr>
          <w:i/>
        </w:rPr>
        <w:t>Id</w:t>
      </w:r>
      <w:r w:rsidRPr="00BC70D5">
        <w:rPr>
          <w:i/>
        </w:rPr>
        <w:t>.</w:t>
      </w:r>
    </w:p>
  </w:footnote>
  <w:footnote w:id="42">
    <w:p w14:paraId="3DA16843" w14:textId="77777777" w:rsidR="002741B9" w:rsidRPr="003E521F" w:rsidRDefault="002741B9" w:rsidP="00F80182">
      <w:pPr>
        <w:pStyle w:val="FootnoteText"/>
      </w:pPr>
      <w:r w:rsidRPr="003E521F">
        <w:rPr>
          <w:rStyle w:val="FootnoteReference"/>
        </w:rPr>
        <w:footnoteRef/>
      </w:r>
      <w:r w:rsidRPr="003E521F">
        <w:t xml:space="preserve"> </w:t>
      </w:r>
      <w:r w:rsidRPr="003E521F">
        <w:rPr>
          <w:i/>
        </w:rPr>
        <w:t>Id.</w:t>
      </w:r>
    </w:p>
  </w:footnote>
  <w:footnote w:id="43">
    <w:p w14:paraId="7429B817" w14:textId="5951AFC3" w:rsidR="00FA2263" w:rsidRPr="003E521F" w:rsidRDefault="00FA2263" w:rsidP="00FA2263">
      <w:pPr>
        <w:pStyle w:val="FootnoteText"/>
      </w:pPr>
      <w:r w:rsidRPr="003E521F">
        <w:rPr>
          <w:rStyle w:val="FootnoteReference"/>
        </w:rPr>
        <w:footnoteRef/>
      </w:r>
      <w:r w:rsidRPr="003E521F">
        <w:t xml:space="preserve"> </w:t>
      </w:r>
      <w:r w:rsidRPr="003E521F">
        <w:rPr>
          <w:i/>
        </w:rPr>
        <w:t>See</w:t>
      </w:r>
      <w:r w:rsidRPr="003E521F">
        <w:t xml:space="preserve"> </w:t>
      </w:r>
      <w:r w:rsidRPr="00243F8F">
        <w:t>Petition</w:t>
      </w:r>
      <w:r>
        <w:t xml:space="preserve"> at 5-7.</w:t>
      </w:r>
    </w:p>
  </w:footnote>
  <w:footnote w:id="44">
    <w:p w14:paraId="2818860C" w14:textId="2BD83E99" w:rsidR="00865E7F" w:rsidRPr="00BC70D5" w:rsidRDefault="00BB749D" w:rsidP="00865E7F">
      <w:pPr>
        <w:rPr>
          <w:i/>
          <w:sz w:val="20"/>
        </w:rPr>
      </w:pPr>
      <w:r>
        <w:rPr>
          <w:rStyle w:val="FootnoteReference"/>
        </w:rPr>
        <w:footnoteRef/>
      </w:r>
      <w:r>
        <w:t xml:space="preserve"> </w:t>
      </w:r>
      <w:r w:rsidR="00865E7F" w:rsidRPr="00BC70D5">
        <w:rPr>
          <w:i/>
          <w:sz w:val="20"/>
        </w:rPr>
        <w:t xml:space="preserve">See </w:t>
      </w:r>
      <w:r w:rsidR="00865E7F" w:rsidRPr="00BC70D5">
        <w:rPr>
          <w:sz w:val="20"/>
        </w:rPr>
        <w:t xml:space="preserve">Order Discharging Chapter 7 Trustee and Closing Chapter 7 Case, </w:t>
      </w:r>
      <w:r w:rsidR="00865E7F" w:rsidRPr="00BC70D5">
        <w:rPr>
          <w:i/>
          <w:sz w:val="20"/>
        </w:rPr>
        <w:t>In re Halo Wireless, Inc.</w:t>
      </w:r>
      <w:r w:rsidR="00865E7F" w:rsidRPr="00BC70D5">
        <w:rPr>
          <w:sz w:val="20"/>
        </w:rPr>
        <w:t xml:space="preserve">, No. 11-42464 (Bankr. E.D. Tex. Jan. 4, 2016), ECF No. 1139.  According to the final report of the bankruptcy trustee, the Windstream entities received payment on a portion of their claims for administrative expenses, but no further amounts for claims filed as unsecured creditors.  </w:t>
      </w:r>
      <w:r w:rsidR="00865E7F" w:rsidRPr="00BC70D5">
        <w:rPr>
          <w:i/>
          <w:sz w:val="20"/>
        </w:rPr>
        <w:t>See</w:t>
      </w:r>
      <w:r w:rsidR="00865E7F" w:rsidRPr="00BC70D5">
        <w:rPr>
          <w:sz w:val="20"/>
        </w:rPr>
        <w:t xml:space="preserve"> Final Account, Certification that the Estate has been Fully Administered and Application of Trustee to be Discharged, </w:t>
      </w:r>
      <w:r w:rsidR="00865E7F" w:rsidRPr="00BC70D5">
        <w:rPr>
          <w:i/>
          <w:sz w:val="20"/>
        </w:rPr>
        <w:t>In re Halo Wireless, Inc.</w:t>
      </w:r>
      <w:r w:rsidR="00865E7F" w:rsidRPr="00BC70D5">
        <w:rPr>
          <w:sz w:val="20"/>
        </w:rPr>
        <w:t xml:space="preserve">, No. 11-42464 (Bankr. E.D. Tex. Dec. 22, 2015), ECF No. 1138. </w:t>
      </w:r>
    </w:p>
    <w:p w14:paraId="7F883DD1" w14:textId="181648AF" w:rsidR="00BB749D" w:rsidRDefault="00BB749D">
      <w:pPr>
        <w:pStyle w:val="FootnoteText"/>
      </w:pPr>
    </w:p>
  </w:footnote>
  <w:footnote w:id="45">
    <w:p w14:paraId="28B877AF" w14:textId="29EF28D5" w:rsidR="00FD24CB" w:rsidRPr="003E521F" w:rsidRDefault="00FD24CB" w:rsidP="00F80182">
      <w:pPr>
        <w:pStyle w:val="FootnoteText"/>
      </w:pPr>
      <w:r w:rsidRPr="003E521F">
        <w:rPr>
          <w:rStyle w:val="FootnoteReference"/>
        </w:rPr>
        <w:footnoteRef/>
      </w:r>
      <w:r w:rsidRPr="003E521F">
        <w:t xml:space="preserve"> </w:t>
      </w:r>
      <w:r w:rsidR="009752F8">
        <w:rPr>
          <w:szCs w:val="22"/>
        </w:rPr>
        <w:t>UST</w:t>
      </w:r>
      <w:r w:rsidR="00B622DD">
        <w:rPr>
          <w:szCs w:val="22"/>
        </w:rPr>
        <w:t>elecom</w:t>
      </w:r>
      <w:r w:rsidR="009752F8" w:rsidRPr="009C4D9B">
        <w:rPr>
          <w:szCs w:val="22"/>
        </w:rPr>
        <w:t xml:space="preserve">, the sole commenter, argues that, </w:t>
      </w:r>
      <w:r w:rsidR="009752F8">
        <w:rPr>
          <w:szCs w:val="22"/>
        </w:rPr>
        <w:t xml:space="preserve">at least </w:t>
      </w:r>
      <w:r w:rsidR="009752F8" w:rsidRPr="009C4D9B">
        <w:rPr>
          <w:szCs w:val="22"/>
        </w:rPr>
        <w:t xml:space="preserve">in the context of the Halo scheme, rate-of-return and price cap carriers are similarly situated and </w:t>
      </w:r>
      <w:r w:rsidR="009752F8">
        <w:rPr>
          <w:szCs w:val="22"/>
        </w:rPr>
        <w:t xml:space="preserve">both </w:t>
      </w:r>
      <w:r w:rsidR="009752F8" w:rsidRPr="009C4D9B">
        <w:rPr>
          <w:szCs w:val="22"/>
        </w:rPr>
        <w:t xml:space="preserve">should be able to include amounts billed to Halo in the </w:t>
      </w:r>
      <w:r w:rsidR="00F85BDC">
        <w:rPr>
          <w:szCs w:val="22"/>
        </w:rPr>
        <w:t>b</w:t>
      </w:r>
      <w:r w:rsidR="009752F8" w:rsidRPr="009C4D9B">
        <w:rPr>
          <w:szCs w:val="22"/>
        </w:rPr>
        <w:t>aseline</w:t>
      </w:r>
      <w:r w:rsidR="009752F8">
        <w:rPr>
          <w:szCs w:val="22"/>
        </w:rPr>
        <w:t xml:space="preserve"> </w:t>
      </w:r>
      <w:r w:rsidR="00F85BDC">
        <w:rPr>
          <w:szCs w:val="22"/>
        </w:rPr>
        <w:t xml:space="preserve">revenue </w:t>
      </w:r>
      <w:r w:rsidR="009752F8">
        <w:rPr>
          <w:szCs w:val="22"/>
        </w:rPr>
        <w:t>calculations</w:t>
      </w:r>
      <w:r w:rsidR="009752F8" w:rsidRPr="009C4D9B">
        <w:rPr>
          <w:szCs w:val="22"/>
        </w:rPr>
        <w:t xml:space="preserve">.  </w:t>
      </w:r>
      <w:r w:rsidR="009752F8">
        <w:rPr>
          <w:szCs w:val="22"/>
        </w:rPr>
        <w:t>UST</w:t>
      </w:r>
      <w:r w:rsidR="00B622DD">
        <w:rPr>
          <w:szCs w:val="22"/>
        </w:rPr>
        <w:t>elecom</w:t>
      </w:r>
      <w:r w:rsidR="009752F8">
        <w:rPr>
          <w:szCs w:val="22"/>
        </w:rPr>
        <w:t xml:space="preserve"> notes</w:t>
      </w:r>
      <w:r w:rsidR="009752F8" w:rsidRPr="009C4D9B">
        <w:rPr>
          <w:szCs w:val="22"/>
        </w:rPr>
        <w:t xml:space="preserve"> that it would be inequitable to </w:t>
      </w:r>
      <w:r w:rsidR="009752F8">
        <w:rPr>
          <w:szCs w:val="22"/>
        </w:rPr>
        <w:t>disallow</w:t>
      </w:r>
      <w:r w:rsidR="009752F8" w:rsidRPr="009C4D9B">
        <w:rPr>
          <w:szCs w:val="22"/>
        </w:rPr>
        <w:t xml:space="preserve"> Windstream from including the </w:t>
      </w:r>
      <w:r w:rsidR="009752F8">
        <w:rPr>
          <w:szCs w:val="22"/>
        </w:rPr>
        <w:t xml:space="preserve">uncollected </w:t>
      </w:r>
      <w:r w:rsidR="009752F8" w:rsidRPr="009C4D9B">
        <w:rPr>
          <w:szCs w:val="22"/>
        </w:rPr>
        <w:t>amounts in light of the Commission’s and Bureau’s prior orders</w:t>
      </w:r>
      <w:r w:rsidR="009752F8">
        <w:rPr>
          <w:szCs w:val="22"/>
        </w:rPr>
        <w:t xml:space="preserve">.  </w:t>
      </w:r>
      <w:r w:rsidRPr="003E521F">
        <w:rPr>
          <w:i/>
        </w:rPr>
        <w:t>See</w:t>
      </w:r>
      <w:r w:rsidRPr="003E521F">
        <w:t xml:space="preserve"> </w:t>
      </w:r>
      <w:r w:rsidR="005E3A82">
        <w:t>UST</w:t>
      </w:r>
      <w:r w:rsidR="00B622DD">
        <w:t>elecom</w:t>
      </w:r>
      <w:r w:rsidR="005E3A82">
        <w:t xml:space="preserve"> Comments</w:t>
      </w:r>
      <w:r w:rsidR="005E3A82" w:rsidRPr="003E521F">
        <w:t xml:space="preserve"> </w:t>
      </w:r>
      <w:r w:rsidRPr="003E521F">
        <w:t xml:space="preserve">at </w:t>
      </w:r>
      <w:r w:rsidR="00781D7F">
        <w:t>4-</w:t>
      </w:r>
      <w:r w:rsidRPr="003E521F">
        <w:t>6 (“Carriers should not suffer ongoing revenue losses due to Halo’s malfeasance, nor should unforeseen and unique circumstances due to Halo’s bankruptcy and liquidation prevent carriers from including thes</w:t>
      </w:r>
      <w:r w:rsidR="00C62B18">
        <w:t>e amounts in their Base Period R</w:t>
      </w:r>
      <w:r w:rsidRPr="003E521F">
        <w:t>evenues.”)</w:t>
      </w:r>
      <w:r w:rsidR="0033188D">
        <w:t>.</w:t>
      </w:r>
    </w:p>
  </w:footnote>
  <w:footnote w:id="46">
    <w:p w14:paraId="47D438AF" w14:textId="6D658FB1" w:rsidR="00113D91" w:rsidRDefault="00113D91" w:rsidP="00F80182">
      <w:pPr>
        <w:pStyle w:val="FootnoteText"/>
      </w:pPr>
      <w:r>
        <w:rPr>
          <w:rStyle w:val="FootnoteReference"/>
        </w:rPr>
        <w:footnoteRef/>
      </w:r>
      <w:r w:rsidR="002E011F">
        <w:t xml:space="preserve"> Thus,</w:t>
      </w:r>
      <w:r w:rsidR="00D234E9">
        <w:t xml:space="preserve"> Windstream</w:t>
      </w:r>
      <w:r>
        <w:t xml:space="preserve"> shall </w:t>
      </w:r>
      <w:r w:rsidR="0025151B">
        <w:t>cit</w:t>
      </w:r>
      <w:r>
        <w:t xml:space="preserve">e </w:t>
      </w:r>
      <w:r w:rsidR="0025151B">
        <w:t xml:space="preserve">to </w:t>
      </w:r>
      <w:r>
        <w:t>a finding of liability</w:t>
      </w:r>
      <w:r w:rsidR="0025151B">
        <w:t xml:space="preserve"> against Halo</w:t>
      </w:r>
      <w:r>
        <w:t xml:space="preserve"> for intrastate access revenues </w:t>
      </w:r>
      <w:r w:rsidR="0025151B">
        <w:t>for its requested study area</w:t>
      </w:r>
      <w:r w:rsidR="00D01EAF">
        <w:t>s</w:t>
      </w:r>
      <w:r>
        <w:t xml:space="preserve">. </w:t>
      </w:r>
    </w:p>
  </w:footnote>
  <w:footnote w:id="47">
    <w:p w14:paraId="338F6FAF" w14:textId="0B7BF43B" w:rsidR="00F7710A" w:rsidRPr="003E521F" w:rsidRDefault="00F7710A" w:rsidP="00F7710A">
      <w:pPr>
        <w:pStyle w:val="FootnoteText"/>
      </w:pPr>
      <w:r w:rsidRPr="003E521F">
        <w:rPr>
          <w:rStyle w:val="FootnoteReference"/>
        </w:rPr>
        <w:footnoteRef/>
      </w:r>
      <w:r w:rsidRPr="003E521F">
        <w:t xml:space="preserve"> </w:t>
      </w:r>
      <w:r w:rsidRPr="003E521F">
        <w:rPr>
          <w:i/>
        </w:rPr>
        <w:t>See</w:t>
      </w:r>
      <w:r>
        <w:t xml:space="preserve"> 47 CFR</w:t>
      </w:r>
      <w:r w:rsidR="00C62B18">
        <w:t xml:space="preserve"> § 51.915(e); </w:t>
      </w:r>
      <w:r w:rsidR="00C62B18" w:rsidRPr="00C62B18">
        <w:rPr>
          <w:i/>
        </w:rPr>
        <w:t>s</w:t>
      </w:r>
      <w:r w:rsidR="00466A4A" w:rsidRPr="00466A4A">
        <w:rPr>
          <w:i/>
        </w:rPr>
        <w:t>ee also</w:t>
      </w:r>
      <w:r w:rsidR="00466A4A">
        <w:t xml:space="preserve"> Petition at 10 (“[T]</w:t>
      </w:r>
      <w:r w:rsidR="00466A4A" w:rsidRPr="00466A4A">
        <w:t>he increase in eligible recovery resulting from such</w:t>
      </w:r>
      <w:r w:rsidR="00466A4A">
        <w:t xml:space="preserve"> </w:t>
      </w:r>
      <w:r w:rsidR="00466A4A" w:rsidRPr="00466A4A">
        <w:t xml:space="preserve">increase in Intrastate </w:t>
      </w:r>
      <w:r w:rsidR="00466A4A" w:rsidRPr="007C6A97">
        <w:t xml:space="preserve">Access Reduction would not affect pertinent ARCs but, rather, only CAF ICC Support receipts.”); </w:t>
      </w:r>
      <w:r w:rsidR="00466A4A" w:rsidRPr="007C6A97">
        <w:rPr>
          <w:i/>
        </w:rPr>
        <w:t>cf.</w:t>
      </w:r>
      <w:r w:rsidR="00466A4A" w:rsidRPr="007C6A97">
        <w:t xml:space="preserve"> </w:t>
      </w:r>
      <w:r w:rsidR="00466A4A" w:rsidRPr="007C6A97">
        <w:rPr>
          <w:i/>
        </w:rPr>
        <w:t>Halo III Order</w:t>
      </w:r>
      <w:r w:rsidR="00466A4A" w:rsidRPr="007C6A97">
        <w:t xml:space="preserve">, </w:t>
      </w:r>
      <w:r w:rsidR="008E43DB">
        <w:t>31 FCC Rcd at 13310-11</w:t>
      </w:r>
      <w:r w:rsidR="00466A4A" w:rsidRPr="007C6A97">
        <w:t xml:space="preserve">, paras. 19-23 (discussing waiver of the imputation requirement), </w:t>
      </w:r>
      <w:r w:rsidR="008E43DB" w:rsidRPr="008E43DB">
        <w:rPr>
          <w:i/>
        </w:rPr>
        <w:t xml:space="preserve">Connect America Fund; Developing a Unified Intercarrier Compensation Regime; </w:t>
      </w:r>
      <w:r w:rsidR="00C62B18" w:rsidRPr="00BC70D5">
        <w:rPr>
          <w:i/>
        </w:rPr>
        <w:t>Petitions for Waiver of Section 51.917 of the Commission’s Rules</w:t>
      </w:r>
      <w:r w:rsidR="00C62B18" w:rsidRPr="00C62B18">
        <w:t xml:space="preserve">, Order, </w:t>
      </w:r>
      <w:r w:rsidR="008E43DB">
        <w:t>31 FCC Rcd 12021, 12</w:t>
      </w:r>
      <w:r w:rsidR="00120015">
        <w:t>030-31</w:t>
      </w:r>
      <w:r w:rsidR="00543453">
        <w:t>, paras. 24-27</w:t>
      </w:r>
      <w:r w:rsidR="00C62B18" w:rsidRPr="00C62B18">
        <w:t xml:space="preserve"> </w:t>
      </w:r>
      <w:r w:rsidR="008E43DB">
        <w:t xml:space="preserve">(WCB 2016) </w:t>
      </w:r>
      <w:r w:rsidR="00C62B18">
        <w:t>(same).</w:t>
      </w:r>
    </w:p>
  </w:footnote>
  <w:footnote w:id="48">
    <w:p w14:paraId="20BC6BCF" w14:textId="30C30FD4" w:rsidR="002741B9" w:rsidRPr="003E521F" w:rsidRDefault="002741B9" w:rsidP="00F80182">
      <w:pPr>
        <w:autoSpaceDE w:val="0"/>
        <w:autoSpaceDN w:val="0"/>
        <w:adjustRightInd w:val="0"/>
        <w:spacing w:after="120"/>
        <w:rPr>
          <w:sz w:val="20"/>
        </w:rPr>
      </w:pPr>
      <w:r w:rsidRPr="003E521F">
        <w:rPr>
          <w:rStyle w:val="FootnoteReference"/>
        </w:rPr>
        <w:footnoteRef/>
      </w:r>
      <w:r w:rsidRPr="003E521F">
        <w:rPr>
          <w:sz w:val="20"/>
        </w:rPr>
        <w:t xml:space="preserve"> USAC plays a critical role in the day-to-day administration of universal service support mechanisms.  </w:t>
      </w:r>
      <w:r w:rsidRPr="003E521F">
        <w:rPr>
          <w:i/>
          <w:iCs/>
          <w:sz w:val="20"/>
        </w:rPr>
        <w:t>See, e.g.</w:t>
      </w:r>
      <w:r w:rsidRPr="00007A60">
        <w:rPr>
          <w:sz w:val="20"/>
        </w:rPr>
        <w:t xml:space="preserve">, </w:t>
      </w:r>
      <w:r w:rsidRPr="003E521F">
        <w:rPr>
          <w:i/>
          <w:iCs/>
          <w:sz w:val="20"/>
        </w:rPr>
        <w:t>Connect America Fund et al.</w:t>
      </w:r>
      <w:r w:rsidRPr="003E521F">
        <w:rPr>
          <w:iCs/>
          <w:sz w:val="20"/>
        </w:rPr>
        <w:t xml:space="preserve">, WC Docket No. </w:t>
      </w:r>
      <w:r w:rsidR="00F85BDC">
        <w:rPr>
          <w:iCs/>
          <w:sz w:val="20"/>
        </w:rPr>
        <w:t xml:space="preserve">10-90 </w:t>
      </w:r>
      <w:r w:rsidRPr="003E521F">
        <w:rPr>
          <w:iCs/>
          <w:sz w:val="20"/>
        </w:rPr>
        <w:t>et al., Notice of Proposed Rulemaking and Further Notice of Proposed Rulemaking,</w:t>
      </w:r>
      <w:r w:rsidRPr="003E521F">
        <w:rPr>
          <w:sz w:val="20"/>
        </w:rPr>
        <w:t xml:space="preserve"> 26 FCC Rcd 4554, 4595, para. 116 n.192</w:t>
      </w:r>
      <w:r w:rsidR="00F85BDC">
        <w:rPr>
          <w:sz w:val="20"/>
        </w:rPr>
        <w:t xml:space="preserve"> (2011)</w:t>
      </w:r>
      <w:r w:rsidRPr="003E521F">
        <w:rPr>
          <w:sz w:val="20"/>
        </w:rPr>
        <w:t>.</w:t>
      </w:r>
    </w:p>
  </w:footnote>
  <w:footnote w:id="49">
    <w:p w14:paraId="7780B8DD" w14:textId="2D553189" w:rsidR="001B53CA" w:rsidRPr="003E521F" w:rsidRDefault="001B53CA" w:rsidP="001B53CA">
      <w:pPr>
        <w:pStyle w:val="FootnoteText"/>
      </w:pPr>
      <w:r w:rsidRPr="003E521F">
        <w:rPr>
          <w:rStyle w:val="FootnoteReference"/>
        </w:rPr>
        <w:footnoteRef/>
      </w:r>
      <w:r w:rsidRPr="003E521F">
        <w:t xml:space="preserve"> If there is a subsequent court or state regulatory agency decision regarding the amount of damages for which Halo is liable, </w:t>
      </w:r>
      <w:r>
        <w:rPr>
          <w:szCs w:val="22"/>
        </w:rPr>
        <w:t>Windstream</w:t>
      </w:r>
      <w:r w:rsidRPr="00272315">
        <w:rPr>
          <w:szCs w:val="22"/>
        </w:rPr>
        <w:t xml:space="preserve"> </w:t>
      </w:r>
      <w:r w:rsidRPr="003E521F">
        <w:t xml:space="preserve">must notify the Commission and provide a copy of such decision within 30 days.  If appropriate, </w:t>
      </w:r>
      <w:r>
        <w:rPr>
          <w:szCs w:val="22"/>
        </w:rPr>
        <w:t>Windstream</w:t>
      </w:r>
      <w:r w:rsidRPr="00272315">
        <w:rPr>
          <w:szCs w:val="22"/>
        </w:rPr>
        <w:t xml:space="preserve"> </w:t>
      </w:r>
      <w:r w:rsidR="00D234E9">
        <w:t>would need to adjust its recovery</w:t>
      </w:r>
      <w:r w:rsidRPr="003E521F">
        <w:t xml:space="preserve"> calculations accordingly within the requir</w:t>
      </w:r>
      <w:r>
        <w:t xml:space="preserve">ements found in </w:t>
      </w:r>
      <w:r w:rsidR="00D6091A">
        <w:t xml:space="preserve">paragraphs </w:t>
      </w:r>
      <w:r w:rsidR="00440729">
        <w:t>16-18</w:t>
      </w:r>
      <w:r w:rsidRPr="007C6A97">
        <w:t xml:space="preserve"> of this Order</w:t>
      </w:r>
      <w:r w:rsidRPr="00F324F8">
        <w:t>.</w:t>
      </w:r>
    </w:p>
  </w:footnote>
  <w:footnote w:id="50">
    <w:p w14:paraId="2041003B" w14:textId="385A0DCA" w:rsidR="002741B9" w:rsidRPr="003E521F" w:rsidRDefault="002741B9" w:rsidP="00F80182">
      <w:pPr>
        <w:pStyle w:val="FootnoteText"/>
      </w:pPr>
      <w:r w:rsidRPr="003E521F">
        <w:rPr>
          <w:rStyle w:val="FootnoteReference"/>
        </w:rPr>
        <w:footnoteRef/>
      </w:r>
      <w:r w:rsidRPr="003E521F">
        <w:t xml:space="preserve"> </w:t>
      </w:r>
      <w:r w:rsidR="009E677E">
        <w:rPr>
          <w:szCs w:val="22"/>
        </w:rPr>
        <w:t>Windstream</w:t>
      </w:r>
      <w:r w:rsidR="009E677E" w:rsidRPr="00272315">
        <w:rPr>
          <w:szCs w:val="22"/>
        </w:rPr>
        <w:t xml:space="preserve"> </w:t>
      </w:r>
      <w:r w:rsidR="009E677E">
        <w:rPr>
          <w:szCs w:val="22"/>
        </w:rPr>
        <w:t xml:space="preserve">is </w:t>
      </w:r>
      <w:r w:rsidRPr="003E521F">
        <w:t xml:space="preserve">prohibited from including interest, late payment fees, collection fees, or attorney fees in </w:t>
      </w:r>
      <w:r w:rsidR="00140C1A">
        <w:t>its</w:t>
      </w:r>
      <w:r w:rsidRPr="003E521F">
        <w:t xml:space="preserve"> claims under this condition.  </w:t>
      </w:r>
      <w:r w:rsidRPr="003E521F">
        <w:rPr>
          <w:i/>
        </w:rPr>
        <w:t xml:space="preserve">See supra </w:t>
      </w:r>
      <w:r w:rsidRPr="00F324F8">
        <w:t xml:space="preserve">para. </w:t>
      </w:r>
      <w:r w:rsidR="00C40B5C">
        <w:t>6</w:t>
      </w:r>
      <w:r w:rsidRPr="00F324F8">
        <w:t>.</w:t>
      </w:r>
    </w:p>
  </w:footnote>
  <w:footnote w:id="51">
    <w:p w14:paraId="78B29A57" w14:textId="77777777" w:rsidR="002741B9" w:rsidRPr="003E521F" w:rsidRDefault="002741B9" w:rsidP="00F80182">
      <w:pPr>
        <w:pStyle w:val="FootnoteText"/>
      </w:pPr>
      <w:r w:rsidRPr="003E521F">
        <w:rPr>
          <w:rStyle w:val="FootnoteReference"/>
        </w:rPr>
        <w:footnoteRef/>
      </w:r>
      <w:r w:rsidRPr="003E521F">
        <w:t xml:space="preserve"> 47 CFR § 54.304(d).</w:t>
      </w:r>
    </w:p>
  </w:footnote>
  <w:footnote w:id="52">
    <w:p w14:paraId="76D803AC" w14:textId="77777777" w:rsidR="00D328F2" w:rsidRPr="00602DDB" w:rsidRDefault="00D328F2" w:rsidP="00F80182">
      <w:pPr>
        <w:pStyle w:val="FootnoteText"/>
        <w:rPr>
          <w:b/>
        </w:rPr>
      </w:pPr>
      <w:r w:rsidRPr="003E521F">
        <w:rPr>
          <w:rStyle w:val="FootnoteReference"/>
        </w:rPr>
        <w:footnoteRef/>
      </w:r>
      <w:r w:rsidRPr="003E521F">
        <w:t xml:space="preserve"> </w:t>
      </w:r>
      <w:r w:rsidRPr="003E521F">
        <w:rPr>
          <w:i/>
        </w:rPr>
        <w:t xml:space="preserve">See </w:t>
      </w:r>
      <w:r w:rsidR="00602DDB">
        <w:rPr>
          <w:i/>
        </w:rPr>
        <w:t>Halo Order</w:t>
      </w:r>
      <w:r w:rsidR="00B3209D">
        <w:t>,</w:t>
      </w:r>
      <w:r w:rsidRPr="003E521F">
        <w:t xml:space="preserve"> </w:t>
      </w:r>
      <w:r w:rsidR="00403DFC">
        <w:t xml:space="preserve">29 FCC Rcd </w:t>
      </w:r>
      <w:r w:rsidRPr="003E521F">
        <w:t>at 9967, para. 27.</w:t>
      </w:r>
      <w:r w:rsidR="00B3209D">
        <w:t xml:space="preserve"> </w:t>
      </w:r>
    </w:p>
  </w:footnote>
  <w:footnote w:id="53">
    <w:p w14:paraId="5811D84A" w14:textId="77777777" w:rsidR="00D328F2" w:rsidRPr="003E521F" w:rsidRDefault="00D328F2" w:rsidP="00F80182">
      <w:pPr>
        <w:pStyle w:val="FootnoteText"/>
      </w:pPr>
      <w:r w:rsidRPr="003E521F">
        <w:rPr>
          <w:rStyle w:val="FootnoteReference"/>
        </w:rPr>
        <w:footnoteRef/>
      </w:r>
      <w:r w:rsidRPr="003E521F">
        <w:t xml:space="preserve"> </w:t>
      </w:r>
      <w:r w:rsidRPr="003E521F">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B0237" w14:textId="77777777" w:rsidR="007C387D" w:rsidRDefault="007C3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361D2" w14:textId="59D86EFA" w:rsidR="002741B9" w:rsidRPr="00F84ED0" w:rsidRDefault="002741B9" w:rsidP="00BC6B38">
    <w:pPr>
      <w:pStyle w:val="Header"/>
    </w:pPr>
    <w:r w:rsidRPr="00F84ED0">
      <w:tab/>
      <w:t>Federal Communications Commission</w:t>
    </w:r>
    <w:r w:rsidRPr="00F84ED0">
      <w:tab/>
    </w:r>
    <w:r w:rsidR="00C400E3">
      <w:t>DA</w:t>
    </w:r>
    <w:r>
      <w:t xml:space="preserve"> 1</w:t>
    </w:r>
    <w:r w:rsidR="002534E4">
      <w:t>7</w:t>
    </w:r>
    <w:r>
      <w:t>-</w:t>
    </w:r>
    <w:r w:rsidR="00E84285">
      <w:t>506</w:t>
    </w:r>
  </w:p>
  <w:p w14:paraId="3CFC8158" w14:textId="77777777" w:rsidR="002741B9" w:rsidRDefault="002741B9">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3E3CAE3" wp14:editId="14EB37F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A910EDC"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DFAD9EC" w14:textId="77777777" w:rsidR="002741B9" w:rsidRPr="002A65D3" w:rsidRDefault="002741B9" w:rsidP="002A65D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12F63" w14:textId="13A97AFE" w:rsidR="002741B9" w:rsidRPr="00F84ED0" w:rsidRDefault="002741B9" w:rsidP="00BC6B38">
    <w:pPr>
      <w:pStyle w:val="Header"/>
    </w:pPr>
    <w:r>
      <w:rPr>
        <w:noProof/>
        <w:snapToGrid/>
      </w:rPr>
      <mc:AlternateContent>
        <mc:Choice Requires="wps">
          <w:drawing>
            <wp:anchor distT="0" distB="0" distL="114300" distR="114300" simplePos="0" relativeHeight="251658240" behindDoc="1" locked="0" layoutInCell="0" allowOverlap="1" wp14:anchorId="1ECFB05E" wp14:editId="20ADB64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C5578A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F84ED0">
      <w:tab/>
      <w:t>Federal Communications Commission</w:t>
    </w:r>
    <w:r w:rsidRPr="00F84ED0">
      <w:tab/>
    </w:r>
    <w:r>
      <w:t>DA 1</w:t>
    </w:r>
    <w:r w:rsidR="002534E4">
      <w:t>7</w:t>
    </w:r>
    <w:r>
      <w:t>-</w:t>
    </w:r>
    <w:r w:rsidR="00E84285">
      <w:t>506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6DB"/>
    <w:multiLevelType w:val="hybridMultilevel"/>
    <w:tmpl w:val="68C6F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B205A34"/>
    <w:multiLevelType w:val="multilevel"/>
    <w:tmpl w:val="977256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6EF5CEE"/>
    <w:multiLevelType w:val="hybridMultilevel"/>
    <w:tmpl w:val="C8FE6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F32106C"/>
    <w:multiLevelType w:val="hybridMultilevel"/>
    <w:tmpl w:val="77AA4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29C49C7"/>
    <w:multiLevelType w:val="hybridMultilevel"/>
    <w:tmpl w:val="362A6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E85EE7"/>
    <w:multiLevelType w:val="hybridMultilevel"/>
    <w:tmpl w:val="3F04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9"/>
    <w:lvlOverride w:ilvl="0">
      <w:startOverride w:val="17"/>
    </w:lvlOverride>
  </w:num>
  <w:num w:numId="5">
    <w:abstractNumId w:val="3"/>
  </w:num>
  <w:num w:numId="6">
    <w:abstractNumId w:val="8"/>
  </w:num>
  <w:num w:numId="7">
    <w:abstractNumId w:val="4"/>
  </w:num>
  <w:num w:numId="8">
    <w:abstractNumId w:val="1"/>
  </w:num>
  <w:num w:numId="9">
    <w:abstractNumId w:val="2"/>
  </w:num>
  <w:num w:numId="10">
    <w:abstractNumId w:val="9"/>
    <w:lvlOverride w:ilvl="0">
      <w:startOverride w:val="1"/>
    </w:lvlOverride>
  </w:num>
  <w:num w:numId="11">
    <w:abstractNumId w:val="9"/>
    <w:lvlOverride w:ilvl="0">
      <w:startOverride w:val="1"/>
    </w:lvlOverride>
  </w:num>
  <w:num w:numId="12">
    <w:abstractNumId w:val="0"/>
  </w:num>
  <w:num w:numId="13">
    <w:abstractNumId w:val="9"/>
    <w:lvlOverride w:ilvl="0">
      <w:startOverride w:val="4"/>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5"/>
    </w:lvlOverride>
  </w:num>
  <w:num w:numId="20">
    <w:abstractNumId w:val="9"/>
    <w:lvlOverride w:ilvl="0">
      <w:startOverride w:val="1"/>
    </w:lvlOverride>
  </w:num>
  <w:num w:numId="21">
    <w:abstractNumId w:val="9"/>
    <w:lvlOverride w:ilvl="0">
      <w:startOverride w:val="1"/>
    </w:lvlOverride>
  </w:num>
  <w:num w:numId="22">
    <w:abstractNumId w:val="5"/>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lvlOverride w:ilvl="0">
      <w:startOverride w:val="1"/>
    </w:lvlOverride>
  </w:num>
  <w:num w:numId="32">
    <w:abstractNumId w:val="9"/>
  </w:num>
  <w:num w:numId="33">
    <w:abstractNumId w:val="9"/>
  </w:num>
  <w:num w:numId="34">
    <w:abstractNumId w:val="7"/>
  </w:num>
  <w:num w:numId="35">
    <w:abstractNumId w:val="10"/>
  </w:num>
  <w:num w:numId="36">
    <w:abstractNumId w:val="6"/>
  </w:num>
  <w:num w:numId="37">
    <w:abstractNumId w:val="9"/>
    <w:lvlOverride w:ilvl="0">
      <w:startOverride w:val="1"/>
    </w:lvlOverride>
  </w:num>
  <w:num w:numId="38">
    <w:abstractNumId w:val="9"/>
  </w:num>
  <w:num w:numId="39">
    <w:abstractNumId w:val="9"/>
  </w:num>
  <w:num w:numId="40">
    <w:abstractNumId w:val="9"/>
  </w:num>
  <w:num w:numId="41">
    <w:abstractNumId w:val="9"/>
  </w:num>
  <w:num w:numId="42">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5F"/>
    <w:rsid w:val="00000490"/>
    <w:rsid w:val="00001889"/>
    <w:rsid w:val="00005272"/>
    <w:rsid w:val="000065F5"/>
    <w:rsid w:val="000069B7"/>
    <w:rsid w:val="00006D1C"/>
    <w:rsid w:val="00007A60"/>
    <w:rsid w:val="00011A5E"/>
    <w:rsid w:val="00013BF6"/>
    <w:rsid w:val="0001400F"/>
    <w:rsid w:val="0002115E"/>
    <w:rsid w:val="000219B9"/>
    <w:rsid w:val="00024A95"/>
    <w:rsid w:val="00025B56"/>
    <w:rsid w:val="00025EFF"/>
    <w:rsid w:val="000265E5"/>
    <w:rsid w:val="00026898"/>
    <w:rsid w:val="00030443"/>
    <w:rsid w:val="00037E0B"/>
    <w:rsid w:val="000401CE"/>
    <w:rsid w:val="000429EE"/>
    <w:rsid w:val="00043AF6"/>
    <w:rsid w:val="0004481D"/>
    <w:rsid w:val="0005249E"/>
    <w:rsid w:val="000536E9"/>
    <w:rsid w:val="0005738D"/>
    <w:rsid w:val="00057A50"/>
    <w:rsid w:val="00060FFA"/>
    <w:rsid w:val="000610B7"/>
    <w:rsid w:val="000636B4"/>
    <w:rsid w:val="00064AD2"/>
    <w:rsid w:val="00065F9C"/>
    <w:rsid w:val="000671CD"/>
    <w:rsid w:val="00067498"/>
    <w:rsid w:val="00071309"/>
    <w:rsid w:val="00071375"/>
    <w:rsid w:val="000720F5"/>
    <w:rsid w:val="0007460A"/>
    <w:rsid w:val="00074D7D"/>
    <w:rsid w:val="00076F9C"/>
    <w:rsid w:val="00080B5B"/>
    <w:rsid w:val="00083946"/>
    <w:rsid w:val="00086083"/>
    <w:rsid w:val="000862CB"/>
    <w:rsid w:val="000903F2"/>
    <w:rsid w:val="00090E94"/>
    <w:rsid w:val="00093019"/>
    <w:rsid w:val="00094326"/>
    <w:rsid w:val="0009621F"/>
    <w:rsid w:val="0009758E"/>
    <w:rsid w:val="000A594C"/>
    <w:rsid w:val="000A7099"/>
    <w:rsid w:val="000B310E"/>
    <w:rsid w:val="000B7EB4"/>
    <w:rsid w:val="000C002B"/>
    <w:rsid w:val="000C1718"/>
    <w:rsid w:val="000C204F"/>
    <w:rsid w:val="000C289C"/>
    <w:rsid w:val="000C29CC"/>
    <w:rsid w:val="000C58BB"/>
    <w:rsid w:val="000C5E2E"/>
    <w:rsid w:val="000C6B75"/>
    <w:rsid w:val="000D0634"/>
    <w:rsid w:val="000D1FC5"/>
    <w:rsid w:val="000D3A46"/>
    <w:rsid w:val="000E2997"/>
    <w:rsid w:val="000E3BAD"/>
    <w:rsid w:val="000E7BDD"/>
    <w:rsid w:val="000F2CA5"/>
    <w:rsid w:val="000F4235"/>
    <w:rsid w:val="000F56D5"/>
    <w:rsid w:val="000F7CE0"/>
    <w:rsid w:val="000F7D2E"/>
    <w:rsid w:val="000F7DA5"/>
    <w:rsid w:val="001007D8"/>
    <w:rsid w:val="001017BE"/>
    <w:rsid w:val="00102F31"/>
    <w:rsid w:val="001037C4"/>
    <w:rsid w:val="00105397"/>
    <w:rsid w:val="00106A10"/>
    <w:rsid w:val="00111583"/>
    <w:rsid w:val="001118F7"/>
    <w:rsid w:val="00112B88"/>
    <w:rsid w:val="00113045"/>
    <w:rsid w:val="0011366E"/>
    <w:rsid w:val="001136D1"/>
    <w:rsid w:val="00113D91"/>
    <w:rsid w:val="00117723"/>
    <w:rsid w:val="00117ADA"/>
    <w:rsid w:val="00120015"/>
    <w:rsid w:val="0012091C"/>
    <w:rsid w:val="00121484"/>
    <w:rsid w:val="0012174F"/>
    <w:rsid w:val="00123E2A"/>
    <w:rsid w:val="00125630"/>
    <w:rsid w:val="00126091"/>
    <w:rsid w:val="00127054"/>
    <w:rsid w:val="001305B6"/>
    <w:rsid w:val="0013121F"/>
    <w:rsid w:val="001314EE"/>
    <w:rsid w:val="00131F55"/>
    <w:rsid w:val="0013239D"/>
    <w:rsid w:val="00133CDF"/>
    <w:rsid w:val="00136E1F"/>
    <w:rsid w:val="00140C1A"/>
    <w:rsid w:val="00141CB0"/>
    <w:rsid w:val="00142312"/>
    <w:rsid w:val="0014312F"/>
    <w:rsid w:val="001445FD"/>
    <w:rsid w:val="00144E69"/>
    <w:rsid w:val="00146129"/>
    <w:rsid w:val="00146B99"/>
    <w:rsid w:val="00150053"/>
    <w:rsid w:val="0015033D"/>
    <w:rsid w:val="00157D53"/>
    <w:rsid w:val="0016084B"/>
    <w:rsid w:val="0016126F"/>
    <w:rsid w:val="0016442C"/>
    <w:rsid w:val="00165601"/>
    <w:rsid w:val="001660C3"/>
    <w:rsid w:val="00170EC2"/>
    <w:rsid w:val="00171178"/>
    <w:rsid w:val="001736B7"/>
    <w:rsid w:val="00176B38"/>
    <w:rsid w:val="00177494"/>
    <w:rsid w:val="00177F4D"/>
    <w:rsid w:val="00184191"/>
    <w:rsid w:val="0018744A"/>
    <w:rsid w:val="00190307"/>
    <w:rsid w:val="00190F5E"/>
    <w:rsid w:val="00192DD9"/>
    <w:rsid w:val="0019341D"/>
    <w:rsid w:val="00193BED"/>
    <w:rsid w:val="001953B0"/>
    <w:rsid w:val="001967A2"/>
    <w:rsid w:val="00197166"/>
    <w:rsid w:val="001973A6"/>
    <w:rsid w:val="001A07E6"/>
    <w:rsid w:val="001A0C46"/>
    <w:rsid w:val="001A2140"/>
    <w:rsid w:val="001A2817"/>
    <w:rsid w:val="001A3AD7"/>
    <w:rsid w:val="001A4EF4"/>
    <w:rsid w:val="001A7380"/>
    <w:rsid w:val="001B1D65"/>
    <w:rsid w:val="001B3CD2"/>
    <w:rsid w:val="001B3D8C"/>
    <w:rsid w:val="001B53CA"/>
    <w:rsid w:val="001B5D9E"/>
    <w:rsid w:val="001C1704"/>
    <w:rsid w:val="001C2BBF"/>
    <w:rsid w:val="001C37E7"/>
    <w:rsid w:val="001C4F3C"/>
    <w:rsid w:val="001C627A"/>
    <w:rsid w:val="001C6929"/>
    <w:rsid w:val="001C7E8C"/>
    <w:rsid w:val="001D1AB9"/>
    <w:rsid w:val="001D1D41"/>
    <w:rsid w:val="001D1DDD"/>
    <w:rsid w:val="001D21A1"/>
    <w:rsid w:val="001D5AD4"/>
    <w:rsid w:val="001D6697"/>
    <w:rsid w:val="001E19B0"/>
    <w:rsid w:val="001E24CC"/>
    <w:rsid w:val="001E36F3"/>
    <w:rsid w:val="001E6D88"/>
    <w:rsid w:val="001F317A"/>
    <w:rsid w:val="001F4C7C"/>
    <w:rsid w:val="001F7676"/>
    <w:rsid w:val="001F7761"/>
    <w:rsid w:val="00202B55"/>
    <w:rsid w:val="00204246"/>
    <w:rsid w:val="00206BE3"/>
    <w:rsid w:val="0020713A"/>
    <w:rsid w:val="00211410"/>
    <w:rsid w:val="002125C9"/>
    <w:rsid w:val="002142C2"/>
    <w:rsid w:val="00216766"/>
    <w:rsid w:val="00217B84"/>
    <w:rsid w:val="0022391C"/>
    <w:rsid w:val="00224920"/>
    <w:rsid w:val="00226E19"/>
    <w:rsid w:val="00231006"/>
    <w:rsid w:val="00231133"/>
    <w:rsid w:val="0023209B"/>
    <w:rsid w:val="0023235B"/>
    <w:rsid w:val="002367AE"/>
    <w:rsid w:val="00242676"/>
    <w:rsid w:val="00243F8F"/>
    <w:rsid w:val="00244AC1"/>
    <w:rsid w:val="00246799"/>
    <w:rsid w:val="00250EED"/>
    <w:rsid w:val="0025151B"/>
    <w:rsid w:val="002518C3"/>
    <w:rsid w:val="00252BFF"/>
    <w:rsid w:val="002534E4"/>
    <w:rsid w:val="002613CC"/>
    <w:rsid w:val="00261758"/>
    <w:rsid w:val="00262143"/>
    <w:rsid w:val="00262342"/>
    <w:rsid w:val="0026238B"/>
    <w:rsid w:val="002635CC"/>
    <w:rsid w:val="002644E5"/>
    <w:rsid w:val="00264DD7"/>
    <w:rsid w:val="0026512E"/>
    <w:rsid w:val="002659CA"/>
    <w:rsid w:val="002671E4"/>
    <w:rsid w:val="002714D6"/>
    <w:rsid w:val="00271E07"/>
    <w:rsid w:val="002721FA"/>
    <w:rsid w:val="00272315"/>
    <w:rsid w:val="00273032"/>
    <w:rsid w:val="002741B9"/>
    <w:rsid w:val="0027490E"/>
    <w:rsid w:val="0028040D"/>
    <w:rsid w:val="0028475C"/>
    <w:rsid w:val="00284A90"/>
    <w:rsid w:val="00284B2C"/>
    <w:rsid w:val="002872C4"/>
    <w:rsid w:val="00295928"/>
    <w:rsid w:val="00295932"/>
    <w:rsid w:val="0029612F"/>
    <w:rsid w:val="002A2001"/>
    <w:rsid w:val="002A57BD"/>
    <w:rsid w:val="002A65D3"/>
    <w:rsid w:val="002A7172"/>
    <w:rsid w:val="002A7643"/>
    <w:rsid w:val="002A78DB"/>
    <w:rsid w:val="002A7EF4"/>
    <w:rsid w:val="002B2AA1"/>
    <w:rsid w:val="002B3274"/>
    <w:rsid w:val="002B6674"/>
    <w:rsid w:val="002B75A6"/>
    <w:rsid w:val="002C03C5"/>
    <w:rsid w:val="002C1D42"/>
    <w:rsid w:val="002C23C3"/>
    <w:rsid w:val="002C3A50"/>
    <w:rsid w:val="002C3E83"/>
    <w:rsid w:val="002D0B3B"/>
    <w:rsid w:val="002D25A3"/>
    <w:rsid w:val="002D30F7"/>
    <w:rsid w:val="002D4EB6"/>
    <w:rsid w:val="002D4F1A"/>
    <w:rsid w:val="002D6005"/>
    <w:rsid w:val="002D6295"/>
    <w:rsid w:val="002E011F"/>
    <w:rsid w:val="002E03E6"/>
    <w:rsid w:val="002E2787"/>
    <w:rsid w:val="002E34A2"/>
    <w:rsid w:val="002E3902"/>
    <w:rsid w:val="002E7E3E"/>
    <w:rsid w:val="002F0837"/>
    <w:rsid w:val="002F0AF7"/>
    <w:rsid w:val="002F1081"/>
    <w:rsid w:val="002F5335"/>
    <w:rsid w:val="002F5B6E"/>
    <w:rsid w:val="00301703"/>
    <w:rsid w:val="00302644"/>
    <w:rsid w:val="00302CC1"/>
    <w:rsid w:val="00303566"/>
    <w:rsid w:val="00303716"/>
    <w:rsid w:val="0030453C"/>
    <w:rsid w:val="00312AE3"/>
    <w:rsid w:val="0031355D"/>
    <w:rsid w:val="0031375D"/>
    <w:rsid w:val="00321B5E"/>
    <w:rsid w:val="00324084"/>
    <w:rsid w:val="00324FAB"/>
    <w:rsid w:val="00325E40"/>
    <w:rsid w:val="0032695B"/>
    <w:rsid w:val="0033188D"/>
    <w:rsid w:val="0033318F"/>
    <w:rsid w:val="00333462"/>
    <w:rsid w:val="003345F0"/>
    <w:rsid w:val="00336908"/>
    <w:rsid w:val="00337A71"/>
    <w:rsid w:val="00343B93"/>
    <w:rsid w:val="00346214"/>
    <w:rsid w:val="00346876"/>
    <w:rsid w:val="00350958"/>
    <w:rsid w:val="00350F8A"/>
    <w:rsid w:val="0035163D"/>
    <w:rsid w:val="003529BF"/>
    <w:rsid w:val="0035403B"/>
    <w:rsid w:val="00355A1D"/>
    <w:rsid w:val="00357A3B"/>
    <w:rsid w:val="00360436"/>
    <w:rsid w:val="00364248"/>
    <w:rsid w:val="003663F3"/>
    <w:rsid w:val="003725FA"/>
    <w:rsid w:val="003732E2"/>
    <w:rsid w:val="003744A8"/>
    <w:rsid w:val="003751BE"/>
    <w:rsid w:val="003752EB"/>
    <w:rsid w:val="00375D04"/>
    <w:rsid w:val="00375DEF"/>
    <w:rsid w:val="00376723"/>
    <w:rsid w:val="00380367"/>
    <w:rsid w:val="00380599"/>
    <w:rsid w:val="00383A5A"/>
    <w:rsid w:val="00386992"/>
    <w:rsid w:val="0039350D"/>
    <w:rsid w:val="00394A8D"/>
    <w:rsid w:val="00394FE2"/>
    <w:rsid w:val="003A0679"/>
    <w:rsid w:val="003A08DD"/>
    <w:rsid w:val="003A13A4"/>
    <w:rsid w:val="003A7A2A"/>
    <w:rsid w:val="003B1BBE"/>
    <w:rsid w:val="003B2860"/>
    <w:rsid w:val="003B48CC"/>
    <w:rsid w:val="003B5C8A"/>
    <w:rsid w:val="003B64CA"/>
    <w:rsid w:val="003B7E1C"/>
    <w:rsid w:val="003C0222"/>
    <w:rsid w:val="003C3254"/>
    <w:rsid w:val="003D1C66"/>
    <w:rsid w:val="003D20E7"/>
    <w:rsid w:val="003D3587"/>
    <w:rsid w:val="003D40EB"/>
    <w:rsid w:val="003D56F6"/>
    <w:rsid w:val="003D7D8F"/>
    <w:rsid w:val="003E316E"/>
    <w:rsid w:val="003E32B3"/>
    <w:rsid w:val="003E47CD"/>
    <w:rsid w:val="003E4D8E"/>
    <w:rsid w:val="003E521F"/>
    <w:rsid w:val="003E6B40"/>
    <w:rsid w:val="003F0851"/>
    <w:rsid w:val="003F090C"/>
    <w:rsid w:val="003F4C2B"/>
    <w:rsid w:val="003F4F3C"/>
    <w:rsid w:val="003F5F71"/>
    <w:rsid w:val="003F6ABF"/>
    <w:rsid w:val="003F7AAD"/>
    <w:rsid w:val="003F7DB1"/>
    <w:rsid w:val="00403DFC"/>
    <w:rsid w:val="00405940"/>
    <w:rsid w:val="00407D74"/>
    <w:rsid w:val="0041162A"/>
    <w:rsid w:val="00415421"/>
    <w:rsid w:val="00416CAF"/>
    <w:rsid w:val="00421516"/>
    <w:rsid w:val="004217C7"/>
    <w:rsid w:val="00425E05"/>
    <w:rsid w:val="00430C83"/>
    <w:rsid w:val="0043117B"/>
    <w:rsid w:val="00435238"/>
    <w:rsid w:val="004362CF"/>
    <w:rsid w:val="00440729"/>
    <w:rsid w:val="0044364A"/>
    <w:rsid w:val="00443D78"/>
    <w:rsid w:val="00444174"/>
    <w:rsid w:val="004448A6"/>
    <w:rsid w:val="00446501"/>
    <w:rsid w:val="00446C41"/>
    <w:rsid w:val="00456123"/>
    <w:rsid w:val="00456F02"/>
    <w:rsid w:val="00457CA4"/>
    <w:rsid w:val="0046081A"/>
    <w:rsid w:val="0046152F"/>
    <w:rsid w:val="0046176A"/>
    <w:rsid w:val="00461AF1"/>
    <w:rsid w:val="00464C78"/>
    <w:rsid w:val="00466A4A"/>
    <w:rsid w:val="00467985"/>
    <w:rsid w:val="00467C16"/>
    <w:rsid w:val="004709A7"/>
    <w:rsid w:val="004712CD"/>
    <w:rsid w:val="00472414"/>
    <w:rsid w:val="00472AD6"/>
    <w:rsid w:val="00473D88"/>
    <w:rsid w:val="00473EB8"/>
    <w:rsid w:val="00477C6B"/>
    <w:rsid w:val="004812F9"/>
    <w:rsid w:val="004820FE"/>
    <w:rsid w:val="00482DD9"/>
    <w:rsid w:val="00484BEA"/>
    <w:rsid w:val="00484BFF"/>
    <w:rsid w:val="00485A9B"/>
    <w:rsid w:val="00486F5C"/>
    <w:rsid w:val="00491711"/>
    <w:rsid w:val="00495984"/>
    <w:rsid w:val="00497DDB"/>
    <w:rsid w:val="004A06DD"/>
    <w:rsid w:val="004A0CB3"/>
    <w:rsid w:val="004A12BF"/>
    <w:rsid w:val="004A2A28"/>
    <w:rsid w:val="004A4FC1"/>
    <w:rsid w:val="004A6054"/>
    <w:rsid w:val="004A6141"/>
    <w:rsid w:val="004B1E5B"/>
    <w:rsid w:val="004B672D"/>
    <w:rsid w:val="004B7099"/>
    <w:rsid w:val="004B75DA"/>
    <w:rsid w:val="004B7B9E"/>
    <w:rsid w:val="004B7BB9"/>
    <w:rsid w:val="004C0ABD"/>
    <w:rsid w:val="004C0B2C"/>
    <w:rsid w:val="004C2AF8"/>
    <w:rsid w:val="004C2C0B"/>
    <w:rsid w:val="004C5D2A"/>
    <w:rsid w:val="004C7F9E"/>
    <w:rsid w:val="004D1B64"/>
    <w:rsid w:val="004D1D71"/>
    <w:rsid w:val="004D2E0C"/>
    <w:rsid w:val="004D3170"/>
    <w:rsid w:val="004D489E"/>
    <w:rsid w:val="004E032F"/>
    <w:rsid w:val="004E0C93"/>
    <w:rsid w:val="004E18D5"/>
    <w:rsid w:val="004E24A5"/>
    <w:rsid w:val="004E48B6"/>
    <w:rsid w:val="004E4A4A"/>
    <w:rsid w:val="004E5846"/>
    <w:rsid w:val="004E5F9F"/>
    <w:rsid w:val="004E7997"/>
    <w:rsid w:val="004F063F"/>
    <w:rsid w:val="004F1BE7"/>
    <w:rsid w:val="004F22DC"/>
    <w:rsid w:val="004F418D"/>
    <w:rsid w:val="004F64B2"/>
    <w:rsid w:val="00500C28"/>
    <w:rsid w:val="0050259F"/>
    <w:rsid w:val="00503806"/>
    <w:rsid w:val="0050401F"/>
    <w:rsid w:val="0051163F"/>
    <w:rsid w:val="00513252"/>
    <w:rsid w:val="0051428D"/>
    <w:rsid w:val="00523028"/>
    <w:rsid w:val="0052314D"/>
    <w:rsid w:val="00524EEB"/>
    <w:rsid w:val="005333BB"/>
    <w:rsid w:val="00533787"/>
    <w:rsid w:val="0053584A"/>
    <w:rsid w:val="00540060"/>
    <w:rsid w:val="00540C1A"/>
    <w:rsid w:val="00543453"/>
    <w:rsid w:val="005503A2"/>
    <w:rsid w:val="00553A23"/>
    <w:rsid w:val="00553D54"/>
    <w:rsid w:val="005540FE"/>
    <w:rsid w:val="00554AF2"/>
    <w:rsid w:val="005618C8"/>
    <w:rsid w:val="00564CFE"/>
    <w:rsid w:val="00564ECF"/>
    <w:rsid w:val="005655F5"/>
    <w:rsid w:val="00565AED"/>
    <w:rsid w:val="00565F23"/>
    <w:rsid w:val="005662EF"/>
    <w:rsid w:val="00570607"/>
    <w:rsid w:val="0057063B"/>
    <w:rsid w:val="005765D9"/>
    <w:rsid w:val="00576C46"/>
    <w:rsid w:val="00577645"/>
    <w:rsid w:val="00577F1B"/>
    <w:rsid w:val="005816DC"/>
    <w:rsid w:val="00582478"/>
    <w:rsid w:val="00582DAD"/>
    <w:rsid w:val="0058696E"/>
    <w:rsid w:val="00592A9A"/>
    <w:rsid w:val="005943AD"/>
    <w:rsid w:val="00595D2F"/>
    <w:rsid w:val="005A0C76"/>
    <w:rsid w:val="005A3CA8"/>
    <w:rsid w:val="005A5D88"/>
    <w:rsid w:val="005A78D3"/>
    <w:rsid w:val="005B1684"/>
    <w:rsid w:val="005B747D"/>
    <w:rsid w:val="005C0735"/>
    <w:rsid w:val="005C17C9"/>
    <w:rsid w:val="005C6147"/>
    <w:rsid w:val="005C62C8"/>
    <w:rsid w:val="005C66C5"/>
    <w:rsid w:val="005D0396"/>
    <w:rsid w:val="005D0662"/>
    <w:rsid w:val="005D1FBE"/>
    <w:rsid w:val="005D4888"/>
    <w:rsid w:val="005E3A82"/>
    <w:rsid w:val="005E5FFC"/>
    <w:rsid w:val="005E6FDB"/>
    <w:rsid w:val="005F1502"/>
    <w:rsid w:val="005F6465"/>
    <w:rsid w:val="00601B48"/>
    <w:rsid w:val="00602DDB"/>
    <w:rsid w:val="00605178"/>
    <w:rsid w:val="00607F92"/>
    <w:rsid w:val="0061076E"/>
    <w:rsid w:val="0061287F"/>
    <w:rsid w:val="00612FC8"/>
    <w:rsid w:val="0061332E"/>
    <w:rsid w:val="00615420"/>
    <w:rsid w:val="00616C81"/>
    <w:rsid w:val="00621FC8"/>
    <w:rsid w:val="006232B5"/>
    <w:rsid w:val="006246BC"/>
    <w:rsid w:val="00624D1D"/>
    <w:rsid w:val="00626E68"/>
    <w:rsid w:val="006321C9"/>
    <w:rsid w:val="00634180"/>
    <w:rsid w:val="00636539"/>
    <w:rsid w:val="00636914"/>
    <w:rsid w:val="00636DEE"/>
    <w:rsid w:val="0064447C"/>
    <w:rsid w:val="00645D4A"/>
    <w:rsid w:val="006467FE"/>
    <w:rsid w:val="00647970"/>
    <w:rsid w:val="00647B01"/>
    <w:rsid w:val="00650BB4"/>
    <w:rsid w:val="0065218E"/>
    <w:rsid w:val="00653265"/>
    <w:rsid w:val="0065591E"/>
    <w:rsid w:val="00655E14"/>
    <w:rsid w:val="00663B53"/>
    <w:rsid w:val="00663ED6"/>
    <w:rsid w:val="0066476D"/>
    <w:rsid w:val="00665050"/>
    <w:rsid w:val="00666806"/>
    <w:rsid w:val="00670607"/>
    <w:rsid w:val="006760B0"/>
    <w:rsid w:val="006804C9"/>
    <w:rsid w:val="0068370B"/>
    <w:rsid w:val="00683893"/>
    <w:rsid w:val="006847D5"/>
    <w:rsid w:val="0069051F"/>
    <w:rsid w:val="00691276"/>
    <w:rsid w:val="00691593"/>
    <w:rsid w:val="00692151"/>
    <w:rsid w:val="00697548"/>
    <w:rsid w:val="006A0DA0"/>
    <w:rsid w:val="006A31BA"/>
    <w:rsid w:val="006A3C85"/>
    <w:rsid w:val="006A4847"/>
    <w:rsid w:val="006A64AD"/>
    <w:rsid w:val="006B0B10"/>
    <w:rsid w:val="006B4740"/>
    <w:rsid w:val="006B507D"/>
    <w:rsid w:val="006B5958"/>
    <w:rsid w:val="006B5FE0"/>
    <w:rsid w:val="006B74A4"/>
    <w:rsid w:val="006C1ED2"/>
    <w:rsid w:val="006C542B"/>
    <w:rsid w:val="006C5C39"/>
    <w:rsid w:val="006C6446"/>
    <w:rsid w:val="006D2DD3"/>
    <w:rsid w:val="006D5624"/>
    <w:rsid w:val="006D601A"/>
    <w:rsid w:val="006E176E"/>
    <w:rsid w:val="006E200F"/>
    <w:rsid w:val="006E2E1F"/>
    <w:rsid w:val="006E595E"/>
    <w:rsid w:val="006F02A3"/>
    <w:rsid w:val="006F076C"/>
    <w:rsid w:val="006F1183"/>
    <w:rsid w:val="006F3FC7"/>
    <w:rsid w:val="006F4442"/>
    <w:rsid w:val="006F44FC"/>
    <w:rsid w:val="006F471F"/>
    <w:rsid w:val="006F6283"/>
    <w:rsid w:val="00700319"/>
    <w:rsid w:val="00700AF2"/>
    <w:rsid w:val="0070308C"/>
    <w:rsid w:val="0070450E"/>
    <w:rsid w:val="007077C9"/>
    <w:rsid w:val="00707E52"/>
    <w:rsid w:val="007119CC"/>
    <w:rsid w:val="00711D39"/>
    <w:rsid w:val="00712965"/>
    <w:rsid w:val="007137BF"/>
    <w:rsid w:val="00714E0F"/>
    <w:rsid w:val="00717D9D"/>
    <w:rsid w:val="00717FBA"/>
    <w:rsid w:val="00720CB7"/>
    <w:rsid w:val="00722220"/>
    <w:rsid w:val="00722B3A"/>
    <w:rsid w:val="007249EA"/>
    <w:rsid w:val="00727A93"/>
    <w:rsid w:val="00730FB5"/>
    <w:rsid w:val="00733F68"/>
    <w:rsid w:val="007345B5"/>
    <w:rsid w:val="00741789"/>
    <w:rsid w:val="00743FAC"/>
    <w:rsid w:val="00745C95"/>
    <w:rsid w:val="007462AE"/>
    <w:rsid w:val="0075006B"/>
    <w:rsid w:val="0075082D"/>
    <w:rsid w:val="00750CB2"/>
    <w:rsid w:val="007530C8"/>
    <w:rsid w:val="00755D2E"/>
    <w:rsid w:val="007561DF"/>
    <w:rsid w:val="00757851"/>
    <w:rsid w:val="00757BD2"/>
    <w:rsid w:val="00760343"/>
    <w:rsid w:val="00763AE6"/>
    <w:rsid w:val="00765437"/>
    <w:rsid w:val="0076640D"/>
    <w:rsid w:val="00766C86"/>
    <w:rsid w:val="007676B3"/>
    <w:rsid w:val="00771361"/>
    <w:rsid w:val="00771AE3"/>
    <w:rsid w:val="00772F43"/>
    <w:rsid w:val="00774AFC"/>
    <w:rsid w:val="00775494"/>
    <w:rsid w:val="00777F4E"/>
    <w:rsid w:val="00781D7F"/>
    <w:rsid w:val="007821BC"/>
    <w:rsid w:val="00783A62"/>
    <w:rsid w:val="0078587E"/>
    <w:rsid w:val="00787FF8"/>
    <w:rsid w:val="00791746"/>
    <w:rsid w:val="007930A8"/>
    <w:rsid w:val="0079357B"/>
    <w:rsid w:val="00795261"/>
    <w:rsid w:val="00795B0B"/>
    <w:rsid w:val="007A0654"/>
    <w:rsid w:val="007A2136"/>
    <w:rsid w:val="007A719E"/>
    <w:rsid w:val="007B54E9"/>
    <w:rsid w:val="007B58D2"/>
    <w:rsid w:val="007C0C63"/>
    <w:rsid w:val="007C216D"/>
    <w:rsid w:val="007C387D"/>
    <w:rsid w:val="007C6A97"/>
    <w:rsid w:val="007C6BDD"/>
    <w:rsid w:val="007C7236"/>
    <w:rsid w:val="007D01EB"/>
    <w:rsid w:val="007D20BC"/>
    <w:rsid w:val="007D2380"/>
    <w:rsid w:val="007D3D73"/>
    <w:rsid w:val="007D5470"/>
    <w:rsid w:val="007E0325"/>
    <w:rsid w:val="007E18AE"/>
    <w:rsid w:val="007E1EE4"/>
    <w:rsid w:val="007F042B"/>
    <w:rsid w:val="007F13A7"/>
    <w:rsid w:val="007F29A6"/>
    <w:rsid w:val="007F3128"/>
    <w:rsid w:val="007F7C9F"/>
    <w:rsid w:val="00800523"/>
    <w:rsid w:val="0080400A"/>
    <w:rsid w:val="008061B9"/>
    <w:rsid w:val="00810FB5"/>
    <w:rsid w:val="00812CA7"/>
    <w:rsid w:val="00813766"/>
    <w:rsid w:val="00813BCC"/>
    <w:rsid w:val="00814364"/>
    <w:rsid w:val="008156F7"/>
    <w:rsid w:val="00815D4C"/>
    <w:rsid w:val="00816D90"/>
    <w:rsid w:val="00821311"/>
    <w:rsid w:val="00822BDB"/>
    <w:rsid w:val="00824716"/>
    <w:rsid w:val="0083079F"/>
    <w:rsid w:val="00830D03"/>
    <w:rsid w:val="0083229C"/>
    <w:rsid w:val="00832E78"/>
    <w:rsid w:val="00837BDC"/>
    <w:rsid w:val="008427DB"/>
    <w:rsid w:val="00842E85"/>
    <w:rsid w:val="00844FE4"/>
    <w:rsid w:val="008452C5"/>
    <w:rsid w:val="00845B1E"/>
    <w:rsid w:val="00845C2D"/>
    <w:rsid w:val="00846EA8"/>
    <w:rsid w:val="00847F1B"/>
    <w:rsid w:val="008515E3"/>
    <w:rsid w:val="00860BF7"/>
    <w:rsid w:val="008624DB"/>
    <w:rsid w:val="00863470"/>
    <w:rsid w:val="008636C5"/>
    <w:rsid w:val="00863A14"/>
    <w:rsid w:val="00865E7F"/>
    <w:rsid w:val="00870835"/>
    <w:rsid w:val="00872E65"/>
    <w:rsid w:val="008816E8"/>
    <w:rsid w:val="00884898"/>
    <w:rsid w:val="0088539C"/>
    <w:rsid w:val="0088771B"/>
    <w:rsid w:val="00891344"/>
    <w:rsid w:val="00892946"/>
    <w:rsid w:val="00893DFB"/>
    <w:rsid w:val="008943EC"/>
    <w:rsid w:val="00896FA7"/>
    <w:rsid w:val="00897FA7"/>
    <w:rsid w:val="008A1291"/>
    <w:rsid w:val="008B194D"/>
    <w:rsid w:val="008B314A"/>
    <w:rsid w:val="008B605D"/>
    <w:rsid w:val="008C045E"/>
    <w:rsid w:val="008C0B03"/>
    <w:rsid w:val="008C3167"/>
    <w:rsid w:val="008C3C62"/>
    <w:rsid w:val="008C3E5A"/>
    <w:rsid w:val="008C46DF"/>
    <w:rsid w:val="008C5CF1"/>
    <w:rsid w:val="008C5E7D"/>
    <w:rsid w:val="008C660F"/>
    <w:rsid w:val="008C6E67"/>
    <w:rsid w:val="008D2995"/>
    <w:rsid w:val="008D4979"/>
    <w:rsid w:val="008D498A"/>
    <w:rsid w:val="008D529C"/>
    <w:rsid w:val="008D7666"/>
    <w:rsid w:val="008E1853"/>
    <w:rsid w:val="008E352A"/>
    <w:rsid w:val="008E43DB"/>
    <w:rsid w:val="008E49F2"/>
    <w:rsid w:val="008F42B3"/>
    <w:rsid w:val="008F636A"/>
    <w:rsid w:val="008F7939"/>
    <w:rsid w:val="009002CE"/>
    <w:rsid w:val="00902535"/>
    <w:rsid w:val="009061A3"/>
    <w:rsid w:val="0090682C"/>
    <w:rsid w:val="00910C11"/>
    <w:rsid w:val="009123AD"/>
    <w:rsid w:val="00912946"/>
    <w:rsid w:val="009135EB"/>
    <w:rsid w:val="0091475E"/>
    <w:rsid w:val="009152B6"/>
    <w:rsid w:val="009159CD"/>
    <w:rsid w:val="009178B2"/>
    <w:rsid w:val="009203B6"/>
    <w:rsid w:val="00921862"/>
    <w:rsid w:val="00923789"/>
    <w:rsid w:val="009240D9"/>
    <w:rsid w:val="00931D15"/>
    <w:rsid w:val="00933D03"/>
    <w:rsid w:val="00933FB2"/>
    <w:rsid w:val="00934F22"/>
    <w:rsid w:val="00941492"/>
    <w:rsid w:val="0094249F"/>
    <w:rsid w:val="00946115"/>
    <w:rsid w:val="00950A4C"/>
    <w:rsid w:val="009532DF"/>
    <w:rsid w:val="00953477"/>
    <w:rsid w:val="0095529C"/>
    <w:rsid w:val="009603F9"/>
    <w:rsid w:val="00960BB6"/>
    <w:rsid w:val="00960CF7"/>
    <w:rsid w:val="009610A0"/>
    <w:rsid w:val="00961816"/>
    <w:rsid w:val="0096189D"/>
    <w:rsid w:val="00961E9C"/>
    <w:rsid w:val="009709D3"/>
    <w:rsid w:val="00970E22"/>
    <w:rsid w:val="00971335"/>
    <w:rsid w:val="009718A7"/>
    <w:rsid w:val="009719AA"/>
    <w:rsid w:val="00973B03"/>
    <w:rsid w:val="00973EDD"/>
    <w:rsid w:val="009752F8"/>
    <w:rsid w:val="0097696B"/>
    <w:rsid w:val="009779F8"/>
    <w:rsid w:val="009805E4"/>
    <w:rsid w:val="00980B5E"/>
    <w:rsid w:val="00981183"/>
    <w:rsid w:val="00981659"/>
    <w:rsid w:val="009847E8"/>
    <w:rsid w:val="00984FFA"/>
    <w:rsid w:val="00985795"/>
    <w:rsid w:val="00986938"/>
    <w:rsid w:val="00987AFD"/>
    <w:rsid w:val="00990388"/>
    <w:rsid w:val="009916FD"/>
    <w:rsid w:val="00994186"/>
    <w:rsid w:val="00996453"/>
    <w:rsid w:val="0099742F"/>
    <w:rsid w:val="009A08BF"/>
    <w:rsid w:val="009A0BF0"/>
    <w:rsid w:val="009A0D48"/>
    <w:rsid w:val="009A116E"/>
    <w:rsid w:val="009A1C00"/>
    <w:rsid w:val="009A2807"/>
    <w:rsid w:val="009A474F"/>
    <w:rsid w:val="009A5CFD"/>
    <w:rsid w:val="009A7607"/>
    <w:rsid w:val="009A7948"/>
    <w:rsid w:val="009B0897"/>
    <w:rsid w:val="009B0A50"/>
    <w:rsid w:val="009B4E6F"/>
    <w:rsid w:val="009B5AD5"/>
    <w:rsid w:val="009B7D90"/>
    <w:rsid w:val="009C1E06"/>
    <w:rsid w:val="009C4D9B"/>
    <w:rsid w:val="009C7240"/>
    <w:rsid w:val="009C76A9"/>
    <w:rsid w:val="009D1F6E"/>
    <w:rsid w:val="009D2EEF"/>
    <w:rsid w:val="009D2FFC"/>
    <w:rsid w:val="009D5708"/>
    <w:rsid w:val="009D6408"/>
    <w:rsid w:val="009E0FCC"/>
    <w:rsid w:val="009E371A"/>
    <w:rsid w:val="009E3A20"/>
    <w:rsid w:val="009E5750"/>
    <w:rsid w:val="009E637D"/>
    <w:rsid w:val="009E666E"/>
    <w:rsid w:val="009E677E"/>
    <w:rsid w:val="009E7040"/>
    <w:rsid w:val="009F0322"/>
    <w:rsid w:val="009F1DDC"/>
    <w:rsid w:val="009F2497"/>
    <w:rsid w:val="009F5409"/>
    <w:rsid w:val="009F56F9"/>
    <w:rsid w:val="009F6037"/>
    <w:rsid w:val="00A06456"/>
    <w:rsid w:val="00A140CA"/>
    <w:rsid w:val="00A17C7A"/>
    <w:rsid w:val="00A22FEB"/>
    <w:rsid w:val="00A232DD"/>
    <w:rsid w:val="00A24C58"/>
    <w:rsid w:val="00A2530C"/>
    <w:rsid w:val="00A2612B"/>
    <w:rsid w:val="00A27094"/>
    <w:rsid w:val="00A321E4"/>
    <w:rsid w:val="00A336E5"/>
    <w:rsid w:val="00A33FB1"/>
    <w:rsid w:val="00A34181"/>
    <w:rsid w:val="00A36615"/>
    <w:rsid w:val="00A408C0"/>
    <w:rsid w:val="00A437F1"/>
    <w:rsid w:val="00A43BC7"/>
    <w:rsid w:val="00A46428"/>
    <w:rsid w:val="00A47923"/>
    <w:rsid w:val="00A47DD1"/>
    <w:rsid w:val="00A52353"/>
    <w:rsid w:val="00A5493B"/>
    <w:rsid w:val="00A5647F"/>
    <w:rsid w:val="00A56700"/>
    <w:rsid w:val="00A5775A"/>
    <w:rsid w:val="00A61567"/>
    <w:rsid w:val="00A61E31"/>
    <w:rsid w:val="00A6204D"/>
    <w:rsid w:val="00A63D7D"/>
    <w:rsid w:val="00A6579C"/>
    <w:rsid w:val="00A66FE1"/>
    <w:rsid w:val="00A67652"/>
    <w:rsid w:val="00A70482"/>
    <w:rsid w:val="00A72C3E"/>
    <w:rsid w:val="00A73406"/>
    <w:rsid w:val="00A73D79"/>
    <w:rsid w:val="00A769CE"/>
    <w:rsid w:val="00A77C8F"/>
    <w:rsid w:val="00A80F1A"/>
    <w:rsid w:val="00A81FB7"/>
    <w:rsid w:val="00A82AB7"/>
    <w:rsid w:val="00A851AD"/>
    <w:rsid w:val="00A85E70"/>
    <w:rsid w:val="00A907F8"/>
    <w:rsid w:val="00A95362"/>
    <w:rsid w:val="00A95E01"/>
    <w:rsid w:val="00AA1FE7"/>
    <w:rsid w:val="00AA208A"/>
    <w:rsid w:val="00AA6C66"/>
    <w:rsid w:val="00AA75B8"/>
    <w:rsid w:val="00AA7D02"/>
    <w:rsid w:val="00AB0F95"/>
    <w:rsid w:val="00AB2026"/>
    <w:rsid w:val="00AB3457"/>
    <w:rsid w:val="00AB4C3F"/>
    <w:rsid w:val="00AB6BC4"/>
    <w:rsid w:val="00AC03D1"/>
    <w:rsid w:val="00AC2FED"/>
    <w:rsid w:val="00AC3381"/>
    <w:rsid w:val="00AD243C"/>
    <w:rsid w:val="00AD2797"/>
    <w:rsid w:val="00AD5906"/>
    <w:rsid w:val="00AD5D24"/>
    <w:rsid w:val="00AE30D2"/>
    <w:rsid w:val="00AE5656"/>
    <w:rsid w:val="00AE7EA2"/>
    <w:rsid w:val="00AF57F4"/>
    <w:rsid w:val="00AF608F"/>
    <w:rsid w:val="00B0041A"/>
    <w:rsid w:val="00B020D5"/>
    <w:rsid w:val="00B0247B"/>
    <w:rsid w:val="00B0471C"/>
    <w:rsid w:val="00B101B6"/>
    <w:rsid w:val="00B1272F"/>
    <w:rsid w:val="00B1284C"/>
    <w:rsid w:val="00B136F8"/>
    <w:rsid w:val="00B2015D"/>
    <w:rsid w:val="00B2035B"/>
    <w:rsid w:val="00B210BD"/>
    <w:rsid w:val="00B21A4E"/>
    <w:rsid w:val="00B21EEE"/>
    <w:rsid w:val="00B23F7D"/>
    <w:rsid w:val="00B241B9"/>
    <w:rsid w:val="00B2788D"/>
    <w:rsid w:val="00B30BA8"/>
    <w:rsid w:val="00B3209D"/>
    <w:rsid w:val="00B34829"/>
    <w:rsid w:val="00B348FB"/>
    <w:rsid w:val="00B36E6E"/>
    <w:rsid w:val="00B3727A"/>
    <w:rsid w:val="00B37B03"/>
    <w:rsid w:val="00B37B60"/>
    <w:rsid w:val="00B41832"/>
    <w:rsid w:val="00B4265E"/>
    <w:rsid w:val="00B4266E"/>
    <w:rsid w:val="00B44141"/>
    <w:rsid w:val="00B50177"/>
    <w:rsid w:val="00B50184"/>
    <w:rsid w:val="00B514BA"/>
    <w:rsid w:val="00B51896"/>
    <w:rsid w:val="00B52F3B"/>
    <w:rsid w:val="00B53DCC"/>
    <w:rsid w:val="00B55514"/>
    <w:rsid w:val="00B55C9B"/>
    <w:rsid w:val="00B56E88"/>
    <w:rsid w:val="00B616C7"/>
    <w:rsid w:val="00B61DC3"/>
    <w:rsid w:val="00B622DD"/>
    <w:rsid w:val="00B6346B"/>
    <w:rsid w:val="00B63C74"/>
    <w:rsid w:val="00B65414"/>
    <w:rsid w:val="00B66B33"/>
    <w:rsid w:val="00B73DEF"/>
    <w:rsid w:val="00B841AE"/>
    <w:rsid w:val="00B86F3F"/>
    <w:rsid w:val="00B9033D"/>
    <w:rsid w:val="00B90348"/>
    <w:rsid w:val="00B927FB"/>
    <w:rsid w:val="00B928AF"/>
    <w:rsid w:val="00B964A0"/>
    <w:rsid w:val="00BA1BB6"/>
    <w:rsid w:val="00BA214D"/>
    <w:rsid w:val="00BB409A"/>
    <w:rsid w:val="00BB57AF"/>
    <w:rsid w:val="00BB581A"/>
    <w:rsid w:val="00BB5919"/>
    <w:rsid w:val="00BB749D"/>
    <w:rsid w:val="00BB7A29"/>
    <w:rsid w:val="00BB7A92"/>
    <w:rsid w:val="00BC0266"/>
    <w:rsid w:val="00BC0EBE"/>
    <w:rsid w:val="00BC21CA"/>
    <w:rsid w:val="00BC2631"/>
    <w:rsid w:val="00BC5DE9"/>
    <w:rsid w:val="00BC6B38"/>
    <w:rsid w:val="00BC70D5"/>
    <w:rsid w:val="00BD2EBE"/>
    <w:rsid w:val="00BD4F6B"/>
    <w:rsid w:val="00BD4FD9"/>
    <w:rsid w:val="00BE2421"/>
    <w:rsid w:val="00BE4120"/>
    <w:rsid w:val="00BE493B"/>
    <w:rsid w:val="00BE6B95"/>
    <w:rsid w:val="00BF1A59"/>
    <w:rsid w:val="00BF1FF6"/>
    <w:rsid w:val="00BF23A4"/>
    <w:rsid w:val="00BF2DE1"/>
    <w:rsid w:val="00BF3188"/>
    <w:rsid w:val="00BF3B43"/>
    <w:rsid w:val="00BF50E9"/>
    <w:rsid w:val="00BF51DB"/>
    <w:rsid w:val="00C024DB"/>
    <w:rsid w:val="00C053C5"/>
    <w:rsid w:val="00C13B40"/>
    <w:rsid w:val="00C15FF7"/>
    <w:rsid w:val="00C171FE"/>
    <w:rsid w:val="00C21FB7"/>
    <w:rsid w:val="00C25769"/>
    <w:rsid w:val="00C258FB"/>
    <w:rsid w:val="00C26591"/>
    <w:rsid w:val="00C32A86"/>
    <w:rsid w:val="00C33005"/>
    <w:rsid w:val="00C36099"/>
    <w:rsid w:val="00C36B26"/>
    <w:rsid w:val="00C400E3"/>
    <w:rsid w:val="00C40B5C"/>
    <w:rsid w:val="00C40D59"/>
    <w:rsid w:val="00C43D04"/>
    <w:rsid w:val="00C4456E"/>
    <w:rsid w:val="00C4551D"/>
    <w:rsid w:val="00C46A32"/>
    <w:rsid w:val="00C4795A"/>
    <w:rsid w:val="00C5049F"/>
    <w:rsid w:val="00C50A64"/>
    <w:rsid w:val="00C52FA5"/>
    <w:rsid w:val="00C53179"/>
    <w:rsid w:val="00C535D0"/>
    <w:rsid w:val="00C5742E"/>
    <w:rsid w:val="00C6237F"/>
    <w:rsid w:val="00C62B18"/>
    <w:rsid w:val="00C63B38"/>
    <w:rsid w:val="00C63DC6"/>
    <w:rsid w:val="00C648AB"/>
    <w:rsid w:val="00C651EF"/>
    <w:rsid w:val="00C73B09"/>
    <w:rsid w:val="00C73F31"/>
    <w:rsid w:val="00C741F9"/>
    <w:rsid w:val="00C81C9E"/>
    <w:rsid w:val="00C838C3"/>
    <w:rsid w:val="00C83DBC"/>
    <w:rsid w:val="00C93DAF"/>
    <w:rsid w:val="00C97C91"/>
    <w:rsid w:val="00CA006F"/>
    <w:rsid w:val="00CA4349"/>
    <w:rsid w:val="00CA7FCC"/>
    <w:rsid w:val="00CB0A62"/>
    <w:rsid w:val="00CB0C4A"/>
    <w:rsid w:val="00CB2DD7"/>
    <w:rsid w:val="00CB431F"/>
    <w:rsid w:val="00CC28DE"/>
    <w:rsid w:val="00CC3370"/>
    <w:rsid w:val="00CC3A34"/>
    <w:rsid w:val="00CC5531"/>
    <w:rsid w:val="00CC7833"/>
    <w:rsid w:val="00CD3F78"/>
    <w:rsid w:val="00CD4250"/>
    <w:rsid w:val="00CD442C"/>
    <w:rsid w:val="00CD4C13"/>
    <w:rsid w:val="00CD5B32"/>
    <w:rsid w:val="00CD5E8E"/>
    <w:rsid w:val="00CE4471"/>
    <w:rsid w:val="00CE491A"/>
    <w:rsid w:val="00CE68E2"/>
    <w:rsid w:val="00CE6A32"/>
    <w:rsid w:val="00CF2336"/>
    <w:rsid w:val="00CF2BA9"/>
    <w:rsid w:val="00CF37BA"/>
    <w:rsid w:val="00CF5851"/>
    <w:rsid w:val="00CF7C33"/>
    <w:rsid w:val="00CF7EB8"/>
    <w:rsid w:val="00D007AE"/>
    <w:rsid w:val="00D00AA7"/>
    <w:rsid w:val="00D01EAF"/>
    <w:rsid w:val="00D0488B"/>
    <w:rsid w:val="00D06937"/>
    <w:rsid w:val="00D1087A"/>
    <w:rsid w:val="00D15FF7"/>
    <w:rsid w:val="00D20224"/>
    <w:rsid w:val="00D20ADC"/>
    <w:rsid w:val="00D21A57"/>
    <w:rsid w:val="00D21B41"/>
    <w:rsid w:val="00D234E9"/>
    <w:rsid w:val="00D23DE4"/>
    <w:rsid w:val="00D261AD"/>
    <w:rsid w:val="00D30F68"/>
    <w:rsid w:val="00D328F2"/>
    <w:rsid w:val="00D32FF7"/>
    <w:rsid w:val="00D35778"/>
    <w:rsid w:val="00D366B9"/>
    <w:rsid w:val="00D40552"/>
    <w:rsid w:val="00D40C9C"/>
    <w:rsid w:val="00D40E99"/>
    <w:rsid w:val="00D4217F"/>
    <w:rsid w:val="00D42BD9"/>
    <w:rsid w:val="00D433E9"/>
    <w:rsid w:val="00D4613B"/>
    <w:rsid w:val="00D47E9D"/>
    <w:rsid w:val="00D47EE9"/>
    <w:rsid w:val="00D524DB"/>
    <w:rsid w:val="00D53D89"/>
    <w:rsid w:val="00D541E9"/>
    <w:rsid w:val="00D5428F"/>
    <w:rsid w:val="00D5466A"/>
    <w:rsid w:val="00D54C25"/>
    <w:rsid w:val="00D5644D"/>
    <w:rsid w:val="00D56713"/>
    <w:rsid w:val="00D5723C"/>
    <w:rsid w:val="00D608F9"/>
    <w:rsid w:val="00D6091A"/>
    <w:rsid w:val="00D609C3"/>
    <w:rsid w:val="00D60EEF"/>
    <w:rsid w:val="00D6349C"/>
    <w:rsid w:val="00D71C60"/>
    <w:rsid w:val="00D72A7C"/>
    <w:rsid w:val="00D73570"/>
    <w:rsid w:val="00D73EF9"/>
    <w:rsid w:val="00D75291"/>
    <w:rsid w:val="00D75697"/>
    <w:rsid w:val="00D779B8"/>
    <w:rsid w:val="00D80827"/>
    <w:rsid w:val="00D81091"/>
    <w:rsid w:val="00D8143B"/>
    <w:rsid w:val="00D81624"/>
    <w:rsid w:val="00D81AEC"/>
    <w:rsid w:val="00D83201"/>
    <w:rsid w:val="00D833AA"/>
    <w:rsid w:val="00D834D8"/>
    <w:rsid w:val="00D83FE4"/>
    <w:rsid w:val="00D849F8"/>
    <w:rsid w:val="00D86D5A"/>
    <w:rsid w:val="00D87540"/>
    <w:rsid w:val="00D87CEA"/>
    <w:rsid w:val="00D90F3C"/>
    <w:rsid w:val="00D91843"/>
    <w:rsid w:val="00D933BE"/>
    <w:rsid w:val="00D933E3"/>
    <w:rsid w:val="00D93D66"/>
    <w:rsid w:val="00D94BBC"/>
    <w:rsid w:val="00D955D4"/>
    <w:rsid w:val="00DA19DF"/>
    <w:rsid w:val="00DA1C6F"/>
    <w:rsid w:val="00DA3394"/>
    <w:rsid w:val="00DA3CED"/>
    <w:rsid w:val="00DA7E55"/>
    <w:rsid w:val="00DB161A"/>
    <w:rsid w:val="00DB2A84"/>
    <w:rsid w:val="00DB2B34"/>
    <w:rsid w:val="00DB70E0"/>
    <w:rsid w:val="00DC2366"/>
    <w:rsid w:val="00DC3811"/>
    <w:rsid w:val="00DC3ADE"/>
    <w:rsid w:val="00DC513C"/>
    <w:rsid w:val="00DC5FBA"/>
    <w:rsid w:val="00DC6175"/>
    <w:rsid w:val="00DC65BF"/>
    <w:rsid w:val="00DD1044"/>
    <w:rsid w:val="00DD243A"/>
    <w:rsid w:val="00DD4143"/>
    <w:rsid w:val="00DD49E2"/>
    <w:rsid w:val="00DD6027"/>
    <w:rsid w:val="00DD7EE2"/>
    <w:rsid w:val="00DE0B6E"/>
    <w:rsid w:val="00DE5AFB"/>
    <w:rsid w:val="00DE5D89"/>
    <w:rsid w:val="00DF04F4"/>
    <w:rsid w:val="00DF3027"/>
    <w:rsid w:val="00DF3B01"/>
    <w:rsid w:val="00DF77D1"/>
    <w:rsid w:val="00E0179A"/>
    <w:rsid w:val="00E039A9"/>
    <w:rsid w:val="00E0425F"/>
    <w:rsid w:val="00E05D53"/>
    <w:rsid w:val="00E0658D"/>
    <w:rsid w:val="00E12D28"/>
    <w:rsid w:val="00E13490"/>
    <w:rsid w:val="00E161C5"/>
    <w:rsid w:val="00E16783"/>
    <w:rsid w:val="00E21A68"/>
    <w:rsid w:val="00E2291F"/>
    <w:rsid w:val="00E22C62"/>
    <w:rsid w:val="00E245F6"/>
    <w:rsid w:val="00E27A06"/>
    <w:rsid w:val="00E30244"/>
    <w:rsid w:val="00E310A1"/>
    <w:rsid w:val="00E31F9D"/>
    <w:rsid w:val="00E32DD5"/>
    <w:rsid w:val="00E361C8"/>
    <w:rsid w:val="00E368DF"/>
    <w:rsid w:val="00E36B10"/>
    <w:rsid w:val="00E37AD8"/>
    <w:rsid w:val="00E37B03"/>
    <w:rsid w:val="00E426C9"/>
    <w:rsid w:val="00E44CD0"/>
    <w:rsid w:val="00E45E95"/>
    <w:rsid w:val="00E46681"/>
    <w:rsid w:val="00E47483"/>
    <w:rsid w:val="00E50AD8"/>
    <w:rsid w:val="00E5172E"/>
    <w:rsid w:val="00E51F6D"/>
    <w:rsid w:val="00E5791A"/>
    <w:rsid w:val="00E60B10"/>
    <w:rsid w:val="00E61AA3"/>
    <w:rsid w:val="00E61DA6"/>
    <w:rsid w:val="00E62229"/>
    <w:rsid w:val="00E623AB"/>
    <w:rsid w:val="00E6279A"/>
    <w:rsid w:val="00E67FAA"/>
    <w:rsid w:val="00E70F20"/>
    <w:rsid w:val="00E715D3"/>
    <w:rsid w:val="00E75B6A"/>
    <w:rsid w:val="00E7649D"/>
    <w:rsid w:val="00E76666"/>
    <w:rsid w:val="00E76A99"/>
    <w:rsid w:val="00E76F82"/>
    <w:rsid w:val="00E800F8"/>
    <w:rsid w:val="00E81CC9"/>
    <w:rsid w:val="00E83483"/>
    <w:rsid w:val="00E84285"/>
    <w:rsid w:val="00E84967"/>
    <w:rsid w:val="00E84CEF"/>
    <w:rsid w:val="00E85982"/>
    <w:rsid w:val="00E85CA5"/>
    <w:rsid w:val="00E85EA1"/>
    <w:rsid w:val="00E8747C"/>
    <w:rsid w:val="00E90AB3"/>
    <w:rsid w:val="00E91A03"/>
    <w:rsid w:val="00EA038C"/>
    <w:rsid w:val="00EA0EBF"/>
    <w:rsid w:val="00EA261A"/>
    <w:rsid w:val="00EA337A"/>
    <w:rsid w:val="00EA3CA7"/>
    <w:rsid w:val="00EA3D75"/>
    <w:rsid w:val="00EA6D42"/>
    <w:rsid w:val="00EB06AB"/>
    <w:rsid w:val="00EB0AE0"/>
    <w:rsid w:val="00EB10EA"/>
    <w:rsid w:val="00EB3920"/>
    <w:rsid w:val="00EB5C64"/>
    <w:rsid w:val="00EB7F48"/>
    <w:rsid w:val="00EC1B1F"/>
    <w:rsid w:val="00EC6695"/>
    <w:rsid w:val="00EC6BAE"/>
    <w:rsid w:val="00EC7A7B"/>
    <w:rsid w:val="00ED04C9"/>
    <w:rsid w:val="00ED0A35"/>
    <w:rsid w:val="00ED0BB1"/>
    <w:rsid w:val="00ED21D7"/>
    <w:rsid w:val="00ED633D"/>
    <w:rsid w:val="00ED6D81"/>
    <w:rsid w:val="00EE186C"/>
    <w:rsid w:val="00EE2189"/>
    <w:rsid w:val="00EE3206"/>
    <w:rsid w:val="00EE387B"/>
    <w:rsid w:val="00EF5921"/>
    <w:rsid w:val="00F04A33"/>
    <w:rsid w:val="00F0563F"/>
    <w:rsid w:val="00F14DAE"/>
    <w:rsid w:val="00F15B70"/>
    <w:rsid w:val="00F16C9A"/>
    <w:rsid w:val="00F23A91"/>
    <w:rsid w:val="00F26C36"/>
    <w:rsid w:val="00F26DD0"/>
    <w:rsid w:val="00F324F8"/>
    <w:rsid w:val="00F33850"/>
    <w:rsid w:val="00F37185"/>
    <w:rsid w:val="00F40506"/>
    <w:rsid w:val="00F41642"/>
    <w:rsid w:val="00F434EE"/>
    <w:rsid w:val="00F50049"/>
    <w:rsid w:val="00F5119B"/>
    <w:rsid w:val="00F519FC"/>
    <w:rsid w:val="00F51CA6"/>
    <w:rsid w:val="00F540E0"/>
    <w:rsid w:val="00F56257"/>
    <w:rsid w:val="00F60F30"/>
    <w:rsid w:val="00F653C4"/>
    <w:rsid w:val="00F65904"/>
    <w:rsid w:val="00F67CA5"/>
    <w:rsid w:val="00F70CC2"/>
    <w:rsid w:val="00F7710A"/>
    <w:rsid w:val="00F773E6"/>
    <w:rsid w:val="00F80182"/>
    <w:rsid w:val="00F85BDC"/>
    <w:rsid w:val="00F968FE"/>
    <w:rsid w:val="00F96CE8"/>
    <w:rsid w:val="00F973F1"/>
    <w:rsid w:val="00FA091B"/>
    <w:rsid w:val="00FA17A8"/>
    <w:rsid w:val="00FA2263"/>
    <w:rsid w:val="00FA2426"/>
    <w:rsid w:val="00FA2AEC"/>
    <w:rsid w:val="00FA5783"/>
    <w:rsid w:val="00FA5D47"/>
    <w:rsid w:val="00FA748B"/>
    <w:rsid w:val="00FC227F"/>
    <w:rsid w:val="00FC5EF6"/>
    <w:rsid w:val="00FD0E3E"/>
    <w:rsid w:val="00FD1618"/>
    <w:rsid w:val="00FD24CB"/>
    <w:rsid w:val="00FD2731"/>
    <w:rsid w:val="00FD3FFF"/>
    <w:rsid w:val="00FD4449"/>
    <w:rsid w:val="00FD4873"/>
    <w:rsid w:val="00FD4A8B"/>
    <w:rsid w:val="00FE0B3E"/>
    <w:rsid w:val="00FE269C"/>
    <w:rsid w:val="00FE2A41"/>
    <w:rsid w:val="00FE314F"/>
    <w:rsid w:val="00FE3F8E"/>
    <w:rsid w:val="00FE53A3"/>
    <w:rsid w:val="00FE7AC5"/>
    <w:rsid w:val="00FF183C"/>
    <w:rsid w:val="00FF5EC8"/>
    <w:rsid w:val="00FF6CE1"/>
    <w:rsid w:val="00FF71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C97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Plain Text" w:uiPriority="99"/>
    <w:lsdException w:name="No Lis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iPriority="71" w:unhideWhenUsed="0"/>
    <w:lsdException w:name="Colorful List Accent 1" w:semiHidden="0" w:uiPriority="72"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D1D71"/>
    <w:pPr>
      <w:widowControl w:val="0"/>
    </w:pPr>
    <w:rPr>
      <w:snapToGrid w:val="0"/>
      <w:kern w:val="28"/>
      <w:sz w:val="22"/>
    </w:rPr>
  </w:style>
  <w:style w:type="paragraph" w:styleId="Heading1">
    <w:name w:val="heading 1"/>
    <w:basedOn w:val="Normal"/>
    <w:next w:val="ParaNum"/>
    <w:link w:val="Heading1Char"/>
    <w:qFormat/>
    <w:rsid w:val="004D1D7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D1D71"/>
    <w:pPr>
      <w:keepNext/>
      <w:numPr>
        <w:ilvl w:val="1"/>
        <w:numId w:val="2"/>
      </w:numPr>
      <w:spacing w:after="120"/>
      <w:outlineLvl w:val="1"/>
    </w:pPr>
    <w:rPr>
      <w:b/>
    </w:rPr>
  </w:style>
  <w:style w:type="paragraph" w:styleId="Heading3">
    <w:name w:val="heading 3"/>
    <w:basedOn w:val="Normal"/>
    <w:next w:val="ParaNum"/>
    <w:qFormat/>
    <w:rsid w:val="004D1D71"/>
    <w:pPr>
      <w:keepNext/>
      <w:numPr>
        <w:ilvl w:val="2"/>
        <w:numId w:val="2"/>
      </w:numPr>
      <w:tabs>
        <w:tab w:val="left" w:pos="2160"/>
      </w:tabs>
      <w:spacing w:after="120"/>
      <w:outlineLvl w:val="2"/>
    </w:pPr>
    <w:rPr>
      <w:b/>
    </w:rPr>
  </w:style>
  <w:style w:type="paragraph" w:styleId="Heading4">
    <w:name w:val="heading 4"/>
    <w:basedOn w:val="Normal"/>
    <w:next w:val="ParaNum"/>
    <w:qFormat/>
    <w:rsid w:val="004D1D71"/>
    <w:pPr>
      <w:keepNext/>
      <w:numPr>
        <w:ilvl w:val="3"/>
        <w:numId w:val="2"/>
      </w:numPr>
      <w:tabs>
        <w:tab w:val="left" w:pos="2880"/>
      </w:tabs>
      <w:spacing w:after="120"/>
      <w:outlineLvl w:val="3"/>
    </w:pPr>
    <w:rPr>
      <w:b/>
    </w:rPr>
  </w:style>
  <w:style w:type="paragraph" w:styleId="Heading5">
    <w:name w:val="heading 5"/>
    <w:basedOn w:val="Normal"/>
    <w:next w:val="ParaNum"/>
    <w:qFormat/>
    <w:rsid w:val="004D1D71"/>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4D1D71"/>
    <w:pPr>
      <w:numPr>
        <w:ilvl w:val="5"/>
        <w:numId w:val="2"/>
      </w:numPr>
      <w:tabs>
        <w:tab w:val="left" w:pos="4320"/>
      </w:tabs>
      <w:spacing w:after="120"/>
      <w:outlineLvl w:val="5"/>
    </w:pPr>
    <w:rPr>
      <w:b/>
    </w:rPr>
  </w:style>
  <w:style w:type="paragraph" w:styleId="Heading7">
    <w:name w:val="heading 7"/>
    <w:basedOn w:val="Normal"/>
    <w:next w:val="ParaNum"/>
    <w:qFormat/>
    <w:rsid w:val="004D1D71"/>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4D1D7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4D1D7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D1D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1D71"/>
  </w:style>
  <w:style w:type="paragraph" w:styleId="BalloonText">
    <w:name w:val="Balloon Text"/>
    <w:basedOn w:val="Normal"/>
    <w:link w:val="BalloonTextChar1"/>
    <w:rsid w:val="00574447"/>
    <w:rPr>
      <w:rFonts w:ascii="Tahoma" w:hAnsi="Tahoma" w:cs="Tahoma"/>
      <w:sz w:val="16"/>
      <w:szCs w:val="16"/>
    </w:rPr>
  </w:style>
  <w:style w:type="character" w:customStyle="1" w:styleId="BalloonTextChar">
    <w:name w:val="Balloon Text Char"/>
    <w:uiPriority w:val="99"/>
    <w:semiHidden/>
    <w:rsid w:val="008F56DC"/>
    <w:rPr>
      <w:rFonts w:ascii="Lucida Grande" w:hAnsi="Lucida Grande"/>
      <w:sz w:val="18"/>
      <w:szCs w:val="18"/>
    </w:rPr>
  </w:style>
  <w:style w:type="character" w:customStyle="1" w:styleId="BalloonTextChar3">
    <w:name w:val="Balloon Text Char3"/>
    <w:uiPriority w:val="99"/>
    <w:semiHidden/>
    <w:rsid w:val="008F56DC"/>
    <w:rPr>
      <w:rFonts w:ascii="Lucida Grande" w:hAnsi="Lucida Grande"/>
      <w:sz w:val="18"/>
      <w:szCs w:val="18"/>
    </w:rPr>
  </w:style>
  <w:style w:type="character" w:customStyle="1" w:styleId="BalloonTextChar2">
    <w:name w:val="Balloon Text Char2"/>
    <w:uiPriority w:val="99"/>
    <w:semiHidden/>
    <w:rsid w:val="0095757C"/>
    <w:rPr>
      <w:rFonts w:ascii="Lucida Grande" w:hAnsi="Lucida Grande"/>
      <w:sz w:val="18"/>
      <w:szCs w:val="18"/>
    </w:rPr>
  </w:style>
  <w:style w:type="paragraph" w:customStyle="1" w:styleId="ParaNum">
    <w:name w:val="ParaNum"/>
    <w:basedOn w:val="Normal"/>
    <w:link w:val="ParaNumChar"/>
    <w:rsid w:val="004D1D71"/>
    <w:pPr>
      <w:numPr>
        <w:numId w:val="1"/>
      </w:numPr>
      <w:tabs>
        <w:tab w:val="clear" w:pos="1080"/>
        <w:tab w:val="num" w:pos="1440"/>
      </w:tabs>
      <w:spacing w:after="120"/>
    </w:pPr>
  </w:style>
  <w:style w:type="paragraph" w:styleId="EndnoteText">
    <w:name w:val="endnote text"/>
    <w:basedOn w:val="Normal"/>
    <w:semiHidden/>
    <w:rsid w:val="004D1D71"/>
    <w:rPr>
      <w:sz w:val="20"/>
    </w:rPr>
  </w:style>
  <w:style w:type="character" w:styleId="EndnoteReference">
    <w:name w:val="endnote reference"/>
    <w:semiHidden/>
    <w:rsid w:val="004D1D71"/>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4D1D71"/>
    <w:pPr>
      <w:spacing w:after="120"/>
    </w:pPr>
  </w:style>
  <w:style w:type="character" w:styleId="FootnoteReference">
    <w:name w:val="footnote reference"/>
    <w:aliases w:val="Style 13,Style 12,(NECG) Footnote Reference,Appel note de bas de p,Style 124,fr,o,Style 3,FR,Style 17,Style 6,Footnote Reference/,Style 7"/>
    <w:rsid w:val="004D1D71"/>
    <w:rPr>
      <w:rFonts w:ascii="Times New Roman" w:hAnsi="Times New Roman"/>
      <w:dstrike w:val="0"/>
      <w:color w:val="auto"/>
      <w:sz w:val="20"/>
      <w:vertAlign w:val="superscript"/>
    </w:rPr>
  </w:style>
  <w:style w:type="paragraph" w:styleId="TOC1">
    <w:name w:val="toc 1"/>
    <w:basedOn w:val="Normal"/>
    <w:next w:val="Normal"/>
    <w:semiHidden/>
    <w:rsid w:val="004D1D7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D1D71"/>
    <w:pPr>
      <w:tabs>
        <w:tab w:val="left" w:pos="720"/>
        <w:tab w:val="right" w:leader="dot" w:pos="9360"/>
      </w:tabs>
      <w:suppressAutoHyphens/>
      <w:ind w:left="720" w:right="720" w:hanging="360"/>
    </w:pPr>
    <w:rPr>
      <w:noProof/>
    </w:rPr>
  </w:style>
  <w:style w:type="paragraph" w:styleId="TOC3">
    <w:name w:val="toc 3"/>
    <w:basedOn w:val="Normal"/>
    <w:next w:val="Normal"/>
    <w:semiHidden/>
    <w:rsid w:val="004D1D7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D1D7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D1D7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D1D7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D1D7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D1D7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D1D7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D1D71"/>
    <w:pPr>
      <w:tabs>
        <w:tab w:val="right" w:pos="9360"/>
      </w:tabs>
      <w:suppressAutoHyphens/>
    </w:pPr>
  </w:style>
  <w:style w:type="character" w:customStyle="1" w:styleId="EquationCaption">
    <w:name w:val="_Equation Caption"/>
    <w:rsid w:val="004D1D71"/>
  </w:style>
  <w:style w:type="paragraph" w:styleId="Header">
    <w:name w:val="header"/>
    <w:basedOn w:val="Normal"/>
    <w:autoRedefine/>
    <w:rsid w:val="004D1D71"/>
    <w:pPr>
      <w:tabs>
        <w:tab w:val="center" w:pos="4680"/>
        <w:tab w:val="right" w:pos="9360"/>
      </w:tabs>
    </w:pPr>
    <w:rPr>
      <w:b/>
    </w:rPr>
  </w:style>
  <w:style w:type="paragraph" w:styleId="Footer">
    <w:name w:val="footer"/>
    <w:basedOn w:val="Normal"/>
    <w:rsid w:val="004D1D71"/>
    <w:pPr>
      <w:tabs>
        <w:tab w:val="center" w:pos="4320"/>
        <w:tab w:val="right" w:pos="8640"/>
      </w:tabs>
    </w:pPr>
  </w:style>
  <w:style w:type="character" w:styleId="PageNumber">
    <w:name w:val="page number"/>
    <w:basedOn w:val="DefaultParagraphFont"/>
    <w:rsid w:val="004D1D71"/>
  </w:style>
  <w:style w:type="paragraph" w:styleId="BlockText">
    <w:name w:val="Block Text"/>
    <w:basedOn w:val="Normal"/>
    <w:rsid w:val="004D1D71"/>
    <w:pPr>
      <w:spacing w:after="240"/>
      <w:ind w:left="1440" w:right="1440"/>
    </w:pPr>
  </w:style>
  <w:style w:type="paragraph" w:customStyle="1" w:styleId="Paratitle">
    <w:name w:val="Para title"/>
    <w:basedOn w:val="Normal"/>
    <w:rsid w:val="004D1D71"/>
    <w:pPr>
      <w:tabs>
        <w:tab w:val="center" w:pos="9270"/>
      </w:tabs>
      <w:spacing w:after="240"/>
    </w:pPr>
    <w:rPr>
      <w:spacing w:val="-2"/>
    </w:rPr>
  </w:style>
  <w:style w:type="paragraph" w:customStyle="1" w:styleId="Bullet">
    <w:name w:val="Bullet"/>
    <w:basedOn w:val="Normal"/>
    <w:rsid w:val="004D1D71"/>
    <w:pPr>
      <w:tabs>
        <w:tab w:val="left" w:pos="2160"/>
      </w:tabs>
      <w:spacing w:after="220"/>
      <w:ind w:left="2160" w:hanging="720"/>
    </w:pPr>
  </w:style>
  <w:style w:type="paragraph" w:customStyle="1" w:styleId="TableFormat">
    <w:name w:val="TableFormat"/>
    <w:basedOn w:val="Bullet"/>
    <w:rsid w:val="004D1D71"/>
    <w:pPr>
      <w:tabs>
        <w:tab w:val="clear" w:pos="2160"/>
        <w:tab w:val="left" w:pos="5040"/>
      </w:tabs>
      <w:ind w:left="5040" w:hanging="3600"/>
    </w:pPr>
  </w:style>
  <w:style w:type="paragraph" w:customStyle="1" w:styleId="TOCTitle">
    <w:name w:val="TOC Title"/>
    <w:basedOn w:val="Normal"/>
    <w:rsid w:val="004D1D7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D1D71"/>
    <w:pPr>
      <w:jc w:val="center"/>
    </w:pPr>
    <w:rPr>
      <w:rFonts w:ascii="Times New Roman Bold" w:hAnsi="Times New Roman Bold"/>
      <w:b/>
      <w:bCs/>
      <w:caps/>
      <w:szCs w:val="22"/>
    </w:rPr>
  </w:style>
  <w:style w:type="character" w:styleId="Hyperlink">
    <w:name w:val="Hyperlink"/>
    <w:rsid w:val="004D1D71"/>
    <w:rPr>
      <w:color w:val="0000FF"/>
      <w:u w:val="single"/>
    </w:rPr>
  </w:style>
  <w:style w:type="paragraph" w:customStyle="1" w:styleId="ColorfulList-Accent11">
    <w:name w:val="Colorful List - Accent 11"/>
    <w:basedOn w:val="Normal"/>
    <w:uiPriority w:val="34"/>
    <w:qFormat/>
    <w:rsid w:val="00343A20"/>
    <w:pPr>
      <w:ind w:left="720"/>
      <w:contextualSpacing/>
    </w:pPr>
    <w:rPr>
      <w:rFonts w:ascii="Calibri" w:eastAsia="Calibri" w:hAnsi="Calibri"/>
      <w:snapToGrid/>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271BCE"/>
  </w:style>
  <w:style w:type="character" w:customStyle="1" w:styleId="BalloonTextChar1">
    <w:name w:val="Balloon Text Char1"/>
    <w:link w:val="BalloonText"/>
    <w:rsid w:val="00574447"/>
    <w:rPr>
      <w:rFonts w:ascii="Tahoma" w:hAnsi="Tahoma" w:cs="Tahoma"/>
      <w:snapToGrid w:val="0"/>
      <w:kern w:val="28"/>
      <w:sz w:val="16"/>
      <w:szCs w:val="16"/>
    </w:rPr>
  </w:style>
  <w:style w:type="character" w:styleId="CommentReference">
    <w:name w:val="annotation reference"/>
    <w:rsid w:val="00440D67"/>
    <w:rPr>
      <w:sz w:val="16"/>
      <w:szCs w:val="16"/>
    </w:rPr>
  </w:style>
  <w:style w:type="paragraph" w:styleId="CommentText">
    <w:name w:val="annotation text"/>
    <w:basedOn w:val="Normal"/>
    <w:link w:val="CommentTextChar"/>
    <w:rsid w:val="00440D67"/>
    <w:rPr>
      <w:sz w:val="20"/>
    </w:rPr>
  </w:style>
  <w:style w:type="character" w:customStyle="1" w:styleId="CommentTextChar">
    <w:name w:val="Comment Text Char"/>
    <w:link w:val="CommentText"/>
    <w:rsid w:val="00440D67"/>
    <w:rPr>
      <w:snapToGrid w:val="0"/>
      <w:kern w:val="28"/>
    </w:rPr>
  </w:style>
  <w:style w:type="paragraph" w:styleId="CommentSubject">
    <w:name w:val="annotation subject"/>
    <w:basedOn w:val="CommentText"/>
    <w:next w:val="CommentText"/>
    <w:link w:val="CommentSubjectChar"/>
    <w:rsid w:val="00440D67"/>
    <w:rPr>
      <w:b/>
      <w:bCs/>
    </w:rPr>
  </w:style>
  <w:style w:type="character" w:customStyle="1" w:styleId="CommentSubjectChar">
    <w:name w:val="Comment Subject Char"/>
    <w:link w:val="CommentSubject"/>
    <w:rsid w:val="00440D67"/>
    <w:rPr>
      <w:b/>
      <w:bCs/>
      <w:snapToGrid w:val="0"/>
      <w:kern w:val="28"/>
    </w:rPr>
  </w:style>
  <w:style w:type="paragraph" w:customStyle="1" w:styleId="ColorfulShading-Accent11">
    <w:name w:val="Colorful Shading - Accent 11"/>
    <w:hidden/>
    <w:uiPriority w:val="71"/>
    <w:rsid w:val="00E425EC"/>
    <w:rPr>
      <w:snapToGrid w:val="0"/>
      <w:kern w:val="28"/>
      <w:sz w:val="22"/>
    </w:rPr>
  </w:style>
  <w:style w:type="character" w:customStyle="1" w:styleId="ParaNumChar">
    <w:name w:val="ParaNum Char"/>
    <w:link w:val="ParaNum"/>
    <w:locked/>
    <w:rsid w:val="001A3BAD"/>
    <w:rPr>
      <w:snapToGrid w:val="0"/>
      <w:kern w:val="28"/>
      <w:sz w:val="22"/>
    </w:rPr>
  </w:style>
  <w:style w:type="paragraph" w:customStyle="1" w:styleId="ColorfulList-Accent12">
    <w:name w:val="Colorful List - Accent 12"/>
    <w:basedOn w:val="Normal"/>
    <w:uiPriority w:val="72"/>
    <w:qFormat/>
    <w:rsid w:val="008A628E"/>
    <w:pPr>
      <w:ind w:left="720"/>
      <w:contextualSpacing/>
    </w:pPr>
  </w:style>
  <w:style w:type="character" w:styleId="Emphasis">
    <w:name w:val="Emphasis"/>
    <w:uiPriority w:val="99"/>
    <w:qFormat/>
    <w:rsid w:val="004A12E4"/>
    <w:rPr>
      <w:rFonts w:cs="Times New Roman"/>
      <w:i/>
    </w:rPr>
  </w:style>
  <w:style w:type="paragraph" w:styleId="PlainText">
    <w:name w:val="Plain Text"/>
    <w:basedOn w:val="Normal"/>
    <w:link w:val="PlainTextChar"/>
    <w:uiPriority w:val="99"/>
    <w:unhideWhenUsed/>
    <w:rsid w:val="003A759F"/>
    <w:rPr>
      <w:rFonts w:ascii="Calibri" w:hAnsi="Calibri"/>
      <w:snapToGrid/>
      <w:szCs w:val="21"/>
    </w:rPr>
  </w:style>
  <w:style w:type="character" w:customStyle="1" w:styleId="PlainTextChar">
    <w:name w:val="Plain Text Char"/>
    <w:link w:val="PlainText"/>
    <w:uiPriority w:val="99"/>
    <w:rsid w:val="003A759F"/>
    <w:rPr>
      <w:rFonts w:ascii="Calibri" w:eastAsia="Calibri" w:hAnsi="Calibri" w:cs="Times New Roman"/>
      <w:sz w:val="22"/>
      <w:szCs w:val="21"/>
    </w:rPr>
  </w:style>
  <w:style w:type="table" w:styleId="TableGrid">
    <w:name w:val="Table Grid"/>
    <w:basedOn w:val="TableNormal"/>
    <w:rsid w:val="00634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311FF"/>
    <w:rPr>
      <w:rFonts w:ascii="Times New Roman Bold" w:hAnsi="Times New Roman Bold"/>
      <w:b/>
      <w:caps/>
      <w:snapToGrid w:val="0"/>
      <w:kern w:val="28"/>
      <w:sz w:val="22"/>
    </w:rPr>
  </w:style>
  <w:style w:type="character" w:customStyle="1" w:styleId="Heading2Char">
    <w:name w:val="Heading 2 Char"/>
    <w:link w:val="Heading2"/>
    <w:rsid w:val="006A0DA0"/>
    <w:rPr>
      <w:b/>
      <w:snapToGrid w:val="0"/>
      <w:kern w:val="28"/>
      <w:sz w:val="22"/>
    </w:rPr>
  </w:style>
  <w:style w:type="paragraph" w:styleId="Revision">
    <w:name w:val="Revision"/>
    <w:hidden/>
    <w:rsid w:val="00477C6B"/>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Plain Text" w:uiPriority="99"/>
    <w:lsdException w:name="No Lis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iPriority="71" w:unhideWhenUsed="0"/>
    <w:lsdException w:name="Colorful List Accent 1" w:semiHidden="0" w:uiPriority="72"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D1D71"/>
    <w:pPr>
      <w:widowControl w:val="0"/>
    </w:pPr>
    <w:rPr>
      <w:snapToGrid w:val="0"/>
      <w:kern w:val="28"/>
      <w:sz w:val="22"/>
    </w:rPr>
  </w:style>
  <w:style w:type="paragraph" w:styleId="Heading1">
    <w:name w:val="heading 1"/>
    <w:basedOn w:val="Normal"/>
    <w:next w:val="ParaNum"/>
    <w:link w:val="Heading1Char"/>
    <w:qFormat/>
    <w:rsid w:val="004D1D7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D1D71"/>
    <w:pPr>
      <w:keepNext/>
      <w:numPr>
        <w:ilvl w:val="1"/>
        <w:numId w:val="2"/>
      </w:numPr>
      <w:spacing w:after="120"/>
      <w:outlineLvl w:val="1"/>
    </w:pPr>
    <w:rPr>
      <w:b/>
    </w:rPr>
  </w:style>
  <w:style w:type="paragraph" w:styleId="Heading3">
    <w:name w:val="heading 3"/>
    <w:basedOn w:val="Normal"/>
    <w:next w:val="ParaNum"/>
    <w:qFormat/>
    <w:rsid w:val="004D1D71"/>
    <w:pPr>
      <w:keepNext/>
      <w:numPr>
        <w:ilvl w:val="2"/>
        <w:numId w:val="2"/>
      </w:numPr>
      <w:tabs>
        <w:tab w:val="left" w:pos="2160"/>
      </w:tabs>
      <w:spacing w:after="120"/>
      <w:outlineLvl w:val="2"/>
    </w:pPr>
    <w:rPr>
      <w:b/>
    </w:rPr>
  </w:style>
  <w:style w:type="paragraph" w:styleId="Heading4">
    <w:name w:val="heading 4"/>
    <w:basedOn w:val="Normal"/>
    <w:next w:val="ParaNum"/>
    <w:qFormat/>
    <w:rsid w:val="004D1D71"/>
    <w:pPr>
      <w:keepNext/>
      <w:numPr>
        <w:ilvl w:val="3"/>
        <w:numId w:val="2"/>
      </w:numPr>
      <w:tabs>
        <w:tab w:val="left" w:pos="2880"/>
      </w:tabs>
      <w:spacing w:after="120"/>
      <w:outlineLvl w:val="3"/>
    </w:pPr>
    <w:rPr>
      <w:b/>
    </w:rPr>
  </w:style>
  <w:style w:type="paragraph" w:styleId="Heading5">
    <w:name w:val="heading 5"/>
    <w:basedOn w:val="Normal"/>
    <w:next w:val="ParaNum"/>
    <w:qFormat/>
    <w:rsid w:val="004D1D71"/>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4D1D71"/>
    <w:pPr>
      <w:numPr>
        <w:ilvl w:val="5"/>
        <w:numId w:val="2"/>
      </w:numPr>
      <w:tabs>
        <w:tab w:val="left" w:pos="4320"/>
      </w:tabs>
      <w:spacing w:after="120"/>
      <w:outlineLvl w:val="5"/>
    </w:pPr>
    <w:rPr>
      <w:b/>
    </w:rPr>
  </w:style>
  <w:style w:type="paragraph" w:styleId="Heading7">
    <w:name w:val="heading 7"/>
    <w:basedOn w:val="Normal"/>
    <w:next w:val="ParaNum"/>
    <w:qFormat/>
    <w:rsid w:val="004D1D71"/>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4D1D7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4D1D7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D1D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1D71"/>
  </w:style>
  <w:style w:type="paragraph" w:styleId="BalloonText">
    <w:name w:val="Balloon Text"/>
    <w:basedOn w:val="Normal"/>
    <w:link w:val="BalloonTextChar1"/>
    <w:rsid w:val="00574447"/>
    <w:rPr>
      <w:rFonts w:ascii="Tahoma" w:hAnsi="Tahoma" w:cs="Tahoma"/>
      <w:sz w:val="16"/>
      <w:szCs w:val="16"/>
    </w:rPr>
  </w:style>
  <w:style w:type="character" w:customStyle="1" w:styleId="BalloonTextChar">
    <w:name w:val="Balloon Text Char"/>
    <w:uiPriority w:val="99"/>
    <w:semiHidden/>
    <w:rsid w:val="008F56DC"/>
    <w:rPr>
      <w:rFonts w:ascii="Lucida Grande" w:hAnsi="Lucida Grande"/>
      <w:sz w:val="18"/>
      <w:szCs w:val="18"/>
    </w:rPr>
  </w:style>
  <w:style w:type="character" w:customStyle="1" w:styleId="BalloonTextChar3">
    <w:name w:val="Balloon Text Char3"/>
    <w:uiPriority w:val="99"/>
    <w:semiHidden/>
    <w:rsid w:val="008F56DC"/>
    <w:rPr>
      <w:rFonts w:ascii="Lucida Grande" w:hAnsi="Lucida Grande"/>
      <w:sz w:val="18"/>
      <w:szCs w:val="18"/>
    </w:rPr>
  </w:style>
  <w:style w:type="character" w:customStyle="1" w:styleId="BalloonTextChar2">
    <w:name w:val="Balloon Text Char2"/>
    <w:uiPriority w:val="99"/>
    <w:semiHidden/>
    <w:rsid w:val="0095757C"/>
    <w:rPr>
      <w:rFonts w:ascii="Lucida Grande" w:hAnsi="Lucida Grande"/>
      <w:sz w:val="18"/>
      <w:szCs w:val="18"/>
    </w:rPr>
  </w:style>
  <w:style w:type="paragraph" w:customStyle="1" w:styleId="ParaNum">
    <w:name w:val="ParaNum"/>
    <w:basedOn w:val="Normal"/>
    <w:link w:val="ParaNumChar"/>
    <w:rsid w:val="004D1D71"/>
    <w:pPr>
      <w:numPr>
        <w:numId w:val="1"/>
      </w:numPr>
      <w:tabs>
        <w:tab w:val="clear" w:pos="1080"/>
        <w:tab w:val="num" w:pos="1440"/>
      </w:tabs>
      <w:spacing w:after="120"/>
    </w:pPr>
  </w:style>
  <w:style w:type="paragraph" w:styleId="EndnoteText">
    <w:name w:val="endnote text"/>
    <w:basedOn w:val="Normal"/>
    <w:semiHidden/>
    <w:rsid w:val="004D1D71"/>
    <w:rPr>
      <w:sz w:val="20"/>
    </w:rPr>
  </w:style>
  <w:style w:type="character" w:styleId="EndnoteReference">
    <w:name w:val="endnote reference"/>
    <w:semiHidden/>
    <w:rsid w:val="004D1D71"/>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4D1D71"/>
    <w:pPr>
      <w:spacing w:after="120"/>
    </w:pPr>
  </w:style>
  <w:style w:type="character" w:styleId="FootnoteReference">
    <w:name w:val="footnote reference"/>
    <w:aliases w:val="Style 13,Style 12,(NECG) Footnote Reference,Appel note de bas de p,Style 124,fr,o,Style 3,FR,Style 17,Style 6,Footnote Reference/,Style 7"/>
    <w:rsid w:val="004D1D71"/>
    <w:rPr>
      <w:rFonts w:ascii="Times New Roman" w:hAnsi="Times New Roman"/>
      <w:dstrike w:val="0"/>
      <w:color w:val="auto"/>
      <w:sz w:val="20"/>
      <w:vertAlign w:val="superscript"/>
    </w:rPr>
  </w:style>
  <w:style w:type="paragraph" w:styleId="TOC1">
    <w:name w:val="toc 1"/>
    <w:basedOn w:val="Normal"/>
    <w:next w:val="Normal"/>
    <w:semiHidden/>
    <w:rsid w:val="004D1D7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D1D71"/>
    <w:pPr>
      <w:tabs>
        <w:tab w:val="left" w:pos="720"/>
        <w:tab w:val="right" w:leader="dot" w:pos="9360"/>
      </w:tabs>
      <w:suppressAutoHyphens/>
      <w:ind w:left="720" w:right="720" w:hanging="360"/>
    </w:pPr>
    <w:rPr>
      <w:noProof/>
    </w:rPr>
  </w:style>
  <w:style w:type="paragraph" w:styleId="TOC3">
    <w:name w:val="toc 3"/>
    <w:basedOn w:val="Normal"/>
    <w:next w:val="Normal"/>
    <w:semiHidden/>
    <w:rsid w:val="004D1D7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D1D7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D1D7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D1D7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D1D7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D1D7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D1D7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D1D71"/>
    <w:pPr>
      <w:tabs>
        <w:tab w:val="right" w:pos="9360"/>
      </w:tabs>
      <w:suppressAutoHyphens/>
    </w:pPr>
  </w:style>
  <w:style w:type="character" w:customStyle="1" w:styleId="EquationCaption">
    <w:name w:val="_Equation Caption"/>
    <w:rsid w:val="004D1D71"/>
  </w:style>
  <w:style w:type="paragraph" w:styleId="Header">
    <w:name w:val="header"/>
    <w:basedOn w:val="Normal"/>
    <w:autoRedefine/>
    <w:rsid w:val="004D1D71"/>
    <w:pPr>
      <w:tabs>
        <w:tab w:val="center" w:pos="4680"/>
        <w:tab w:val="right" w:pos="9360"/>
      </w:tabs>
    </w:pPr>
    <w:rPr>
      <w:b/>
    </w:rPr>
  </w:style>
  <w:style w:type="paragraph" w:styleId="Footer">
    <w:name w:val="footer"/>
    <w:basedOn w:val="Normal"/>
    <w:rsid w:val="004D1D71"/>
    <w:pPr>
      <w:tabs>
        <w:tab w:val="center" w:pos="4320"/>
        <w:tab w:val="right" w:pos="8640"/>
      </w:tabs>
    </w:pPr>
  </w:style>
  <w:style w:type="character" w:styleId="PageNumber">
    <w:name w:val="page number"/>
    <w:basedOn w:val="DefaultParagraphFont"/>
    <w:rsid w:val="004D1D71"/>
  </w:style>
  <w:style w:type="paragraph" w:styleId="BlockText">
    <w:name w:val="Block Text"/>
    <w:basedOn w:val="Normal"/>
    <w:rsid w:val="004D1D71"/>
    <w:pPr>
      <w:spacing w:after="240"/>
      <w:ind w:left="1440" w:right="1440"/>
    </w:pPr>
  </w:style>
  <w:style w:type="paragraph" w:customStyle="1" w:styleId="Paratitle">
    <w:name w:val="Para title"/>
    <w:basedOn w:val="Normal"/>
    <w:rsid w:val="004D1D71"/>
    <w:pPr>
      <w:tabs>
        <w:tab w:val="center" w:pos="9270"/>
      </w:tabs>
      <w:spacing w:after="240"/>
    </w:pPr>
    <w:rPr>
      <w:spacing w:val="-2"/>
    </w:rPr>
  </w:style>
  <w:style w:type="paragraph" w:customStyle="1" w:styleId="Bullet">
    <w:name w:val="Bullet"/>
    <w:basedOn w:val="Normal"/>
    <w:rsid w:val="004D1D71"/>
    <w:pPr>
      <w:tabs>
        <w:tab w:val="left" w:pos="2160"/>
      </w:tabs>
      <w:spacing w:after="220"/>
      <w:ind w:left="2160" w:hanging="720"/>
    </w:pPr>
  </w:style>
  <w:style w:type="paragraph" w:customStyle="1" w:styleId="TableFormat">
    <w:name w:val="TableFormat"/>
    <w:basedOn w:val="Bullet"/>
    <w:rsid w:val="004D1D71"/>
    <w:pPr>
      <w:tabs>
        <w:tab w:val="clear" w:pos="2160"/>
        <w:tab w:val="left" w:pos="5040"/>
      </w:tabs>
      <w:ind w:left="5040" w:hanging="3600"/>
    </w:pPr>
  </w:style>
  <w:style w:type="paragraph" w:customStyle="1" w:styleId="TOCTitle">
    <w:name w:val="TOC Title"/>
    <w:basedOn w:val="Normal"/>
    <w:rsid w:val="004D1D7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D1D71"/>
    <w:pPr>
      <w:jc w:val="center"/>
    </w:pPr>
    <w:rPr>
      <w:rFonts w:ascii="Times New Roman Bold" w:hAnsi="Times New Roman Bold"/>
      <w:b/>
      <w:bCs/>
      <w:caps/>
      <w:szCs w:val="22"/>
    </w:rPr>
  </w:style>
  <w:style w:type="character" w:styleId="Hyperlink">
    <w:name w:val="Hyperlink"/>
    <w:rsid w:val="004D1D71"/>
    <w:rPr>
      <w:color w:val="0000FF"/>
      <w:u w:val="single"/>
    </w:rPr>
  </w:style>
  <w:style w:type="paragraph" w:customStyle="1" w:styleId="ColorfulList-Accent11">
    <w:name w:val="Colorful List - Accent 11"/>
    <w:basedOn w:val="Normal"/>
    <w:uiPriority w:val="34"/>
    <w:qFormat/>
    <w:rsid w:val="00343A20"/>
    <w:pPr>
      <w:ind w:left="720"/>
      <w:contextualSpacing/>
    </w:pPr>
    <w:rPr>
      <w:rFonts w:ascii="Calibri" w:eastAsia="Calibri" w:hAnsi="Calibri"/>
      <w:snapToGrid/>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271BCE"/>
  </w:style>
  <w:style w:type="character" w:customStyle="1" w:styleId="BalloonTextChar1">
    <w:name w:val="Balloon Text Char1"/>
    <w:link w:val="BalloonText"/>
    <w:rsid w:val="00574447"/>
    <w:rPr>
      <w:rFonts w:ascii="Tahoma" w:hAnsi="Tahoma" w:cs="Tahoma"/>
      <w:snapToGrid w:val="0"/>
      <w:kern w:val="28"/>
      <w:sz w:val="16"/>
      <w:szCs w:val="16"/>
    </w:rPr>
  </w:style>
  <w:style w:type="character" w:styleId="CommentReference">
    <w:name w:val="annotation reference"/>
    <w:rsid w:val="00440D67"/>
    <w:rPr>
      <w:sz w:val="16"/>
      <w:szCs w:val="16"/>
    </w:rPr>
  </w:style>
  <w:style w:type="paragraph" w:styleId="CommentText">
    <w:name w:val="annotation text"/>
    <w:basedOn w:val="Normal"/>
    <w:link w:val="CommentTextChar"/>
    <w:rsid w:val="00440D67"/>
    <w:rPr>
      <w:sz w:val="20"/>
    </w:rPr>
  </w:style>
  <w:style w:type="character" w:customStyle="1" w:styleId="CommentTextChar">
    <w:name w:val="Comment Text Char"/>
    <w:link w:val="CommentText"/>
    <w:rsid w:val="00440D67"/>
    <w:rPr>
      <w:snapToGrid w:val="0"/>
      <w:kern w:val="28"/>
    </w:rPr>
  </w:style>
  <w:style w:type="paragraph" w:styleId="CommentSubject">
    <w:name w:val="annotation subject"/>
    <w:basedOn w:val="CommentText"/>
    <w:next w:val="CommentText"/>
    <w:link w:val="CommentSubjectChar"/>
    <w:rsid w:val="00440D67"/>
    <w:rPr>
      <w:b/>
      <w:bCs/>
    </w:rPr>
  </w:style>
  <w:style w:type="character" w:customStyle="1" w:styleId="CommentSubjectChar">
    <w:name w:val="Comment Subject Char"/>
    <w:link w:val="CommentSubject"/>
    <w:rsid w:val="00440D67"/>
    <w:rPr>
      <w:b/>
      <w:bCs/>
      <w:snapToGrid w:val="0"/>
      <w:kern w:val="28"/>
    </w:rPr>
  </w:style>
  <w:style w:type="paragraph" w:customStyle="1" w:styleId="ColorfulShading-Accent11">
    <w:name w:val="Colorful Shading - Accent 11"/>
    <w:hidden/>
    <w:uiPriority w:val="71"/>
    <w:rsid w:val="00E425EC"/>
    <w:rPr>
      <w:snapToGrid w:val="0"/>
      <w:kern w:val="28"/>
      <w:sz w:val="22"/>
    </w:rPr>
  </w:style>
  <w:style w:type="character" w:customStyle="1" w:styleId="ParaNumChar">
    <w:name w:val="ParaNum Char"/>
    <w:link w:val="ParaNum"/>
    <w:locked/>
    <w:rsid w:val="001A3BAD"/>
    <w:rPr>
      <w:snapToGrid w:val="0"/>
      <w:kern w:val="28"/>
      <w:sz w:val="22"/>
    </w:rPr>
  </w:style>
  <w:style w:type="paragraph" w:customStyle="1" w:styleId="ColorfulList-Accent12">
    <w:name w:val="Colorful List - Accent 12"/>
    <w:basedOn w:val="Normal"/>
    <w:uiPriority w:val="72"/>
    <w:qFormat/>
    <w:rsid w:val="008A628E"/>
    <w:pPr>
      <w:ind w:left="720"/>
      <w:contextualSpacing/>
    </w:pPr>
  </w:style>
  <w:style w:type="character" w:styleId="Emphasis">
    <w:name w:val="Emphasis"/>
    <w:uiPriority w:val="99"/>
    <w:qFormat/>
    <w:rsid w:val="004A12E4"/>
    <w:rPr>
      <w:rFonts w:cs="Times New Roman"/>
      <w:i/>
    </w:rPr>
  </w:style>
  <w:style w:type="paragraph" w:styleId="PlainText">
    <w:name w:val="Plain Text"/>
    <w:basedOn w:val="Normal"/>
    <w:link w:val="PlainTextChar"/>
    <w:uiPriority w:val="99"/>
    <w:unhideWhenUsed/>
    <w:rsid w:val="003A759F"/>
    <w:rPr>
      <w:rFonts w:ascii="Calibri" w:hAnsi="Calibri"/>
      <w:snapToGrid/>
      <w:szCs w:val="21"/>
    </w:rPr>
  </w:style>
  <w:style w:type="character" w:customStyle="1" w:styleId="PlainTextChar">
    <w:name w:val="Plain Text Char"/>
    <w:link w:val="PlainText"/>
    <w:uiPriority w:val="99"/>
    <w:rsid w:val="003A759F"/>
    <w:rPr>
      <w:rFonts w:ascii="Calibri" w:eastAsia="Calibri" w:hAnsi="Calibri" w:cs="Times New Roman"/>
      <w:sz w:val="22"/>
      <w:szCs w:val="21"/>
    </w:rPr>
  </w:style>
  <w:style w:type="table" w:styleId="TableGrid">
    <w:name w:val="Table Grid"/>
    <w:basedOn w:val="TableNormal"/>
    <w:rsid w:val="00634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311FF"/>
    <w:rPr>
      <w:rFonts w:ascii="Times New Roman Bold" w:hAnsi="Times New Roman Bold"/>
      <w:b/>
      <w:caps/>
      <w:snapToGrid w:val="0"/>
      <w:kern w:val="28"/>
      <w:sz w:val="22"/>
    </w:rPr>
  </w:style>
  <w:style w:type="character" w:customStyle="1" w:styleId="Heading2Char">
    <w:name w:val="Heading 2 Char"/>
    <w:link w:val="Heading2"/>
    <w:rsid w:val="006A0DA0"/>
    <w:rPr>
      <w:b/>
      <w:snapToGrid w:val="0"/>
      <w:kern w:val="28"/>
      <w:sz w:val="22"/>
    </w:rPr>
  </w:style>
  <w:style w:type="paragraph" w:styleId="Revision">
    <w:name w:val="Revision"/>
    <w:hidden/>
    <w:rsid w:val="00477C6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8007">
      <w:bodyDiv w:val="1"/>
      <w:marLeft w:val="0"/>
      <w:marRight w:val="0"/>
      <w:marTop w:val="0"/>
      <w:marBottom w:val="0"/>
      <w:divBdr>
        <w:top w:val="none" w:sz="0" w:space="0" w:color="auto"/>
        <w:left w:val="none" w:sz="0" w:space="0" w:color="auto"/>
        <w:bottom w:val="none" w:sz="0" w:space="0" w:color="auto"/>
        <w:right w:val="none" w:sz="0" w:space="0" w:color="auto"/>
      </w:divBdr>
    </w:div>
    <w:div w:id="346061606">
      <w:bodyDiv w:val="1"/>
      <w:marLeft w:val="0"/>
      <w:marRight w:val="0"/>
      <w:marTop w:val="0"/>
      <w:marBottom w:val="0"/>
      <w:divBdr>
        <w:top w:val="none" w:sz="0" w:space="0" w:color="auto"/>
        <w:left w:val="none" w:sz="0" w:space="0" w:color="auto"/>
        <w:bottom w:val="none" w:sz="0" w:space="0" w:color="auto"/>
        <w:right w:val="none" w:sz="0" w:space="0" w:color="auto"/>
      </w:divBdr>
    </w:div>
    <w:div w:id="366299788">
      <w:bodyDiv w:val="1"/>
      <w:marLeft w:val="0"/>
      <w:marRight w:val="0"/>
      <w:marTop w:val="0"/>
      <w:marBottom w:val="0"/>
      <w:divBdr>
        <w:top w:val="none" w:sz="0" w:space="0" w:color="auto"/>
        <w:left w:val="none" w:sz="0" w:space="0" w:color="auto"/>
        <w:bottom w:val="none" w:sz="0" w:space="0" w:color="auto"/>
        <w:right w:val="none" w:sz="0" w:space="0" w:color="auto"/>
      </w:divBdr>
    </w:div>
    <w:div w:id="1478958864">
      <w:bodyDiv w:val="1"/>
      <w:marLeft w:val="0"/>
      <w:marRight w:val="0"/>
      <w:marTop w:val="0"/>
      <w:marBottom w:val="0"/>
      <w:divBdr>
        <w:top w:val="none" w:sz="0" w:space="0" w:color="auto"/>
        <w:left w:val="none" w:sz="0" w:space="0" w:color="auto"/>
        <w:bottom w:val="none" w:sz="0" w:space="0" w:color="auto"/>
        <w:right w:val="none" w:sz="0" w:space="0" w:color="auto"/>
      </w:divBdr>
    </w:div>
    <w:div w:id="1565800797">
      <w:bodyDiv w:val="1"/>
      <w:marLeft w:val="0"/>
      <w:marRight w:val="0"/>
      <w:marTop w:val="0"/>
      <w:marBottom w:val="0"/>
      <w:divBdr>
        <w:top w:val="none" w:sz="0" w:space="0" w:color="auto"/>
        <w:left w:val="none" w:sz="0" w:space="0" w:color="auto"/>
        <w:bottom w:val="none" w:sz="0" w:space="0" w:color="auto"/>
        <w:right w:val="none" w:sz="0" w:space="0" w:color="auto"/>
      </w:divBdr>
    </w:div>
    <w:div w:id="1785929451">
      <w:bodyDiv w:val="1"/>
      <w:marLeft w:val="0"/>
      <w:marRight w:val="0"/>
      <w:marTop w:val="0"/>
      <w:marBottom w:val="0"/>
      <w:divBdr>
        <w:top w:val="none" w:sz="0" w:space="0" w:color="auto"/>
        <w:left w:val="none" w:sz="0" w:space="0" w:color="auto"/>
        <w:bottom w:val="none" w:sz="0" w:space="0" w:color="auto"/>
        <w:right w:val="none" w:sz="0" w:space="0" w:color="auto"/>
      </w:divBdr>
    </w:div>
    <w:div w:id="2080594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Kwiatkowski@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2898</Words>
  <Characters>16258</Characters>
  <Application>Microsoft Office Word</Application>
  <DocSecurity>0</DocSecurity>
  <Lines>250</Lines>
  <Paragraphs>58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19207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2015-06-18T13:49:00Z</cp:lastPrinted>
  <dcterms:created xsi:type="dcterms:W3CDTF">2017-05-24T17:45:00Z</dcterms:created>
  <dcterms:modified xsi:type="dcterms:W3CDTF">2017-05-24T17:45:00Z</dcterms:modified>
  <cp:category> </cp:category>
  <cp:contentStatus> </cp:contentStatus>
</cp:coreProperties>
</file>