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5" w:rsidRPr="00B20363" w:rsidRDefault="009853FC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</w:t>
      </w:r>
      <w:r w:rsidR="00175A26">
        <w:rPr>
          <w:b/>
          <w:sz w:val="24"/>
        </w:rPr>
        <w:t>7</w:t>
      </w:r>
      <w:r w:rsidR="00244D52">
        <w:rPr>
          <w:b/>
          <w:sz w:val="24"/>
        </w:rPr>
        <w:t>-467</w:t>
      </w:r>
    </w:p>
    <w:p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441F60">
        <w:rPr>
          <w:b/>
          <w:sz w:val="24"/>
        </w:rPr>
        <w:t>May</w:t>
      </w:r>
      <w:r w:rsidR="00175A26">
        <w:rPr>
          <w:b/>
          <w:sz w:val="24"/>
        </w:rPr>
        <w:t xml:space="preserve"> </w:t>
      </w:r>
      <w:r w:rsidR="00244D52">
        <w:rPr>
          <w:b/>
          <w:sz w:val="24"/>
        </w:rPr>
        <w:t>15</w:t>
      </w:r>
      <w:r w:rsidR="00BE0C6E">
        <w:rPr>
          <w:b/>
          <w:sz w:val="24"/>
        </w:rPr>
        <w:t>, 201</w:t>
      </w:r>
      <w:r w:rsidR="00175A26">
        <w:rPr>
          <w:b/>
          <w:sz w:val="24"/>
        </w:rPr>
        <w:t>7</w:t>
      </w:r>
    </w:p>
    <w:p w:rsidR="00D47505" w:rsidRDefault="00D47505" w:rsidP="00D47505">
      <w:pPr>
        <w:jc w:val="right"/>
        <w:rPr>
          <w:sz w:val="24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0"/>
      </w:tblGrid>
      <w:tr w:rsidR="00406665" w:rsidRPr="008A369D" w:rsidTr="00406665">
        <w:tc>
          <w:tcPr>
            <w:tcW w:w="9540" w:type="dxa"/>
          </w:tcPr>
          <w:p w:rsidR="00406665" w:rsidRPr="00954FAB" w:rsidRDefault="00135A84" w:rsidP="00406665">
            <w:pPr>
              <w:widowControl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954FAB">
              <w:rPr>
                <w:b/>
                <w:sz w:val="24"/>
                <w:szCs w:val="24"/>
              </w:rPr>
              <w:t>NOTICE OF PROHIBITED PRESENTATION</w:t>
            </w:r>
            <w:r w:rsidR="00D74B4F" w:rsidRPr="00954FAB">
              <w:rPr>
                <w:b/>
                <w:sz w:val="24"/>
                <w:szCs w:val="24"/>
              </w:rPr>
              <w:t>S</w:t>
            </w:r>
            <w:r w:rsidRPr="00954FAB">
              <w:rPr>
                <w:b/>
                <w:sz w:val="24"/>
                <w:szCs w:val="24"/>
              </w:rPr>
              <w:t xml:space="preserve"> IN THE MATTER OF ACCELERATING WIRELESS BROADBAND DEPLOYMENT BY REMOVING BARRIERS TO INFRASTRUCTURE INVESTMENT (WT DOCKET NO. 17-79); REVISING THE HISTORIC PRESERVATION REVIEW PROCESS FOR WIRELESS FACILITY DEPLOYMENTS (WT DOCKET NO. 15-180)</w:t>
            </w:r>
          </w:p>
          <w:p w:rsidR="00406665" w:rsidRPr="00406665" w:rsidRDefault="00406665" w:rsidP="00406665">
            <w:pPr>
              <w:widowControl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4"/>
                <w:szCs w:val="22"/>
              </w:rPr>
            </w:pPr>
          </w:p>
        </w:tc>
      </w:tr>
    </w:tbl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Notice is hereby given </w:t>
      </w:r>
      <w:r>
        <w:rPr>
          <w:sz w:val="24"/>
          <w:szCs w:val="24"/>
        </w:rPr>
        <w:t xml:space="preserve">that the Commission received </w:t>
      </w:r>
      <w:r w:rsidR="0001246C">
        <w:rPr>
          <w:sz w:val="24"/>
          <w:szCs w:val="24"/>
        </w:rPr>
        <w:t>p</w:t>
      </w:r>
      <w:r w:rsidRPr="00272A90">
        <w:rPr>
          <w:sz w:val="24"/>
          <w:szCs w:val="24"/>
        </w:rPr>
        <w:t>rohibited written presentation</w:t>
      </w:r>
      <w:r w:rsidR="0001246C">
        <w:rPr>
          <w:sz w:val="24"/>
          <w:szCs w:val="24"/>
        </w:rPr>
        <w:t xml:space="preserve">s in the above-referenced proceedings between April 14, 2017 and April 21, 2017 (the “Sunshine Agenda Period”).  The presentations are listed </w:t>
      </w:r>
      <w:r w:rsidR="002B3199">
        <w:rPr>
          <w:sz w:val="24"/>
          <w:szCs w:val="24"/>
        </w:rPr>
        <w:t>in the Appendix.</w:t>
      </w:r>
      <w:r w:rsidR="00432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With specified exceptions not applicable here, Section 1.1203 of the Commission’s Rules, 47 CFR § 1.1203, prohibits the making of any presentation, whether ex parte or not, to decision</w:t>
      </w:r>
      <w:r w:rsidRPr="00272A90">
        <w:rPr>
          <w:sz w:val="24"/>
          <w:szCs w:val="24"/>
        </w:rPr>
        <w:noBreakHyphen/>
        <w:t xml:space="preserve">making personnel concerning any matter listed on the Commission's Sunshine Agenda </w:t>
      </w:r>
      <w:r>
        <w:rPr>
          <w:sz w:val="24"/>
          <w:szCs w:val="24"/>
        </w:rPr>
        <w:t xml:space="preserve">from the day after the Sunshine Agenda is released </w:t>
      </w:r>
      <w:r w:rsidRPr="00272A90">
        <w:rPr>
          <w:sz w:val="24"/>
          <w:szCs w:val="24"/>
        </w:rPr>
        <w:t>until the Commission releases the text of a decision or order relating to that matter or removes the item from the sunshine agenda.  The instant presentation</w:t>
      </w:r>
      <w:r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addressed the merits of </w:t>
      </w:r>
      <w:r>
        <w:rPr>
          <w:sz w:val="24"/>
          <w:szCs w:val="24"/>
        </w:rPr>
        <w:t>the above-referenced proceeding</w:t>
      </w:r>
      <w:r w:rsidR="00D74B4F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272A90">
        <w:rPr>
          <w:sz w:val="24"/>
          <w:szCs w:val="24"/>
        </w:rPr>
        <w:t xml:space="preserve"> which </w:t>
      </w:r>
      <w:r w:rsidR="00432B5E">
        <w:rPr>
          <w:sz w:val="24"/>
          <w:szCs w:val="24"/>
        </w:rPr>
        <w:t>w</w:t>
      </w:r>
      <w:r w:rsidR="00D74B4F">
        <w:rPr>
          <w:sz w:val="24"/>
          <w:szCs w:val="24"/>
        </w:rPr>
        <w:t>ere</w:t>
      </w:r>
      <w:r w:rsidR="00432B5E"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included in the Commission's Sunshine Agenda by Public Notice released </w:t>
      </w:r>
      <w:r w:rsidR="00D12DF1">
        <w:rPr>
          <w:sz w:val="24"/>
          <w:szCs w:val="24"/>
        </w:rPr>
        <w:t xml:space="preserve">April 13, 2017 </w:t>
      </w:r>
      <w:r w:rsidR="00432B5E">
        <w:rPr>
          <w:sz w:val="24"/>
          <w:szCs w:val="24"/>
        </w:rPr>
        <w:t>f</w:t>
      </w:r>
      <w:r w:rsidRPr="00272A90">
        <w:rPr>
          <w:sz w:val="24"/>
          <w:szCs w:val="24"/>
        </w:rPr>
        <w:t xml:space="preserve">or consideration at the </w:t>
      </w:r>
      <w:r w:rsidR="00D12DF1">
        <w:rPr>
          <w:sz w:val="24"/>
          <w:szCs w:val="24"/>
        </w:rPr>
        <w:t>April 20, 2017</w:t>
      </w:r>
      <w:r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open Commission meeting.  </w:t>
      </w:r>
      <w:r w:rsidR="00D12DF1">
        <w:rPr>
          <w:sz w:val="24"/>
          <w:szCs w:val="24"/>
        </w:rPr>
        <w:t xml:space="preserve">The Commission released a Notice of Proposed </w:t>
      </w:r>
      <w:r w:rsidR="00F808D4">
        <w:rPr>
          <w:sz w:val="24"/>
          <w:szCs w:val="24"/>
        </w:rPr>
        <w:t>R</w:t>
      </w:r>
      <w:r w:rsidR="00D12DF1">
        <w:rPr>
          <w:sz w:val="24"/>
          <w:szCs w:val="24"/>
        </w:rPr>
        <w:t xml:space="preserve">ulemaking and Notice of Inquiry on April 21, 2017.  </w:t>
      </w:r>
      <w:r w:rsidR="00D12DF1">
        <w:rPr>
          <w:i/>
          <w:sz w:val="24"/>
          <w:szCs w:val="24"/>
        </w:rPr>
        <w:t xml:space="preserve">Accelerating Wireless Broadband Deployment by Removing Barriers to Infrastructure Investment, </w:t>
      </w:r>
      <w:r w:rsidR="00D12DF1">
        <w:rPr>
          <w:sz w:val="24"/>
          <w:szCs w:val="24"/>
        </w:rPr>
        <w:t>FCC 17-38 (Apr. 21, 2017</w:t>
      </w:r>
      <w:r>
        <w:rPr>
          <w:sz w:val="24"/>
          <w:szCs w:val="24"/>
        </w:rPr>
        <w:t xml:space="preserve">).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Under Section 1.1212(d) </w:t>
      </w:r>
      <w:r w:rsidR="007E3FBB">
        <w:rPr>
          <w:sz w:val="24"/>
          <w:szCs w:val="24"/>
        </w:rPr>
        <w:t>of the Commission's Rules, 47 C</w:t>
      </w:r>
      <w:r w:rsidRPr="00272A90">
        <w:rPr>
          <w:sz w:val="24"/>
          <w:szCs w:val="24"/>
        </w:rPr>
        <w:t>FR § 1.1212(d), presentations that are received during the Sunshine Period and do not meet an exception provided by 47 C</w:t>
      </w:r>
      <w:r w:rsidR="007E3FBB">
        <w:rPr>
          <w:sz w:val="24"/>
          <w:szCs w:val="24"/>
        </w:rPr>
        <w:t>F</w:t>
      </w:r>
      <w:r w:rsidRPr="00272A90">
        <w:rPr>
          <w:sz w:val="24"/>
          <w:szCs w:val="24"/>
        </w:rPr>
        <w:t xml:space="preserve">R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§ 1.1204(a) or a Commission waiver shall be associated with, but not made a part of, the record in the relevant proceedings.  In accordance with the rule, the presentation</w:t>
      </w:r>
      <w:r w:rsidR="004C1FC4"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here will be associated with, but not made part of the record in </w:t>
      </w:r>
      <w:r>
        <w:rPr>
          <w:sz w:val="24"/>
          <w:szCs w:val="24"/>
        </w:rPr>
        <w:t>the above-referenced proceeding</w:t>
      </w:r>
      <w:r w:rsidR="00D74B4F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Pr="00272A90">
        <w:rPr>
          <w:sz w:val="24"/>
          <w:szCs w:val="24"/>
        </w:rPr>
        <w:t xml:space="preserve"> 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  </w:t>
      </w:r>
    </w:p>
    <w:p w:rsidR="00145C8B" w:rsidRPr="00272A90" w:rsidRDefault="00145C8B" w:rsidP="00145C8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72A90">
        <w:rPr>
          <w:sz w:val="24"/>
          <w:szCs w:val="24"/>
        </w:rPr>
        <w:t>he full text</w:t>
      </w:r>
      <w:r w:rsidR="004A4ED8"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of th</w:t>
      </w:r>
      <w:r w:rsidR="004A4ED8">
        <w:rPr>
          <w:sz w:val="24"/>
          <w:szCs w:val="24"/>
        </w:rPr>
        <w:t>ese</w:t>
      </w:r>
      <w:r w:rsidRPr="00272A90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s </w:t>
      </w:r>
      <w:r w:rsidR="004A4ED8">
        <w:rPr>
          <w:sz w:val="24"/>
          <w:szCs w:val="24"/>
        </w:rPr>
        <w:t>are</w:t>
      </w:r>
      <w:r w:rsidRPr="00272A90">
        <w:rPr>
          <w:sz w:val="24"/>
          <w:szCs w:val="24"/>
        </w:rPr>
        <w:t xml:space="preserve"> available for public inspection and copying during regular business hours at the FCC Reference Information Center, Portals II, 445 12</w:t>
      </w:r>
      <w:r w:rsidRPr="00272A90">
        <w:rPr>
          <w:sz w:val="24"/>
          <w:szCs w:val="24"/>
          <w:vertAlign w:val="superscript"/>
        </w:rPr>
        <w:t>th</w:t>
      </w:r>
      <w:r w:rsidRPr="00272A90">
        <w:rPr>
          <w:vanish/>
          <w:sz w:val="24"/>
          <w:szCs w:val="24"/>
          <w:vertAlign w:val="superscript"/>
        </w:rPr>
        <w:t>th  th</w:t>
      </w:r>
      <w:r w:rsidRPr="00272A90">
        <w:rPr>
          <w:sz w:val="24"/>
          <w:szCs w:val="24"/>
        </w:rPr>
        <w:t xml:space="preserve"> Street, SW, Room CY</w:t>
      </w:r>
      <w:r w:rsidRPr="00272A90">
        <w:rPr>
          <w:sz w:val="24"/>
          <w:szCs w:val="24"/>
        </w:rPr>
        <w:noBreakHyphen/>
        <w:t xml:space="preserve">A257, Washington, DC, 20554.  </w:t>
      </w:r>
      <w:r>
        <w:rPr>
          <w:sz w:val="24"/>
          <w:szCs w:val="24"/>
        </w:rPr>
        <w:t>Th</w:t>
      </w:r>
      <w:r w:rsidR="00215FAA">
        <w:rPr>
          <w:sz w:val="24"/>
          <w:szCs w:val="24"/>
        </w:rPr>
        <w:t>ese</w:t>
      </w:r>
      <w:r>
        <w:rPr>
          <w:sz w:val="24"/>
          <w:szCs w:val="24"/>
        </w:rPr>
        <w:t xml:space="preserve"> filing</w:t>
      </w:r>
      <w:r w:rsidR="00215FAA">
        <w:rPr>
          <w:sz w:val="24"/>
          <w:szCs w:val="24"/>
        </w:rPr>
        <w:t>s</w:t>
      </w:r>
      <w:r>
        <w:rPr>
          <w:sz w:val="24"/>
          <w:szCs w:val="24"/>
        </w:rPr>
        <w:t xml:space="preserve"> may also be viewed in the Commission’s Electronic Comment Filing System (ECFS)</w:t>
      </w:r>
      <w:r w:rsidRPr="00AE1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hyperlink r:id="rId8" w:history="1">
        <w:r w:rsidRPr="00272A90">
          <w:rPr>
            <w:rStyle w:val="Hyperlink"/>
            <w:sz w:val="24"/>
            <w:szCs w:val="24"/>
          </w:rPr>
          <w:t>http://fjallfoss.fcc.gov/ecfs2/comment_search/</w:t>
        </w:r>
      </w:hyperlink>
      <w:r>
        <w:rPr>
          <w:sz w:val="24"/>
          <w:szCs w:val="24"/>
        </w:rPr>
        <w:t xml:space="preserve">.        </w:t>
      </w:r>
    </w:p>
    <w:p w:rsidR="00145C8B" w:rsidRPr="00272A90" w:rsidRDefault="00145C8B" w:rsidP="00145C8B">
      <w:pPr>
        <w:rPr>
          <w:sz w:val="24"/>
          <w:szCs w:val="24"/>
        </w:rPr>
      </w:pPr>
    </w:p>
    <w:p w:rsidR="00145C8B" w:rsidRDefault="00145C8B" w:rsidP="00B85668">
      <w:pPr>
        <w:rPr>
          <w:sz w:val="24"/>
          <w:szCs w:val="24"/>
        </w:rPr>
      </w:pPr>
      <w:r w:rsidRPr="00272A90">
        <w:rPr>
          <w:sz w:val="24"/>
          <w:szCs w:val="24"/>
        </w:rPr>
        <w:t>Action by Office of General Counsel, Administrative Law Division</w:t>
      </w:r>
    </w:p>
    <w:p w:rsidR="00B85668" w:rsidRDefault="00B85668" w:rsidP="00B85668">
      <w:pPr>
        <w:rPr>
          <w:sz w:val="24"/>
          <w:szCs w:val="24"/>
        </w:rPr>
      </w:pPr>
    </w:p>
    <w:p w:rsidR="00B85668" w:rsidRPr="00B85668" w:rsidRDefault="00B85668" w:rsidP="00B85668">
      <w:pPr>
        <w:rPr>
          <w:sz w:val="24"/>
          <w:szCs w:val="24"/>
        </w:rPr>
      </w:pPr>
    </w:p>
    <w:p w:rsidR="002B3199" w:rsidRDefault="002B3199" w:rsidP="002B3199">
      <w:pPr>
        <w:jc w:val="center"/>
        <w:rPr>
          <w:rFonts w:ascii="Times New Roman Bold" w:hAnsi="Times New Roman Bold"/>
          <w:b/>
          <w:caps/>
          <w:sz w:val="24"/>
        </w:rPr>
      </w:pPr>
    </w:p>
    <w:p w:rsidR="002B3199" w:rsidRPr="00B20363" w:rsidRDefault="002B3199" w:rsidP="002B3199">
      <w:pPr>
        <w:rPr>
          <w:rFonts w:ascii="Times New Roman Bold" w:hAnsi="Times New Roman Bold"/>
          <w:b/>
          <w:caps/>
          <w:sz w:val="24"/>
        </w:rPr>
      </w:pPr>
    </w:p>
    <w:p w:rsidR="00D47505" w:rsidRDefault="00D47505" w:rsidP="00D47505">
      <w:pPr>
        <w:jc w:val="center"/>
        <w:rPr>
          <w:b/>
          <w:sz w:val="24"/>
        </w:rPr>
      </w:pPr>
    </w:p>
    <w:p w:rsidR="00D47505" w:rsidRDefault="00D47505" w:rsidP="00D47505">
      <w:pPr>
        <w:jc w:val="center"/>
        <w:rPr>
          <w:sz w:val="24"/>
        </w:rPr>
      </w:pPr>
    </w:p>
    <w:p w:rsidR="006A1F49" w:rsidRPr="00B85668" w:rsidRDefault="00715948" w:rsidP="00715948">
      <w:pPr>
        <w:spacing w:before="120" w:after="240"/>
        <w:jc w:val="center"/>
        <w:rPr>
          <w:b/>
          <w:sz w:val="24"/>
        </w:rPr>
      </w:pPr>
      <w:r w:rsidRPr="00B85668">
        <w:rPr>
          <w:b/>
          <w:sz w:val="24"/>
        </w:rPr>
        <w:t>APPENDIX</w:t>
      </w:r>
    </w:p>
    <w:tbl>
      <w:tblPr>
        <w:tblStyle w:val="TableGrid"/>
        <w:tblW w:w="9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2869"/>
        <w:gridCol w:w="2869"/>
      </w:tblGrid>
      <w:tr w:rsidR="00893EBA" w:rsidTr="00893EBA">
        <w:trPr>
          <w:jc w:val="center"/>
        </w:trPr>
        <w:tc>
          <w:tcPr>
            <w:tcW w:w="3408" w:type="dxa"/>
          </w:tcPr>
          <w:p w:rsidR="00893EBA" w:rsidRPr="00B85668" w:rsidRDefault="00893EBA" w:rsidP="00715948">
            <w:pPr>
              <w:spacing w:before="12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Pr="00B85668">
              <w:rPr>
                <w:b/>
                <w:sz w:val="24"/>
              </w:rPr>
              <w:t>Filer</w:t>
            </w:r>
          </w:p>
        </w:tc>
        <w:tc>
          <w:tcPr>
            <w:tcW w:w="2869" w:type="dxa"/>
          </w:tcPr>
          <w:p w:rsidR="00893EBA" w:rsidRPr="00B85668" w:rsidRDefault="00893EBA" w:rsidP="00715948">
            <w:pPr>
              <w:spacing w:before="120" w:after="240"/>
              <w:rPr>
                <w:b/>
                <w:sz w:val="24"/>
              </w:rPr>
            </w:pPr>
          </w:p>
        </w:tc>
        <w:tc>
          <w:tcPr>
            <w:tcW w:w="2869" w:type="dxa"/>
          </w:tcPr>
          <w:p w:rsidR="00893EBA" w:rsidRPr="00B85668" w:rsidRDefault="00893EBA" w:rsidP="00715948">
            <w:pPr>
              <w:spacing w:before="120" w:after="240"/>
              <w:rPr>
                <w:b/>
                <w:sz w:val="24"/>
              </w:rPr>
            </w:pPr>
            <w:r w:rsidRPr="00B85668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Received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554FC8" w:rsidP="00554FC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T</w:t>
            </w:r>
            <w:r w:rsidR="00893EBA">
              <w:rPr>
                <w:sz w:val="24"/>
              </w:rPr>
              <w:t>wenty-Nine Palms Band of Mission Indians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14, 2017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893EBA" w:rsidP="00D36B4A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Th</w:t>
            </w:r>
            <w:r w:rsidR="00D36B4A">
              <w:rPr>
                <w:sz w:val="24"/>
              </w:rPr>
              <w:t>l</w:t>
            </w:r>
            <w:r>
              <w:rPr>
                <w:sz w:val="24"/>
              </w:rPr>
              <w:t>opth</w:t>
            </w:r>
            <w:r w:rsidR="00D36B4A">
              <w:rPr>
                <w:sz w:val="24"/>
              </w:rPr>
              <w:t>l</w:t>
            </w:r>
            <w:r>
              <w:rPr>
                <w:sz w:val="24"/>
              </w:rPr>
              <w:t>occo Tribal Town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17, 2017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066609" w:rsidP="00D36B4A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Citize</w:t>
            </w:r>
            <w:r w:rsidR="00893EBA">
              <w:rPr>
                <w:sz w:val="24"/>
              </w:rPr>
              <w:t>n Pot</w:t>
            </w:r>
            <w:r w:rsidR="00D36B4A">
              <w:rPr>
                <w:sz w:val="24"/>
              </w:rPr>
              <w:t>a</w:t>
            </w:r>
            <w:r w:rsidR="00893EBA">
              <w:rPr>
                <w:sz w:val="24"/>
              </w:rPr>
              <w:t>wat</w:t>
            </w:r>
            <w:r w:rsidR="00D36B4A">
              <w:rPr>
                <w:sz w:val="24"/>
              </w:rPr>
              <w:t>o</w:t>
            </w:r>
            <w:r w:rsidR="00893EBA">
              <w:rPr>
                <w:sz w:val="24"/>
              </w:rPr>
              <w:t>mi Nation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17, 2017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Seminole Nation of Oklahoma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Hualapai Tribe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Pueblo of Laguna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893EBA" w:rsidP="00D36B4A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The National Congress of American Indians, The United South and Eastern Tribes Sovereignty Protection Fund, The National Association of Tribal Historic Preservation Officers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893EBA" w:rsidTr="00893EBA">
        <w:trPr>
          <w:jc w:val="center"/>
        </w:trPr>
        <w:tc>
          <w:tcPr>
            <w:tcW w:w="3408" w:type="dxa"/>
          </w:tcPr>
          <w:p w:rsidR="00893EBA" w:rsidRDefault="00893EBA" w:rsidP="00554FC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Sau</w:t>
            </w:r>
            <w:r w:rsidR="00554FC8">
              <w:rPr>
                <w:sz w:val="24"/>
              </w:rPr>
              <w:t>lt</w:t>
            </w:r>
            <w:r>
              <w:rPr>
                <w:sz w:val="24"/>
              </w:rPr>
              <w:t xml:space="preserve"> Tribe of Chippewa Indians</w:t>
            </w: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893EBA" w:rsidRDefault="00893EBA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554FC8" w:rsidTr="00893EBA">
        <w:trPr>
          <w:jc w:val="center"/>
        </w:trPr>
        <w:tc>
          <w:tcPr>
            <w:tcW w:w="3408" w:type="dxa"/>
          </w:tcPr>
          <w:p w:rsidR="00554FC8" w:rsidRDefault="00554FC8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Miami Tribe of Oklahoma</w:t>
            </w:r>
          </w:p>
        </w:tc>
        <w:tc>
          <w:tcPr>
            <w:tcW w:w="2869" w:type="dxa"/>
          </w:tcPr>
          <w:p w:rsidR="00554FC8" w:rsidRDefault="00554FC8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554FC8" w:rsidRDefault="00554FC8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554FC8" w:rsidTr="00893EBA">
        <w:trPr>
          <w:jc w:val="center"/>
        </w:trPr>
        <w:tc>
          <w:tcPr>
            <w:tcW w:w="3408" w:type="dxa"/>
          </w:tcPr>
          <w:p w:rsidR="00554FC8" w:rsidRDefault="00554FC8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Kialegee Tribal Town</w:t>
            </w:r>
          </w:p>
        </w:tc>
        <w:tc>
          <w:tcPr>
            <w:tcW w:w="2869" w:type="dxa"/>
          </w:tcPr>
          <w:p w:rsidR="00554FC8" w:rsidRDefault="00554FC8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554FC8" w:rsidRDefault="00554FC8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D32059" w:rsidTr="00893EBA">
        <w:trPr>
          <w:jc w:val="center"/>
        </w:trPr>
        <w:tc>
          <w:tcPr>
            <w:tcW w:w="3408" w:type="dxa"/>
          </w:tcPr>
          <w:p w:rsidR="00D32059" w:rsidRDefault="00D32059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Wampanoag Tribe of Gay Head (Aquinnah)</w:t>
            </w:r>
          </w:p>
        </w:tc>
        <w:tc>
          <w:tcPr>
            <w:tcW w:w="2869" w:type="dxa"/>
          </w:tcPr>
          <w:p w:rsidR="00D32059" w:rsidRDefault="00D32059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D32059" w:rsidRDefault="00D32059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19, 2017</w:t>
            </w:r>
          </w:p>
        </w:tc>
      </w:tr>
      <w:tr w:rsidR="00D32059" w:rsidTr="00893EBA">
        <w:trPr>
          <w:jc w:val="center"/>
        </w:trPr>
        <w:tc>
          <w:tcPr>
            <w:tcW w:w="3408" w:type="dxa"/>
          </w:tcPr>
          <w:p w:rsidR="00D32059" w:rsidRDefault="00D32059" w:rsidP="00715948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City of Kenmore, Washington</w:t>
            </w:r>
          </w:p>
        </w:tc>
        <w:tc>
          <w:tcPr>
            <w:tcW w:w="2869" w:type="dxa"/>
          </w:tcPr>
          <w:p w:rsidR="00D32059" w:rsidRDefault="00D32059" w:rsidP="00715948">
            <w:pPr>
              <w:spacing w:before="120" w:after="240"/>
              <w:rPr>
                <w:sz w:val="24"/>
              </w:rPr>
            </w:pPr>
          </w:p>
        </w:tc>
        <w:tc>
          <w:tcPr>
            <w:tcW w:w="2869" w:type="dxa"/>
          </w:tcPr>
          <w:p w:rsidR="00D32059" w:rsidRDefault="00D32059" w:rsidP="00D36B4A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20, 2017</w:t>
            </w:r>
          </w:p>
        </w:tc>
      </w:tr>
    </w:tbl>
    <w:p w:rsidR="00B85668" w:rsidRDefault="00B85668" w:rsidP="00D47505">
      <w:pPr>
        <w:spacing w:before="120" w:after="240"/>
        <w:rPr>
          <w:sz w:val="24"/>
        </w:rPr>
      </w:pPr>
    </w:p>
    <w:sectPr w:rsidR="00B85668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B6" w:rsidRDefault="00FE7FB6">
      <w:pPr>
        <w:spacing w:line="20" w:lineRule="exact"/>
      </w:pPr>
    </w:p>
  </w:endnote>
  <w:endnote w:type="continuationSeparator" w:id="0">
    <w:p w:rsidR="00FE7FB6" w:rsidRDefault="00FE7FB6">
      <w:r>
        <w:t xml:space="preserve"> </w:t>
      </w:r>
    </w:p>
  </w:endnote>
  <w:endnote w:type="continuationNotice" w:id="1">
    <w:p w:rsidR="00FE7FB6" w:rsidRDefault="00FE7F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D0CAD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B6" w:rsidRDefault="00FE7FB6">
      <w:r>
        <w:separator/>
      </w:r>
    </w:p>
  </w:footnote>
  <w:footnote w:type="continuationSeparator" w:id="0">
    <w:p w:rsidR="00FE7FB6" w:rsidRDefault="00FE7FB6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E7FB6" w:rsidRDefault="00FE7FB6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C3" w:rsidRDefault="009E2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C3" w:rsidRDefault="009E2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FA0BC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6D0CAD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6D0CAD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6D0CAD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6D0CAD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4"/>
    <w:rsid w:val="0001246C"/>
    <w:rsid w:val="0001531F"/>
    <w:rsid w:val="00036039"/>
    <w:rsid w:val="00037F90"/>
    <w:rsid w:val="0005596E"/>
    <w:rsid w:val="00066609"/>
    <w:rsid w:val="000875BF"/>
    <w:rsid w:val="00096D8C"/>
    <w:rsid w:val="000C0B65"/>
    <w:rsid w:val="000E05FE"/>
    <w:rsid w:val="000E3D42"/>
    <w:rsid w:val="00122BD5"/>
    <w:rsid w:val="00133F79"/>
    <w:rsid w:val="00135A84"/>
    <w:rsid w:val="00145C8B"/>
    <w:rsid w:val="00175A26"/>
    <w:rsid w:val="00194A66"/>
    <w:rsid w:val="001D6BCF"/>
    <w:rsid w:val="001E01CA"/>
    <w:rsid w:val="001E2AB9"/>
    <w:rsid w:val="002062D2"/>
    <w:rsid w:val="00215FAA"/>
    <w:rsid w:val="00244D52"/>
    <w:rsid w:val="00245454"/>
    <w:rsid w:val="0026388D"/>
    <w:rsid w:val="00275CF5"/>
    <w:rsid w:val="0028301F"/>
    <w:rsid w:val="00285017"/>
    <w:rsid w:val="002A2D2E"/>
    <w:rsid w:val="002B3199"/>
    <w:rsid w:val="002B587B"/>
    <w:rsid w:val="002C00E8"/>
    <w:rsid w:val="00343749"/>
    <w:rsid w:val="003660ED"/>
    <w:rsid w:val="003B0550"/>
    <w:rsid w:val="003B694F"/>
    <w:rsid w:val="003F171C"/>
    <w:rsid w:val="00406665"/>
    <w:rsid w:val="00412FC5"/>
    <w:rsid w:val="00422276"/>
    <w:rsid w:val="004242F1"/>
    <w:rsid w:val="00432B5E"/>
    <w:rsid w:val="00441F60"/>
    <w:rsid w:val="00445A00"/>
    <w:rsid w:val="00451B0F"/>
    <w:rsid w:val="004A21B8"/>
    <w:rsid w:val="004A3ED4"/>
    <w:rsid w:val="004A4ED8"/>
    <w:rsid w:val="004C1FC4"/>
    <w:rsid w:val="004C2EE3"/>
    <w:rsid w:val="004E4A22"/>
    <w:rsid w:val="004F0B76"/>
    <w:rsid w:val="00511968"/>
    <w:rsid w:val="00524DDE"/>
    <w:rsid w:val="00554FC8"/>
    <w:rsid w:val="0055614C"/>
    <w:rsid w:val="005C2963"/>
    <w:rsid w:val="005E14C2"/>
    <w:rsid w:val="00607BA5"/>
    <w:rsid w:val="0061180A"/>
    <w:rsid w:val="00626EB6"/>
    <w:rsid w:val="006517B4"/>
    <w:rsid w:val="00655D03"/>
    <w:rsid w:val="00683388"/>
    <w:rsid w:val="00683F84"/>
    <w:rsid w:val="006A1F49"/>
    <w:rsid w:val="006A6A81"/>
    <w:rsid w:val="006B1456"/>
    <w:rsid w:val="006D0CAD"/>
    <w:rsid w:val="006F7393"/>
    <w:rsid w:val="0070224F"/>
    <w:rsid w:val="007115F7"/>
    <w:rsid w:val="0071492A"/>
    <w:rsid w:val="00715948"/>
    <w:rsid w:val="007446C6"/>
    <w:rsid w:val="00785689"/>
    <w:rsid w:val="0079754B"/>
    <w:rsid w:val="007A1E6D"/>
    <w:rsid w:val="007B0EB2"/>
    <w:rsid w:val="007E3FBB"/>
    <w:rsid w:val="007F413A"/>
    <w:rsid w:val="00810B6F"/>
    <w:rsid w:val="00822CE0"/>
    <w:rsid w:val="0083367F"/>
    <w:rsid w:val="00841AB1"/>
    <w:rsid w:val="00855D83"/>
    <w:rsid w:val="00893EBA"/>
    <w:rsid w:val="008C68F1"/>
    <w:rsid w:val="008E1CB6"/>
    <w:rsid w:val="0091522B"/>
    <w:rsid w:val="00921803"/>
    <w:rsid w:val="00926503"/>
    <w:rsid w:val="00954FAB"/>
    <w:rsid w:val="009726D8"/>
    <w:rsid w:val="009853FC"/>
    <w:rsid w:val="00990854"/>
    <w:rsid w:val="009A3295"/>
    <w:rsid w:val="009C675F"/>
    <w:rsid w:val="009E2BC3"/>
    <w:rsid w:val="009F76DB"/>
    <w:rsid w:val="00A32C3B"/>
    <w:rsid w:val="00A45F4F"/>
    <w:rsid w:val="00A600A9"/>
    <w:rsid w:val="00A6361F"/>
    <w:rsid w:val="00AA55B7"/>
    <w:rsid w:val="00AA5B9E"/>
    <w:rsid w:val="00AB2407"/>
    <w:rsid w:val="00AB53DF"/>
    <w:rsid w:val="00AC424B"/>
    <w:rsid w:val="00AF46DC"/>
    <w:rsid w:val="00B07E5C"/>
    <w:rsid w:val="00B20363"/>
    <w:rsid w:val="00B2514A"/>
    <w:rsid w:val="00B338A9"/>
    <w:rsid w:val="00B3478B"/>
    <w:rsid w:val="00B55D84"/>
    <w:rsid w:val="00B679AB"/>
    <w:rsid w:val="00B76DB8"/>
    <w:rsid w:val="00B811F7"/>
    <w:rsid w:val="00B85668"/>
    <w:rsid w:val="00BA25DB"/>
    <w:rsid w:val="00BA5DC6"/>
    <w:rsid w:val="00BA6196"/>
    <w:rsid w:val="00BC6D8C"/>
    <w:rsid w:val="00BD1CC4"/>
    <w:rsid w:val="00BD75C5"/>
    <w:rsid w:val="00BE0C6E"/>
    <w:rsid w:val="00C34006"/>
    <w:rsid w:val="00C426B1"/>
    <w:rsid w:val="00C66160"/>
    <w:rsid w:val="00C721AC"/>
    <w:rsid w:val="00C90D6A"/>
    <w:rsid w:val="00CA247E"/>
    <w:rsid w:val="00CB1DF0"/>
    <w:rsid w:val="00CC72B6"/>
    <w:rsid w:val="00CC776F"/>
    <w:rsid w:val="00D0218D"/>
    <w:rsid w:val="00D12DF1"/>
    <w:rsid w:val="00D25FB5"/>
    <w:rsid w:val="00D267D3"/>
    <w:rsid w:val="00D32059"/>
    <w:rsid w:val="00D36B4A"/>
    <w:rsid w:val="00D44223"/>
    <w:rsid w:val="00D47505"/>
    <w:rsid w:val="00D61A86"/>
    <w:rsid w:val="00D74B4F"/>
    <w:rsid w:val="00D87C08"/>
    <w:rsid w:val="00DA2529"/>
    <w:rsid w:val="00DB130A"/>
    <w:rsid w:val="00DB2302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73FB7"/>
    <w:rsid w:val="00EB4ACC"/>
    <w:rsid w:val="00EE6488"/>
    <w:rsid w:val="00F021FA"/>
    <w:rsid w:val="00F62E97"/>
    <w:rsid w:val="00F64209"/>
    <w:rsid w:val="00F808D4"/>
    <w:rsid w:val="00F8591E"/>
    <w:rsid w:val="00F93BF5"/>
    <w:rsid w:val="00FE2C64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2B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2B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allfoss.fcc.gov/ecfs2/comment_search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454</Words>
  <Characters>2582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3027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2017-05-15T18:02:00Z</cp:lastPrinted>
  <dcterms:created xsi:type="dcterms:W3CDTF">2017-05-15T20:02:00Z</dcterms:created>
  <dcterms:modified xsi:type="dcterms:W3CDTF">2017-05-15T20:02:00Z</dcterms:modified>
  <cp:category> </cp:category>
  <cp:contentStatus> </cp:contentStatus>
</cp:coreProperties>
</file>