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59" w:rsidRDefault="00FB1259">
      <w:pPr>
        <w:jc w:val="center"/>
        <w:rPr>
          <w:b/>
        </w:rPr>
      </w:pPr>
      <w:bookmarkStart w:id="0" w:name="_GoBack"/>
      <w:bookmarkEnd w:id="0"/>
      <w:r>
        <w:rPr>
          <w:b/>
        </w:rPr>
        <w:t>Before the</w:t>
      </w:r>
    </w:p>
    <w:p w:rsidR="00FB1259" w:rsidRDefault="00FB1259">
      <w:pPr>
        <w:jc w:val="center"/>
        <w:rPr>
          <w:b/>
        </w:rPr>
      </w:pPr>
      <w:r>
        <w:rPr>
          <w:b/>
        </w:rPr>
        <w:t>Federal Communications Commission</w:t>
      </w:r>
    </w:p>
    <w:p w:rsidR="00FB1259" w:rsidRDefault="00FB1259">
      <w:pPr>
        <w:jc w:val="center"/>
        <w:rPr>
          <w:b/>
        </w:rPr>
      </w:pPr>
      <w:r>
        <w:rPr>
          <w:b/>
        </w:rPr>
        <w:t>Washington, D.C. 20554</w:t>
      </w:r>
    </w:p>
    <w:p w:rsidR="00FB1259" w:rsidRDefault="00FB1259"/>
    <w:p w:rsidR="00FB1259" w:rsidRDefault="00FB1259"/>
    <w:tbl>
      <w:tblPr>
        <w:tblW w:w="9744" w:type="dxa"/>
        <w:tblLayout w:type="fixed"/>
        <w:tblLook w:val="0000" w:firstRow="0" w:lastRow="0" w:firstColumn="0" w:lastColumn="0" w:noHBand="0" w:noVBand="0"/>
      </w:tblPr>
      <w:tblGrid>
        <w:gridCol w:w="4745"/>
        <w:gridCol w:w="727"/>
        <w:gridCol w:w="4272"/>
      </w:tblGrid>
      <w:tr w:rsidR="00FB1259">
        <w:trPr>
          <w:trHeight w:val="2177"/>
        </w:trPr>
        <w:tc>
          <w:tcPr>
            <w:tcW w:w="4745" w:type="dxa"/>
          </w:tcPr>
          <w:p w:rsidR="00FB1259" w:rsidRDefault="00FB1259">
            <w:pPr>
              <w:ind w:right="-18"/>
            </w:pPr>
            <w:r>
              <w:t xml:space="preserve">In </w:t>
            </w:r>
            <w:r w:rsidR="003204B9">
              <w:t xml:space="preserve">re: Application of </w:t>
            </w:r>
          </w:p>
          <w:p w:rsidR="00FB1259" w:rsidRDefault="00FB1259">
            <w:pPr>
              <w:ind w:right="-18"/>
            </w:pPr>
          </w:p>
          <w:p w:rsidR="00FB1259" w:rsidRDefault="003204B9">
            <w:pPr>
              <w:ind w:right="-18"/>
            </w:pPr>
            <w:r>
              <w:t>The ERIE Radio Company, LLC</w:t>
            </w:r>
          </w:p>
          <w:p w:rsidR="00FB1259" w:rsidRDefault="00FB1259">
            <w:pPr>
              <w:ind w:right="-18"/>
            </w:pPr>
          </w:p>
          <w:p w:rsidR="003204B9" w:rsidRDefault="003204B9">
            <w:pPr>
              <w:ind w:right="-18"/>
            </w:pPr>
            <w:r>
              <w:t>For a Construction Permit for a new FM Broadcast Station at Westfield, NY</w:t>
            </w:r>
          </w:p>
          <w:p w:rsidR="003204B9" w:rsidRDefault="003204B9">
            <w:pPr>
              <w:ind w:right="-18"/>
            </w:pPr>
          </w:p>
          <w:p w:rsidR="003204B9" w:rsidRDefault="003204B9" w:rsidP="003204B9">
            <w:pPr>
              <w:ind w:right="-18"/>
            </w:pPr>
            <w:r>
              <w:t xml:space="preserve">Informal </w:t>
            </w:r>
            <w:r w:rsidR="00FB1259">
              <w:t xml:space="preserve">Request for </w:t>
            </w:r>
            <w:r>
              <w:t>Extension of Time</w:t>
            </w:r>
          </w:p>
          <w:p w:rsidR="00FB1259" w:rsidRDefault="00FB1259">
            <w:pPr>
              <w:ind w:right="-18"/>
            </w:pPr>
          </w:p>
        </w:tc>
        <w:tc>
          <w:tcPr>
            <w:tcW w:w="727" w:type="dxa"/>
          </w:tcPr>
          <w:p w:rsidR="00FB1259" w:rsidRDefault="00FB1259">
            <w:pPr>
              <w:rPr>
                <w:b/>
              </w:rPr>
            </w:pPr>
            <w:r>
              <w:rPr>
                <w:b/>
              </w:rPr>
              <w:t>)</w:t>
            </w:r>
          </w:p>
          <w:p w:rsidR="00FB1259" w:rsidRDefault="00FB1259">
            <w:pPr>
              <w:rPr>
                <w:b/>
              </w:rPr>
            </w:pPr>
            <w:r>
              <w:rPr>
                <w:b/>
              </w:rPr>
              <w:t>)</w:t>
            </w:r>
          </w:p>
          <w:p w:rsidR="00FB1259" w:rsidRDefault="00FB1259">
            <w:pPr>
              <w:rPr>
                <w:b/>
              </w:rPr>
            </w:pPr>
            <w:r>
              <w:rPr>
                <w:b/>
              </w:rPr>
              <w:t>)</w:t>
            </w:r>
          </w:p>
          <w:p w:rsidR="00FB1259" w:rsidRDefault="00FB1259">
            <w:pPr>
              <w:rPr>
                <w:b/>
              </w:rPr>
            </w:pPr>
            <w:r>
              <w:rPr>
                <w:b/>
              </w:rPr>
              <w:t>)</w:t>
            </w:r>
          </w:p>
          <w:p w:rsidR="00FB1259" w:rsidRDefault="00FB1259">
            <w:pPr>
              <w:rPr>
                <w:b/>
              </w:rPr>
            </w:pPr>
            <w:r>
              <w:rPr>
                <w:b/>
              </w:rPr>
              <w:t>)</w:t>
            </w:r>
          </w:p>
          <w:p w:rsidR="00FB1259" w:rsidRDefault="00FB1259">
            <w:pPr>
              <w:rPr>
                <w:b/>
              </w:rPr>
            </w:pPr>
            <w:r>
              <w:rPr>
                <w:b/>
              </w:rPr>
              <w:t>)</w:t>
            </w:r>
          </w:p>
          <w:p w:rsidR="00FB1259" w:rsidRDefault="00FB1259">
            <w:pPr>
              <w:rPr>
                <w:b/>
              </w:rPr>
            </w:pPr>
            <w:r>
              <w:rPr>
                <w:b/>
              </w:rPr>
              <w:t>)</w:t>
            </w:r>
          </w:p>
          <w:p w:rsidR="00FB1259" w:rsidRDefault="003204B9">
            <w:pPr>
              <w:rPr>
                <w:b/>
              </w:rPr>
            </w:pPr>
            <w:r>
              <w:rPr>
                <w:b/>
              </w:rPr>
              <w:t>)</w:t>
            </w:r>
          </w:p>
        </w:tc>
        <w:tc>
          <w:tcPr>
            <w:tcW w:w="4272" w:type="dxa"/>
          </w:tcPr>
          <w:p w:rsidR="00FB1259" w:rsidRDefault="00FB1259"/>
          <w:p w:rsidR="00FB1259" w:rsidRDefault="00FB1259"/>
          <w:p w:rsidR="00FB1259" w:rsidRDefault="003204B9">
            <w:r>
              <w:t xml:space="preserve">File No. </w:t>
            </w:r>
            <w:r w:rsidR="003D6799">
              <w:t>BNPH-20151009AIH</w:t>
            </w:r>
          </w:p>
          <w:p w:rsidR="00FB1259" w:rsidRDefault="00FB1259"/>
        </w:tc>
      </w:tr>
    </w:tbl>
    <w:p w:rsidR="00FB1259" w:rsidRDefault="00FB1259">
      <w:pPr>
        <w:spacing w:before="120"/>
        <w:jc w:val="center"/>
        <w:rPr>
          <w:b/>
        </w:rPr>
      </w:pPr>
      <w:r>
        <w:rPr>
          <w:b/>
        </w:rPr>
        <w:t>MEMORANDUM OPINION AND ORDER</w:t>
      </w:r>
    </w:p>
    <w:p w:rsidR="00FB1259" w:rsidRDefault="00FB1259"/>
    <w:p w:rsidR="00FB1259" w:rsidRDefault="00FB1259">
      <w:pPr>
        <w:tabs>
          <w:tab w:val="left" w:pos="5760"/>
        </w:tabs>
        <w:jc w:val="both"/>
        <w:rPr>
          <w:b/>
        </w:rPr>
      </w:pPr>
      <w:r>
        <w:rPr>
          <w:b/>
        </w:rPr>
        <w:t xml:space="preserve">Adopted:  </w:t>
      </w:r>
      <w:r w:rsidR="006C12CB">
        <w:rPr>
          <w:b/>
        </w:rPr>
        <w:t>May 12</w:t>
      </w:r>
      <w:r w:rsidR="003B1753">
        <w:rPr>
          <w:b/>
        </w:rPr>
        <w:t>, 2017</w:t>
      </w:r>
      <w:r>
        <w:rPr>
          <w:b/>
        </w:rPr>
        <w:tab/>
        <w:t xml:space="preserve">Released:  </w:t>
      </w:r>
      <w:r w:rsidR="006C12CB">
        <w:rPr>
          <w:b/>
        </w:rPr>
        <w:t>May 12</w:t>
      </w:r>
      <w:r w:rsidR="003B1753">
        <w:rPr>
          <w:b/>
        </w:rPr>
        <w:t>, 2017</w:t>
      </w:r>
    </w:p>
    <w:p w:rsidR="00FB1259" w:rsidRDefault="00FB1259">
      <w:pPr>
        <w:tabs>
          <w:tab w:val="left" w:pos="5760"/>
        </w:tabs>
        <w:rPr>
          <w:b/>
        </w:rPr>
      </w:pPr>
    </w:p>
    <w:p w:rsidR="00FB1259" w:rsidRDefault="00FB1259">
      <w:pPr>
        <w:tabs>
          <w:tab w:val="left" w:pos="5760"/>
        </w:tabs>
        <w:ind w:left="1350" w:hanging="1350"/>
        <w:rPr>
          <w:spacing w:val="-2"/>
          <w:szCs w:val="22"/>
        </w:rPr>
      </w:pPr>
      <w:r>
        <w:rPr>
          <w:szCs w:val="22"/>
        </w:rPr>
        <w:t>By the Chiefs, Auctions and Spectrum Access Division, Wireless Telecommunications Bureau and Audio Division, Media Bureau</w:t>
      </w:r>
      <w:r>
        <w:rPr>
          <w:spacing w:val="-2"/>
          <w:szCs w:val="22"/>
        </w:rPr>
        <w:t>:</w:t>
      </w:r>
    </w:p>
    <w:p w:rsidR="00FB1259" w:rsidRDefault="00FB1259">
      <w:pPr>
        <w:tabs>
          <w:tab w:val="left" w:pos="5760"/>
        </w:tabs>
        <w:rPr>
          <w:b/>
          <w:spacing w:val="-2"/>
          <w:szCs w:val="22"/>
        </w:rPr>
      </w:pPr>
    </w:p>
    <w:p w:rsidR="00FB1259" w:rsidRDefault="00FB1259" w:rsidP="009D5952">
      <w:pPr>
        <w:pStyle w:val="Heading1"/>
        <w:widowControl/>
        <w:rPr>
          <w:b w:val="0"/>
          <w:szCs w:val="22"/>
        </w:rPr>
      </w:pPr>
      <w:r>
        <w:t>INTRODUCTION</w:t>
      </w:r>
      <w:r>
        <w:rPr>
          <w:b w:val="0"/>
          <w:szCs w:val="22"/>
        </w:rPr>
        <w:tab/>
      </w:r>
    </w:p>
    <w:p w:rsidR="00FB1259" w:rsidRDefault="00FB1259" w:rsidP="009D5952">
      <w:pPr>
        <w:pStyle w:val="ParaNum"/>
        <w:widowControl/>
        <w:numPr>
          <w:ilvl w:val="0"/>
          <w:numId w:val="2"/>
        </w:numPr>
        <w:tabs>
          <w:tab w:val="clear" w:pos="1080"/>
          <w:tab w:val="num" w:pos="1440"/>
        </w:tabs>
      </w:pPr>
      <w:r>
        <w:t xml:space="preserve">In this </w:t>
      </w:r>
      <w:r w:rsidR="00E32907">
        <w:t xml:space="preserve">Memorandum Opinion and </w:t>
      </w:r>
      <w:r>
        <w:t>Order, we deny a</w:t>
      </w:r>
      <w:r w:rsidR="003204B9">
        <w:t xml:space="preserve">n </w:t>
      </w:r>
      <w:r w:rsidR="005946C2">
        <w:t>“</w:t>
      </w:r>
      <w:r w:rsidR="003204B9">
        <w:t xml:space="preserve">Informal </w:t>
      </w:r>
      <w:r>
        <w:t xml:space="preserve">Request for </w:t>
      </w:r>
      <w:r w:rsidR="003204B9">
        <w:t>Extension of Time</w:t>
      </w:r>
      <w:r w:rsidR="005946C2">
        <w:t>”</w:t>
      </w:r>
      <w:r w:rsidR="003204B9">
        <w:t xml:space="preserve"> </w:t>
      </w:r>
      <w:r>
        <w:t xml:space="preserve">filed by </w:t>
      </w:r>
      <w:r w:rsidR="003204B9">
        <w:t>The ERIE Radio Company</w:t>
      </w:r>
      <w:r w:rsidR="00EF5B98">
        <w:t>, LLC</w:t>
      </w:r>
      <w:r w:rsidR="003204B9">
        <w:t xml:space="preserve"> (ERIE)</w:t>
      </w:r>
      <w:r>
        <w:t>, wh</w:t>
      </w:r>
      <w:r w:rsidR="003204B9">
        <w:t xml:space="preserve">ich </w:t>
      </w:r>
      <w:r>
        <w:t xml:space="preserve">was a winning bidder for one FM station construction permit in </w:t>
      </w:r>
      <w:r w:rsidR="003204B9">
        <w:t>Westfield, New York</w:t>
      </w:r>
      <w:r>
        <w:t>, (MM-FM</w:t>
      </w:r>
      <w:r w:rsidR="003204B9">
        <w:t>1090</w:t>
      </w:r>
      <w:r>
        <w:t xml:space="preserve">-A) in Auction </w:t>
      </w:r>
      <w:r w:rsidR="003204B9">
        <w:t>9</w:t>
      </w:r>
      <w:r w:rsidR="0084634D">
        <w:t>8</w:t>
      </w:r>
      <w:r>
        <w:t xml:space="preserve">.  </w:t>
      </w:r>
      <w:r w:rsidR="003204B9">
        <w:t xml:space="preserve">ERIE </w:t>
      </w:r>
      <w:r>
        <w:t>failed to make i</w:t>
      </w:r>
      <w:r w:rsidR="0084634D">
        <w:t>t</w:t>
      </w:r>
      <w:r>
        <w:t xml:space="preserve">s required down payment for the permit by the deadline established under </w:t>
      </w:r>
      <w:r w:rsidR="009F4E06">
        <w:t>S</w:t>
      </w:r>
      <w:r>
        <w:t>ection 1.2107(b) of the Commission’s rules</w:t>
      </w:r>
      <w:r>
        <w:rPr>
          <w:rStyle w:val="FootnoteReference"/>
        </w:rPr>
        <w:footnoteReference w:id="2"/>
      </w:r>
      <w:r>
        <w:t xml:space="preserve"> and now seeks </w:t>
      </w:r>
      <w:r w:rsidR="003204B9">
        <w:t xml:space="preserve">a </w:t>
      </w:r>
      <w:r w:rsidR="00F67D1D">
        <w:t>waiver of</w:t>
      </w:r>
      <w:r w:rsidR="003204B9">
        <w:t xml:space="preserve"> that </w:t>
      </w:r>
      <w:r>
        <w:t>deadline.</w:t>
      </w:r>
      <w:r>
        <w:rPr>
          <w:rStyle w:val="FootnoteReference"/>
          <w:szCs w:val="22"/>
        </w:rPr>
        <w:footnoteReference w:id="3"/>
      </w:r>
      <w:r>
        <w:t xml:space="preserve">  For the reasons set forth below, we deny </w:t>
      </w:r>
      <w:r w:rsidR="003204B9">
        <w:t xml:space="preserve">ERIE’s </w:t>
      </w:r>
      <w:r w:rsidR="00863DAF">
        <w:t>R</w:t>
      </w:r>
      <w:r>
        <w:t>equest</w:t>
      </w:r>
      <w:r w:rsidR="00611680">
        <w:t>,</w:t>
      </w:r>
      <w:r w:rsidR="003204B9">
        <w:t xml:space="preserve"> </w:t>
      </w:r>
      <w:r>
        <w:t xml:space="preserve">assess an interim default payment, and dismiss </w:t>
      </w:r>
      <w:r w:rsidR="003204B9">
        <w:t xml:space="preserve">its </w:t>
      </w:r>
      <w:r>
        <w:t xml:space="preserve">long-form application for the </w:t>
      </w:r>
      <w:r w:rsidR="003204B9">
        <w:t>Westfield, New York</w:t>
      </w:r>
      <w:r>
        <w:t>, FM permit.</w:t>
      </w:r>
    </w:p>
    <w:p w:rsidR="00FB1259" w:rsidRDefault="00FB1259" w:rsidP="009D5952">
      <w:pPr>
        <w:pStyle w:val="Heading1"/>
        <w:widowControl/>
        <w:rPr>
          <w:b w:val="0"/>
          <w:szCs w:val="22"/>
        </w:rPr>
      </w:pPr>
      <w:r>
        <w:t>BACKGROUND</w:t>
      </w:r>
      <w:r>
        <w:rPr>
          <w:b w:val="0"/>
          <w:szCs w:val="22"/>
        </w:rPr>
        <w:t xml:space="preserve"> </w:t>
      </w:r>
    </w:p>
    <w:p w:rsidR="00FB1259" w:rsidRDefault="00FB1259" w:rsidP="009D5952">
      <w:pPr>
        <w:pStyle w:val="ParaNum"/>
        <w:widowControl/>
        <w:numPr>
          <w:ilvl w:val="0"/>
          <w:numId w:val="2"/>
        </w:numPr>
        <w:tabs>
          <w:tab w:val="clear" w:pos="1080"/>
          <w:tab w:val="num" w:pos="1440"/>
        </w:tabs>
      </w:pPr>
      <w:r>
        <w:t xml:space="preserve">On </w:t>
      </w:r>
      <w:r w:rsidR="009C4709">
        <w:t>March 16</w:t>
      </w:r>
      <w:r>
        <w:t>, 20</w:t>
      </w:r>
      <w:r w:rsidR="009C4709">
        <w:t>1</w:t>
      </w:r>
      <w:r>
        <w:t xml:space="preserve">5, the Wireless Telecommunications Bureau and Media Bureau (collectively, the Bureaus) announced an auction of </w:t>
      </w:r>
      <w:r w:rsidR="009C4709">
        <w:t xml:space="preserve">certain </w:t>
      </w:r>
      <w:r>
        <w:t xml:space="preserve">construction permits in the FM broadcast service (Auction </w:t>
      </w:r>
      <w:r w:rsidR="009C4709">
        <w:t>98</w:t>
      </w:r>
      <w:r>
        <w:t>).</w:t>
      </w:r>
      <w:r>
        <w:rPr>
          <w:rStyle w:val="FootnoteReference"/>
          <w:szCs w:val="22"/>
        </w:rPr>
        <w:footnoteReference w:id="4"/>
      </w:r>
      <w:r>
        <w:t xml:space="preserve">  On </w:t>
      </w:r>
      <w:r w:rsidR="00EE554C">
        <w:t>April 22</w:t>
      </w:r>
      <w:r>
        <w:t>, 20</w:t>
      </w:r>
      <w:r w:rsidR="00EE554C">
        <w:t>1</w:t>
      </w:r>
      <w:r>
        <w:t xml:space="preserve">5, following a period of public comment, the Bureaus released a Public Notice announcing the procedures that would govern Auction </w:t>
      </w:r>
      <w:r w:rsidR="00EE554C">
        <w:t>98</w:t>
      </w:r>
      <w:r>
        <w:t>.</w:t>
      </w:r>
      <w:r>
        <w:rPr>
          <w:rStyle w:val="FootnoteReference"/>
          <w:szCs w:val="22"/>
        </w:rPr>
        <w:footnoteReference w:id="5"/>
      </w:r>
      <w:r>
        <w:t xml:space="preserve">  The </w:t>
      </w:r>
      <w:r>
        <w:rPr>
          <w:i/>
        </w:rPr>
        <w:t xml:space="preserve">Auction </w:t>
      </w:r>
      <w:r w:rsidR="00EE554C">
        <w:rPr>
          <w:i/>
        </w:rPr>
        <w:t>98</w:t>
      </w:r>
      <w:r>
        <w:t xml:space="preserve"> </w:t>
      </w:r>
      <w:r>
        <w:rPr>
          <w:i/>
        </w:rPr>
        <w:t>Procedures Public Notice</w:t>
      </w:r>
      <w:r>
        <w:t xml:space="preserve"> described the requirements for participation in the auction and explained the post-auction procedures, including deadlines for the submission of down payments and the filing of long-form applications by winning bidders.  The </w:t>
      </w:r>
      <w:bookmarkStart w:id="1" w:name="OLE_LINK1"/>
      <w:bookmarkStart w:id="2" w:name="OLE_LINK2"/>
      <w:r>
        <w:rPr>
          <w:i/>
        </w:rPr>
        <w:t xml:space="preserve">Auction </w:t>
      </w:r>
      <w:r w:rsidR="00735A01">
        <w:rPr>
          <w:i/>
        </w:rPr>
        <w:t xml:space="preserve">98 </w:t>
      </w:r>
      <w:r>
        <w:rPr>
          <w:i/>
        </w:rPr>
        <w:t>Procedures Public Notice</w:t>
      </w:r>
      <w:r>
        <w:t xml:space="preserve"> </w:t>
      </w:r>
      <w:bookmarkEnd w:id="1"/>
      <w:bookmarkEnd w:id="2"/>
      <w:r>
        <w:t xml:space="preserve">specifically stated that down payments would be due from winning bidders ten business days after the release of the auction’s closing public notice, as required by </w:t>
      </w:r>
      <w:r w:rsidR="009F4E06">
        <w:t>S</w:t>
      </w:r>
      <w:r>
        <w:t>ection 1.2107(b) of the Commission’s rules.</w:t>
      </w:r>
      <w:r>
        <w:rPr>
          <w:rStyle w:val="FootnoteReference"/>
          <w:szCs w:val="22"/>
        </w:rPr>
        <w:footnoteReference w:id="6"/>
      </w:r>
      <w:r>
        <w:t xml:space="preserve">  It also stated that </w:t>
      </w:r>
      <w:r>
        <w:rPr>
          <w:color w:val="000000"/>
        </w:rPr>
        <w:t xml:space="preserve">“[a]ny </w:t>
      </w:r>
      <w:r w:rsidR="00EE554C">
        <w:rPr>
          <w:color w:val="000000"/>
        </w:rPr>
        <w:lastRenderedPageBreak/>
        <w:t>winning</w:t>
      </w:r>
      <w:r>
        <w:rPr>
          <w:color w:val="000000"/>
        </w:rPr>
        <w:t xml:space="preserve"> bidder that defaults or is disqualified after the close of the auction (</w:t>
      </w:r>
      <w:r w:rsidRPr="00C2798C">
        <w:rPr>
          <w:color w:val="000000"/>
        </w:rPr>
        <w:t>i.e.</w:t>
      </w:r>
      <w:r>
        <w:rPr>
          <w:color w:val="000000"/>
        </w:rPr>
        <w:t xml:space="preserve">, fails to remit the required down payment within the prescribed period of time . . . or is otherwise disqualified) will be subject to the payments described in </w:t>
      </w:r>
      <w:r w:rsidR="009F4E06">
        <w:rPr>
          <w:color w:val="000000"/>
        </w:rPr>
        <w:t>S</w:t>
      </w:r>
      <w:r w:rsidR="00C2798C">
        <w:rPr>
          <w:color w:val="000000"/>
        </w:rPr>
        <w:t>ection</w:t>
      </w:r>
      <w:r>
        <w:rPr>
          <w:color w:val="000000"/>
        </w:rPr>
        <w:t xml:space="preserve"> 1.2104(g)(2).”</w:t>
      </w:r>
      <w:r>
        <w:rPr>
          <w:rStyle w:val="FootnoteReference"/>
          <w:color w:val="000000"/>
        </w:rPr>
        <w:footnoteReference w:id="7"/>
      </w:r>
      <w:r>
        <w:t xml:space="preserve">  </w:t>
      </w:r>
      <w:r w:rsidR="00735A01">
        <w:t>In addition, t</w:t>
      </w:r>
      <w:r>
        <w:t xml:space="preserve">he </w:t>
      </w:r>
      <w:r>
        <w:rPr>
          <w:i/>
        </w:rPr>
        <w:t xml:space="preserve">Auction </w:t>
      </w:r>
      <w:r w:rsidR="00C2798C">
        <w:rPr>
          <w:i/>
        </w:rPr>
        <w:t>98</w:t>
      </w:r>
      <w:r>
        <w:t xml:space="preserve"> </w:t>
      </w:r>
      <w:r>
        <w:rPr>
          <w:i/>
        </w:rPr>
        <w:t>Procedures Public Notice</w:t>
      </w:r>
      <w:r>
        <w:t xml:space="preserve"> </w:t>
      </w:r>
      <w:r w:rsidR="009D5952">
        <w:t xml:space="preserve">indicated </w:t>
      </w:r>
      <w:r>
        <w:t xml:space="preserve">that long-form applications would be due thirty days after the release of the </w:t>
      </w:r>
      <w:r>
        <w:rPr>
          <w:i/>
        </w:rPr>
        <w:t xml:space="preserve">Auction </w:t>
      </w:r>
      <w:r w:rsidR="00C2798C">
        <w:rPr>
          <w:i/>
        </w:rPr>
        <w:t>98</w:t>
      </w:r>
      <w:r>
        <w:t xml:space="preserve"> </w:t>
      </w:r>
      <w:r>
        <w:rPr>
          <w:i/>
        </w:rPr>
        <w:t>Closing Public Notice</w:t>
      </w:r>
      <w:r>
        <w:t xml:space="preserve">, as required by </w:t>
      </w:r>
      <w:r w:rsidR="009F4E06">
        <w:t>Section</w:t>
      </w:r>
      <w:r>
        <w:t xml:space="preserve"> 73.5005(a) of the Commission’s rules.</w:t>
      </w:r>
      <w:r>
        <w:rPr>
          <w:rStyle w:val="FootnoteReference"/>
          <w:szCs w:val="22"/>
        </w:rPr>
        <w:footnoteReference w:id="8"/>
      </w:r>
    </w:p>
    <w:p w:rsidR="004F515E" w:rsidRDefault="009009AA" w:rsidP="00B11B02">
      <w:pPr>
        <w:pStyle w:val="ParaNum"/>
        <w:widowControl/>
        <w:numPr>
          <w:ilvl w:val="0"/>
          <w:numId w:val="2"/>
        </w:numPr>
        <w:tabs>
          <w:tab w:val="clear" w:pos="1080"/>
          <w:tab w:val="num" w:pos="1440"/>
        </w:tabs>
      </w:pPr>
      <w:r>
        <w:t>ERIE</w:t>
      </w:r>
      <w:r w:rsidR="00FB1259">
        <w:t xml:space="preserve"> timely filed i</w:t>
      </w:r>
      <w:r w:rsidR="0001779B">
        <w:t>t</w:t>
      </w:r>
      <w:r w:rsidR="00FB1259">
        <w:t>s short-form application to participate in the auction (FCC Form 175) and timely submitted an upfront payment in the amount of $</w:t>
      </w:r>
      <w:r w:rsidR="00762B19">
        <w:t>25,000</w:t>
      </w:r>
      <w:r w:rsidR="00FB1259">
        <w:t xml:space="preserve">.  Subsequently, the Bureaus released a public notice listing </w:t>
      </w:r>
      <w:r w:rsidR="00B65EC7">
        <w:t>ERIE</w:t>
      </w:r>
      <w:r w:rsidR="00FB1259">
        <w:t xml:space="preserve"> as a qualified bidder.</w:t>
      </w:r>
      <w:r w:rsidR="00FB1259">
        <w:rPr>
          <w:rStyle w:val="FootnoteReference"/>
        </w:rPr>
        <w:footnoteReference w:id="9"/>
      </w:r>
      <w:r w:rsidR="00FB1259">
        <w:t xml:space="preserve">  Bidding in Auction </w:t>
      </w:r>
      <w:r w:rsidR="00762B19">
        <w:t>98</w:t>
      </w:r>
      <w:r w:rsidR="00FB1259">
        <w:t xml:space="preserve"> began on </w:t>
      </w:r>
      <w:r w:rsidR="00794588">
        <w:t>July 23</w:t>
      </w:r>
      <w:r w:rsidR="00FB1259">
        <w:t>, 20</w:t>
      </w:r>
      <w:r w:rsidR="00CB4BC0">
        <w:t>15</w:t>
      </w:r>
      <w:r w:rsidR="004F543A">
        <w:t>,</w:t>
      </w:r>
      <w:r w:rsidR="00FB1259">
        <w:t xml:space="preserve"> and ended on </w:t>
      </w:r>
      <w:r w:rsidR="00794588">
        <w:t>August 6</w:t>
      </w:r>
      <w:r w:rsidR="00CB4BC0">
        <w:t>, 2015</w:t>
      </w:r>
      <w:r w:rsidR="00FB1259">
        <w:t xml:space="preserve">. </w:t>
      </w:r>
      <w:r w:rsidR="00FB1259" w:rsidRPr="004F515E">
        <w:rPr>
          <w:szCs w:val="22"/>
        </w:rPr>
        <w:t xml:space="preserve"> </w:t>
      </w:r>
      <w:r w:rsidR="00FB1259">
        <w:t xml:space="preserve">On </w:t>
      </w:r>
      <w:r w:rsidR="001C4CB8">
        <w:t>August 12</w:t>
      </w:r>
      <w:r w:rsidR="00FB1259">
        <w:t>, 20</w:t>
      </w:r>
      <w:r w:rsidR="001C4CB8">
        <w:t>15</w:t>
      </w:r>
      <w:r w:rsidR="00FB1259">
        <w:t xml:space="preserve">, the Bureaus released the </w:t>
      </w:r>
      <w:r w:rsidR="00FB1259" w:rsidRPr="004F515E">
        <w:rPr>
          <w:i/>
        </w:rPr>
        <w:t xml:space="preserve">Auction </w:t>
      </w:r>
      <w:r w:rsidR="001C4CB8" w:rsidRPr="00B11B02">
        <w:rPr>
          <w:i/>
        </w:rPr>
        <w:t>98</w:t>
      </w:r>
      <w:r w:rsidR="00FB1259">
        <w:t xml:space="preserve"> </w:t>
      </w:r>
      <w:r w:rsidR="00FB1259" w:rsidRPr="004F515E">
        <w:rPr>
          <w:i/>
        </w:rPr>
        <w:t>Closing Public Notice</w:t>
      </w:r>
      <w:r w:rsidR="00FB1259">
        <w:t xml:space="preserve">, which announced the close of Auction </w:t>
      </w:r>
      <w:r w:rsidR="001C4CB8">
        <w:t>98</w:t>
      </w:r>
      <w:r w:rsidR="00FB1259">
        <w:t xml:space="preserve"> and identified the winning bidders.</w:t>
      </w:r>
      <w:r w:rsidR="00FB1259">
        <w:rPr>
          <w:rStyle w:val="FootnoteReference"/>
        </w:rPr>
        <w:footnoteReference w:id="10"/>
      </w:r>
      <w:r w:rsidR="00FB1259">
        <w:t xml:space="preserve">  The </w:t>
      </w:r>
      <w:r w:rsidR="00FB1259" w:rsidRPr="004F515E">
        <w:rPr>
          <w:i/>
        </w:rPr>
        <w:t xml:space="preserve">Auction </w:t>
      </w:r>
      <w:r w:rsidR="00314286" w:rsidRPr="00B11B02">
        <w:rPr>
          <w:i/>
        </w:rPr>
        <w:t>98</w:t>
      </w:r>
      <w:r w:rsidR="00FB1259">
        <w:t xml:space="preserve"> </w:t>
      </w:r>
      <w:r w:rsidR="00FB1259" w:rsidRPr="004F515E">
        <w:rPr>
          <w:i/>
        </w:rPr>
        <w:t>Closing Public Notice</w:t>
      </w:r>
      <w:r w:rsidR="00FB1259">
        <w:t xml:space="preserve"> indicated that </w:t>
      </w:r>
      <w:r w:rsidR="00575CAA">
        <w:t>ERIE</w:t>
      </w:r>
      <w:r w:rsidR="00FB1259">
        <w:t xml:space="preserve"> was the winning bidder for one FM broadcast construction permit, MM-FM</w:t>
      </w:r>
      <w:r w:rsidR="00314286">
        <w:t>1090</w:t>
      </w:r>
      <w:r w:rsidR="00FB1259">
        <w:t xml:space="preserve">-A, at </w:t>
      </w:r>
      <w:r w:rsidR="00314286">
        <w:t>Westfield</w:t>
      </w:r>
      <w:r w:rsidR="00FB1259">
        <w:t xml:space="preserve">, </w:t>
      </w:r>
      <w:r w:rsidR="00314286">
        <w:t>New York</w:t>
      </w:r>
      <w:r w:rsidR="00FB1259">
        <w:t>, with i</w:t>
      </w:r>
      <w:r w:rsidR="00314286">
        <w:t>t</w:t>
      </w:r>
      <w:r w:rsidR="00FB1259">
        <w:t>s net winning bid of $</w:t>
      </w:r>
      <w:r w:rsidR="00314286">
        <w:t>535</w:t>
      </w:r>
      <w:r w:rsidR="00FB1259">
        <w:t>,</w:t>
      </w:r>
      <w:r w:rsidR="00314286">
        <w:t>5</w:t>
      </w:r>
      <w:r w:rsidR="00FB1259">
        <w:t xml:space="preserve">00.00.  </w:t>
      </w:r>
    </w:p>
    <w:p w:rsidR="00FB1259" w:rsidRDefault="00FB1259" w:rsidP="009D5952">
      <w:pPr>
        <w:pStyle w:val="ParaNum"/>
        <w:widowControl/>
        <w:numPr>
          <w:ilvl w:val="0"/>
          <w:numId w:val="2"/>
        </w:numPr>
        <w:tabs>
          <w:tab w:val="clear" w:pos="1080"/>
          <w:tab w:val="num" w:pos="1440"/>
        </w:tabs>
      </w:pPr>
      <w:r>
        <w:t xml:space="preserve">In keeping with the Commission’s rules, the </w:t>
      </w:r>
      <w:r>
        <w:rPr>
          <w:i/>
        </w:rPr>
        <w:t xml:space="preserve">Auction </w:t>
      </w:r>
      <w:r w:rsidR="00314286">
        <w:rPr>
          <w:i/>
        </w:rPr>
        <w:t>98</w:t>
      </w:r>
      <w:r>
        <w:t xml:space="preserve"> </w:t>
      </w:r>
      <w:r>
        <w:rPr>
          <w:i/>
        </w:rPr>
        <w:t>Closing Public Notice</w:t>
      </w:r>
      <w:r>
        <w:t xml:space="preserve"> declared that each winning bidder was required to have enough funds to cover its down payment on deposit with the Commission on </w:t>
      </w:r>
      <w:r w:rsidR="00314286">
        <w:t>August 26, 2015</w:t>
      </w:r>
      <w:r>
        <w:t>.</w:t>
      </w:r>
      <w:r>
        <w:rPr>
          <w:rStyle w:val="FootnoteReference"/>
        </w:rPr>
        <w:footnoteReference w:id="11"/>
      </w:r>
      <w:r>
        <w:t xml:space="preserve">  The </w:t>
      </w:r>
      <w:r>
        <w:rPr>
          <w:i/>
        </w:rPr>
        <w:t xml:space="preserve">Auction </w:t>
      </w:r>
      <w:r w:rsidR="00314286">
        <w:rPr>
          <w:i/>
        </w:rPr>
        <w:t>98</w:t>
      </w:r>
      <w:r>
        <w:t xml:space="preserve"> </w:t>
      </w:r>
      <w:r>
        <w:rPr>
          <w:i/>
        </w:rPr>
        <w:t xml:space="preserve">Closing Public Notice </w:t>
      </w:r>
      <w:r>
        <w:t>advised that “</w:t>
      </w:r>
      <w:r w:rsidR="00314286">
        <w:t xml:space="preserve">[e]ach </w:t>
      </w:r>
      <w:r>
        <w:t xml:space="preserve">winning bidder should coordinate with </w:t>
      </w:r>
      <w:r w:rsidR="00314286">
        <w:t>its financial institution well</w:t>
      </w:r>
      <w:r>
        <w:t xml:space="preserve"> ahead of t</w:t>
      </w:r>
      <w:r w:rsidR="00314286">
        <w:t xml:space="preserve">he due date </w:t>
      </w:r>
      <w:r>
        <w:t xml:space="preserve">regarding </w:t>
      </w:r>
      <w:r w:rsidR="00314286">
        <w:t xml:space="preserve">its </w:t>
      </w:r>
      <w:r>
        <w:t xml:space="preserve">wire transfer and </w:t>
      </w:r>
      <w:r w:rsidR="00314286">
        <w:t xml:space="preserve">should </w:t>
      </w:r>
      <w:r>
        <w:t xml:space="preserve">allow sufficient time for </w:t>
      </w:r>
      <w:r w:rsidR="00314286">
        <w:t xml:space="preserve">each </w:t>
      </w:r>
      <w:r>
        <w:t xml:space="preserve">wire transfer to be </w:t>
      </w:r>
      <w:r w:rsidRPr="00314286">
        <w:t>initiated and completed prior to the deadline.</w:t>
      </w:r>
      <w:r>
        <w:t>”</w:t>
      </w:r>
      <w:r>
        <w:rPr>
          <w:rStyle w:val="FootnoteReference"/>
        </w:rPr>
        <w:footnoteReference w:id="12"/>
      </w:r>
      <w:r>
        <w:t xml:space="preserve">  </w:t>
      </w:r>
      <w:r w:rsidR="00885BA4">
        <w:t xml:space="preserve">The </w:t>
      </w:r>
      <w:r w:rsidR="00885BA4">
        <w:rPr>
          <w:i/>
        </w:rPr>
        <w:t>Auction 98</w:t>
      </w:r>
      <w:r w:rsidR="00885BA4">
        <w:t xml:space="preserve"> </w:t>
      </w:r>
      <w:r w:rsidR="00885BA4">
        <w:rPr>
          <w:i/>
        </w:rPr>
        <w:t xml:space="preserve">Closing Public Notice </w:t>
      </w:r>
      <w:r w:rsidR="00885BA4">
        <w:t>further noted that the “Commission repeatedly has cautioned auction participants about the importance of planning ahead to prepare for unforeseen last-minute difficulties in making payments by wire transfer.”</w:t>
      </w:r>
      <w:r w:rsidR="00885BA4">
        <w:rPr>
          <w:rStyle w:val="FootnoteReference"/>
        </w:rPr>
        <w:footnoteReference w:id="13"/>
      </w:r>
      <w:r w:rsidR="00885BA4">
        <w:t xml:space="preserve">  ERIE </w:t>
      </w:r>
      <w:r>
        <w:t>was required to submit $</w:t>
      </w:r>
      <w:r w:rsidR="00885BA4">
        <w:t xml:space="preserve">107,100 </w:t>
      </w:r>
      <w:r>
        <w:t xml:space="preserve">to the Commission by </w:t>
      </w:r>
      <w:r w:rsidR="00885BA4">
        <w:t>August 26</w:t>
      </w:r>
      <w:r>
        <w:t>, 20</w:t>
      </w:r>
      <w:r w:rsidR="00885BA4">
        <w:t>15</w:t>
      </w:r>
      <w:r>
        <w:t xml:space="preserve">, to satisfy </w:t>
      </w:r>
      <w:r w:rsidR="00885BA4">
        <w:t xml:space="preserve">its </w:t>
      </w:r>
      <w:r>
        <w:t>down payment obligation.</w:t>
      </w:r>
      <w:r>
        <w:rPr>
          <w:rStyle w:val="FootnoteReference"/>
        </w:rPr>
        <w:footnoteReference w:id="14"/>
      </w:r>
      <w:r>
        <w:rPr>
          <w:rStyle w:val="FootnoteReference"/>
        </w:rPr>
        <w:t xml:space="preserve"> </w:t>
      </w:r>
      <w:r>
        <w:t xml:space="preserve"> </w:t>
      </w:r>
      <w:r w:rsidR="00885BA4">
        <w:t>ERIE</w:t>
      </w:r>
      <w:r>
        <w:t xml:space="preserve"> failed, however, to pay this amount by the </w:t>
      </w:r>
      <w:r w:rsidR="00885BA4">
        <w:t>August 26, 2015</w:t>
      </w:r>
      <w:r>
        <w:t>, deadline and did not complete i</w:t>
      </w:r>
      <w:r w:rsidR="00885BA4">
        <w:t>t</w:t>
      </w:r>
      <w:r>
        <w:t xml:space="preserve">s wire transfer payment until </w:t>
      </w:r>
      <w:r w:rsidR="0065752E">
        <w:t xml:space="preserve">4:35 pm on </w:t>
      </w:r>
      <w:r>
        <w:t xml:space="preserve">the following day.  </w:t>
      </w:r>
    </w:p>
    <w:p w:rsidR="00966863" w:rsidRDefault="003B5AE4" w:rsidP="009D5952">
      <w:pPr>
        <w:pStyle w:val="ParaNum"/>
        <w:widowControl/>
        <w:numPr>
          <w:ilvl w:val="0"/>
          <w:numId w:val="2"/>
        </w:numPr>
        <w:tabs>
          <w:tab w:val="clear" w:pos="1080"/>
          <w:tab w:val="num" w:pos="1440"/>
        </w:tabs>
      </w:pPr>
      <w:r>
        <w:t>On November 20, 201</w:t>
      </w:r>
      <w:r w:rsidR="00E735B6">
        <w:t>5</w:t>
      </w:r>
      <w:r>
        <w:t xml:space="preserve">, </w:t>
      </w:r>
      <w:r w:rsidR="0057271F">
        <w:t xml:space="preserve">ERIE filed </w:t>
      </w:r>
      <w:r w:rsidR="005946C2">
        <w:t>its “Informal Request for Extension of Time” which</w:t>
      </w:r>
      <w:r w:rsidR="00555EE1">
        <w:t xml:space="preserve"> seeks a one-day extension of the August 26, 2015, </w:t>
      </w:r>
      <w:r w:rsidR="008442FC">
        <w:t xml:space="preserve">down payment </w:t>
      </w:r>
      <w:r w:rsidR="00555EE1">
        <w:t xml:space="preserve">deadline pursuant to </w:t>
      </w:r>
      <w:r w:rsidR="00691327">
        <w:t>S</w:t>
      </w:r>
      <w:r w:rsidR="005946C2">
        <w:t>ections 1.41 and 1.46 of the Commission’s rules</w:t>
      </w:r>
      <w:r w:rsidR="0057271F">
        <w:t>.</w:t>
      </w:r>
      <w:r w:rsidR="005946C2">
        <w:rPr>
          <w:rStyle w:val="FootnoteReference"/>
        </w:rPr>
        <w:footnoteReference w:id="15"/>
      </w:r>
      <w:r w:rsidR="0057271F">
        <w:t xml:space="preserve">  </w:t>
      </w:r>
      <w:r>
        <w:t>ERIE contends that circumstances beyond its control caused any delay in the down payment, and therefore, “special circumstances” warrant a</w:t>
      </w:r>
      <w:r w:rsidR="0057271F">
        <w:t xml:space="preserve">n </w:t>
      </w:r>
      <w:r>
        <w:t>extension.</w:t>
      </w:r>
      <w:r>
        <w:rPr>
          <w:rStyle w:val="FootnoteReference"/>
        </w:rPr>
        <w:footnoteReference w:id="16"/>
      </w:r>
      <w:r w:rsidR="0057271F">
        <w:t xml:space="preserve">  </w:t>
      </w:r>
      <w:r w:rsidR="000715C2">
        <w:t xml:space="preserve">ERIE </w:t>
      </w:r>
      <w:r w:rsidR="00DF5658">
        <w:t>claims</w:t>
      </w:r>
      <w:r w:rsidR="000715C2">
        <w:t xml:space="preserve"> that for </w:t>
      </w:r>
      <w:r w:rsidR="000715C2">
        <w:lastRenderedPageBreak/>
        <w:t xml:space="preserve">several days prior to the </w:t>
      </w:r>
      <w:r w:rsidR="00575CAA">
        <w:t xml:space="preserve">down payment </w:t>
      </w:r>
      <w:r w:rsidR="000715C2">
        <w:t xml:space="preserve">deadline, it contacted its bank </w:t>
      </w:r>
      <w:r w:rsidR="00EE1D7F">
        <w:t>“</w:t>
      </w:r>
      <w:r w:rsidR="000715C2">
        <w:t>multiple times</w:t>
      </w:r>
      <w:r w:rsidR="00EE1D7F">
        <w:t>”</w:t>
      </w:r>
      <w:r w:rsidR="000715C2">
        <w:t xml:space="preserve"> about the wire</w:t>
      </w:r>
      <w:r w:rsidR="00EE1D7F">
        <w:t xml:space="preserve"> transfer</w:t>
      </w:r>
      <w:r w:rsidR="0057271F">
        <w:t xml:space="preserve"> and that on </w:t>
      </w:r>
      <w:r w:rsidR="000715C2">
        <w:t xml:space="preserve">the </w:t>
      </w:r>
      <w:r w:rsidR="00EE1D7F">
        <w:t>August 26</w:t>
      </w:r>
      <w:r w:rsidR="000715C2">
        <w:t xml:space="preserve"> deadline, one of its owners </w:t>
      </w:r>
      <w:r w:rsidR="00EE1D7F">
        <w:t>“</w:t>
      </w:r>
      <w:r w:rsidR="000715C2">
        <w:t>repeatedly contacted h</w:t>
      </w:r>
      <w:r w:rsidR="00EE1D7F">
        <w:t>is</w:t>
      </w:r>
      <w:r w:rsidR="000715C2">
        <w:t xml:space="preserve"> bank to execute the wire transfer</w:t>
      </w:r>
      <w:r w:rsidR="00A925CB">
        <w:t>,</w:t>
      </w:r>
      <w:r w:rsidR="00EE1D7F">
        <w:t>”</w:t>
      </w:r>
      <w:r w:rsidR="00A925CB">
        <w:t xml:space="preserve"> but provides no </w:t>
      </w:r>
      <w:r w:rsidR="0076479B">
        <w:t xml:space="preserve">further information on any </w:t>
      </w:r>
      <w:r w:rsidR="00A925CB">
        <w:t>such contacts.</w:t>
      </w:r>
      <w:r w:rsidR="000715C2">
        <w:rPr>
          <w:rStyle w:val="FootnoteReference"/>
        </w:rPr>
        <w:footnoteReference w:id="17"/>
      </w:r>
      <w:r w:rsidR="000715C2">
        <w:t xml:space="preserve">  </w:t>
      </w:r>
      <w:r w:rsidR="00EE1D7F">
        <w:t>To support its claim</w:t>
      </w:r>
      <w:r w:rsidR="000715C2">
        <w:t>, ERIE submits a one-sentence letter from the bank stating that “[d]espite our customers [sic] best efforts to wire the funds on August 26, 2015 First National Bank was unable to execute the wire until August 27, 2015.</w:t>
      </w:r>
      <w:r w:rsidR="00A55761">
        <w:t>”</w:t>
      </w:r>
      <w:r w:rsidR="000715C2">
        <w:rPr>
          <w:rStyle w:val="FootnoteReference"/>
        </w:rPr>
        <w:footnoteReference w:id="18"/>
      </w:r>
      <w:r w:rsidR="00C35086">
        <w:t xml:space="preserve">  </w:t>
      </w:r>
      <w:r w:rsidR="0057271F">
        <w:t xml:space="preserve">Furthermore, </w:t>
      </w:r>
      <w:r w:rsidR="008A00B3">
        <w:t xml:space="preserve">ERIE </w:t>
      </w:r>
      <w:r w:rsidR="0057271F">
        <w:t>assert</w:t>
      </w:r>
      <w:r w:rsidR="008A00B3">
        <w:t xml:space="preserve">s that </w:t>
      </w:r>
      <w:r w:rsidR="00D974B5">
        <w:t xml:space="preserve">throughout the bidding and post-auction periods, it had sufficient funds in its bank account to satisfy the final payment.  ERIE claims that </w:t>
      </w:r>
      <w:r w:rsidR="00F76B92">
        <w:t xml:space="preserve">after </w:t>
      </w:r>
      <w:r w:rsidR="00575CAA">
        <w:t xml:space="preserve">it </w:t>
      </w:r>
      <w:r w:rsidR="00F76B92">
        <w:t>learn</w:t>
      </w:r>
      <w:r w:rsidR="00575CAA">
        <w:t>ed</w:t>
      </w:r>
      <w:r w:rsidR="00F76B92">
        <w:t xml:space="preserve"> </w:t>
      </w:r>
      <w:r w:rsidR="009D5952">
        <w:t>that</w:t>
      </w:r>
      <w:r w:rsidR="00F76B92">
        <w:t xml:space="preserve"> </w:t>
      </w:r>
      <w:r w:rsidR="00C45FDA">
        <w:t>its bank</w:t>
      </w:r>
      <w:r w:rsidR="009D5952">
        <w:t xml:space="preserve"> did not wire </w:t>
      </w:r>
      <w:r w:rsidR="00F76B92">
        <w:t>the down payment</w:t>
      </w:r>
      <w:r w:rsidR="00575CAA">
        <w:t xml:space="preserve"> </w:t>
      </w:r>
      <w:r w:rsidR="0065752E">
        <w:t>by</w:t>
      </w:r>
      <w:r w:rsidR="00575CAA">
        <w:t xml:space="preserve"> the August 26 deadline</w:t>
      </w:r>
      <w:r w:rsidR="00F76B92">
        <w:t xml:space="preserve">, it wired the total balance of its bid six days </w:t>
      </w:r>
      <w:r w:rsidR="00E9329B">
        <w:t>in advance of</w:t>
      </w:r>
      <w:r w:rsidR="00F76B92">
        <w:t xml:space="preserve"> the final payment deadline</w:t>
      </w:r>
      <w:r w:rsidR="006101E1">
        <w:t xml:space="preserve"> </w:t>
      </w:r>
      <w:r w:rsidR="009D5952">
        <w:t>to demonstrate</w:t>
      </w:r>
      <w:r w:rsidR="00C45FDA">
        <w:t xml:space="preserve"> that it was financially capable of meeting its </w:t>
      </w:r>
      <w:r w:rsidR="009D5952">
        <w:t xml:space="preserve">payment </w:t>
      </w:r>
      <w:r w:rsidR="00C45FDA">
        <w:t>obligations</w:t>
      </w:r>
      <w:r w:rsidR="00F76B92">
        <w:t>.</w:t>
      </w:r>
      <w:r w:rsidR="00297927">
        <w:rPr>
          <w:rStyle w:val="FootnoteReference"/>
        </w:rPr>
        <w:footnoteReference w:id="19"/>
      </w:r>
      <w:r w:rsidR="00F76B92">
        <w:t xml:space="preserve">  </w:t>
      </w:r>
      <w:r w:rsidR="008A00B3">
        <w:t xml:space="preserve">Finally, </w:t>
      </w:r>
      <w:r w:rsidR="006101E1">
        <w:t>ERIE</w:t>
      </w:r>
      <w:r w:rsidR="00D974B5">
        <w:t xml:space="preserve"> declares </w:t>
      </w:r>
      <w:r w:rsidR="006101E1">
        <w:t xml:space="preserve">that it intends to construct </w:t>
      </w:r>
      <w:r w:rsidR="00682FAF">
        <w:t xml:space="preserve">as rapidly as possible </w:t>
      </w:r>
      <w:r w:rsidR="006101E1">
        <w:t xml:space="preserve">a new station </w:t>
      </w:r>
      <w:r w:rsidR="00E9329B">
        <w:t>in Westfield, New York,</w:t>
      </w:r>
      <w:r w:rsidR="00B712E4">
        <w:t xml:space="preserve"> a community it claims is underserved</w:t>
      </w:r>
      <w:r w:rsidR="006101E1">
        <w:t>.</w:t>
      </w:r>
      <w:r w:rsidR="00297927">
        <w:rPr>
          <w:rStyle w:val="FootnoteReference"/>
        </w:rPr>
        <w:footnoteReference w:id="20"/>
      </w:r>
    </w:p>
    <w:p w:rsidR="00FB1259" w:rsidRDefault="00966863" w:rsidP="009D5952">
      <w:pPr>
        <w:pStyle w:val="ParaNum"/>
        <w:widowControl/>
        <w:numPr>
          <w:ilvl w:val="0"/>
          <w:numId w:val="2"/>
        </w:numPr>
        <w:tabs>
          <w:tab w:val="clear" w:pos="1080"/>
          <w:tab w:val="num" w:pos="1440"/>
        </w:tabs>
      </w:pPr>
      <w:r>
        <w:t xml:space="preserve">Connoisseur Media Licenses, LLC (Connoisseur) filed an objection to </w:t>
      </w:r>
      <w:r w:rsidR="009D5952">
        <w:t xml:space="preserve">ERIE’s </w:t>
      </w:r>
      <w:r w:rsidR="00A925CB">
        <w:t>R</w:t>
      </w:r>
      <w:r w:rsidR="009D5952">
        <w:t>equest</w:t>
      </w:r>
      <w:r>
        <w:t>.</w:t>
      </w:r>
      <w:r>
        <w:rPr>
          <w:rStyle w:val="FootnoteReference"/>
        </w:rPr>
        <w:footnoteReference w:id="21"/>
      </w:r>
      <w:r w:rsidR="00B726A2">
        <w:t xml:space="preserve">  Connoisseur argues that </w:t>
      </w:r>
      <w:r w:rsidR="009D5952">
        <w:t>a bank error that delays a down payment can</w:t>
      </w:r>
      <w:r w:rsidR="00B726A2">
        <w:t>not justify a waiver of the Commission’s down payment deadline.</w:t>
      </w:r>
      <w:r w:rsidR="00B726A2">
        <w:rPr>
          <w:rStyle w:val="FootnoteReference"/>
        </w:rPr>
        <w:footnoteReference w:id="22"/>
      </w:r>
      <w:r w:rsidR="006101E1">
        <w:t xml:space="preserve">  </w:t>
      </w:r>
    </w:p>
    <w:p w:rsidR="00FB1259" w:rsidRDefault="00FB1259" w:rsidP="009D5952">
      <w:pPr>
        <w:pStyle w:val="Heading1"/>
        <w:widowControl/>
        <w:rPr>
          <w:b w:val="0"/>
          <w:szCs w:val="22"/>
        </w:rPr>
      </w:pPr>
      <w:r>
        <w:t>DISCUSSION</w:t>
      </w:r>
      <w:r>
        <w:rPr>
          <w:b w:val="0"/>
          <w:szCs w:val="22"/>
        </w:rPr>
        <w:t xml:space="preserve">  </w:t>
      </w:r>
    </w:p>
    <w:p w:rsidR="00921F96" w:rsidRDefault="00FB1259" w:rsidP="009D5952">
      <w:pPr>
        <w:pStyle w:val="NumberedList"/>
        <w:widowControl/>
        <w:ind w:firstLine="720"/>
      </w:pPr>
      <w:r>
        <w:t xml:space="preserve">Pursuant to </w:t>
      </w:r>
      <w:r w:rsidR="009F4E06">
        <w:t>Section</w:t>
      </w:r>
      <w:r>
        <w:t xml:space="preserve"> 1.2107(b) of the Commission’s rules, each winning bidder in Auction </w:t>
      </w:r>
      <w:r w:rsidR="00297927">
        <w:t>98</w:t>
      </w:r>
      <w:r>
        <w:t xml:space="preserve">, including </w:t>
      </w:r>
      <w:r w:rsidR="00297927">
        <w:t>ERIE</w:t>
      </w:r>
      <w:r>
        <w:t>, was required to submit sufficient funds (in addition to its upfront payment) to bring its total amount of money on deposit with the Commission for i</w:t>
      </w:r>
      <w:r w:rsidR="00EB4B66">
        <w:t>ts winning bids to 20</w:t>
      </w:r>
      <w:r>
        <w:t xml:space="preserve"> percent of the net amount of its winning bids within ten business days after release of the </w:t>
      </w:r>
      <w:r w:rsidRPr="00297927">
        <w:rPr>
          <w:i/>
        </w:rPr>
        <w:t xml:space="preserve">Auction </w:t>
      </w:r>
      <w:r w:rsidR="00297927" w:rsidRPr="00297927">
        <w:rPr>
          <w:i/>
        </w:rPr>
        <w:t>98</w:t>
      </w:r>
      <w:r w:rsidRPr="00297927">
        <w:rPr>
          <w:i/>
        </w:rPr>
        <w:t xml:space="preserve"> Closing Public Notice</w:t>
      </w:r>
      <w:r>
        <w:t>.</w:t>
      </w:r>
      <w:r>
        <w:rPr>
          <w:rStyle w:val="FootnoteReference"/>
        </w:rPr>
        <w:footnoteReference w:id="23"/>
      </w:r>
      <w:r>
        <w:t xml:space="preserve">  </w:t>
      </w:r>
      <w:r w:rsidR="00921F96">
        <w:t xml:space="preserve">Although couched as </w:t>
      </w:r>
      <w:r w:rsidR="00B15B33">
        <w:t xml:space="preserve">an “informal request” under </w:t>
      </w:r>
      <w:r w:rsidR="009F4E06">
        <w:t>Section</w:t>
      </w:r>
      <w:r w:rsidR="00B15B33">
        <w:t xml:space="preserve"> 1.41 for an extension of time pursuant to </w:t>
      </w:r>
      <w:r w:rsidR="009F4E06">
        <w:t>Section</w:t>
      </w:r>
      <w:r w:rsidR="00B15B33">
        <w:t xml:space="preserve"> 1.46</w:t>
      </w:r>
      <w:r w:rsidR="00921F96">
        <w:t>, E</w:t>
      </w:r>
      <w:r w:rsidR="00B67F03">
        <w:t>RIE</w:t>
      </w:r>
      <w:r w:rsidR="00921F96">
        <w:t xml:space="preserve"> is essentially seeking a waiver </w:t>
      </w:r>
      <w:r w:rsidR="004C5212">
        <w:t xml:space="preserve">of </w:t>
      </w:r>
      <w:r w:rsidR="00F26BB6">
        <w:t xml:space="preserve">its obligations under </w:t>
      </w:r>
      <w:r w:rsidR="00921F96">
        <w:t xml:space="preserve">Section 1.2107(b).  </w:t>
      </w:r>
      <w:r w:rsidR="003161D0">
        <w:t xml:space="preserve">This section has been the subject of numerous </w:t>
      </w:r>
      <w:r w:rsidR="00B67F03" w:rsidRPr="003161D0">
        <w:t xml:space="preserve">petitions for waiver filed by </w:t>
      </w:r>
      <w:r w:rsidR="00921F96" w:rsidRPr="003161D0">
        <w:t xml:space="preserve">winning bidders </w:t>
      </w:r>
      <w:r w:rsidR="00032B17" w:rsidRPr="003161D0">
        <w:t xml:space="preserve">in various </w:t>
      </w:r>
      <w:r w:rsidR="00860C79" w:rsidRPr="003161D0">
        <w:t xml:space="preserve">spectrum </w:t>
      </w:r>
      <w:r w:rsidR="00032B17" w:rsidRPr="003161D0">
        <w:t>auctions</w:t>
      </w:r>
      <w:r w:rsidR="003161D0">
        <w:t>,</w:t>
      </w:r>
      <w:r w:rsidR="00921F96" w:rsidRPr="003161D0">
        <w:t xml:space="preserve"> and </w:t>
      </w:r>
      <w:r w:rsidR="003161D0">
        <w:t>t</w:t>
      </w:r>
      <w:r w:rsidR="003161D0" w:rsidRPr="003161D0">
        <w:t xml:space="preserve">he Commission </w:t>
      </w:r>
      <w:r w:rsidR="00B67F03" w:rsidRPr="003161D0">
        <w:t>has denied each one</w:t>
      </w:r>
      <w:r w:rsidR="00921F96" w:rsidRPr="003161D0">
        <w:t>.</w:t>
      </w:r>
      <w:r w:rsidR="00921F96" w:rsidRPr="003161D0">
        <w:rPr>
          <w:rStyle w:val="FootnoteReference"/>
        </w:rPr>
        <w:footnoteReference w:id="24"/>
      </w:r>
      <w:r w:rsidR="00921F96">
        <w:t xml:space="preserve">  ERIE cannot side-step this ample adverse precedent – which ERIE wholly ignores in its Request – by seeking an extension of time under Section 1.46</w:t>
      </w:r>
      <w:r w:rsidR="00B67F03">
        <w:t>.  Accordingly</w:t>
      </w:r>
      <w:r w:rsidR="00921F96">
        <w:t>,</w:t>
      </w:r>
      <w:r w:rsidR="00B67F03">
        <w:t xml:space="preserve"> </w:t>
      </w:r>
      <w:r w:rsidR="00921F96">
        <w:t>we will treat E</w:t>
      </w:r>
      <w:r w:rsidR="00B67F03">
        <w:t>RIE</w:t>
      </w:r>
      <w:r w:rsidR="00921F96">
        <w:t>’s Request as a petition for waiver</w:t>
      </w:r>
      <w:r w:rsidR="00860C79" w:rsidRPr="00860C79">
        <w:t xml:space="preserve"> </w:t>
      </w:r>
      <w:r w:rsidR="00860C79">
        <w:t>of Section 1.2107(b)</w:t>
      </w:r>
      <w:r w:rsidR="00921F96">
        <w:t>.</w:t>
      </w:r>
    </w:p>
    <w:p w:rsidR="00EC2A40" w:rsidRPr="007A09C8" w:rsidRDefault="00B67F03" w:rsidP="00715733">
      <w:pPr>
        <w:pStyle w:val="NumberedList"/>
        <w:widowControl/>
        <w:ind w:firstLine="720"/>
        <w:rPr>
          <w:rStyle w:val="FootnoteReference"/>
          <w:vertAlign w:val="baseline"/>
        </w:rPr>
      </w:pPr>
      <w:r>
        <w:t>T</w:t>
      </w:r>
      <w:r w:rsidR="00FB1259">
        <w:t>he Commission may waive rule provisions “for good cause shown” by the petitioner.</w:t>
      </w:r>
      <w:r w:rsidR="00FB1259">
        <w:rPr>
          <w:rStyle w:val="FootnoteReference"/>
        </w:rPr>
        <w:footnoteReference w:id="25"/>
      </w:r>
      <w:r w:rsidR="00FB1259">
        <w:t xml:space="preserve">  As interpreted by the courts, the party seeking waiver of a rule’s requirements must demonstrate that “special circumstances warrant a deviation from the general rule and such deviation will serve the public interest.”</w:t>
      </w:r>
      <w:r w:rsidR="00FB1259">
        <w:rPr>
          <w:rStyle w:val="FootnoteReference"/>
        </w:rPr>
        <w:footnoteReference w:id="26"/>
      </w:r>
      <w:r w:rsidR="008939D9">
        <w:t xml:space="preserve"> </w:t>
      </w:r>
      <w:r w:rsidR="00FB1259">
        <w:rPr>
          <w:rStyle w:val="FootnoteReference"/>
        </w:rPr>
        <w:t xml:space="preserve"> </w:t>
      </w:r>
      <w:r w:rsidR="00923A3C">
        <w:t>In order to demonstrate the required special circumstances, a party must show that the application of the rule would be inequitable, unduly burdensome or contrary to the public interest or that no reasonable alternative existed which would have allowed the party to comply with this rule.</w:t>
      </w:r>
      <w:r w:rsidR="00923A3C">
        <w:rPr>
          <w:rStyle w:val="FootnoteReference"/>
        </w:rPr>
        <w:footnoteReference w:id="27"/>
      </w:r>
      <w:r w:rsidR="00923A3C">
        <w:t xml:space="preserve">  Alternatively, a party bears the burden of convincing us that a waiver would not conflict with the policy underlying this rule.</w:t>
      </w:r>
      <w:r w:rsidR="00923A3C">
        <w:rPr>
          <w:rStyle w:val="FootnoteReference"/>
        </w:rPr>
        <w:footnoteReference w:id="28"/>
      </w:r>
    </w:p>
    <w:p w:rsidR="00BC0E35" w:rsidRPr="00B11B02" w:rsidRDefault="004F515E" w:rsidP="004D07B0">
      <w:pPr>
        <w:pStyle w:val="ParaNum"/>
        <w:widowControl/>
        <w:numPr>
          <w:ilvl w:val="0"/>
          <w:numId w:val="2"/>
        </w:numPr>
        <w:tabs>
          <w:tab w:val="clear" w:pos="1080"/>
          <w:tab w:val="num" w:pos="1440"/>
        </w:tabs>
        <w:rPr>
          <w:spacing w:val="-2"/>
        </w:rPr>
      </w:pPr>
      <w:r>
        <w:t>ERIE has failed to demonstrate good cause</w:t>
      </w:r>
      <w:r w:rsidR="00322D6D">
        <w:t>,</w:t>
      </w:r>
      <w:r>
        <w:t xml:space="preserve"> and </w:t>
      </w:r>
      <w:r w:rsidR="005A1E4A">
        <w:t xml:space="preserve">we </w:t>
      </w:r>
      <w:r>
        <w:t>therefor</w:t>
      </w:r>
      <w:r w:rsidR="00B11B02">
        <w:t>e</w:t>
      </w:r>
      <w:r>
        <w:t xml:space="preserve"> </w:t>
      </w:r>
      <w:r w:rsidR="005A1E4A">
        <w:t xml:space="preserve">deny ERIE’s </w:t>
      </w:r>
      <w:r w:rsidR="00B67F03">
        <w:t>R</w:t>
      </w:r>
      <w:r w:rsidR="005A1E4A">
        <w:t>equest</w:t>
      </w:r>
      <w:r w:rsidR="00923A3C">
        <w:t>.</w:t>
      </w:r>
      <w:r w:rsidR="00C96217">
        <w:t xml:space="preserve"> </w:t>
      </w:r>
      <w:r w:rsidR="00C96217" w:rsidRPr="00C96217">
        <w:t xml:space="preserve"> </w:t>
      </w:r>
      <w:r w:rsidR="00FB1259">
        <w:t xml:space="preserve">The Commission has </w:t>
      </w:r>
      <w:r w:rsidR="00667089">
        <w:t xml:space="preserve">long </w:t>
      </w:r>
      <w:r w:rsidR="00FB1259">
        <w:t>explained that one of the principal</w:t>
      </w:r>
      <w:r w:rsidR="00667089">
        <w:t xml:space="preserve"> purposes of the requirement that winning bidders make a </w:t>
      </w:r>
      <w:r w:rsidR="00FB1259">
        <w:t xml:space="preserve">full and timely down payment is “to ensure that bidders are financially capable of constructing and operating their systems,” and that “[t]imely payment of both upfront and down payment obligations is one of the best indicators prior to award of licenses of a bidder’s </w:t>
      </w:r>
      <w:r w:rsidR="00FB1259" w:rsidRPr="00B11B02">
        <w:rPr>
          <w:i/>
        </w:rPr>
        <w:t>bona fide</w:t>
      </w:r>
      <w:r w:rsidR="00FB1259">
        <w:t xml:space="preserve"> ability to pay.”</w:t>
      </w:r>
      <w:r w:rsidR="00FB1259">
        <w:rPr>
          <w:rStyle w:val="FootnoteReference"/>
        </w:rPr>
        <w:footnoteReference w:id="29"/>
      </w:r>
      <w:r w:rsidR="00FB1259">
        <w:t xml:space="preserve">  When it adopted the down payment deadline rule, the Commission rejected suggestions to allow a flexible period between </w:t>
      </w:r>
      <w:r w:rsidR="00667089">
        <w:t xml:space="preserve">the close of the </w:t>
      </w:r>
      <w:r w:rsidR="00FB1259">
        <w:t xml:space="preserve">auction and </w:t>
      </w:r>
      <w:r w:rsidR="00667089">
        <w:t xml:space="preserve">the down </w:t>
      </w:r>
      <w:r w:rsidR="00FB1259">
        <w:t>payment, because “[s]uch a procedure could give winning bidders the opportunity to ‘game’ [the Commission’s] processes by making an upfront payment, bidding on a license, and then assessing afterwards whether to go forward with the award of the license.”</w:t>
      </w:r>
      <w:r w:rsidR="00FB1259">
        <w:rPr>
          <w:rStyle w:val="FootnoteReference"/>
        </w:rPr>
        <w:footnoteReference w:id="30"/>
      </w:r>
      <w:r w:rsidR="00FB1259">
        <w:t xml:space="preserve">  The Commission observed that “a substantial delay between auction and down payment would subvert [its] objective of reducing speculative bidding because it would provide financially unqualified bidders with an opportunity to ‘shop’ a winning bid in an effort to obtain financing for a down payment,” and concluded that such conduct “would undermine the integrity of the auction itself.”</w:t>
      </w:r>
      <w:r w:rsidR="00FB1259">
        <w:rPr>
          <w:rStyle w:val="FootnoteReference"/>
        </w:rPr>
        <w:footnoteReference w:id="31"/>
      </w:r>
      <w:r w:rsidR="00FB1259">
        <w:t xml:space="preserve">  </w:t>
      </w:r>
    </w:p>
    <w:p w:rsidR="0037081A" w:rsidRPr="007055A5" w:rsidRDefault="00D8763A" w:rsidP="009D5952">
      <w:pPr>
        <w:pStyle w:val="ParaNum"/>
        <w:widowControl/>
        <w:numPr>
          <w:ilvl w:val="0"/>
          <w:numId w:val="2"/>
        </w:numPr>
        <w:tabs>
          <w:tab w:val="clear" w:pos="1080"/>
          <w:tab w:val="num" w:pos="1440"/>
        </w:tabs>
        <w:rPr>
          <w:spacing w:val="-2"/>
        </w:rPr>
      </w:pPr>
      <w:r>
        <w:t>In light of</w:t>
      </w:r>
      <w:r w:rsidR="008670CA">
        <w:t xml:space="preserve"> t</w:t>
      </w:r>
      <w:r w:rsidR="00C96217">
        <w:t xml:space="preserve">hese </w:t>
      </w:r>
      <w:r w:rsidR="008670CA">
        <w:t xml:space="preserve">important </w:t>
      </w:r>
      <w:r w:rsidR="00C96217">
        <w:t>policy objectives</w:t>
      </w:r>
      <w:r w:rsidR="008670CA">
        <w:t xml:space="preserve">, </w:t>
      </w:r>
      <w:r w:rsidR="00C96217">
        <w:t xml:space="preserve">the </w:t>
      </w:r>
      <w:r w:rsidR="00FB1259">
        <w:t xml:space="preserve">Commission </w:t>
      </w:r>
      <w:r w:rsidR="008670CA">
        <w:t xml:space="preserve">has consistently enforced the down payment deadline </w:t>
      </w:r>
      <w:r w:rsidR="00EB4B66">
        <w:t xml:space="preserve">and </w:t>
      </w:r>
      <w:r w:rsidR="005D6971">
        <w:t xml:space="preserve">denied </w:t>
      </w:r>
      <w:r w:rsidR="00EB4B66">
        <w:t xml:space="preserve">all </w:t>
      </w:r>
      <w:r w:rsidR="00FB1259">
        <w:t xml:space="preserve">waiver </w:t>
      </w:r>
      <w:r w:rsidR="00EB4B66">
        <w:t>requests</w:t>
      </w:r>
      <w:r w:rsidR="00B74695">
        <w:t xml:space="preserve"> to accommodate late</w:t>
      </w:r>
      <w:r w:rsidR="005D6971">
        <w:t xml:space="preserve"> down</w:t>
      </w:r>
      <w:r w:rsidR="00B74695">
        <w:t xml:space="preserve"> payments</w:t>
      </w:r>
      <w:r w:rsidR="00FB1259">
        <w:t>.</w:t>
      </w:r>
      <w:r w:rsidR="00FB1259">
        <w:rPr>
          <w:rStyle w:val="FootnoteReference"/>
        </w:rPr>
        <w:footnoteReference w:id="32"/>
      </w:r>
      <w:r w:rsidR="00FB1259">
        <w:t xml:space="preserve">  </w:t>
      </w:r>
      <w:r w:rsidR="007055A5">
        <w:t>In</w:t>
      </w:r>
      <w:r w:rsidR="00601C5F">
        <w:t xml:space="preserve"> fact</w:t>
      </w:r>
      <w:r w:rsidR="007055A5">
        <w:t>, t</w:t>
      </w:r>
      <w:r w:rsidR="002C2FB8">
        <w:t xml:space="preserve">he Commission </w:t>
      </w:r>
      <w:r w:rsidR="00F87B19">
        <w:t xml:space="preserve">recently </w:t>
      </w:r>
      <w:r w:rsidR="00343810">
        <w:t>denied a</w:t>
      </w:r>
      <w:r w:rsidR="002C2FB8">
        <w:t xml:space="preserve"> </w:t>
      </w:r>
      <w:r w:rsidR="00601C5F">
        <w:t>waiver request from Ted W. Austin, Jr., that was nearly identical to</w:t>
      </w:r>
      <w:r w:rsidR="007055A5">
        <w:t xml:space="preserve"> ERIE’</w:t>
      </w:r>
      <w:r w:rsidR="007055A5">
        <w:rPr>
          <w:spacing w:val="-2"/>
        </w:rPr>
        <w:t>s</w:t>
      </w:r>
      <w:r w:rsidR="00CD6B53">
        <w:rPr>
          <w:spacing w:val="-2"/>
        </w:rPr>
        <w:t xml:space="preserve"> </w:t>
      </w:r>
      <w:r w:rsidR="009C6363">
        <w:rPr>
          <w:spacing w:val="-2"/>
        </w:rPr>
        <w:t>R</w:t>
      </w:r>
      <w:r w:rsidR="00CD6B53">
        <w:rPr>
          <w:spacing w:val="-2"/>
        </w:rPr>
        <w:t>equest</w:t>
      </w:r>
      <w:r w:rsidR="00343810">
        <w:rPr>
          <w:spacing w:val="-2"/>
        </w:rPr>
        <w:t>.</w:t>
      </w:r>
      <w:r w:rsidR="00934726">
        <w:rPr>
          <w:rStyle w:val="FootnoteReference"/>
        </w:rPr>
        <w:footnoteReference w:id="33"/>
      </w:r>
      <w:r w:rsidR="00B16424">
        <w:t xml:space="preserve">  </w:t>
      </w:r>
      <w:r w:rsidR="00601C5F">
        <w:t xml:space="preserve">In </w:t>
      </w:r>
      <w:r w:rsidR="00601C5F">
        <w:rPr>
          <w:i/>
        </w:rPr>
        <w:t>Austin</w:t>
      </w:r>
      <w:r w:rsidR="00601C5F">
        <w:t>,</w:t>
      </w:r>
      <w:r w:rsidR="00934726">
        <w:t xml:space="preserve"> the</w:t>
      </w:r>
      <w:r w:rsidR="00B16424">
        <w:t xml:space="preserve"> Commission </w:t>
      </w:r>
      <w:r w:rsidR="00934726">
        <w:t>up</w:t>
      </w:r>
      <w:r w:rsidR="00631684">
        <w:t xml:space="preserve">held </w:t>
      </w:r>
      <w:r w:rsidR="00934726">
        <w:t>the Bureau</w:t>
      </w:r>
      <w:r w:rsidR="00EB4B66">
        <w:t>s</w:t>
      </w:r>
      <w:r w:rsidR="00934726">
        <w:t>’ denial of a waiver</w:t>
      </w:r>
      <w:r w:rsidR="00343810">
        <w:t xml:space="preserve"> </w:t>
      </w:r>
      <w:r w:rsidR="00CD6B53">
        <w:t>for a late down payment</w:t>
      </w:r>
      <w:r w:rsidR="00934726">
        <w:t xml:space="preserve">, holding </w:t>
      </w:r>
      <w:r w:rsidR="00631684">
        <w:t xml:space="preserve">that </w:t>
      </w:r>
      <w:r w:rsidR="00B16424">
        <w:t xml:space="preserve">the </w:t>
      </w:r>
      <w:r w:rsidR="00631684">
        <w:t>“[s]trict enforcement of the downpayment deadline for auction winners is a programmatic approach that promotes the expeditious deployment of services by minimizing opportunities for defaulter</w:t>
      </w:r>
      <w:r w:rsidR="00B16424">
        <w:t>s</w:t>
      </w:r>
      <w:r w:rsidR="00631684">
        <w:t xml:space="preserve"> to contest the consequences of their default and thereby delay the award of licenses.”</w:t>
      </w:r>
      <w:r w:rsidR="002C2FB8">
        <w:rPr>
          <w:rStyle w:val="FootnoteReference"/>
        </w:rPr>
        <w:footnoteReference w:id="34"/>
      </w:r>
      <w:r w:rsidR="002C2FB8">
        <w:t xml:space="preserve">  </w:t>
      </w:r>
      <w:r w:rsidR="00934726">
        <w:rPr>
          <w:spacing w:val="-2"/>
        </w:rPr>
        <w:t>T</w:t>
      </w:r>
      <w:r w:rsidR="00BC0E35">
        <w:rPr>
          <w:spacing w:val="-2"/>
        </w:rPr>
        <w:t xml:space="preserve">he </w:t>
      </w:r>
      <w:r w:rsidR="004C7E04">
        <w:rPr>
          <w:spacing w:val="-2"/>
        </w:rPr>
        <w:t xml:space="preserve">United States </w:t>
      </w:r>
      <w:r w:rsidR="00BC0E35">
        <w:rPr>
          <w:spacing w:val="-2"/>
        </w:rPr>
        <w:t>Court of Appeals for the District of Columbia Circuit has upheld the Commission’s strict enforcement of the down payment deadline</w:t>
      </w:r>
      <w:r w:rsidR="009163C8">
        <w:rPr>
          <w:spacing w:val="-2"/>
        </w:rPr>
        <w:t xml:space="preserve"> in an earlier case</w:t>
      </w:r>
      <w:r w:rsidR="00BC0E35">
        <w:rPr>
          <w:spacing w:val="-2"/>
        </w:rPr>
        <w:t>, recogniz</w:t>
      </w:r>
      <w:r w:rsidR="0094081A">
        <w:rPr>
          <w:spacing w:val="-2"/>
        </w:rPr>
        <w:t>ing</w:t>
      </w:r>
      <w:r w:rsidR="00BC0E35">
        <w:rPr>
          <w:spacing w:val="-2"/>
        </w:rPr>
        <w:t xml:space="preserve"> the Commission’s position that “the integrity and functioning of the auction process is dependent on having payment obligations on winning bids promptly met.”</w:t>
      </w:r>
      <w:r w:rsidR="00BC0E35">
        <w:rPr>
          <w:rStyle w:val="FootnoteReference"/>
          <w:spacing w:val="-2"/>
        </w:rPr>
        <w:footnoteReference w:id="35"/>
      </w:r>
    </w:p>
    <w:p w:rsidR="00BC0E35" w:rsidRPr="00B16424" w:rsidRDefault="0037081A" w:rsidP="009D5952">
      <w:pPr>
        <w:pStyle w:val="ParaNum"/>
        <w:widowControl/>
        <w:numPr>
          <w:ilvl w:val="0"/>
          <w:numId w:val="2"/>
        </w:numPr>
        <w:tabs>
          <w:tab w:val="clear" w:pos="1080"/>
          <w:tab w:val="num" w:pos="1440"/>
        </w:tabs>
        <w:rPr>
          <w:szCs w:val="22"/>
        </w:rPr>
      </w:pPr>
      <w:r>
        <w:t xml:space="preserve">ERIE </w:t>
      </w:r>
      <w:r w:rsidR="00FB1259">
        <w:t xml:space="preserve">presents no arguments that persuade us to depart from our </w:t>
      </w:r>
      <w:r w:rsidR="00934726">
        <w:t xml:space="preserve">well-established </w:t>
      </w:r>
      <w:r w:rsidR="00FB1259">
        <w:t xml:space="preserve">policy of strict enforcement of the down payment rule.  </w:t>
      </w:r>
      <w:r w:rsidR="008C0B5B">
        <w:t>ERIE claim</w:t>
      </w:r>
      <w:r w:rsidR="007F133C">
        <w:t>s</w:t>
      </w:r>
      <w:r w:rsidR="008C0B5B">
        <w:t xml:space="preserve"> </w:t>
      </w:r>
      <w:r w:rsidR="0027708D">
        <w:t xml:space="preserve">that </w:t>
      </w:r>
      <w:r w:rsidR="007F133C">
        <w:t>the</w:t>
      </w:r>
      <w:r w:rsidR="00B16424">
        <w:t xml:space="preserve"> Commission’s </w:t>
      </w:r>
      <w:r w:rsidR="007F133C">
        <w:t>policy objectives w</w:t>
      </w:r>
      <w:r w:rsidR="00D00646">
        <w:t xml:space="preserve">ould </w:t>
      </w:r>
      <w:r w:rsidR="007F133C">
        <w:t xml:space="preserve">not be frustrated because </w:t>
      </w:r>
      <w:r w:rsidR="00F71A7B">
        <w:t>ERIE</w:t>
      </w:r>
      <w:r w:rsidR="0093397F">
        <w:t xml:space="preserve"> had funds in its </w:t>
      </w:r>
      <w:r w:rsidR="008C0B5B">
        <w:t xml:space="preserve">bank </w:t>
      </w:r>
      <w:r w:rsidR="0093397F">
        <w:t>that were</w:t>
      </w:r>
      <w:r w:rsidR="008C0B5B">
        <w:t xml:space="preserve"> sufficient to satisfy </w:t>
      </w:r>
      <w:r w:rsidR="007F133C">
        <w:t xml:space="preserve">the </w:t>
      </w:r>
      <w:r w:rsidR="008C0B5B">
        <w:t>final payment</w:t>
      </w:r>
      <w:r w:rsidR="00355BCA">
        <w:t xml:space="preserve"> and </w:t>
      </w:r>
      <w:r w:rsidR="0093397F">
        <w:t xml:space="preserve">because </w:t>
      </w:r>
      <w:r w:rsidR="00607C86">
        <w:t xml:space="preserve">it </w:t>
      </w:r>
      <w:r w:rsidR="007F133C">
        <w:t xml:space="preserve">made </w:t>
      </w:r>
      <w:r w:rsidR="00355BCA">
        <w:t>its final payment</w:t>
      </w:r>
      <w:r w:rsidR="007F133C">
        <w:t xml:space="preserve"> six days early.</w:t>
      </w:r>
      <w:r w:rsidR="00384E61">
        <w:rPr>
          <w:rStyle w:val="FootnoteReference"/>
        </w:rPr>
        <w:footnoteReference w:id="36"/>
      </w:r>
      <w:r w:rsidR="007F133C">
        <w:t xml:space="preserve">  We do not </w:t>
      </w:r>
      <w:r w:rsidR="00607C86">
        <w:t>agree</w:t>
      </w:r>
      <w:r w:rsidR="007F133C">
        <w:t>.</w:t>
      </w:r>
      <w:r w:rsidR="00BC0E35">
        <w:t xml:space="preserve">  </w:t>
      </w:r>
      <w:r w:rsidR="00B24962">
        <w:t xml:space="preserve">A waiver based on these facts </w:t>
      </w:r>
      <w:r w:rsidR="008B3996">
        <w:t xml:space="preserve">would essentially </w:t>
      </w:r>
      <w:r w:rsidR="00126358">
        <w:t xml:space="preserve">negate </w:t>
      </w:r>
      <w:r w:rsidR="008B3996">
        <w:t>the down payment</w:t>
      </w:r>
      <w:r w:rsidR="00D00646">
        <w:t xml:space="preserve"> requirement</w:t>
      </w:r>
      <w:r w:rsidR="00D05C28">
        <w:t xml:space="preserve">, notwithstanding the important policy goals served by strict enforcement of the down payment deadline.  </w:t>
      </w:r>
      <w:r w:rsidR="00662B2F">
        <w:t>Adopting such an approach</w:t>
      </w:r>
      <w:r w:rsidR="008B3996">
        <w:t xml:space="preserve"> would </w:t>
      </w:r>
      <w:r w:rsidR="00D05C28">
        <w:t xml:space="preserve">also </w:t>
      </w:r>
      <w:r w:rsidR="008B3996">
        <w:t xml:space="preserve">require </w:t>
      </w:r>
      <w:r w:rsidR="0050412E">
        <w:t xml:space="preserve">the Commission </w:t>
      </w:r>
      <w:r w:rsidR="008B3996">
        <w:t xml:space="preserve">to investigate on a case-by-case basis winning bidders’ </w:t>
      </w:r>
      <w:r w:rsidR="00D00646">
        <w:t>financial resources</w:t>
      </w:r>
      <w:r w:rsidR="008B3996">
        <w:t xml:space="preserve"> to determine whether they should be held to the down payment deadline.  </w:t>
      </w:r>
      <w:r w:rsidR="0050412E">
        <w:t>Clearly, t</w:t>
      </w:r>
      <w:r w:rsidR="00D00646">
        <w:t xml:space="preserve">his would be </w:t>
      </w:r>
      <w:r w:rsidR="00601C5F">
        <w:t xml:space="preserve">impracticable </w:t>
      </w:r>
      <w:r w:rsidR="00D00646">
        <w:t xml:space="preserve">as substantial </w:t>
      </w:r>
      <w:r w:rsidR="008B3996">
        <w:t xml:space="preserve">resources </w:t>
      </w:r>
      <w:r w:rsidR="00662B2F">
        <w:t xml:space="preserve">would be </w:t>
      </w:r>
      <w:r w:rsidR="00D00646">
        <w:t xml:space="preserve">required </w:t>
      </w:r>
      <w:r w:rsidR="008B3996">
        <w:t xml:space="preserve">to perform such investigations.  </w:t>
      </w:r>
      <w:r w:rsidR="00D00646">
        <w:t>Indeed, t</w:t>
      </w:r>
      <w:r w:rsidR="00BC0E35">
        <w:t>he Commission rejected th</w:t>
      </w:r>
      <w:r w:rsidR="008B3996">
        <w:t>e</w:t>
      </w:r>
      <w:r w:rsidR="00BC0E35">
        <w:t xml:space="preserve"> </w:t>
      </w:r>
      <w:r w:rsidR="00601C5F">
        <w:t xml:space="preserve">same </w:t>
      </w:r>
      <w:r w:rsidR="00BC0E35">
        <w:t xml:space="preserve">argument in </w:t>
      </w:r>
      <w:r w:rsidR="00BC0E35" w:rsidRPr="00B16424">
        <w:rPr>
          <w:i/>
        </w:rPr>
        <w:t>Austin</w:t>
      </w:r>
      <w:r w:rsidR="00BC0E35">
        <w:t xml:space="preserve">, </w:t>
      </w:r>
      <w:r w:rsidR="00601C5F">
        <w:t>observ</w:t>
      </w:r>
      <w:r w:rsidR="00BC0E35">
        <w:t>ing that</w:t>
      </w:r>
      <w:r w:rsidR="00B24962">
        <w:t xml:space="preserve"> the</w:t>
      </w:r>
      <w:r w:rsidR="00BC0E35">
        <w:t xml:space="preserve"> strict enforcement of the down payment deadline “eliminates the need for the Commission to undertake an individualized analysis of the financial circumstances of each auction applicant.”</w:t>
      </w:r>
      <w:r w:rsidR="00BA7E21">
        <w:rPr>
          <w:rStyle w:val="FootnoteReference"/>
        </w:rPr>
        <w:footnoteReference w:id="37"/>
      </w:r>
      <w:r w:rsidR="00534673">
        <w:t xml:space="preserve">  The Commission </w:t>
      </w:r>
      <w:r w:rsidR="00C958A1">
        <w:t>concluded</w:t>
      </w:r>
      <w:r w:rsidR="00534673">
        <w:t xml:space="preserve"> that “a uniform and predictable application of the rule serves its underlying purpose and, accordingly, the public interest.”</w:t>
      </w:r>
      <w:r w:rsidR="00534673">
        <w:rPr>
          <w:rStyle w:val="FootnoteReference"/>
        </w:rPr>
        <w:footnoteReference w:id="38"/>
      </w:r>
      <w:r w:rsidR="00BC0E35">
        <w:t xml:space="preserve">    </w:t>
      </w:r>
    </w:p>
    <w:p w:rsidR="00561561" w:rsidRPr="00561561" w:rsidRDefault="00BC0E35" w:rsidP="009D5952">
      <w:pPr>
        <w:pStyle w:val="ParaNum"/>
        <w:widowControl/>
        <w:numPr>
          <w:ilvl w:val="0"/>
          <w:numId w:val="2"/>
        </w:numPr>
        <w:tabs>
          <w:tab w:val="clear" w:pos="1080"/>
          <w:tab w:val="num" w:pos="1440"/>
        </w:tabs>
        <w:rPr>
          <w:szCs w:val="22"/>
        </w:rPr>
      </w:pPr>
      <w:r>
        <w:t>Moreover</w:t>
      </w:r>
      <w:r w:rsidR="00D11055">
        <w:t xml:space="preserve">, the ability to pay </w:t>
      </w:r>
      <w:r w:rsidR="002C2FB8">
        <w:t xml:space="preserve">the final bid amount </w:t>
      </w:r>
      <w:r w:rsidR="00662B2F">
        <w:t>does not necessarily</w:t>
      </w:r>
      <w:r w:rsidR="002C2FB8">
        <w:t xml:space="preserve"> </w:t>
      </w:r>
      <w:r w:rsidR="00D11055">
        <w:t>correspond to the</w:t>
      </w:r>
      <w:r w:rsidR="00E75E8E">
        <w:t xml:space="preserve"> winning bidder’s</w:t>
      </w:r>
      <w:r w:rsidR="00D11055">
        <w:t xml:space="preserve"> willingness</w:t>
      </w:r>
      <w:r w:rsidR="00841832">
        <w:t xml:space="preserve"> or intent</w:t>
      </w:r>
      <w:r w:rsidR="00D11055">
        <w:t xml:space="preserve"> to pay.  </w:t>
      </w:r>
      <w:r w:rsidR="00923C36">
        <w:t>ERIE fails to recognize that w</w:t>
      </w:r>
      <w:r w:rsidR="002C2FB8">
        <w:t xml:space="preserve">inning bidders with </w:t>
      </w:r>
      <w:r w:rsidR="008B3996">
        <w:t xml:space="preserve">the financial ability to pay </w:t>
      </w:r>
      <w:r w:rsidR="00841832">
        <w:t xml:space="preserve">the </w:t>
      </w:r>
      <w:r w:rsidR="0027708D">
        <w:t xml:space="preserve">final </w:t>
      </w:r>
      <w:r w:rsidR="00841832">
        <w:t xml:space="preserve">bid </w:t>
      </w:r>
      <w:r w:rsidR="0027708D">
        <w:t xml:space="preserve">amount </w:t>
      </w:r>
      <w:r w:rsidR="002C2FB8">
        <w:t>could</w:t>
      </w:r>
      <w:r w:rsidR="00841832">
        <w:t xml:space="preserve"> still</w:t>
      </w:r>
      <w:r>
        <w:t xml:space="preserve"> game the </w:t>
      </w:r>
      <w:r w:rsidR="008B3996">
        <w:t xml:space="preserve">auction </w:t>
      </w:r>
      <w:r>
        <w:t>process and</w:t>
      </w:r>
      <w:r w:rsidR="002C2FB8">
        <w:t xml:space="preserve"> shop </w:t>
      </w:r>
      <w:r w:rsidR="00BA7E21">
        <w:t>the</w:t>
      </w:r>
      <w:r w:rsidR="002C2FB8">
        <w:t xml:space="preserve"> licenses </w:t>
      </w:r>
      <w:r w:rsidR="0037081A">
        <w:t xml:space="preserve">just like winning bidders without </w:t>
      </w:r>
      <w:r w:rsidR="008B3996">
        <w:t>such res</w:t>
      </w:r>
      <w:r w:rsidR="0037081A">
        <w:t>ources</w:t>
      </w:r>
      <w:r w:rsidR="008B3996">
        <w:t xml:space="preserve"> –</w:t>
      </w:r>
      <w:r w:rsidR="0037081A">
        <w:t xml:space="preserve"> both</w:t>
      </w:r>
      <w:r w:rsidR="008B3996">
        <w:t xml:space="preserve"> </w:t>
      </w:r>
      <w:r w:rsidR="0037081A">
        <w:t xml:space="preserve">of which would </w:t>
      </w:r>
      <w:r w:rsidR="002C2FB8">
        <w:t xml:space="preserve">undermine the integrity of the auction system.  </w:t>
      </w:r>
      <w:r w:rsidRPr="0027708D">
        <w:t xml:space="preserve">The Commission </w:t>
      </w:r>
      <w:r w:rsidR="00F30E7F" w:rsidRPr="0027708D">
        <w:t xml:space="preserve">identified </w:t>
      </w:r>
      <w:r w:rsidRPr="0027708D">
        <w:t xml:space="preserve">this </w:t>
      </w:r>
      <w:r w:rsidR="00F30E7F" w:rsidRPr="0027708D">
        <w:t>ver</w:t>
      </w:r>
      <w:r w:rsidRPr="0027708D">
        <w:t xml:space="preserve">y concern in </w:t>
      </w:r>
      <w:r w:rsidRPr="0027708D">
        <w:rPr>
          <w:i/>
        </w:rPr>
        <w:t>Austin</w:t>
      </w:r>
      <w:r w:rsidR="0027708D">
        <w:rPr>
          <w:i/>
        </w:rPr>
        <w:t>.</w:t>
      </w:r>
      <w:r w:rsidR="00534673">
        <w:rPr>
          <w:rStyle w:val="FootnoteReference"/>
        </w:rPr>
        <w:footnoteReference w:id="39"/>
      </w:r>
      <w:r w:rsidR="00561561">
        <w:t xml:space="preserve">  </w:t>
      </w:r>
    </w:p>
    <w:p w:rsidR="00607C86" w:rsidRPr="00F30E7F" w:rsidRDefault="00561561" w:rsidP="009D5952">
      <w:pPr>
        <w:pStyle w:val="ParaNum"/>
        <w:widowControl/>
        <w:numPr>
          <w:ilvl w:val="0"/>
          <w:numId w:val="2"/>
        </w:numPr>
        <w:tabs>
          <w:tab w:val="clear" w:pos="1080"/>
          <w:tab w:val="num" w:pos="1440"/>
        </w:tabs>
        <w:rPr>
          <w:szCs w:val="22"/>
        </w:rPr>
      </w:pPr>
      <w:r>
        <w:t xml:space="preserve">ERIE </w:t>
      </w:r>
      <w:r w:rsidR="00EE2972">
        <w:t xml:space="preserve">further </w:t>
      </w:r>
      <w:r>
        <w:t>claims that its final payment</w:t>
      </w:r>
      <w:r w:rsidR="008B3996">
        <w:t xml:space="preserve"> six days prior to that deadline</w:t>
      </w:r>
      <w:r>
        <w:t xml:space="preserve"> demonstrates that it </w:t>
      </w:r>
      <w:r w:rsidR="00EE2972">
        <w:t>had no intent to game the auction process</w:t>
      </w:r>
      <w:r>
        <w:t xml:space="preserve">.  </w:t>
      </w:r>
      <w:r w:rsidR="00EE2972">
        <w:t xml:space="preserve">Even if ERIE’s </w:t>
      </w:r>
      <w:r w:rsidR="00662B2F">
        <w:t>post-hoc</w:t>
      </w:r>
      <w:r w:rsidR="00841832">
        <w:t xml:space="preserve"> </w:t>
      </w:r>
      <w:r w:rsidR="00EE2972">
        <w:t xml:space="preserve">description of its intent were true, that does not support </w:t>
      </w:r>
      <w:r w:rsidR="005610D1">
        <w:t>grant of its request</w:t>
      </w:r>
      <w:r w:rsidR="00EE2972">
        <w:t xml:space="preserve">.  As the </w:t>
      </w:r>
      <w:r w:rsidR="001F7823">
        <w:t>Wireless Telecommunications Bureau</w:t>
      </w:r>
      <w:r w:rsidR="00EE2972">
        <w:t xml:space="preserve"> has held, </w:t>
      </w:r>
      <w:r>
        <w:t>“</w:t>
      </w:r>
      <w:r w:rsidRPr="00761E67">
        <w:rPr>
          <w:i/>
        </w:rPr>
        <w:t>Regardless of whether it specifically intends to shop the license</w:t>
      </w:r>
      <w:r>
        <w:t>, a winning bidder that cannot demonstrate its financial capability at the initial down payment deadline is an insincere bidder insofar as its failure to pay its win</w:t>
      </w:r>
      <w:r w:rsidR="00EE2972">
        <w:t>n</w:t>
      </w:r>
      <w:r>
        <w:t>i</w:t>
      </w:r>
      <w:r w:rsidR="00EE2972">
        <w:t>n</w:t>
      </w:r>
      <w:r>
        <w:t xml:space="preserve">g bid undermines the goal of the auction process </w:t>
      </w:r>
      <w:r w:rsidR="0027708D">
        <w:t xml:space="preserve">. . . </w:t>
      </w:r>
      <w:r>
        <w:t>.”</w:t>
      </w:r>
      <w:r w:rsidR="00C00CA6">
        <w:rPr>
          <w:rStyle w:val="FootnoteReference"/>
        </w:rPr>
        <w:footnoteReference w:id="40"/>
      </w:r>
      <w:r w:rsidR="00EE2972">
        <w:t xml:space="preserve">  </w:t>
      </w:r>
      <w:r w:rsidR="0027708D">
        <w:t>Because t</w:t>
      </w:r>
      <w:r w:rsidR="00C00CA6">
        <w:t>he</w:t>
      </w:r>
      <w:r w:rsidR="00841832">
        <w:t>re is no feasible way for the Commission to undertake the</w:t>
      </w:r>
      <w:r w:rsidR="00C00CA6">
        <w:t xml:space="preserve"> </w:t>
      </w:r>
      <w:r w:rsidR="00841832">
        <w:t xml:space="preserve">inherently </w:t>
      </w:r>
      <w:r w:rsidR="00C00CA6">
        <w:t>difficult process of d</w:t>
      </w:r>
      <w:r w:rsidR="00EE2972">
        <w:t xml:space="preserve">etermining </w:t>
      </w:r>
      <w:r w:rsidR="00E75E8E">
        <w:t>e</w:t>
      </w:r>
      <w:r w:rsidR="00C00CA6">
        <w:t>a</w:t>
      </w:r>
      <w:r w:rsidR="00E75E8E">
        <w:t>ch</w:t>
      </w:r>
      <w:r w:rsidR="00C00CA6">
        <w:t xml:space="preserve"> winning bidder’s </w:t>
      </w:r>
      <w:r w:rsidR="00EE2972">
        <w:t>intent</w:t>
      </w:r>
      <w:r w:rsidR="0027708D">
        <w:t xml:space="preserve">, </w:t>
      </w:r>
      <w:r w:rsidR="006B06EB">
        <w:t xml:space="preserve">the Commission’s policy of </w:t>
      </w:r>
      <w:r w:rsidR="00601C5F">
        <w:t xml:space="preserve">strictly </w:t>
      </w:r>
      <w:r w:rsidR="006B06EB">
        <w:t>enforcing the down payment deadline is in the public interest</w:t>
      </w:r>
      <w:r w:rsidR="00EE2972">
        <w:t>.</w:t>
      </w:r>
    </w:p>
    <w:p w:rsidR="00653A43" w:rsidRPr="00653A43" w:rsidRDefault="00D912FB" w:rsidP="009D5952">
      <w:pPr>
        <w:pStyle w:val="ParaNum"/>
        <w:widowControl/>
        <w:numPr>
          <w:ilvl w:val="0"/>
          <w:numId w:val="2"/>
        </w:numPr>
        <w:tabs>
          <w:tab w:val="clear" w:pos="1080"/>
          <w:tab w:val="num" w:pos="1440"/>
        </w:tabs>
        <w:rPr>
          <w:szCs w:val="22"/>
        </w:rPr>
      </w:pPr>
      <w:r>
        <w:t xml:space="preserve">Furthermore, </w:t>
      </w:r>
      <w:r w:rsidR="0037081A">
        <w:t xml:space="preserve">we </w:t>
      </w:r>
      <w:r>
        <w:t xml:space="preserve">are not </w:t>
      </w:r>
      <w:r w:rsidR="0037081A">
        <w:t xml:space="preserve">persuaded that </w:t>
      </w:r>
      <w:r w:rsidR="009163C8">
        <w:t xml:space="preserve">whatever efforts </w:t>
      </w:r>
      <w:r w:rsidR="0037081A">
        <w:t xml:space="preserve">ERIE </w:t>
      </w:r>
      <w:r w:rsidR="009163C8">
        <w:t xml:space="preserve">may have undertaken </w:t>
      </w:r>
      <w:r w:rsidR="0037081A">
        <w:t xml:space="preserve">to wire the down payment on the </w:t>
      </w:r>
      <w:r w:rsidR="00653A43">
        <w:t xml:space="preserve">date of the </w:t>
      </w:r>
      <w:r w:rsidR="0037081A">
        <w:t xml:space="preserve">deadline constitute </w:t>
      </w:r>
      <w:r w:rsidR="00FB1259">
        <w:t xml:space="preserve">unique facts or circumstances that merit </w:t>
      </w:r>
      <w:r w:rsidR="00C00CA6">
        <w:t xml:space="preserve">relief from </w:t>
      </w:r>
      <w:r w:rsidR="006B06EB">
        <w:t>t</w:t>
      </w:r>
      <w:r w:rsidR="00C00CA6">
        <w:t xml:space="preserve">he down payment deadline </w:t>
      </w:r>
      <w:r w:rsidR="00FB1259">
        <w:t xml:space="preserve">required by </w:t>
      </w:r>
      <w:r w:rsidR="009F4E06">
        <w:t>Section</w:t>
      </w:r>
      <w:r w:rsidR="00FB1259">
        <w:t xml:space="preserve"> 1.2107(b).  The </w:t>
      </w:r>
      <w:r w:rsidR="00FB1259" w:rsidRPr="0037081A">
        <w:rPr>
          <w:i/>
        </w:rPr>
        <w:t xml:space="preserve">Auction </w:t>
      </w:r>
      <w:r w:rsidR="00D85798">
        <w:rPr>
          <w:i/>
        </w:rPr>
        <w:t>98</w:t>
      </w:r>
      <w:r w:rsidR="00FB1259" w:rsidRPr="0037081A">
        <w:rPr>
          <w:i/>
        </w:rPr>
        <w:t xml:space="preserve"> Procedures Public Notice</w:t>
      </w:r>
      <w:r w:rsidR="00FB1259">
        <w:t xml:space="preserve"> instructed all bidders, including </w:t>
      </w:r>
      <w:r w:rsidR="00653A43">
        <w:t>ERIE</w:t>
      </w:r>
      <w:r w:rsidR="00FB1259">
        <w:t xml:space="preserve">, well in advance of the auction that down payments would be due within ten business days after the release of the </w:t>
      </w:r>
      <w:r w:rsidR="00FB1259" w:rsidRPr="0037081A">
        <w:rPr>
          <w:i/>
        </w:rPr>
        <w:t xml:space="preserve">Auction </w:t>
      </w:r>
      <w:r w:rsidR="00653A43">
        <w:rPr>
          <w:i/>
        </w:rPr>
        <w:t>98</w:t>
      </w:r>
      <w:r w:rsidR="00FB1259" w:rsidRPr="0037081A">
        <w:rPr>
          <w:i/>
        </w:rPr>
        <w:t xml:space="preserve"> Closing Public Notice</w:t>
      </w:r>
      <w:r w:rsidR="00FB1259">
        <w:t>.</w:t>
      </w:r>
      <w:r w:rsidR="00FB1259">
        <w:rPr>
          <w:rStyle w:val="FootnoteReference"/>
        </w:rPr>
        <w:footnoteReference w:id="41"/>
      </w:r>
      <w:r w:rsidR="00FB1259">
        <w:t xml:space="preserve">  Moreover, both the </w:t>
      </w:r>
      <w:r w:rsidR="00FB1259" w:rsidRPr="0037081A">
        <w:rPr>
          <w:i/>
        </w:rPr>
        <w:t xml:space="preserve">Auction </w:t>
      </w:r>
      <w:r w:rsidR="00D85798">
        <w:rPr>
          <w:i/>
        </w:rPr>
        <w:t>98</w:t>
      </w:r>
      <w:r w:rsidR="00FB1259" w:rsidRPr="0037081A">
        <w:rPr>
          <w:i/>
        </w:rPr>
        <w:t xml:space="preserve"> Procedures Public Notice </w:t>
      </w:r>
      <w:r w:rsidR="00FB1259">
        <w:t xml:space="preserve">and the </w:t>
      </w:r>
      <w:r w:rsidR="00FB1259" w:rsidRPr="0037081A">
        <w:rPr>
          <w:i/>
        </w:rPr>
        <w:t xml:space="preserve">Auction </w:t>
      </w:r>
      <w:r w:rsidR="00653A43">
        <w:rPr>
          <w:i/>
        </w:rPr>
        <w:t>98</w:t>
      </w:r>
      <w:r w:rsidR="00FB1259" w:rsidRPr="0037081A">
        <w:rPr>
          <w:i/>
        </w:rPr>
        <w:t xml:space="preserve"> Closing Public Notice </w:t>
      </w:r>
      <w:r w:rsidR="00FB1259">
        <w:t>explicitly warned all winning bidders to coordinate with their banks in advance of payment deadlines to ensure that their wire transfers could be initiated and completed prior to those deadlines.</w:t>
      </w:r>
      <w:r w:rsidR="00FB1259">
        <w:rPr>
          <w:rStyle w:val="FootnoteReference"/>
        </w:rPr>
        <w:footnoteReference w:id="42"/>
      </w:r>
      <w:r w:rsidR="00FB1259">
        <w:t xml:space="preserve"> </w:t>
      </w:r>
      <w:r w:rsidR="00A74723">
        <w:t xml:space="preserve"> T</w:t>
      </w:r>
      <w:r w:rsidR="00716565">
        <w:t xml:space="preserve">o </w:t>
      </w:r>
      <w:r w:rsidR="00D00646">
        <w:t>reinforce this point</w:t>
      </w:r>
      <w:r w:rsidR="00716565">
        <w:t>, t</w:t>
      </w:r>
      <w:r w:rsidR="00A74723">
        <w:t xml:space="preserve">he </w:t>
      </w:r>
      <w:r w:rsidR="00A74723">
        <w:rPr>
          <w:i/>
        </w:rPr>
        <w:t>Auction 98</w:t>
      </w:r>
      <w:r w:rsidR="00A74723">
        <w:t xml:space="preserve"> </w:t>
      </w:r>
      <w:r w:rsidR="00A74723">
        <w:rPr>
          <w:i/>
        </w:rPr>
        <w:t xml:space="preserve">Closing Public Notice </w:t>
      </w:r>
      <w:r w:rsidR="00D00646">
        <w:t xml:space="preserve">added an </w:t>
      </w:r>
      <w:r w:rsidR="00A74723">
        <w:t>even more direct warning: “The Commission repeatedly has cautioned auction participants about the importance of planning ahead to prepare for unforeseen last-minute difficulties in making payments by wire transfer.”</w:t>
      </w:r>
      <w:r w:rsidR="00A74723">
        <w:rPr>
          <w:rStyle w:val="FootnoteReference"/>
        </w:rPr>
        <w:footnoteReference w:id="43"/>
      </w:r>
    </w:p>
    <w:p w:rsidR="00A74723" w:rsidRDefault="00841832" w:rsidP="009D5952">
      <w:pPr>
        <w:pStyle w:val="ParaNum"/>
        <w:widowControl/>
        <w:numPr>
          <w:ilvl w:val="0"/>
          <w:numId w:val="2"/>
        </w:numPr>
        <w:tabs>
          <w:tab w:val="clear" w:pos="1080"/>
          <w:tab w:val="num" w:pos="1440"/>
        </w:tabs>
        <w:rPr>
          <w:szCs w:val="22"/>
        </w:rPr>
      </w:pPr>
      <w:r>
        <w:rPr>
          <w:szCs w:val="22"/>
        </w:rPr>
        <w:t>Notwithstanding</w:t>
      </w:r>
      <w:r w:rsidR="00A74723">
        <w:rPr>
          <w:szCs w:val="22"/>
        </w:rPr>
        <w:t xml:space="preserve"> this clear notice</w:t>
      </w:r>
      <w:r>
        <w:rPr>
          <w:szCs w:val="22"/>
        </w:rPr>
        <w:t xml:space="preserve"> of its obligation</w:t>
      </w:r>
      <w:r w:rsidR="00D00646">
        <w:rPr>
          <w:szCs w:val="22"/>
        </w:rPr>
        <w:t xml:space="preserve"> and the potential </w:t>
      </w:r>
      <w:r w:rsidR="006B06EB">
        <w:rPr>
          <w:szCs w:val="22"/>
        </w:rPr>
        <w:t>pitfall</w:t>
      </w:r>
      <w:r w:rsidR="00D00646">
        <w:rPr>
          <w:szCs w:val="22"/>
        </w:rPr>
        <w:t>s associated with wire transfers</w:t>
      </w:r>
      <w:r w:rsidR="00A74723">
        <w:rPr>
          <w:szCs w:val="22"/>
        </w:rPr>
        <w:t>, ERIE</w:t>
      </w:r>
      <w:r w:rsidR="00DA009B">
        <w:rPr>
          <w:szCs w:val="22"/>
        </w:rPr>
        <w:t xml:space="preserve">’s </w:t>
      </w:r>
      <w:r w:rsidR="00A74723">
        <w:rPr>
          <w:szCs w:val="22"/>
        </w:rPr>
        <w:t xml:space="preserve">wire transfer </w:t>
      </w:r>
      <w:r w:rsidR="00DA009B">
        <w:rPr>
          <w:szCs w:val="22"/>
        </w:rPr>
        <w:t xml:space="preserve">did not </w:t>
      </w:r>
      <w:r w:rsidR="00A74723">
        <w:rPr>
          <w:szCs w:val="22"/>
        </w:rPr>
        <w:t xml:space="preserve">arrive prior to the down payment deadline.  </w:t>
      </w:r>
      <w:r w:rsidR="00653A43">
        <w:rPr>
          <w:szCs w:val="22"/>
        </w:rPr>
        <w:t>ERIE</w:t>
      </w:r>
      <w:r w:rsidR="00A74723">
        <w:rPr>
          <w:szCs w:val="22"/>
        </w:rPr>
        <w:t xml:space="preserve">’s Request </w:t>
      </w:r>
      <w:r w:rsidR="005610D1">
        <w:rPr>
          <w:szCs w:val="22"/>
        </w:rPr>
        <w:t>provides no factual information</w:t>
      </w:r>
      <w:r w:rsidR="00481FED">
        <w:rPr>
          <w:szCs w:val="22"/>
        </w:rPr>
        <w:t xml:space="preserve"> about </w:t>
      </w:r>
      <w:r w:rsidR="00A74723">
        <w:rPr>
          <w:szCs w:val="22"/>
        </w:rPr>
        <w:t xml:space="preserve">the particular circumstances pertaining to the wire transfer of the down payment.  </w:t>
      </w:r>
      <w:r w:rsidR="0094081A">
        <w:rPr>
          <w:szCs w:val="22"/>
        </w:rPr>
        <w:t xml:space="preserve">For example, </w:t>
      </w:r>
      <w:r w:rsidR="00A74723">
        <w:rPr>
          <w:szCs w:val="22"/>
        </w:rPr>
        <w:t>ERIE refers to circumstances beyond its control,</w:t>
      </w:r>
      <w:r w:rsidR="006B06EB">
        <w:rPr>
          <w:rStyle w:val="FootnoteReference"/>
          <w:szCs w:val="22"/>
        </w:rPr>
        <w:footnoteReference w:id="44"/>
      </w:r>
      <w:r w:rsidR="00A74723">
        <w:rPr>
          <w:szCs w:val="22"/>
        </w:rPr>
        <w:t xml:space="preserve"> but never </w:t>
      </w:r>
      <w:r w:rsidR="00481FED">
        <w:rPr>
          <w:szCs w:val="22"/>
        </w:rPr>
        <w:t xml:space="preserve">directly </w:t>
      </w:r>
      <w:r w:rsidR="00A74723">
        <w:rPr>
          <w:szCs w:val="22"/>
        </w:rPr>
        <w:t>claims th</w:t>
      </w:r>
      <w:r w:rsidR="00481FED">
        <w:rPr>
          <w:szCs w:val="22"/>
        </w:rPr>
        <w:t>at its</w:t>
      </w:r>
      <w:r w:rsidR="00A74723">
        <w:rPr>
          <w:szCs w:val="22"/>
        </w:rPr>
        <w:t xml:space="preserve"> bank erred</w:t>
      </w:r>
      <w:r w:rsidR="007E4197">
        <w:rPr>
          <w:szCs w:val="22"/>
        </w:rPr>
        <w:t xml:space="preserve"> in </w:t>
      </w:r>
      <w:r w:rsidR="00A46101">
        <w:rPr>
          <w:szCs w:val="22"/>
        </w:rPr>
        <w:t xml:space="preserve">its </w:t>
      </w:r>
      <w:r w:rsidR="007E4197">
        <w:rPr>
          <w:szCs w:val="22"/>
        </w:rPr>
        <w:t>submi</w:t>
      </w:r>
      <w:r w:rsidR="00A46101">
        <w:rPr>
          <w:szCs w:val="22"/>
        </w:rPr>
        <w:t xml:space="preserve">ssion of </w:t>
      </w:r>
      <w:r w:rsidR="007E4197">
        <w:rPr>
          <w:szCs w:val="22"/>
        </w:rPr>
        <w:t>the wire transfer</w:t>
      </w:r>
      <w:r w:rsidR="00A46101">
        <w:rPr>
          <w:szCs w:val="22"/>
        </w:rPr>
        <w:t xml:space="preserve"> on the August 26 deadline</w:t>
      </w:r>
      <w:r w:rsidR="007E4197">
        <w:rPr>
          <w:szCs w:val="22"/>
        </w:rPr>
        <w:t>.</w:t>
      </w:r>
      <w:r w:rsidR="007818EB">
        <w:rPr>
          <w:rStyle w:val="FootnoteReference"/>
          <w:szCs w:val="22"/>
        </w:rPr>
        <w:footnoteReference w:id="45"/>
      </w:r>
      <w:r w:rsidR="007E4197">
        <w:rPr>
          <w:szCs w:val="22"/>
        </w:rPr>
        <w:t xml:space="preserve">  Nor does ERIE’s</w:t>
      </w:r>
      <w:r w:rsidR="00A74723">
        <w:rPr>
          <w:szCs w:val="22"/>
        </w:rPr>
        <w:t xml:space="preserve"> bank admit as much in its one-sentence letter</w:t>
      </w:r>
      <w:r w:rsidR="007E4197">
        <w:rPr>
          <w:szCs w:val="22"/>
        </w:rPr>
        <w:t xml:space="preserve"> addressed to ERIE’s attorney</w:t>
      </w:r>
      <w:r w:rsidR="00716565">
        <w:rPr>
          <w:szCs w:val="22"/>
        </w:rPr>
        <w:t>.  The bank</w:t>
      </w:r>
      <w:r w:rsidR="009163C8">
        <w:rPr>
          <w:szCs w:val="22"/>
        </w:rPr>
        <w:t>’s letter simply refers</w:t>
      </w:r>
      <w:r w:rsidR="00716565">
        <w:rPr>
          <w:szCs w:val="22"/>
        </w:rPr>
        <w:t xml:space="preserve"> </w:t>
      </w:r>
      <w:r w:rsidR="009163C8">
        <w:rPr>
          <w:szCs w:val="22"/>
        </w:rPr>
        <w:t xml:space="preserve">to </w:t>
      </w:r>
      <w:r w:rsidR="00716565">
        <w:rPr>
          <w:szCs w:val="22"/>
        </w:rPr>
        <w:t>ERIE’s</w:t>
      </w:r>
      <w:r w:rsidR="0094081A">
        <w:rPr>
          <w:szCs w:val="22"/>
        </w:rPr>
        <w:t xml:space="preserve"> </w:t>
      </w:r>
      <w:r w:rsidR="00716565">
        <w:rPr>
          <w:szCs w:val="22"/>
        </w:rPr>
        <w:t>“best efforts</w:t>
      </w:r>
      <w:r w:rsidR="009163C8">
        <w:rPr>
          <w:szCs w:val="22"/>
        </w:rPr>
        <w:t xml:space="preserve"> to wire funds on August 26, 2015</w:t>
      </w:r>
      <w:r w:rsidR="00A21B4E">
        <w:rPr>
          <w:szCs w:val="22"/>
        </w:rPr>
        <w:t>.</w:t>
      </w:r>
      <w:r w:rsidR="00716565">
        <w:rPr>
          <w:szCs w:val="22"/>
        </w:rPr>
        <w:t>”</w:t>
      </w:r>
      <w:r w:rsidR="00A21B4E">
        <w:rPr>
          <w:rStyle w:val="FootnoteReference"/>
          <w:szCs w:val="22"/>
        </w:rPr>
        <w:footnoteReference w:id="46"/>
      </w:r>
      <w:r w:rsidR="00716565">
        <w:rPr>
          <w:szCs w:val="22"/>
        </w:rPr>
        <w:t xml:space="preserve"> </w:t>
      </w:r>
      <w:r w:rsidR="00A21B4E">
        <w:rPr>
          <w:szCs w:val="22"/>
        </w:rPr>
        <w:t xml:space="preserve"> </w:t>
      </w:r>
      <w:r w:rsidR="00716565">
        <w:rPr>
          <w:szCs w:val="22"/>
        </w:rPr>
        <w:t xml:space="preserve">ERIE claims to have </w:t>
      </w:r>
      <w:r w:rsidR="00F16E77">
        <w:rPr>
          <w:szCs w:val="22"/>
        </w:rPr>
        <w:t xml:space="preserve">taken “every possible step,” including </w:t>
      </w:r>
      <w:r w:rsidR="00A21B4E">
        <w:rPr>
          <w:szCs w:val="22"/>
        </w:rPr>
        <w:t xml:space="preserve">having “contacted its bank </w:t>
      </w:r>
      <w:r w:rsidR="00716565">
        <w:rPr>
          <w:szCs w:val="22"/>
        </w:rPr>
        <w:t xml:space="preserve">multiple </w:t>
      </w:r>
      <w:r w:rsidR="00A21B4E">
        <w:rPr>
          <w:szCs w:val="22"/>
        </w:rPr>
        <w:t xml:space="preserve">times” </w:t>
      </w:r>
      <w:r w:rsidR="00716565">
        <w:rPr>
          <w:szCs w:val="22"/>
        </w:rPr>
        <w:t>prior to the due date and on the due date</w:t>
      </w:r>
      <w:r w:rsidR="007E4197">
        <w:rPr>
          <w:szCs w:val="22"/>
        </w:rPr>
        <w:t xml:space="preserve"> about the wire transfer</w:t>
      </w:r>
      <w:r w:rsidR="00716565">
        <w:rPr>
          <w:szCs w:val="22"/>
        </w:rPr>
        <w:t>.</w:t>
      </w:r>
      <w:r w:rsidR="00BD7742">
        <w:rPr>
          <w:rStyle w:val="FootnoteReference"/>
          <w:szCs w:val="22"/>
        </w:rPr>
        <w:footnoteReference w:id="47"/>
      </w:r>
      <w:r w:rsidR="00716565">
        <w:rPr>
          <w:szCs w:val="22"/>
        </w:rPr>
        <w:t xml:space="preserve">  But </w:t>
      </w:r>
      <w:r w:rsidR="007E4197">
        <w:rPr>
          <w:szCs w:val="22"/>
        </w:rPr>
        <w:t xml:space="preserve">ERIE’s </w:t>
      </w:r>
      <w:r w:rsidR="0094081A">
        <w:rPr>
          <w:szCs w:val="22"/>
        </w:rPr>
        <w:t xml:space="preserve">purported </w:t>
      </w:r>
      <w:r w:rsidR="00126358">
        <w:rPr>
          <w:szCs w:val="22"/>
        </w:rPr>
        <w:t>“</w:t>
      </w:r>
      <w:r w:rsidR="007E4197">
        <w:rPr>
          <w:szCs w:val="22"/>
        </w:rPr>
        <w:t xml:space="preserve">best </w:t>
      </w:r>
      <w:r w:rsidR="00716565">
        <w:rPr>
          <w:szCs w:val="22"/>
        </w:rPr>
        <w:t>efforts</w:t>
      </w:r>
      <w:r w:rsidR="00126358">
        <w:rPr>
          <w:szCs w:val="22"/>
        </w:rPr>
        <w:t>”</w:t>
      </w:r>
      <w:r w:rsidR="00716565">
        <w:rPr>
          <w:szCs w:val="22"/>
        </w:rPr>
        <w:t xml:space="preserve"> and </w:t>
      </w:r>
      <w:r w:rsidR="00D912FB">
        <w:rPr>
          <w:szCs w:val="22"/>
        </w:rPr>
        <w:t xml:space="preserve">various </w:t>
      </w:r>
      <w:r w:rsidR="00A21B4E">
        <w:rPr>
          <w:szCs w:val="22"/>
        </w:rPr>
        <w:t xml:space="preserve">contacts </w:t>
      </w:r>
      <w:r w:rsidR="00716565">
        <w:rPr>
          <w:szCs w:val="22"/>
        </w:rPr>
        <w:t xml:space="preserve">– whatever they may have consisted of – were </w:t>
      </w:r>
      <w:r w:rsidR="00DA009B">
        <w:rPr>
          <w:szCs w:val="22"/>
        </w:rPr>
        <w:t>ultimately unsuccessful</w:t>
      </w:r>
      <w:r w:rsidR="001D79B4">
        <w:rPr>
          <w:szCs w:val="22"/>
        </w:rPr>
        <w:t xml:space="preserve">.  </w:t>
      </w:r>
      <w:r w:rsidR="00DA7EEC">
        <w:rPr>
          <w:szCs w:val="22"/>
        </w:rPr>
        <w:t>Based on the record</w:t>
      </w:r>
      <w:r w:rsidR="00DA009B">
        <w:rPr>
          <w:szCs w:val="22"/>
        </w:rPr>
        <w:t xml:space="preserve">, we </w:t>
      </w:r>
      <w:r w:rsidR="00865C77">
        <w:rPr>
          <w:szCs w:val="22"/>
        </w:rPr>
        <w:t xml:space="preserve">are unable to conclude that any </w:t>
      </w:r>
      <w:r w:rsidR="001D79B4">
        <w:rPr>
          <w:szCs w:val="22"/>
        </w:rPr>
        <w:t>unique circumstance</w:t>
      </w:r>
      <w:r w:rsidR="008640FC">
        <w:rPr>
          <w:szCs w:val="22"/>
        </w:rPr>
        <w:t xml:space="preserve"> </w:t>
      </w:r>
      <w:r w:rsidR="00CE2912">
        <w:rPr>
          <w:szCs w:val="22"/>
        </w:rPr>
        <w:t xml:space="preserve">exists </w:t>
      </w:r>
      <w:r w:rsidR="008640FC">
        <w:rPr>
          <w:szCs w:val="22"/>
        </w:rPr>
        <w:t>that would support a</w:t>
      </w:r>
      <w:r w:rsidR="00555EE1">
        <w:rPr>
          <w:szCs w:val="22"/>
        </w:rPr>
        <w:t xml:space="preserve"> waiver </w:t>
      </w:r>
      <w:r w:rsidR="00BD7742">
        <w:rPr>
          <w:szCs w:val="22"/>
        </w:rPr>
        <w:t>of the down payment deadline</w:t>
      </w:r>
      <w:r w:rsidR="001D79B4">
        <w:rPr>
          <w:szCs w:val="22"/>
        </w:rPr>
        <w:t xml:space="preserve">.  </w:t>
      </w:r>
    </w:p>
    <w:p w:rsidR="00FB1259" w:rsidRPr="00677E9A" w:rsidRDefault="00A65D3D" w:rsidP="009D5952">
      <w:pPr>
        <w:pStyle w:val="ParaNum"/>
        <w:widowControl/>
        <w:numPr>
          <w:ilvl w:val="0"/>
          <w:numId w:val="2"/>
        </w:numPr>
        <w:tabs>
          <w:tab w:val="clear" w:pos="1080"/>
          <w:tab w:val="num" w:pos="1440"/>
        </w:tabs>
        <w:rPr>
          <w:szCs w:val="22"/>
        </w:rPr>
      </w:pPr>
      <w:r>
        <w:rPr>
          <w:szCs w:val="22"/>
        </w:rPr>
        <w:t>W</w:t>
      </w:r>
      <w:r w:rsidR="00DB21D9" w:rsidRPr="00A65D3D">
        <w:rPr>
          <w:szCs w:val="22"/>
        </w:rPr>
        <w:t xml:space="preserve">ire transfer difficulties are not unique circumstances </w:t>
      </w:r>
      <w:r w:rsidR="00254B47">
        <w:rPr>
          <w:szCs w:val="22"/>
        </w:rPr>
        <w:t>that warrant departure from our policy of strict enforcement</w:t>
      </w:r>
      <w:r w:rsidR="005E0C81">
        <w:rPr>
          <w:szCs w:val="22"/>
        </w:rPr>
        <w:t xml:space="preserve"> of the down payment rule.</w:t>
      </w:r>
      <w:r w:rsidR="00254B47">
        <w:rPr>
          <w:szCs w:val="22"/>
        </w:rPr>
        <w:t xml:space="preserve"> </w:t>
      </w:r>
      <w:r w:rsidR="00DB21D9">
        <w:rPr>
          <w:szCs w:val="22"/>
        </w:rPr>
        <w:t xml:space="preserve"> </w:t>
      </w:r>
      <w:r w:rsidR="00254B47">
        <w:rPr>
          <w:szCs w:val="22"/>
        </w:rPr>
        <w:t>T</w:t>
      </w:r>
      <w:r w:rsidR="00F75EF3">
        <w:rPr>
          <w:szCs w:val="22"/>
        </w:rPr>
        <w:t xml:space="preserve">he Commission has long warned winning bidders </w:t>
      </w:r>
      <w:r>
        <w:rPr>
          <w:szCs w:val="22"/>
        </w:rPr>
        <w:t xml:space="preserve">of </w:t>
      </w:r>
      <w:r w:rsidR="00F75EF3">
        <w:rPr>
          <w:szCs w:val="22"/>
        </w:rPr>
        <w:t xml:space="preserve">problems that may </w:t>
      </w:r>
      <w:r w:rsidR="00782715">
        <w:rPr>
          <w:szCs w:val="22"/>
        </w:rPr>
        <w:t xml:space="preserve">foreseeably </w:t>
      </w:r>
      <w:r w:rsidR="00F75EF3">
        <w:rPr>
          <w:szCs w:val="22"/>
        </w:rPr>
        <w:t>arise in the wire transfer process to avoid missing the deadline for completion of required payments</w:t>
      </w:r>
      <w:r w:rsidR="00716565">
        <w:rPr>
          <w:szCs w:val="22"/>
        </w:rPr>
        <w:t xml:space="preserve">.  </w:t>
      </w:r>
      <w:r w:rsidR="001A3EF4">
        <w:rPr>
          <w:szCs w:val="22"/>
        </w:rPr>
        <w:t xml:space="preserve">In fact, the </w:t>
      </w:r>
      <w:r w:rsidR="001A3EF4">
        <w:rPr>
          <w:i/>
        </w:rPr>
        <w:t>Auction 98</w:t>
      </w:r>
      <w:r w:rsidR="001A3EF4">
        <w:t xml:space="preserve"> </w:t>
      </w:r>
      <w:r w:rsidR="001A3EF4">
        <w:rPr>
          <w:i/>
        </w:rPr>
        <w:t xml:space="preserve">Closing Public Notice </w:t>
      </w:r>
      <w:r w:rsidR="001A3EF4">
        <w:t xml:space="preserve">expressly cautioned </w:t>
      </w:r>
      <w:r w:rsidR="001A3EF4">
        <w:rPr>
          <w:szCs w:val="22"/>
        </w:rPr>
        <w:t>winning bidders about the potential difficulties of last</w:t>
      </w:r>
      <w:r w:rsidR="004130F5">
        <w:rPr>
          <w:szCs w:val="22"/>
        </w:rPr>
        <w:t>-</w:t>
      </w:r>
      <w:r w:rsidR="001A3EF4">
        <w:rPr>
          <w:szCs w:val="22"/>
        </w:rPr>
        <w:t>minute</w:t>
      </w:r>
      <w:r w:rsidR="004130F5">
        <w:rPr>
          <w:szCs w:val="22"/>
        </w:rPr>
        <w:t xml:space="preserve"> payments by wire transfer</w:t>
      </w:r>
      <w:r w:rsidR="00300E4B">
        <w:rPr>
          <w:szCs w:val="22"/>
        </w:rPr>
        <w:t>.</w:t>
      </w:r>
      <w:r w:rsidR="00A46101">
        <w:rPr>
          <w:rStyle w:val="FootnoteReference"/>
          <w:szCs w:val="22"/>
        </w:rPr>
        <w:footnoteReference w:id="48"/>
      </w:r>
      <w:r w:rsidR="00300E4B">
        <w:rPr>
          <w:szCs w:val="22"/>
        </w:rPr>
        <w:t xml:space="preserve">  </w:t>
      </w:r>
      <w:r w:rsidR="00014DF6">
        <w:rPr>
          <w:szCs w:val="22"/>
        </w:rPr>
        <w:t>In addition,</w:t>
      </w:r>
      <w:r w:rsidR="007E0649">
        <w:rPr>
          <w:szCs w:val="22"/>
        </w:rPr>
        <w:t xml:space="preserve"> t</w:t>
      </w:r>
      <w:r w:rsidR="00AB356B">
        <w:rPr>
          <w:szCs w:val="22"/>
        </w:rPr>
        <w:t>he</w:t>
      </w:r>
      <w:r w:rsidR="00014DF6">
        <w:rPr>
          <w:szCs w:val="22"/>
        </w:rPr>
        <w:t xml:space="preserve"> Commission addressed </w:t>
      </w:r>
      <w:r w:rsidR="007E0649">
        <w:rPr>
          <w:szCs w:val="22"/>
        </w:rPr>
        <w:t xml:space="preserve">circumstances in </w:t>
      </w:r>
      <w:r w:rsidR="007E0649">
        <w:rPr>
          <w:i/>
          <w:szCs w:val="22"/>
        </w:rPr>
        <w:t xml:space="preserve">Austin </w:t>
      </w:r>
      <w:r w:rsidR="00014DF6">
        <w:rPr>
          <w:szCs w:val="22"/>
        </w:rPr>
        <w:t xml:space="preserve">that </w:t>
      </w:r>
      <w:r w:rsidR="007E0649">
        <w:rPr>
          <w:szCs w:val="22"/>
        </w:rPr>
        <w:t xml:space="preserve">are </w:t>
      </w:r>
      <w:r w:rsidR="009C61F4">
        <w:rPr>
          <w:szCs w:val="22"/>
        </w:rPr>
        <w:t xml:space="preserve">similar to </w:t>
      </w:r>
      <w:r w:rsidR="007E0649">
        <w:rPr>
          <w:szCs w:val="22"/>
        </w:rPr>
        <w:t>those here.  T</w:t>
      </w:r>
      <w:r w:rsidR="00716565">
        <w:rPr>
          <w:szCs w:val="22"/>
        </w:rPr>
        <w:t xml:space="preserve">he </w:t>
      </w:r>
      <w:r w:rsidR="007E0649">
        <w:rPr>
          <w:i/>
          <w:szCs w:val="22"/>
        </w:rPr>
        <w:t xml:space="preserve">Austin </w:t>
      </w:r>
      <w:r w:rsidR="00AB356B">
        <w:rPr>
          <w:szCs w:val="22"/>
        </w:rPr>
        <w:t xml:space="preserve">petitioner’s </w:t>
      </w:r>
      <w:r w:rsidR="00FE4316">
        <w:rPr>
          <w:szCs w:val="22"/>
        </w:rPr>
        <w:t>bank</w:t>
      </w:r>
      <w:r w:rsidR="00716565">
        <w:rPr>
          <w:szCs w:val="22"/>
        </w:rPr>
        <w:t xml:space="preserve"> did no</w:t>
      </w:r>
      <w:r w:rsidR="00FE4316">
        <w:rPr>
          <w:szCs w:val="22"/>
        </w:rPr>
        <w:t>t</w:t>
      </w:r>
      <w:r w:rsidR="00716565">
        <w:rPr>
          <w:szCs w:val="22"/>
        </w:rPr>
        <w:t xml:space="preserve"> complete the wire transfer until the day after the </w:t>
      </w:r>
      <w:r w:rsidR="00137DF2">
        <w:rPr>
          <w:szCs w:val="22"/>
        </w:rPr>
        <w:t xml:space="preserve">down </w:t>
      </w:r>
      <w:r w:rsidR="00716565">
        <w:rPr>
          <w:szCs w:val="22"/>
        </w:rPr>
        <w:t>payment deadline</w:t>
      </w:r>
      <w:r w:rsidR="007E0649">
        <w:rPr>
          <w:szCs w:val="22"/>
        </w:rPr>
        <w:t xml:space="preserve"> due to difficulties </w:t>
      </w:r>
      <w:r w:rsidR="009C61F4">
        <w:rPr>
          <w:szCs w:val="22"/>
        </w:rPr>
        <w:t xml:space="preserve">that arose </w:t>
      </w:r>
      <w:r w:rsidR="00941F64">
        <w:rPr>
          <w:szCs w:val="22"/>
        </w:rPr>
        <w:t xml:space="preserve">when the petitioner sought to initiate a wire </w:t>
      </w:r>
      <w:r w:rsidR="007E0649">
        <w:rPr>
          <w:szCs w:val="22"/>
        </w:rPr>
        <w:t>transfer payment on the due date</w:t>
      </w:r>
      <w:r w:rsidR="00300E4B">
        <w:rPr>
          <w:szCs w:val="22"/>
        </w:rPr>
        <w:t>.</w:t>
      </w:r>
      <w:r w:rsidR="00137DF2">
        <w:rPr>
          <w:rStyle w:val="FootnoteReference"/>
          <w:szCs w:val="22"/>
        </w:rPr>
        <w:footnoteReference w:id="49"/>
      </w:r>
      <w:r w:rsidR="00300E4B">
        <w:rPr>
          <w:szCs w:val="22"/>
        </w:rPr>
        <w:t xml:space="preserve">  </w:t>
      </w:r>
      <w:r w:rsidR="007E0649">
        <w:rPr>
          <w:szCs w:val="22"/>
        </w:rPr>
        <w:t xml:space="preserve">And </w:t>
      </w:r>
      <w:r w:rsidR="00FE3BC6">
        <w:rPr>
          <w:szCs w:val="22"/>
        </w:rPr>
        <w:t>t</w:t>
      </w:r>
      <w:r w:rsidR="00300E4B">
        <w:rPr>
          <w:szCs w:val="22"/>
        </w:rPr>
        <w:t xml:space="preserve">he petitioner </w:t>
      </w:r>
      <w:r w:rsidR="00FE4316">
        <w:rPr>
          <w:szCs w:val="22"/>
        </w:rPr>
        <w:t xml:space="preserve">attached </w:t>
      </w:r>
      <w:r w:rsidR="00137DF2">
        <w:rPr>
          <w:szCs w:val="22"/>
        </w:rPr>
        <w:t xml:space="preserve">to its waiver request </w:t>
      </w:r>
      <w:r w:rsidR="00FE4316">
        <w:rPr>
          <w:szCs w:val="22"/>
        </w:rPr>
        <w:t xml:space="preserve">a letter from </w:t>
      </w:r>
      <w:r w:rsidR="00941F64">
        <w:rPr>
          <w:szCs w:val="22"/>
        </w:rPr>
        <w:t xml:space="preserve">his </w:t>
      </w:r>
      <w:r w:rsidR="00FE4316">
        <w:rPr>
          <w:szCs w:val="22"/>
        </w:rPr>
        <w:t>bank in which the bank took responsibility for the delay</w:t>
      </w:r>
      <w:r w:rsidR="007E0649">
        <w:rPr>
          <w:szCs w:val="22"/>
        </w:rPr>
        <w:t>.</w:t>
      </w:r>
      <w:r w:rsidR="00137DF2">
        <w:rPr>
          <w:rStyle w:val="FootnoteReference"/>
          <w:szCs w:val="22"/>
        </w:rPr>
        <w:footnoteReference w:id="50"/>
      </w:r>
      <w:r w:rsidR="007E0649">
        <w:rPr>
          <w:szCs w:val="22"/>
        </w:rPr>
        <w:t xml:space="preserve">  Nevertheless,</w:t>
      </w:r>
      <w:r w:rsidR="00716565">
        <w:rPr>
          <w:szCs w:val="22"/>
        </w:rPr>
        <w:t xml:space="preserve"> </w:t>
      </w:r>
      <w:r w:rsidR="00FE4316">
        <w:rPr>
          <w:szCs w:val="22"/>
        </w:rPr>
        <w:t>t</w:t>
      </w:r>
      <w:r w:rsidR="00716565">
        <w:rPr>
          <w:szCs w:val="22"/>
        </w:rPr>
        <w:t xml:space="preserve">he Commission </w:t>
      </w:r>
      <w:r w:rsidR="00137DF2">
        <w:rPr>
          <w:szCs w:val="22"/>
        </w:rPr>
        <w:t>disagreed with the petitioner</w:t>
      </w:r>
      <w:r w:rsidR="004A27E0">
        <w:rPr>
          <w:szCs w:val="22"/>
        </w:rPr>
        <w:t>’</w:t>
      </w:r>
      <w:r w:rsidR="00137DF2">
        <w:rPr>
          <w:szCs w:val="22"/>
        </w:rPr>
        <w:t xml:space="preserve">s claim to be an “inadvertent victim” because </w:t>
      </w:r>
      <w:r w:rsidR="00DA564F">
        <w:rPr>
          <w:szCs w:val="22"/>
        </w:rPr>
        <w:t xml:space="preserve">the petitioner </w:t>
      </w:r>
      <w:r w:rsidR="00137DF2">
        <w:rPr>
          <w:szCs w:val="22"/>
        </w:rPr>
        <w:t xml:space="preserve">had made no </w:t>
      </w:r>
      <w:r w:rsidR="00DA564F">
        <w:rPr>
          <w:szCs w:val="22"/>
        </w:rPr>
        <w:t>effort to pay the down payment until just prior to the payment deadline.</w:t>
      </w:r>
      <w:r w:rsidR="00DA564F">
        <w:rPr>
          <w:rStyle w:val="FootnoteReference"/>
          <w:szCs w:val="22"/>
        </w:rPr>
        <w:footnoteReference w:id="51"/>
      </w:r>
      <w:r w:rsidR="00DA564F">
        <w:rPr>
          <w:szCs w:val="22"/>
        </w:rPr>
        <w:t xml:space="preserve">  </w:t>
      </w:r>
      <w:r w:rsidR="00A74723">
        <w:rPr>
          <w:szCs w:val="22"/>
        </w:rPr>
        <w:t xml:space="preserve">  </w:t>
      </w:r>
    </w:p>
    <w:p w:rsidR="00CB2102" w:rsidRDefault="00AB356B" w:rsidP="009D5952">
      <w:pPr>
        <w:pStyle w:val="ParaNum"/>
        <w:widowControl/>
        <w:numPr>
          <w:ilvl w:val="0"/>
          <w:numId w:val="2"/>
        </w:numPr>
        <w:tabs>
          <w:tab w:val="clear" w:pos="1080"/>
          <w:tab w:val="num" w:pos="1440"/>
        </w:tabs>
        <w:rPr>
          <w:szCs w:val="22"/>
        </w:rPr>
      </w:pPr>
      <w:r>
        <w:t>Finally, w</w:t>
      </w:r>
      <w:r w:rsidR="00FB1259">
        <w:t xml:space="preserve">e are not persuaded that </w:t>
      </w:r>
      <w:r w:rsidR="00677E9A">
        <w:t>ERIE</w:t>
      </w:r>
      <w:r w:rsidR="00FB1259">
        <w:t xml:space="preserve">’s asserted intent to bring </w:t>
      </w:r>
      <w:r w:rsidR="00677E9A">
        <w:t xml:space="preserve">a new station to “the underserved community” of Westfield, New York </w:t>
      </w:r>
      <w:r w:rsidR="00FB1259">
        <w:t xml:space="preserve">outweighs the public interest benefit in consistent enforcement of the Commission’s competitive bidding rules.  </w:t>
      </w:r>
      <w:r w:rsidR="00F77866">
        <w:t xml:space="preserve">The petitioner in </w:t>
      </w:r>
      <w:r w:rsidR="00F77866" w:rsidRPr="007002A4">
        <w:rPr>
          <w:i/>
        </w:rPr>
        <w:t>Austin</w:t>
      </w:r>
      <w:r w:rsidR="00F77866">
        <w:t xml:space="preserve"> made the same arguments, which the Commission rejected</w:t>
      </w:r>
      <w:r w:rsidR="00351BAB">
        <w:t>:</w:t>
      </w:r>
      <w:r w:rsidR="006516C1">
        <w:t xml:space="preserve"> </w:t>
      </w:r>
      <w:r w:rsidR="00F77866">
        <w:t xml:space="preserve"> </w:t>
      </w:r>
      <w:r w:rsidR="00351BAB">
        <w:t>“</w:t>
      </w:r>
      <w:r w:rsidR="00FB1259" w:rsidRPr="00F77866">
        <w:rPr>
          <w:szCs w:val="22"/>
        </w:rPr>
        <w:t>Where</w:t>
      </w:r>
      <w:r w:rsidR="00FB1259">
        <w:rPr>
          <w:szCs w:val="22"/>
        </w:rPr>
        <w:t xml:space="preserve"> an entity has presented circumstances that raise questions about its ongoing ability and willingness to fulfill its payment obligations, assertions about the provision of service do not outweigh those questions.</w:t>
      </w:r>
      <w:r w:rsidR="00351BAB">
        <w:rPr>
          <w:szCs w:val="22"/>
        </w:rPr>
        <w:t>”</w:t>
      </w:r>
      <w:r w:rsidR="00FB1259">
        <w:rPr>
          <w:rStyle w:val="FootnoteReference"/>
        </w:rPr>
        <w:footnoteReference w:id="52"/>
      </w:r>
      <w:r w:rsidR="00FB1259">
        <w:rPr>
          <w:szCs w:val="22"/>
        </w:rPr>
        <w:t xml:space="preserve">  </w:t>
      </w:r>
    </w:p>
    <w:p w:rsidR="00FB1259" w:rsidRPr="00677E9A" w:rsidRDefault="00FB1259" w:rsidP="009D5952">
      <w:pPr>
        <w:pStyle w:val="ParaNum"/>
        <w:widowControl/>
        <w:numPr>
          <w:ilvl w:val="0"/>
          <w:numId w:val="2"/>
        </w:numPr>
        <w:tabs>
          <w:tab w:val="clear" w:pos="1080"/>
          <w:tab w:val="num" w:pos="1440"/>
        </w:tabs>
        <w:rPr>
          <w:szCs w:val="22"/>
        </w:rPr>
      </w:pPr>
      <w:r>
        <w:t xml:space="preserve">None of the arguments presented </w:t>
      </w:r>
      <w:r w:rsidR="00F77866">
        <w:t xml:space="preserve">by ERIE </w:t>
      </w:r>
      <w:r>
        <w:t>merit</w:t>
      </w:r>
      <w:r w:rsidR="006516C1">
        <w:t>s</w:t>
      </w:r>
      <w:r>
        <w:t xml:space="preserve"> our relieving </w:t>
      </w:r>
      <w:r w:rsidR="00F77866">
        <w:t>ERIE</w:t>
      </w:r>
      <w:r>
        <w:t xml:space="preserve"> of </w:t>
      </w:r>
      <w:r w:rsidR="00F77866">
        <w:t xml:space="preserve">its </w:t>
      </w:r>
      <w:r>
        <w:t xml:space="preserve">obligations pursuant to </w:t>
      </w:r>
      <w:r w:rsidR="009F4E06">
        <w:t>Section</w:t>
      </w:r>
      <w:r>
        <w:t xml:space="preserve"> 1.2107(b) to have made the down payment on </w:t>
      </w:r>
      <w:r w:rsidR="00F77866">
        <w:t>its</w:t>
      </w:r>
      <w:r>
        <w:t xml:space="preserve"> winning bid by the </w:t>
      </w:r>
      <w:r w:rsidR="00F77866">
        <w:t>August 26, 2015</w:t>
      </w:r>
      <w:r>
        <w:t xml:space="preserve">, deadline.  Accordingly, we deny </w:t>
      </w:r>
      <w:r w:rsidR="00F77866">
        <w:t>ERIE</w:t>
      </w:r>
      <w:r>
        <w:t xml:space="preserve">’s request </w:t>
      </w:r>
      <w:r w:rsidR="00F77866">
        <w:t xml:space="preserve">for an extension of the down payment deadline </w:t>
      </w:r>
      <w:r>
        <w:t xml:space="preserve">associated with Auction </w:t>
      </w:r>
      <w:r w:rsidR="00F77866">
        <w:t>98</w:t>
      </w:r>
      <w:r>
        <w:t xml:space="preserve">.  </w:t>
      </w:r>
    </w:p>
    <w:p w:rsidR="00FB1259" w:rsidRDefault="00FB1259" w:rsidP="009D5952">
      <w:pPr>
        <w:pStyle w:val="Heading1"/>
        <w:widowControl/>
        <w:rPr>
          <w:szCs w:val="22"/>
        </w:rPr>
      </w:pPr>
      <w:r>
        <w:t>IN</w:t>
      </w:r>
      <w:r w:rsidR="00B05586">
        <w:t>TERIM DEFAULT PAYMENT</w:t>
      </w:r>
    </w:p>
    <w:p w:rsidR="00FB1259" w:rsidRDefault="00FB1259" w:rsidP="009D5952">
      <w:pPr>
        <w:pStyle w:val="ParaNum"/>
        <w:widowControl/>
        <w:numPr>
          <w:ilvl w:val="0"/>
          <w:numId w:val="2"/>
        </w:numPr>
        <w:tabs>
          <w:tab w:val="clear" w:pos="1080"/>
          <w:tab w:val="num" w:pos="1440"/>
        </w:tabs>
      </w:pPr>
      <w:r>
        <w:t>The Commission’s rules provide that a bidder who fails to remit the required final payment for a license for which it was the high bidder is subject to a default payment.</w:t>
      </w:r>
      <w:r>
        <w:rPr>
          <w:rStyle w:val="FootnoteReference"/>
          <w:szCs w:val="22"/>
        </w:rPr>
        <w:footnoteReference w:id="53"/>
      </w:r>
      <w:r>
        <w:t xml:space="preserve">  </w:t>
      </w:r>
      <w:r w:rsidR="00DE1204">
        <w:t>These payment obligations include both a deficiency payment, equal to the difference between the amount of the defaulter’s bid and the amount of the winning bid the next time a permit or license covering the same spectrum is won in an auction, plus an additional payment equal to a percent of the defaulter’s bid or the subsequent winning bid, whichever is less.</w:t>
      </w:r>
      <w:r w:rsidR="00DE1204">
        <w:rPr>
          <w:rStyle w:val="FootnoteReference"/>
        </w:rPr>
        <w:footnoteReference w:id="54"/>
      </w:r>
      <w:r w:rsidR="00DE1204">
        <w:t xml:space="preserve">  The additional default payment for Auction 98 permits was set to 20 percent of the applicable bid.</w:t>
      </w:r>
      <w:r>
        <w:rPr>
          <w:rStyle w:val="FootnoteReference"/>
          <w:szCs w:val="22"/>
        </w:rPr>
        <w:footnoteReference w:id="55"/>
      </w:r>
      <w:r>
        <w:t xml:space="preserve">  </w:t>
      </w:r>
    </w:p>
    <w:p w:rsidR="00FB1259" w:rsidRDefault="00FB1259" w:rsidP="009D5952">
      <w:pPr>
        <w:pStyle w:val="ParaNum"/>
        <w:widowControl/>
        <w:numPr>
          <w:ilvl w:val="0"/>
          <w:numId w:val="2"/>
        </w:numPr>
        <w:tabs>
          <w:tab w:val="clear" w:pos="1080"/>
          <w:tab w:val="num" w:pos="1440"/>
        </w:tabs>
      </w:pPr>
      <w:r>
        <w:t xml:space="preserve">Section 1.2109(b) of the Commission’s rules provides that a winning bidder who fails to remit the required down payment within ten business days after the Commission has declared competitive bidding closed will be deemed to have defaulted, its application will be dismissed, and it will be liable for the applicable default payment obligations specified in 47 </w:t>
      </w:r>
      <w:r w:rsidR="00B84BA0">
        <w:t>CFR</w:t>
      </w:r>
      <w:r>
        <w:t xml:space="preserve"> § 1.2104(g).</w:t>
      </w:r>
      <w:r>
        <w:rPr>
          <w:rStyle w:val="FootnoteReference"/>
        </w:rPr>
        <w:footnoteReference w:id="56"/>
      </w:r>
      <w:r>
        <w:t xml:space="preserve">  Although we cannot determine </w:t>
      </w:r>
      <w:r w:rsidR="00DE1204">
        <w:t>ERIE</w:t>
      </w:r>
      <w:r>
        <w:t xml:space="preserve">’s total default payment at this time, we will assess an interim default payment owed by </w:t>
      </w:r>
      <w:r w:rsidR="009B247C">
        <w:t>ERIE</w:t>
      </w:r>
      <w:r>
        <w:t xml:space="preserve">, amounting to </w:t>
      </w:r>
      <w:r w:rsidR="009B247C">
        <w:t xml:space="preserve">20 </w:t>
      </w:r>
      <w:r>
        <w:t>percent of i</w:t>
      </w:r>
      <w:r w:rsidR="00421DC5">
        <w:t>t</w:t>
      </w:r>
      <w:r>
        <w:t xml:space="preserve">s defaulted net bid for the </w:t>
      </w:r>
      <w:r w:rsidR="009B247C">
        <w:t>Westfield</w:t>
      </w:r>
      <w:r>
        <w:t xml:space="preserve"> construction permit, or $</w:t>
      </w:r>
      <w:r w:rsidR="009B247C">
        <w:t>107,100</w:t>
      </w:r>
      <w:r>
        <w:t>.</w:t>
      </w:r>
      <w:r>
        <w:rPr>
          <w:rStyle w:val="FootnoteReference"/>
        </w:rPr>
        <w:footnoteReference w:id="57"/>
      </w:r>
      <w:r>
        <w:t xml:space="preserve">  Pursuant to </w:t>
      </w:r>
      <w:r w:rsidR="009F4E06">
        <w:t>Section</w:t>
      </w:r>
      <w:r>
        <w:t xml:space="preserve"> 1.2106(e) of the Commission’s rules, we will apply </w:t>
      </w:r>
      <w:r w:rsidR="009B247C">
        <w:t>ERIE</w:t>
      </w:r>
      <w:r>
        <w:t>’s payment on deposit to satisfy this interim default payment obligation.</w:t>
      </w:r>
      <w:r>
        <w:rPr>
          <w:rStyle w:val="FootnoteReference"/>
        </w:rPr>
        <w:footnoteReference w:id="58"/>
      </w:r>
    </w:p>
    <w:p w:rsidR="00FB1259" w:rsidRDefault="00FB1259" w:rsidP="009D5952">
      <w:pPr>
        <w:pStyle w:val="Heading1"/>
        <w:widowControl/>
      </w:pPr>
      <w:r>
        <w:t>ORDERING CLAUSES</w:t>
      </w:r>
    </w:p>
    <w:p w:rsidR="00FB1259" w:rsidRDefault="00FB1259" w:rsidP="009D5952">
      <w:pPr>
        <w:pStyle w:val="ParaNum"/>
        <w:widowControl/>
        <w:numPr>
          <w:ilvl w:val="0"/>
          <w:numId w:val="2"/>
        </w:numPr>
        <w:tabs>
          <w:tab w:val="clear" w:pos="1080"/>
          <w:tab w:val="num" w:pos="1440"/>
        </w:tabs>
      </w:pPr>
      <w:r>
        <w:t xml:space="preserve">Accordingly, IT IS ORDERED, pursuant to </w:t>
      </w:r>
      <w:r w:rsidR="009F4E06">
        <w:t>Section</w:t>
      </w:r>
      <w:r>
        <w:t xml:space="preserve">s 4(i) and 309 of the Communications Act of 1934, as amended, 47 U.S.C. §§ 154(i) and 309, and </w:t>
      </w:r>
      <w:r w:rsidR="009F4E06">
        <w:t>Section</w:t>
      </w:r>
      <w:r>
        <w:t xml:space="preserve"> 1.3 of the Commission’s rules, 47 </w:t>
      </w:r>
      <w:r w:rsidR="00B84BA0">
        <w:t>CFR</w:t>
      </w:r>
      <w:r>
        <w:t xml:space="preserve"> § 1.3, that </w:t>
      </w:r>
      <w:r w:rsidR="009B247C">
        <w:t xml:space="preserve">The ERIE Radio Company, LLC’s Informal </w:t>
      </w:r>
      <w:r>
        <w:t xml:space="preserve">Request for </w:t>
      </w:r>
      <w:r w:rsidR="009B247C">
        <w:t>Extension of Time</w:t>
      </w:r>
      <w:r>
        <w:t xml:space="preserve">, dated </w:t>
      </w:r>
      <w:r w:rsidR="009B247C">
        <w:t>November 20, 2015</w:t>
      </w:r>
      <w:r>
        <w:t>, is DENIED.</w:t>
      </w:r>
    </w:p>
    <w:p w:rsidR="00FB1259" w:rsidRDefault="00FB1259" w:rsidP="009D5952">
      <w:pPr>
        <w:pStyle w:val="ParaNum"/>
        <w:widowControl/>
        <w:numPr>
          <w:ilvl w:val="0"/>
          <w:numId w:val="2"/>
        </w:numPr>
        <w:tabs>
          <w:tab w:val="clear" w:pos="1080"/>
          <w:tab w:val="num" w:pos="1440"/>
        </w:tabs>
      </w:pPr>
      <w:r>
        <w:t xml:space="preserve">IT IS FURTHER ORDERED, pursuant to </w:t>
      </w:r>
      <w:r w:rsidR="009F4E06">
        <w:t>Section</w:t>
      </w:r>
      <w:r>
        <w:t xml:space="preserve">s 4(i) and 309 of the Communications Act of 1934, as amended, 47 U.S.C. §§ 154(i) and 309, and </w:t>
      </w:r>
      <w:r w:rsidR="009F4E06">
        <w:t>Section</w:t>
      </w:r>
      <w:r>
        <w:t xml:space="preserve">s 1.2107(b), 1.2109(b), and 1.2104(g),  of the Commission’s rules, 47 </w:t>
      </w:r>
      <w:r w:rsidR="00B84BA0">
        <w:t>CFR</w:t>
      </w:r>
      <w:r>
        <w:t xml:space="preserve"> §§ 1.2107(b), 1.2109(b), and 1.2104(g), that </w:t>
      </w:r>
      <w:r w:rsidR="009B247C">
        <w:t>The ERIE Radio Company, LLC</w:t>
      </w:r>
      <w:r>
        <w:t xml:space="preserve"> is assessed an interim default payment in the amount of $</w:t>
      </w:r>
      <w:r w:rsidR="009B247C">
        <w:t>107,100</w:t>
      </w:r>
      <w:r>
        <w:t>.00 for the construction permit associated with MM-FM</w:t>
      </w:r>
      <w:r w:rsidR="009B247C">
        <w:t>1090</w:t>
      </w:r>
      <w:r>
        <w:t xml:space="preserve">-A, at </w:t>
      </w:r>
      <w:r w:rsidR="009B247C">
        <w:t>Westfield</w:t>
      </w:r>
      <w:r>
        <w:t xml:space="preserve">, </w:t>
      </w:r>
      <w:r w:rsidR="009B247C">
        <w:t>New York</w:t>
      </w:r>
      <w:r>
        <w:t>.</w:t>
      </w:r>
    </w:p>
    <w:p w:rsidR="00FB1259" w:rsidRDefault="00FB1259" w:rsidP="009D5952">
      <w:pPr>
        <w:pStyle w:val="ParaNum"/>
        <w:widowControl/>
        <w:numPr>
          <w:ilvl w:val="0"/>
          <w:numId w:val="2"/>
        </w:numPr>
        <w:tabs>
          <w:tab w:val="clear" w:pos="1080"/>
          <w:tab w:val="num" w:pos="1440"/>
        </w:tabs>
      </w:pPr>
      <w:r>
        <w:t xml:space="preserve">IT IS FURTHER ORDERED, pursuant to </w:t>
      </w:r>
      <w:r w:rsidR="009F4E06">
        <w:t>Section</w:t>
      </w:r>
      <w:r>
        <w:t xml:space="preserve">s 1.2104 and 1.2106 of the Commission’s rules, 47 </w:t>
      </w:r>
      <w:r w:rsidR="00B84BA0">
        <w:t>CFR</w:t>
      </w:r>
      <w:r>
        <w:t xml:space="preserve"> §§ 1.2104 and 1.2106, that the funds of </w:t>
      </w:r>
      <w:r w:rsidR="009B247C">
        <w:t xml:space="preserve">The ERIE Radio Company, LLC </w:t>
      </w:r>
      <w:r>
        <w:t>on deposit will be applied to satisfy the interim default payment obligation.</w:t>
      </w:r>
    </w:p>
    <w:p w:rsidR="00FB1259" w:rsidRDefault="00FB1259" w:rsidP="009D5952">
      <w:pPr>
        <w:pStyle w:val="ParaNum"/>
        <w:widowControl/>
        <w:numPr>
          <w:ilvl w:val="0"/>
          <w:numId w:val="2"/>
        </w:numPr>
        <w:tabs>
          <w:tab w:val="clear" w:pos="1080"/>
          <w:tab w:val="num" w:pos="1440"/>
        </w:tabs>
      </w:pPr>
      <w:r>
        <w:t xml:space="preserve">IT IS FURTHER ORDERED, pursuant to </w:t>
      </w:r>
      <w:r w:rsidR="009F4E06">
        <w:t>Section</w:t>
      </w:r>
      <w:r>
        <w:t xml:space="preserve"> 4(i) of the Communications Act of 1934, as amended, 47 U.S.C. § 154(i), and </w:t>
      </w:r>
      <w:r w:rsidR="009F4E06">
        <w:t>Section</w:t>
      </w:r>
      <w:r>
        <w:t xml:space="preserve"> 1.2104(g) of the Commission’s rules, 47 </w:t>
      </w:r>
      <w:r w:rsidR="00B84BA0">
        <w:t>CFR</w:t>
      </w:r>
      <w:r>
        <w:t xml:space="preserve"> § 1.2104(g), that </w:t>
      </w:r>
      <w:r w:rsidR="009B247C">
        <w:t xml:space="preserve">The ERIE Radio Company, LLC </w:t>
      </w:r>
      <w:r>
        <w:t xml:space="preserve">will be subject to the balance of the default payment specified in </w:t>
      </w:r>
      <w:r w:rsidR="009F4E06">
        <w:t>Section</w:t>
      </w:r>
      <w:r>
        <w:t xml:space="preserve"> 1.2104(g) of the Commission’s rules, 47 </w:t>
      </w:r>
      <w:r w:rsidR="00B84BA0">
        <w:t>CFR</w:t>
      </w:r>
      <w:r>
        <w:t xml:space="preserve"> § 1.2104(g), once the actual default payment is determined.</w:t>
      </w:r>
    </w:p>
    <w:p w:rsidR="00FB1259" w:rsidRDefault="00FB1259" w:rsidP="009D5952">
      <w:pPr>
        <w:pStyle w:val="ParaNum"/>
        <w:widowControl/>
        <w:numPr>
          <w:ilvl w:val="0"/>
          <w:numId w:val="2"/>
        </w:numPr>
        <w:tabs>
          <w:tab w:val="clear" w:pos="1080"/>
          <w:tab w:val="num" w:pos="1440"/>
        </w:tabs>
      </w:pPr>
      <w:r>
        <w:t xml:space="preserve">IT IS FURTHER ORDERED that, pursuant to 47 </w:t>
      </w:r>
      <w:r w:rsidR="00B84BA0">
        <w:t>CFR</w:t>
      </w:r>
      <w:r>
        <w:t xml:space="preserve"> § 1.2109(c), the long-form application of </w:t>
      </w:r>
      <w:r w:rsidR="009B247C">
        <w:t>The ERIE Radio Company, LLC</w:t>
      </w:r>
      <w:r>
        <w:t xml:space="preserve">, File Number </w:t>
      </w:r>
      <w:r w:rsidR="00B85BC0">
        <w:t>BNPH-20151009AIH</w:t>
      </w:r>
      <w:r>
        <w:rPr>
          <w:szCs w:val="22"/>
        </w:rPr>
        <w:t>,</w:t>
      </w:r>
      <w:r>
        <w:t xml:space="preserve"> is DISMISSED.</w:t>
      </w:r>
    </w:p>
    <w:p w:rsidR="00FB1259" w:rsidRDefault="006C12CB" w:rsidP="009D5952">
      <w:pPr>
        <w:pStyle w:val="ParaNum"/>
        <w:widowControl/>
        <w:numPr>
          <w:ilvl w:val="0"/>
          <w:numId w:val="2"/>
        </w:numPr>
        <w:tabs>
          <w:tab w:val="clear" w:pos="1080"/>
          <w:tab w:val="num" w:pos="1440"/>
        </w:tabs>
        <w:rPr>
          <w:szCs w:val="22"/>
        </w:rPr>
      </w:pPr>
      <w:r>
        <w:br w:type="page"/>
      </w:r>
      <w:r w:rsidR="00FB1259">
        <w:t xml:space="preserve">This action is taken pursuant to delegated authority under </w:t>
      </w:r>
      <w:r w:rsidR="009F4E06">
        <w:t>Section</w:t>
      </w:r>
      <w:r w:rsidR="00FB1259">
        <w:t xml:space="preserve">s </w:t>
      </w:r>
      <w:r w:rsidR="00DA69DB">
        <w:t xml:space="preserve">0.283, </w:t>
      </w:r>
      <w:r w:rsidR="00FB1259">
        <w:t xml:space="preserve">0.131 and 0.331 of the Commission’s rules, 47 </w:t>
      </w:r>
      <w:r w:rsidR="00B84BA0">
        <w:t>CFR</w:t>
      </w:r>
      <w:r w:rsidR="00FB1259">
        <w:t xml:space="preserve"> §§ </w:t>
      </w:r>
      <w:r w:rsidR="00DA69DB">
        <w:t xml:space="preserve">0.283, </w:t>
      </w:r>
      <w:r w:rsidR="00FB1259">
        <w:t xml:space="preserve">0.131 and 0.331.  </w:t>
      </w:r>
    </w:p>
    <w:p w:rsidR="00A53382" w:rsidRDefault="00A53382" w:rsidP="009D5952">
      <w:pPr>
        <w:pStyle w:val="ParaNum"/>
        <w:widowControl/>
        <w:numPr>
          <w:ilvl w:val="0"/>
          <w:numId w:val="0"/>
        </w:numPr>
        <w:rPr>
          <w:szCs w:val="22"/>
        </w:rPr>
      </w:pPr>
    </w:p>
    <w:p w:rsidR="00FB1259" w:rsidRDefault="00FB1259" w:rsidP="009D5952">
      <w:pPr>
        <w:widowControl/>
        <w:spacing w:line="480" w:lineRule="auto"/>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FB1259" w:rsidRDefault="00FB1259" w:rsidP="009D5952">
      <w:pPr>
        <w:widowControl/>
        <w:spacing w:line="480" w:lineRule="auto"/>
        <w:rPr>
          <w:szCs w:val="22"/>
        </w:rPr>
      </w:pPr>
    </w:p>
    <w:p w:rsidR="00FB1259" w:rsidRDefault="00FB1259" w:rsidP="009D5952">
      <w:pPr>
        <w:widowControl/>
        <w:rPr>
          <w:szCs w:val="22"/>
        </w:rPr>
      </w:pPr>
      <w:r>
        <w:rPr>
          <w:szCs w:val="22"/>
        </w:rPr>
        <w:tab/>
      </w:r>
      <w:r>
        <w:rPr>
          <w:szCs w:val="22"/>
        </w:rPr>
        <w:tab/>
      </w:r>
      <w:r>
        <w:rPr>
          <w:szCs w:val="22"/>
        </w:rPr>
        <w:tab/>
      </w:r>
      <w:r>
        <w:rPr>
          <w:szCs w:val="22"/>
        </w:rPr>
        <w:tab/>
      </w:r>
      <w:r>
        <w:rPr>
          <w:szCs w:val="22"/>
        </w:rPr>
        <w:tab/>
      </w:r>
      <w:r>
        <w:rPr>
          <w:szCs w:val="22"/>
        </w:rPr>
        <w:tab/>
      </w:r>
    </w:p>
    <w:p w:rsidR="00FB1259" w:rsidRDefault="00FB1259" w:rsidP="009D5952">
      <w:pPr>
        <w:widowControl/>
        <w:ind w:left="3600" w:firstLine="720"/>
        <w:rPr>
          <w:szCs w:val="22"/>
        </w:rPr>
      </w:pPr>
      <w:r>
        <w:rPr>
          <w:szCs w:val="22"/>
        </w:rPr>
        <w:t>Margaret W. Wiener</w:t>
      </w:r>
    </w:p>
    <w:p w:rsidR="00FB1259" w:rsidRDefault="00FB1259" w:rsidP="009D5952">
      <w:pPr>
        <w:widowControl/>
        <w:ind w:left="3600" w:firstLine="720"/>
        <w:rPr>
          <w:szCs w:val="22"/>
        </w:rPr>
      </w:pPr>
      <w:r>
        <w:rPr>
          <w:szCs w:val="22"/>
        </w:rPr>
        <w:t>Chief, Auctions and Spectrum Access Division</w:t>
      </w:r>
    </w:p>
    <w:p w:rsidR="00FB1259" w:rsidRDefault="00FB1259" w:rsidP="009D5952">
      <w:pPr>
        <w:widowControl/>
        <w:ind w:left="3600" w:firstLine="720"/>
        <w:rPr>
          <w:szCs w:val="22"/>
        </w:rPr>
      </w:pPr>
      <w:r>
        <w:rPr>
          <w:szCs w:val="22"/>
        </w:rPr>
        <w:t>Wireless Telecommunications Bureau</w:t>
      </w:r>
    </w:p>
    <w:p w:rsidR="00FB1259" w:rsidRDefault="00FB1259" w:rsidP="009D5952">
      <w:pPr>
        <w:widowControl/>
        <w:ind w:left="3600" w:firstLine="720"/>
        <w:rPr>
          <w:szCs w:val="22"/>
        </w:rPr>
      </w:pPr>
    </w:p>
    <w:p w:rsidR="00FB1259" w:rsidRDefault="00FB1259" w:rsidP="009D5952">
      <w:pPr>
        <w:widowControl/>
        <w:ind w:left="3600" w:firstLine="720"/>
        <w:rPr>
          <w:szCs w:val="22"/>
        </w:rPr>
      </w:pPr>
    </w:p>
    <w:p w:rsidR="00FB1259" w:rsidRDefault="00FB1259" w:rsidP="009D5952">
      <w:pPr>
        <w:widowControl/>
        <w:ind w:left="3600" w:firstLine="720"/>
        <w:rPr>
          <w:szCs w:val="22"/>
        </w:rPr>
      </w:pPr>
    </w:p>
    <w:p w:rsidR="00CD6B53" w:rsidRDefault="00CD6B53" w:rsidP="009D5952">
      <w:pPr>
        <w:widowControl/>
        <w:ind w:left="3600" w:firstLine="720"/>
        <w:rPr>
          <w:szCs w:val="22"/>
        </w:rPr>
      </w:pPr>
    </w:p>
    <w:p w:rsidR="00FB1259" w:rsidRDefault="00FB1259" w:rsidP="009D5952">
      <w:pPr>
        <w:widowControl/>
        <w:ind w:left="3600" w:firstLine="720"/>
        <w:rPr>
          <w:szCs w:val="22"/>
        </w:rPr>
      </w:pPr>
      <w:r>
        <w:rPr>
          <w:szCs w:val="22"/>
        </w:rPr>
        <w:t>Peter H. Doyle</w:t>
      </w:r>
    </w:p>
    <w:p w:rsidR="00FB1259" w:rsidRDefault="00FB1259" w:rsidP="009D5952">
      <w:pPr>
        <w:widowControl/>
        <w:ind w:left="3600" w:firstLine="720"/>
        <w:rPr>
          <w:szCs w:val="22"/>
        </w:rPr>
      </w:pPr>
      <w:r>
        <w:rPr>
          <w:szCs w:val="22"/>
        </w:rPr>
        <w:t>Chief, Audio Division</w:t>
      </w:r>
    </w:p>
    <w:p w:rsidR="00FB1259" w:rsidRDefault="00FB1259" w:rsidP="009D5952">
      <w:pPr>
        <w:widowControl/>
        <w:ind w:left="3600" w:firstLine="720"/>
        <w:rPr>
          <w:szCs w:val="22"/>
        </w:rPr>
      </w:pPr>
      <w:r>
        <w:rPr>
          <w:szCs w:val="22"/>
        </w:rPr>
        <w:t>Media Bureau</w:t>
      </w:r>
    </w:p>
    <w:sectPr w:rsidR="00FB12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66" w:rsidRDefault="00C05766">
      <w:r>
        <w:separator/>
      </w:r>
    </w:p>
  </w:endnote>
  <w:endnote w:type="continuationSeparator" w:id="0">
    <w:p w:rsidR="00C05766" w:rsidRDefault="00C0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F6" w:rsidRDefault="002E4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59" w:rsidRDefault="00FB1259">
    <w:pPr>
      <w:pStyle w:val="Footer"/>
      <w:jc w:val="center"/>
    </w:pPr>
    <w:r>
      <w:rPr>
        <w:rStyle w:val="PageNumber"/>
      </w:rPr>
      <w:fldChar w:fldCharType="begin"/>
    </w:r>
    <w:r>
      <w:rPr>
        <w:rStyle w:val="PageNumber"/>
      </w:rPr>
      <w:instrText xml:space="preserve"> PAGE </w:instrText>
    </w:r>
    <w:r>
      <w:rPr>
        <w:rStyle w:val="PageNumber"/>
      </w:rPr>
      <w:fldChar w:fldCharType="separate"/>
    </w:r>
    <w:r w:rsidR="00A64BA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F6" w:rsidRDefault="002E4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66" w:rsidRDefault="00C05766">
      <w:pPr>
        <w:rPr>
          <w:sz w:val="20"/>
        </w:rPr>
      </w:pPr>
      <w:r>
        <w:rPr>
          <w:sz w:val="20"/>
        </w:rPr>
        <w:separator/>
      </w:r>
    </w:p>
  </w:footnote>
  <w:footnote w:type="continuationSeparator" w:id="0">
    <w:p w:rsidR="00C05766" w:rsidRDefault="00C05766">
      <w:pPr>
        <w:rPr>
          <w:sz w:val="20"/>
        </w:rPr>
      </w:pPr>
      <w:r>
        <w:rPr>
          <w:sz w:val="20"/>
        </w:rPr>
        <w:separator/>
      </w:r>
    </w:p>
    <w:p w:rsidR="00C05766" w:rsidRDefault="00C05766">
      <w:pPr>
        <w:rPr>
          <w:sz w:val="20"/>
        </w:rPr>
      </w:pPr>
      <w:r>
        <w:rPr>
          <w:sz w:val="20"/>
        </w:rPr>
        <w:t>(...continued from previous page)</w:t>
      </w:r>
    </w:p>
  </w:footnote>
  <w:footnote w:type="continuationNotice" w:id="1">
    <w:p w:rsidR="00C05766" w:rsidRDefault="00C05766">
      <w:pPr>
        <w:jc w:val="right"/>
        <w:rPr>
          <w:sz w:val="20"/>
        </w:rPr>
      </w:pPr>
      <w:r>
        <w:rPr>
          <w:sz w:val="20"/>
        </w:rPr>
        <w:t>(continued....)</w:t>
      </w:r>
    </w:p>
  </w:footnote>
  <w:footnote w:id="2">
    <w:p w:rsidR="00FB1259" w:rsidRDefault="00FB1259">
      <w:pPr>
        <w:pStyle w:val="FootnoteText"/>
      </w:pPr>
      <w:r>
        <w:rPr>
          <w:rStyle w:val="FootnoteReference"/>
        </w:rPr>
        <w:footnoteRef/>
      </w:r>
      <w:r>
        <w:t xml:space="preserve"> 47 </w:t>
      </w:r>
      <w:r w:rsidR="00B84BA0">
        <w:t>CFR</w:t>
      </w:r>
      <w:r>
        <w:t xml:space="preserve"> § 1.2107(b). </w:t>
      </w:r>
    </w:p>
  </w:footnote>
  <w:footnote w:id="3">
    <w:p w:rsidR="00FB1259" w:rsidRDefault="00FB1259">
      <w:pPr>
        <w:pStyle w:val="FootnoteText"/>
      </w:pPr>
      <w:r>
        <w:rPr>
          <w:rStyle w:val="FootnoteReference"/>
        </w:rPr>
        <w:footnoteRef/>
      </w:r>
      <w:r>
        <w:t xml:space="preserve"> </w:t>
      </w:r>
      <w:r w:rsidR="009C4709">
        <w:t xml:space="preserve">The ERIE Radio Company, LLC Informal </w:t>
      </w:r>
      <w:r>
        <w:t xml:space="preserve">Request for </w:t>
      </w:r>
      <w:r w:rsidR="009C4709">
        <w:t xml:space="preserve">Extension of Time </w:t>
      </w:r>
      <w:r>
        <w:t>(</w:t>
      </w:r>
      <w:r w:rsidR="009C4709">
        <w:t>Nov</w:t>
      </w:r>
      <w:r w:rsidR="00863DAF">
        <w:t>.</w:t>
      </w:r>
      <w:r>
        <w:t xml:space="preserve"> 2</w:t>
      </w:r>
      <w:r w:rsidR="00675A5B">
        <w:t>0</w:t>
      </w:r>
      <w:r>
        <w:t>, 20</w:t>
      </w:r>
      <w:r w:rsidR="00675A5B">
        <w:t>15</w:t>
      </w:r>
      <w:r>
        <w:t>)</w:t>
      </w:r>
      <w:r w:rsidR="00CD6B53">
        <w:t xml:space="preserve"> (Request)</w:t>
      </w:r>
      <w:r>
        <w:t>.</w:t>
      </w:r>
    </w:p>
  </w:footnote>
  <w:footnote w:id="4">
    <w:p w:rsidR="00FB1259" w:rsidRDefault="00FB1259">
      <w:pPr>
        <w:pStyle w:val="FootnoteText"/>
      </w:pPr>
      <w:r>
        <w:rPr>
          <w:rStyle w:val="FootnoteReference"/>
        </w:rPr>
        <w:footnoteRef/>
      </w:r>
      <w:r>
        <w:t xml:space="preserve"> </w:t>
      </w:r>
      <w:r>
        <w:rPr>
          <w:i/>
        </w:rPr>
        <w:t>See</w:t>
      </w:r>
      <w:r>
        <w:t xml:space="preserve"> </w:t>
      </w:r>
      <w:r w:rsidRPr="00863DAF">
        <w:rPr>
          <w:i/>
        </w:rPr>
        <w:t xml:space="preserve">Auction of FM Broadcast Construction Permits Scheduled for </w:t>
      </w:r>
      <w:r w:rsidR="009C4709" w:rsidRPr="00863DAF">
        <w:rPr>
          <w:i/>
        </w:rPr>
        <w:t xml:space="preserve">July 23, </w:t>
      </w:r>
      <w:r w:rsidRPr="00863DAF">
        <w:rPr>
          <w:i/>
        </w:rPr>
        <w:t>20</w:t>
      </w:r>
      <w:r w:rsidR="009C4709" w:rsidRPr="00863DAF">
        <w:rPr>
          <w:i/>
        </w:rPr>
        <w:t>1</w:t>
      </w:r>
      <w:r w:rsidRPr="00863DAF">
        <w:rPr>
          <w:i/>
        </w:rPr>
        <w:t xml:space="preserve">5, Comment Sought on </w:t>
      </w:r>
      <w:r w:rsidR="009C4709" w:rsidRPr="00863DAF">
        <w:rPr>
          <w:i/>
        </w:rPr>
        <w:t>Competitive Bidding Procedures for Auction 98</w:t>
      </w:r>
      <w:r>
        <w:t xml:space="preserve">, </w:t>
      </w:r>
      <w:r w:rsidRPr="00863DAF">
        <w:t>Public Notice</w:t>
      </w:r>
      <w:r>
        <w:t xml:space="preserve">, </w:t>
      </w:r>
      <w:r w:rsidR="00CC146C">
        <w:t>30</w:t>
      </w:r>
      <w:r>
        <w:t xml:space="preserve"> FCC Rcd </w:t>
      </w:r>
      <w:r w:rsidR="00CC146C">
        <w:t>1755</w:t>
      </w:r>
      <w:r>
        <w:t xml:space="preserve"> (MB/WTB 20</w:t>
      </w:r>
      <w:r w:rsidR="009C4709">
        <w:t>15</w:t>
      </w:r>
      <w:r>
        <w:t xml:space="preserve">). </w:t>
      </w:r>
    </w:p>
  </w:footnote>
  <w:footnote w:id="5">
    <w:p w:rsidR="00FB1259" w:rsidRDefault="00FB1259">
      <w:pPr>
        <w:pStyle w:val="FootnoteText"/>
      </w:pPr>
      <w:r>
        <w:rPr>
          <w:rStyle w:val="FootnoteReference"/>
        </w:rPr>
        <w:footnoteRef/>
      </w:r>
      <w:r>
        <w:rPr>
          <w:i/>
        </w:rPr>
        <w:t xml:space="preserve"> See</w:t>
      </w:r>
      <w:r>
        <w:t xml:space="preserve"> </w:t>
      </w:r>
      <w:r w:rsidR="00C4397C" w:rsidRPr="00863DAF">
        <w:rPr>
          <w:i/>
        </w:rPr>
        <w:t>Auction of FM Broadcast Construction Permits Scheduled for July 23, 2015</w:t>
      </w:r>
      <w:r w:rsidRPr="00863DAF">
        <w:rPr>
          <w:i/>
        </w:rPr>
        <w:t xml:space="preserve">, Notice and Filing Requirements, Minimum Opening Bids, Upfront Payments and Other Procedures for Auction </w:t>
      </w:r>
      <w:r w:rsidR="00C4397C" w:rsidRPr="00863DAF">
        <w:rPr>
          <w:i/>
        </w:rPr>
        <w:t>98</w:t>
      </w:r>
      <w:r>
        <w:t xml:space="preserve">, </w:t>
      </w:r>
      <w:r w:rsidRPr="00863DAF">
        <w:t>Public Notice</w:t>
      </w:r>
      <w:r>
        <w:t xml:space="preserve">, </w:t>
      </w:r>
      <w:r w:rsidR="00C4397C">
        <w:t>3</w:t>
      </w:r>
      <w:r>
        <w:t xml:space="preserve">0 FCC Rcd </w:t>
      </w:r>
      <w:r w:rsidR="00C4397C">
        <w:t>3544</w:t>
      </w:r>
      <w:r>
        <w:t xml:space="preserve"> (MB/WTB 20</w:t>
      </w:r>
      <w:r w:rsidR="00EE554C">
        <w:t>1</w:t>
      </w:r>
      <w:r>
        <w:t>5) (</w:t>
      </w:r>
      <w:r>
        <w:rPr>
          <w:i/>
        </w:rPr>
        <w:t xml:space="preserve">Auction </w:t>
      </w:r>
      <w:r w:rsidR="00EE554C">
        <w:rPr>
          <w:i/>
        </w:rPr>
        <w:t>98</w:t>
      </w:r>
      <w:r>
        <w:t xml:space="preserve"> </w:t>
      </w:r>
      <w:r>
        <w:rPr>
          <w:i/>
        </w:rPr>
        <w:t>Procedures Public Notice</w:t>
      </w:r>
      <w:r>
        <w:t xml:space="preserve">).   </w:t>
      </w:r>
    </w:p>
  </w:footnote>
  <w:footnote w:id="6">
    <w:p w:rsidR="00FB1259" w:rsidRDefault="00FB1259">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at </w:t>
      </w:r>
      <w:r w:rsidR="00F0628D">
        <w:t xml:space="preserve">3583, </w:t>
      </w:r>
      <w:r w:rsidR="00D87DC4">
        <w:t>para.</w:t>
      </w:r>
      <w:r w:rsidR="00EE554C">
        <w:t xml:space="preserve"> 164</w:t>
      </w:r>
      <w:r w:rsidR="00F0628D">
        <w:t>.</w:t>
      </w:r>
      <w:r>
        <w:t xml:space="preserve">  </w:t>
      </w:r>
    </w:p>
  </w:footnote>
  <w:footnote w:id="7">
    <w:p w:rsidR="00FB1259" w:rsidRDefault="00FB1259">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w:t>
      </w:r>
      <w:r w:rsidR="00F0628D">
        <w:t xml:space="preserve">3584, </w:t>
      </w:r>
      <w:r w:rsidR="00D87DC4">
        <w:t>para.</w:t>
      </w:r>
      <w:r w:rsidR="00C2798C">
        <w:t xml:space="preserve"> 167</w:t>
      </w:r>
      <w:r>
        <w:t xml:space="preserve"> (citing </w:t>
      </w:r>
      <w:r>
        <w:rPr>
          <w:color w:val="000000"/>
        </w:rPr>
        <w:t xml:space="preserve">47 </w:t>
      </w:r>
      <w:r w:rsidR="00B84BA0">
        <w:rPr>
          <w:color w:val="000000"/>
        </w:rPr>
        <w:t>CFR</w:t>
      </w:r>
      <w:r>
        <w:rPr>
          <w:color w:val="000000"/>
        </w:rPr>
        <w:t xml:space="preserve"> § 1.2104(g)(2))</w:t>
      </w:r>
      <w:r>
        <w:t xml:space="preserve">. </w:t>
      </w:r>
    </w:p>
  </w:footnote>
  <w:footnote w:id="8">
    <w:p w:rsidR="00FB1259" w:rsidRDefault="00FB1259">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w:t>
      </w:r>
      <w:r w:rsidR="00F0628D">
        <w:t xml:space="preserve">3583, </w:t>
      </w:r>
      <w:r w:rsidR="00D87DC4">
        <w:t>para.</w:t>
      </w:r>
      <w:r w:rsidR="009009AA">
        <w:t xml:space="preserve"> 166</w:t>
      </w:r>
      <w:r>
        <w:t xml:space="preserve"> (citing 47 </w:t>
      </w:r>
      <w:r w:rsidR="00B84BA0">
        <w:t>CFR</w:t>
      </w:r>
      <w:r>
        <w:t xml:space="preserve"> § 73.5005(a)).     </w:t>
      </w:r>
    </w:p>
  </w:footnote>
  <w:footnote w:id="9">
    <w:p w:rsidR="00FB1259" w:rsidRDefault="00FB1259">
      <w:pPr>
        <w:pStyle w:val="FootnoteText"/>
      </w:pPr>
      <w:r>
        <w:rPr>
          <w:rStyle w:val="FootnoteReference"/>
        </w:rPr>
        <w:footnoteRef/>
      </w:r>
      <w:r>
        <w:t xml:space="preserve"> </w:t>
      </w:r>
      <w:r w:rsidR="00611680" w:rsidRPr="009D5952">
        <w:rPr>
          <w:i/>
        </w:rPr>
        <w:t>Auction of FM Broadcast Construction Permits</w:t>
      </w:r>
      <w:r w:rsidR="0078063A" w:rsidRPr="009D5952">
        <w:rPr>
          <w:i/>
        </w:rPr>
        <w:t>,</w:t>
      </w:r>
      <w:r w:rsidR="00611680" w:rsidRPr="009D5952">
        <w:rPr>
          <w:i/>
        </w:rPr>
        <w:t xml:space="preserve"> </w:t>
      </w:r>
      <w:r w:rsidR="0078063A" w:rsidRPr="009D5952">
        <w:rPr>
          <w:i/>
        </w:rPr>
        <w:t>88 Bidders Qualified to Participate in Auction 98</w:t>
      </w:r>
      <w:r w:rsidR="00611680">
        <w:t>,</w:t>
      </w:r>
      <w:r>
        <w:t xml:space="preserve"> </w:t>
      </w:r>
      <w:r w:rsidRPr="009D5952">
        <w:t>Public Notice</w:t>
      </w:r>
      <w:r>
        <w:t xml:space="preserve">, </w:t>
      </w:r>
      <w:r w:rsidR="00762B19">
        <w:t>3</w:t>
      </w:r>
      <w:r>
        <w:t xml:space="preserve">0 FCC Rcd </w:t>
      </w:r>
      <w:r w:rsidR="00762B19">
        <w:t>7159</w:t>
      </w:r>
      <w:r w:rsidR="00E8352B">
        <w:t xml:space="preserve"> (MB/WTB 2015)</w:t>
      </w:r>
      <w:r>
        <w:t xml:space="preserve">.  </w:t>
      </w:r>
    </w:p>
  </w:footnote>
  <w:footnote w:id="10">
    <w:p w:rsidR="00FB1259" w:rsidRDefault="00FB1259">
      <w:pPr>
        <w:pStyle w:val="FootnoteText"/>
      </w:pPr>
      <w:r>
        <w:rPr>
          <w:rStyle w:val="FootnoteReference"/>
        </w:rPr>
        <w:footnoteRef/>
      </w:r>
      <w:r>
        <w:t xml:space="preserve"> </w:t>
      </w:r>
      <w:r w:rsidRPr="009D5952">
        <w:rPr>
          <w:i/>
        </w:rPr>
        <w:t xml:space="preserve">Auction of FM Broadcast Construction Permits Closes, Winning Bidders Announced for Auction </w:t>
      </w:r>
      <w:r w:rsidR="001C4CB8" w:rsidRPr="009D5952">
        <w:rPr>
          <w:i/>
        </w:rPr>
        <w:t>98</w:t>
      </w:r>
      <w:r>
        <w:t xml:space="preserve">, </w:t>
      </w:r>
      <w:r w:rsidRPr="009D5952">
        <w:t>Public Notice</w:t>
      </w:r>
      <w:r>
        <w:t xml:space="preserve">, </w:t>
      </w:r>
      <w:r w:rsidR="001C4CB8">
        <w:t>30</w:t>
      </w:r>
      <w:r>
        <w:t xml:space="preserve"> FCC Rcd </w:t>
      </w:r>
      <w:r w:rsidR="001C4CB8">
        <w:t>8313</w:t>
      </w:r>
      <w:r>
        <w:t xml:space="preserve"> (MB/WTB 20</w:t>
      </w:r>
      <w:r w:rsidR="001C4CB8">
        <w:t>15</w:t>
      </w:r>
      <w:r>
        <w:t>) (</w:t>
      </w:r>
      <w:r>
        <w:rPr>
          <w:i/>
        </w:rPr>
        <w:t xml:space="preserve">Auction </w:t>
      </w:r>
      <w:r w:rsidR="001C4CB8">
        <w:rPr>
          <w:i/>
        </w:rPr>
        <w:t>98</w:t>
      </w:r>
      <w:r>
        <w:t xml:space="preserve"> </w:t>
      </w:r>
      <w:r>
        <w:rPr>
          <w:i/>
        </w:rPr>
        <w:t>Closing Public Notice</w:t>
      </w:r>
      <w:r>
        <w:t>).</w:t>
      </w:r>
    </w:p>
  </w:footnote>
  <w:footnote w:id="11">
    <w:p w:rsidR="00FB1259" w:rsidRDefault="00FB1259">
      <w:pPr>
        <w:pStyle w:val="FootnoteText"/>
      </w:pPr>
      <w:r>
        <w:rPr>
          <w:rStyle w:val="FootnoteReference"/>
        </w:rPr>
        <w:footnoteRef/>
      </w:r>
      <w:r>
        <w:t xml:space="preserve"> </w:t>
      </w:r>
      <w:r w:rsidR="00317279">
        <w:rPr>
          <w:i/>
        </w:rPr>
        <w:t>Id.</w:t>
      </w:r>
      <w:r w:rsidR="00317279">
        <w:t xml:space="preserve"> at 8313-14</w:t>
      </w:r>
      <w:r>
        <w:t>,</w:t>
      </w:r>
      <w:r w:rsidR="00317279">
        <w:t xml:space="preserve"> </w:t>
      </w:r>
      <w:r w:rsidR="00D87DC4">
        <w:t>paras.</w:t>
      </w:r>
      <w:r w:rsidR="00314286">
        <w:t xml:space="preserve"> 3-5</w:t>
      </w:r>
      <w:r>
        <w:t xml:space="preserve">.  </w:t>
      </w:r>
    </w:p>
  </w:footnote>
  <w:footnote w:id="12">
    <w:p w:rsidR="00FB1259" w:rsidRDefault="00FB1259">
      <w:pPr>
        <w:pStyle w:val="FootnoteText"/>
      </w:pPr>
      <w:r>
        <w:rPr>
          <w:rStyle w:val="FootnoteReference"/>
        </w:rPr>
        <w:footnoteRef/>
      </w:r>
      <w:r>
        <w:rPr>
          <w:i/>
        </w:rPr>
        <w:t xml:space="preserve"> </w:t>
      </w:r>
      <w:r w:rsidR="00314286">
        <w:rPr>
          <w:i/>
        </w:rPr>
        <w:t>Id.</w:t>
      </w:r>
      <w:r w:rsidR="00314286">
        <w:t xml:space="preserve"> at </w:t>
      </w:r>
      <w:r w:rsidR="00317279">
        <w:t xml:space="preserve">8314-15, </w:t>
      </w:r>
      <w:r w:rsidR="00D87DC4">
        <w:t>para.</w:t>
      </w:r>
      <w:r w:rsidR="00314286">
        <w:t xml:space="preserve"> 9</w:t>
      </w:r>
      <w:r>
        <w:t xml:space="preserve">.  </w:t>
      </w:r>
      <w:r>
        <w:rPr>
          <w:i/>
        </w:rPr>
        <w:t xml:space="preserve">Cf. Auction </w:t>
      </w:r>
      <w:r w:rsidR="003554C4">
        <w:rPr>
          <w:i/>
        </w:rPr>
        <w:t>98</w:t>
      </w:r>
      <w:r>
        <w:t xml:space="preserve"> </w:t>
      </w:r>
      <w:r>
        <w:rPr>
          <w:i/>
        </w:rPr>
        <w:t>Procedures Public Notice</w:t>
      </w:r>
      <w:r w:rsidRPr="00715733">
        <w:t>,</w:t>
      </w:r>
      <w:r w:rsidRPr="008F7C97">
        <w:t xml:space="preserve"> </w:t>
      </w:r>
      <w:r w:rsidR="003554C4">
        <w:t>3</w:t>
      </w:r>
      <w:r>
        <w:t xml:space="preserve">0 FCC Rcd </w:t>
      </w:r>
      <w:r w:rsidR="00317279">
        <w:t xml:space="preserve">at 3570, </w:t>
      </w:r>
      <w:r w:rsidR="00D87DC4">
        <w:t>para.</w:t>
      </w:r>
      <w:r w:rsidR="003554C4">
        <w:t xml:space="preserve"> 94</w:t>
      </w:r>
      <w:r>
        <w:t xml:space="preserve"> (similarly advising potential Auction </w:t>
      </w:r>
      <w:r w:rsidR="003554C4">
        <w:t>98</w:t>
      </w:r>
      <w:r>
        <w:t xml:space="preserve"> participants with regard to upfront payments to discuss arrangements with their bankers “several days” before executing their wire transfers and to allow sufficient time for transfers to be initiated and completed before the deadline).      </w:t>
      </w:r>
    </w:p>
  </w:footnote>
  <w:footnote w:id="13">
    <w:p w:rsidR="00885BA4" w:rsidRPr="00885BA4" w:rsidRDefault="00885BA4">
      <w:pPr>
        <w:pStyle w:val="FootnoteText"/>
      </w:pPr>
      <w:r>
        <w:rPr>
          <w:rStyle w:val="FootnoteReference"/>
        </w:rPr>
        <w:footnoteRef/>
      </w:r>
      <w:r>
        <w:t xml:space="preserve"> </w:t>
      </w:r>
      <w:r w:rsidR="00317279">
        <w:rPr>
          <w:i/>
        </w:rPr>
        <w:t>Auction 98 Closing Public Notice</w:t>
      </w:r>
      <w:r w:rsidR="00317279">
        <w:t xml:space="preserve">, 30 FCC Rcd </w:t>
      </w:r>
      <w:r>
        <w:t xml:space="preserve">at </w:t>
      </w:r>
      <w:r w:rsidR="00317279">
        <w:t xml:space="preserve">8315, </w:t>
      </w:r>
      <w:r w:rsidR="00D87DC4">
        <w:t>para.</w:t>
      </w:r>
      <w:r>
        <w:t xml:space="preserve"> 9.</w:t>
      </w:r>
    </w:p>
  </w:footnote>
  <w:footnote w:id="14">
    <w:p w:rsidR="00FB1259" w:rsidRPr="00317279" w:rsidRDefault="00FB1259">
      <w:pPr>
        <w:pStyle w:val="FootnoteText"/>
      </w:pPr>
      <w:r>
        <w:rPr>
          <w:rStyle w:val="FootnoteReference"/>
        </w:rPr>
        <w:footnoteRef/>
      </w:r>
      <w:r>
        <w:t xml:space="preserve"> Attachment B of the </w:t>
      </w:r>
      <w:r>
        <w:rPr>
          <w:i/>
        </w:rPr>
        <w:t xml:space="preserve">Auction </w:t>
      </w:r>
      <w:r w:rsidR="0001779B">
        <w:rPr>
          <w:i/>
        </w:rPr>
        <w:t>98</w:t>
      </w:r>
      <w:r>
        <w:t xml:space="preserve"> </w:t>
      </w:r>
      <w:r>
        <w:rPr>
          <w:i/>
        </w:rPr>
        <w:t xml:space="preserve">Closing Public Notice </w:t>
      </w:r>
      <w:r>
        <w:t xml:space="preserve">advised winning bidders of the exact amounts for deposits due after the application of the bidder’s upfront payment.  </w:t>
      </w:r>
      <w:r>
        <w:rPr>
          <w:i/>
        </w:rPr>
        <w:t xml:space="preserve">Auction </w:t>
      </w:r>
      <w:r w:rsidR="00190CE3">
        <w:rPr>
          <w:i/>
        </w:rPr>
        <w:t>98</w:t>
      </w:r>
      <w:r>
        <w:t xml:space="preserve"> </w:t>
      </w:r>
      <w:r>
        <w:rPr>
          <w:i/>
        </w:rPr>
        <w:t>Closing Public Notice</w:t>
      </w:r>
      <w:r>
        <w:t xml:space="preserve">, </w:t>
      </w:r>
      <w:r w:rsidR="00190CE3">
        <w:t>30</w:t>
      </w:r>
      <w:r>
        <w:t xml:space="preserve"> FCC Rcd at </w:t>
      </w:r>
      <w:r w:rsidR="00317279">
        <w:t>8330, Attach. B</w:t>
      </w:r>
      <w:r>
        <w:t xml:space="preserve">.  The </w:t>
      </w:r>
      <w:r>
        <w:rPr>
          <w:i/>
        </w:rPr>
        <w:t xml:space="preserve">Auction </w:t>
      </w:r>
      <w:r w:rsidR="00190CE3">
        <w:rPr>
          <w:i/>
        </w:rPr>
        <w:t>98</w:t>
      </w:r>
      <w:r>
        <w:t xml:space="preserve"> </w:t>
      </w:r>
      <w:r>
        <w:rPr>
          <w:i/>
        </w:rPr>
        <w:t>Closing Public Notice</w:t>
      </w:r>
      <w:r>
        <w:t xml:space="preserve"> shows that </w:t>
      </w:r>
      <w:r w:rsidR="00190CE3">
        <w:t>ERIE</w:t>
      </w:r>
      <w:r>
        <w:t xml:space="preserve"> had an upfront payment amount of $</w:t>
      </w:r>
      <w:r w:rsidR="00190CE3">
        <w:t>25</w:t>
      </w:r>
      <w:r>
        <w:t>,</w:t>
      </w:r>
      <w:r w:rsidR="00190CE3">
        <w:t>0</w:t>
      </w:r>
      <w:r>
        <w:t>00 on deposit and therefore was required to submit an additional $</w:t>
      </w:r>
      <w:r w:rsidR="00190CE3">
        <w:t>82</w:t>
      </w:r>
      <w:r>
        <w:t>,</w:t>
      </w:r>
      <w:r w:rsidR="00190CE3">
        <w:t>1</w:t>
      </w:r>
      <w:r>
        <w:t xml:space="preserve">00 by </w:t>
      </w:r>
      <w:r w:rsidR="00190CE3">
        <w:t>August 26, 2015</w:t>
      </w:r>
      <w:r>
        <w:t>, to satisfy the $</w:t>
      </w:r>
      <w:r w:rsidR="00190CE3">
        <w:t>107,1</w:t>
      </w:r>
      <w:r>
        <w:t>00 down payment obligation.</w:t>
      </w:r>
      <w:r w:rsidR="00317279">
        <w:t xml:space="preserve">  </w:t>
      </w:r>
      <w:r w:rsidR="00317279">
        <w:rPr>
          <w:i/>
        </w:rPr>
        <w:t>Id.</w:t>
      </w:r>
      <w:r w:rsidR="00317279">
        <w:t>at 8332.</w:t>
      </w:r>
    </w:p>
  </w:footnote>
  <w:footnote w:id="15">
    <w:p w:rsidR="005946C2" w:rsidRPr="005946C2" w:rsidRDefault="005946C2">
      <w:pPr>
        <w:pStyle w:val="FootnoteText"/>
      </w:pPr>
      <w:r>
        <w:rPr>
          <w:rStyle w:val="FootnoteReference"/>
        </w:rPr>
        <w:footnoteRef/>
      </w:r>
      <w:r>
        <w:t xml:space="preserve"> </w:t>
      </w:r>
      <w:r>
        <w:rPr>
          <w:i/>
        </w:rPr>
        <w:t xml:space="preserve">See </w:t>
      </w:r>
      <w:r>
        <w:t>Request</w:t>
      </w:r>
      <w:r w:rsidR="00555EE1">
        <w:t xml:space="preserve"> at 1</w:t>
      </w:r>
      <w:r>
        <w:t xml:space="preserve">.  </w:t>
      </w:r>
    </w:p>
  </w:footnote>
  <w:footnote w:id="16">
    <w:p w:rsidR="003B5AE4" w:rsidRDefault="003B5AE4" w:rsidP="003B5AE4">
      <w:pPr>
        <w:pStyle w:val="FootnoteText"/>
      </w:pPr>
      <w:r>
        <w:rPr>
          <w:rStyle w:val="FootnoteReference"/>
        </w:rPr>
        <w:footnoteRef/>
      </w:r>
      <w:r>
        <w:t xml:space="preserve"> </w:t>
      </w:r>
      <w:r w:rsidR="0057271F" w:rsidRPr="00A55761">
        <w:t>Request</w:t>
      </w:r>
      <w:r w:rsidR="0057271F">
        <w:t xml:space="preserve"> </w:t>
      </w:r>
      <w:r>
        <w:t xml:space="preserve">at 4. </w:t>
      </w:r>
    </w:p>
  </w:footnote>
  <w:footnote w:id="17">
    <w:p w:rsidR="000715C2" w:rsidRPr="000715C2" w:rsidRDefault="000715C2">
      <w:pPr>
        <w:pStyle w:val="FootnoteText"/>
      </w:pPr>
      <w:r>
        <w:rPr>
          <w:rStyle w:val="FootnoteReference"/>
        </w:rPr>
        <w:footnoteRef/>
      </w:r>
      <w:r>
        <w:t xml:space="preserve"> </w:t>
      </w:r>
      <w:r>
        <w:rPr>
          <w:i/>
        </w:rPr>
        <w:t>Id.</w:t>
      </w:r>
      <w:r>
        <w:t xml:space="preserve"> at </w:t>
      </w:r>
      <w:r w:rsidR="0057271F">
        <w:t>1-</w:t>
      </w:r>
      <w:r>
        <w:t>2.</w:t>
      </w:r>
    </w:p>
  </w:footnote>
  <w:footnote w:id="18">
    <w:p w:rsidR="000715C2" w:rsidRPr="000715C2" w:rsidRDefault="000715C2">
      <w:pPr>
        <w:pStyle w:val="FootnoteText"/>
      </w:pPr>
      <w:r>
        <w:rPr>
          <w:rStyle w:val="FootnoteReference"/>
        </w:rPr>
        <w:footnoteRef/>
      </w:r>
      <w:r>
        <w:t xml:space="preserve"> </w:t>
      </w:r>
      <w:r>
        <w:rPr>
          <w:i/>
        </w:rPr>
        <w:t>Id.</w:t>
      </w:r>
      <w:r>
        <w:t xml:space="preserve"> at Attach. B.</w:t>
      </w:r>
      <w:r w:rsidR="0065752E" w:rsidRPr="0065752E">
        <w:t xml:space="preserve"> </w:t>
      </w:r>
      <w:r w:rsidR="0065752E">
        <w:t xml:space="preserve"> Contrary to its own attachment to its Request, ERIE does not concede that its down payment was in fact untimely.  </w:t>
      </w:r>
      <w:r w:rsidR="0065752E">
        <w:rPr>
          <w:i/>
        </w:rPr>
        <w:t>Se</w:t>
      </w:r>
      <w:r w:rsidR="0065752E" w:rsidRPr="00AD16AB">
        <w:rPr>
          <w:i/>
        </w:rPr>
        <w:t>e,</w:t>
      </w:r>
      <w:r w:rsidR="0065752E">
        <w:t xml:space="preserve"> </w:t>
      </w:r>
      <w:r w:rsidR="0065752E" w:rsidRPr="00A12244">
        <w:rPr>
          <w:i/>
        </w:rPr>
        <w:t>e.g.</w:t>
      </w:r>
      <w:r w:rsidR="0065752E">
        <w:t xml:space="preserve">, </w:t>
      </w:r>
      <w:r w:rsidR="0065752E" w:rsidRPr="00A12244">
        <w:rPr>
          <w:i/>
        </w:rPr>
        <w:t>id</w:t>
      </w:r>
      <w:r w:rsidR="0065752E">
        <w:t>. at 1 (“</w:t>
      </w:r>
      <w:r w:rsidR="0065752E" w:rsidRPr="000715C2">
        <w:rPr>
          <w:i/>
        </w:rPr>
        <w:t>[U]pon information and belief</w:t>
      </w:r>
      <w:r w:rsidR="0065752E">
        <w:t xml:space="preserve">, there </w:t>
      </w:r>
      <w:r w:rsidR="0065752E" w:rsidRPr="000715C2">
        <w:rPr>
          <w:i/>
        </w:rPr>
        <w:t>may</w:t>
      </w:r>
      <w:r w:rsidR="0065752E">
        <w:t xml:space="preserve"> have been a </w:t>
      </w:r>
      <w:r w:rsidR="0065752E" w:rsidRPr="000715C2">
        <w:rPr>
          <w:i/>
        </w:rPr>
        <w:t>several hour</w:t>
      </w:r>
      <w:r w:rsidR="0065752E">
        <w:t xml:space="preserve"> delay with ERIE Radio’s down payment . . . .”) (emphasis added).  Nevertheless, ERIE has provided no evidence to the Commission in this Request or otherwise to suggest that its down payment arrived on or before the August 26 deadline.</w:t>
      </w:r>
    </w:p>
  </w:footnote>
  <w:footnote w:id="19">
    <w:p w:rsidR="00297927" w:rsidRPr="00297927" w:rsidRDefault="00297927">
      <w:pPr>
        <w:pStyle w:val="FootnoteText"/>
      </w:pPr>
      <w:r>
        <w:rPr>
          <w:rStyle w:val="FootnoteReference"/>
        </w:rPr>
        <w:footnoteRef/>
      </w:r>
      <w:r>
        <w:t xml:space="preserve"> </w:t>
      </w:r>
      <w:r>
        <w:rPr>
          <w:i/>
        </w:rPr>
        <w:t>Id.</w:t>
      </w:r>
      <w:r>
        <w:t xml:space="preserve"> at 1.</w:t>
      </w:r>
    </w:p>
  </w:footnote>
  <w:footnote w:id="20">
    <w:p w:rsidR="00297927" w:rsidRPr="00297927" w:rsidRDefault="00297927">
      <w:pPr>
        <w:pStyle w:val="FootnoteText"/>
      </w:pPr>
      <w:r>
        <w:rPr>
          <w:rStyle w:val="FootnoteReference"/>
        </w:rPr>
        <w:footnoteRef/>
      </w:r>
      <w:r>
        <w:t xml:space="preserve"> </w:t>
      </w:r>
      <w:r>
        <w:rPr>
          <w:i/>
        </w:rPr>
        <w:t>Id.</w:t>
      </w:r>
      <w:r>
        <w:t xml:space="preserve"> at 1</w:t>
      </w:r>
      <w:r w:rsidR="00384E61">
        <w:t>,</w:t>
      </w:r>
      <w:r>
        <w:t xml:space="preserve"> 3.</w:t>
      </w:r>
    </w:p>
  </w:footnote>
  <w:footnote w:id="21">
    <w:p w:rsidR="00966863" w:rsidRDefault="00966863">
      <w:pPr>
        <w:pStyle w:val="FootnoteText"/>
      </w:pPr>
      <w:r>
        <w:rPr>
          <w:rStyle w:val="FootnoteReference"/>
        </w:rPr>
        <w:footnoteRef/>
      </w:r>
      <w:r>
        <w:t xml:space="preserve"> Connoisseur Media Licenses, LLC Opposition to Informal Request for Extension of Time (Dec. 21, 2015)</w:t>
      </w:r>
      <w:r w:rsidR="007818EB">
        <w:t xml:space="preserve"> (Connoisseur Opposition)</w:t>
      </w:r>
      <w:r>
        <w:t>.</w:t>
      </w:r>
    </w:p>
  </w:footnote>
  <w:footnote w:id="22">
    <w:p w:rsidR="00B726A2" w:rsidRPr="00B726A2" w:rsidRDefault="00B726A2">
      <w:pPr>
        <w:pStyle w:val="FootnoteText"/>
      </w:pPr>
      <w:r>
        <w:rPr>
          <w:rStyle w:val="FootnoteReference"/>
        </w:rPr>
        <w:footnoteRef/>
      </w:r>
      <w:r>
        <w:t xml:space="preserve"> </w:t>
      </w:r>
      <w:r>
        <w:rPr>
          <w:i/>
        </w:rPr>
        <w:t>Id.</w:t>
      </w:r>
      <w:r>
        <w:t xml:space="preserve"> at 2.</w:t>
      </w:r>
    </w:p>
  </w:footnote>
  <w:footnote w:id="23">
    <w:p w:rsidR="00FB1259" w:rsidRDefault="00FB1259">
      <w:pPr>
        <w:pStyle w:val="FootnoteText"/>
      </w:pPr>
      <w:r>
        <w:rPr>
          <w:rStyle w:val="FootnoteReference"/>
        </w:rPr>
        <w:footnoteRef/>
      </w:r>
      <w:r>
        <w:t xml:space="preserve"> 47 </w:t>
      </w:r>
      <w:r w:rsidR="00B84BA0">
        <w:t>CFR</w:t>
      </w:r>
      <w:r>
        <w:t xml:space="preserve"> § 1.2107(b).  </w:t>
      </w:r>
      <w:r>
        <w:rPr>
          <w:i/>
        </w:rPr>
        <w:t xml:space="preserve">See Auction </w:t>
      </w:r>
      <w:r w:rsidR="00297927">
        <w:rPr>
          <w:i/>
        </w:rPr>
        <w:t>98</w:t>
      </w:r>
      <w:r>
        <w:t xml:space="preserve"> </w:t>
      </w:r>
      <w:r>
        <w:rPr>
          <w:i/>
        </w:rPr>
        <w:t>Procedures Public Notice</w:t>
      </w:r>
      <w:r>
        <w:t xml:space="preserve">, </w:t>
      </w:r>
      <w:r w:rsidR="00297927">
        <w:t>3</w:t>
      </w:r>
      <w:r>
        <w:t xml:space="preserve">0 FCC Rcd at </w:t>
      </w:r>
      <w:r w:rsidR="00D671F0">
        <w:t xml:space="preserve">3583, </w:t>
      </w:r>
      <w:r w:rsidR="00D87DC4">
        <w:t>para.</w:t>
      </w:r>
      <w:r w:rsidR="00D671F0">
        <w:t xml:space="preserve"> 164</w:t>
      </w:r>
      <w:r>
        <w:t>.</w:t>
      </w:r>
    </w:p>
  </w:footnote>
  <w:footnote w:id="24">
    <w:p w:rsidR="00921F96" w:rsidRPr="00921F96" w:rsidRDefault="00921F96">
      <w:pPr>
        <w:pStyle w:val="FootnoteText"/>
      </w:pPr>
      <w:r>
        <w:rPr>
          <w:rStyle w:val="FootnoteReference"/>
        </w:rPr>
        <w:footnoteRef/>
      </w:r>
      <w:r>
        <w:t xml:space="preserve"> </w:t>
      </w:r>
      <w:r>
        <w:rPr>
          <w:i/>
        </w:rPr>
        <w:t>See</w:t>
      </w:r>
      <w:r>
        <w:t xml:space="preserve"> </w:t>
      </w:r>
      <w:r w:rsidRPr="00715733">
        <w:rPr>
          <w:i/>
        </w:rPr>
        <w:t>infra</w:t>
      </w:r>
      <w:r w:rsidR="00032B17">
        <w:rPr>
          <w:i/>
        </w:rPr>
        <w:t xml:space="preserve"> </w:t>
      </w:r>
      <w:r w:rsidR="00D36349">
        <w:t>para.</w:t>
      </w:r>
      <w:r w:rsidR="00032B17">
        <w:t xml:space="preserve"> </w:t>
      </w:r>
      <w:r w:rsidR="00D36349">
        <w:t>10</w:t>
      </w:r>
      <w:r>
        <w:t>.</w:t>
      </w:r>
    </w:p>
  </w:footnote>
  <w:footnote w:id="25">
    <w:p w:rsidR="00FB1259" w:rsidRDefault="00FB1259">
      <w:pPr>
        <w:pStyle w:val="FootnoteText"/>
      </w:pPr>
      <w:r>
        <w:rPr>
          <w:rStyle w:val="FootnoteReference"/>
        </w:rPr>
        <w:footnoteRef/>
      </w:r>
      <w:r>
        <w:t xml:space="preserve"> 47 </w:t>
      </w:r>
      <w:r w:rsidR="00B84BA0">
        <w:t>CFR</w:t>
      </w:r>
      <w:r>
        <w:t xml:space="preserve"> § 1.3.  This waiver standard, and the waiver standard applied in the context of wireless radio services licenses, 47 </w:t>
      </w:r>
      <w:r w:rsidR="00B84BA0">
        <w:t>CFR</w:t>
      </w:r>
      <w:r>
        <w:t xml:space="preserve"> § 1.925, have been found to be substantially the same.  </w:t>
      </w:r>
      <w:r>
        <w:rPr>
          <w:i/>
        </w:rPr>
        <w:t>See</w:t>
      </w:r>
      <w:r>
        <w:t xml:space="preserve"> </w:t>
      </w:r>
      <w:r w:rsidRPr="00767AC4">
        <w:rPr>
          <w:i/>
        </w:rPr>
        <w:t>Delta Radio, Inc.</w:t>
      </w:r>
      <w:r>
        <w:t xml:space="preserve">, </w:t>
      </w:r>
      <w:r w:rsidRPr="00767AC4">
        <w:t>Memorandum Opinion and Order</w:t>
      </w:r>
      <w:r w:rsidRPr="00715733">
        <w:t>,</w:t>
      </w:r>
      <w:r>
        <w:t xml:space="preserve"> 18 FCC Rcd 16889, 16891</w:t>
      </w:r>
      <w:r w:rsidR="00767AC4">
        <w:t>,</w:t>
      </w:r>
      <w:r>
        <w:t xml:space="preserve"> </w:t>
      </w:r>
      <w:r w:rsidR="00D87DC4">
        <w:t>para.</w:t>
      </w:r>
      <w:r>
        <w:t xml:space="preserve"> 7 &amp; n.19 (2003) (citing </w:t>
      </w:r>
      <w:r>
        <w:rPr>
          <w:i/>
        </w:rPr>
        <w:t>Bellsouth Corporation v. FCC</w:t>
      </w:r>
      <w:r w:rsidR="008F7C97" w:rsidRPr="008F7C97">
        <w:t>,</w:t>
      </w:r>
      <w:r>
        <w:t xml:space="preserve"> 162 F.3d 1215, 1225 n.10 (D.C. Cir. 1999)).</w:t>
      </w:r>
      <w:r w:rsidR="00B67F03">
        <w:t xml:space="preserve">  </w:t>
      </w:r>
      <w:r w:rsidR="00243687">
        <w:t xml:space="preserve">Even if Section 1.46 were to apply, </w:t>
      </w:r>
      <w:r w:rsidR="00E20C33">
        <w:t xml:space="preserve">ERIE would also have to show </w:t>
      </w:r>
      <w:r w:rsidR="00B67F03">
        <w:t xml:space="preserve">“good cause” for </w:t>
      </w:r>
      <w:r w:rsidR="00E20C33">
        <w:t>an</w:t>
      </w:r>
      <w:r w:rsidR="00B67F03">
        <w:t xml:space="preserve"> extension of time</w:t>
      </w:r>
      <w:r w:rsidR="00E20C33">
        <w:t xml:space="preserve"> under </w:t>
      </w:r>
      <w:r w:rsidR="00243687">
        <w:t>that rule</w:t>
      </w:r>
      <w:r w:rsidR="00B67F03">
        <w:t xml:space="preserve">.  </w:t>
      </w:r>
      <w:r w:rsidR="00B67F03">
        <w:rPr>
          <w:i/>
        </w:rPr>
        <w:t>See, e.g.</w:t>
      </w:r>
      <w:r w:rsidR="00B67F03">
        <w:t xml:space="preserve">, </w:t>
      </w:r>
      <w:r w:rsidR="00B67F03" w:rsidRPr="00B812C3">
        <w:rPr>
          <w:i/>
        </w:rPr>
        <w:t>David Titus Amateur Radio Operator and Licensee of Amateur Radio Station KB7ILD</w:t>
      </w:r>
      <w:r w:rsidR="00B67F03">
        <w:t xml:space="preserve">, </w:t>
      </w:r>
      <w:r w:rsidR="00B67F03" w:rsidRPr="00B812C3">
        <w:t>Decision</w:t>
      </w:r>
      <w:r w:rsidR="00B67F03">
        <w:t>, 29 FCC Rcd 14066</w:t>
      </w:r>
      <w:r w:rsidR="00D83C60">
        <w:t>, 14069, para. 8</w:t>
      </w:r>
      <w:r w:rsidR="00B67F03">
        <w:t xml:space="preserve"> (2014) (holding that there was no “good cause” under Section 1.46 without “an extenuating circumstance that justifies waiving a filing deadline”).  </w:t>
      </w:r>
      <w:r>
        <w:t xml:space="preserve">  </w:t>
      </w:r>
    </w:p>
  </w:footnote>
  <w:footnote w:id="26">
    <w:p w:rsidR="00FB1259" w:rsidRDefault="00FB1259">
      <w:pPr>
        <w:pStyle w:val="FootnoteText"/>
      </w:pPr>
      <w:r>
        <w:rPr>
          <w:rStyle w:val="FootnoteReference"/>
        </w:rPr>
        <w:footnoteRef/>
      </w:r>
      <w:r>
        <w:rPr>
          <w:i/>
        </w:rPr>
        <w:t xml:space="preserve"> See</w:t>
      </w:r>
      <w:r w:rsidR="00F22120">
        <w:rPr>
          <w:i/>
        </w:rPr>
        <w:t xml:space="preserve"> </w:t>
      </w:r>
      <w:r>
        <w:rPr>
          <w:i/>
        </w:rPr>
        <w:t>Northeast Cellular Tel. Co. v. FCC</w:t>
      </w:r>
      <w:r>
        <w:t>, 897 F.2d 1164, 1166 (D.C. Cir. 1990) (</w:t>
      </w:r>
      <w:r>
        <w:rPr>
          <w:i/>
        </w:rPr>
        <w:t>Northeast Cellular</w:t>
      </w:r>
      <w:r>
        <w:t>)</w:t>
      </w:r>
      <w:r w:rsidR="003D6799">
        <w:t xml:space="preserve">. </w:t>
      </w:r>
      <w:r w:rsidR="003D6799" w:rsidRPr="003D6799">
        <w:rPr>
          <w:i/>
        </w:rPr>
        <w:t xml:space="preserve"> </w:t>
      </w:r>
      <w:r w:rsidR="003D6799" w:rsidRPr="00017FEF">
        <w:rPr>
          <w:i/>
        </w:rPr>
        <w:t>Accord</w:t>
      </w:r>
      <w:r w:rsidR="00C61DBB" w:rsidRPr="00C61DBB">
        <w:rPr>
          <w:i/>
        </w:rPr>
        <w:t>, e.g.</w:t>
      </w:r>
      <w:r w:rsidR="00C61DBB">
        <w:t>,</w:t>
      </w:r>
      <w:r w:rsidR="003D6799" w:rsidRPr="00017FEF">
        <w:rPr>
          <w:i/>
        </w:rPr>
        <w:t xml:space="preserve"> NetworkIP, LLC, v. FCC</w:t>
      </w:r>
      <w:r w:rsidR="003D6799" w:rsidRPr="002F1348">
        <w:t>,</w:t>
      </w:r>
      <w:r w:rsidR="003D6799">
        <w:t xml:space="preserve"> 548 F.3d 116, 127 (D.C. Cir. 2008)</w:t>
      </w:r>
      <w:r>
        <w:t xml:space="preserve">.  </w:t>
      </w:r>
      <w:r>
        <w:rPr>
          <w:i/>
        </w:rPr>
        <w:t>See also</w:t>
      </w:r>
      <w:r>
        <w:t xml:space="preserve"> 47 </w:t>
      </w:r>
      <w:r w:rsidR="00B84BA0">
        <w:t>CFR</w:t>
      </w:r>
      <w:r>
        <w:t xml:space="preserve"> § 1.925(a)(3)(i). </w:t>
      </w:r>
      <w:r w:rsidR="003D6799">
        <w:t xml:space="preserve"> </w:t>
      </w:r>
    </w:p>
  </w:footnote>
  <w:footnote w:id="27">
    <w:p w:rsidR="00923A3C" w:rsidRDefault="00923A3C" w:rsidP="00923A3C">
      <w:pPr>
        <w:pStyle w:val="FootnoteText"/>
      </w:pPr>
      <w:r>
        <w:rPr>
          <w:rStyle w:val="FootnoteReference"/>
        </w:rPr>
        <w:footnoteRef/>
      </w:r>
      <w:r>
        <w:t xml:space="preserve"> </w:t>
      </w:r>
      <w:r>
        <w:rPr>
          <w:i/>
        </w:rPr>
        <w:t>See</w:t>
      </w:r>
      <w:r>
        <w:t xml:space="preserve"> 47 </w:t>
      </w:r>
      <w:r w:rsidR="00B84BA0">
        <w:t>CFR</w:t>
      </w:r>
      <w:r>
        <w:t xml:space="preserve"> § 1.925(a)(3)(ii).  </w:t>
      </w:r>
      <w:r>
        <w:rPr>
          <w:i/>
        </w:rPr>
        <w:t>See also Northeast Cellular</w:t>
      </w:r>
      <w:r>
        <w:t>,</w:t>
      </w:r>
      <w:r>
        <w:rPr>
          <w:i/>
        </w:rPr>
        <w:t xml:space="preserve"> </w:t>
      </w:r>
      <w:r>
        <w:t>897 F.2d at 1166.</w:t>
      </w:r>
    </w:p>
  </w:footnote>
  <w:footnote w:id="28">
    <w:p w:rsidR="00923A3C" w:rsidRDefault="00923A3C" w:rsidP="00923A3C">
      <w:pPr>
        <w:pStyle w:val="FootnoteText"/>
      </w:pPr>
      <w:r>
        <w:rPr>
          <w:rStyle w:val="FootnoteReference"/>
        </w:rPr>
        <w:footnoteRef/>
      </w:r>
      <w:r>
        <w:t xml:space="preserve"> </w:t>
      </w:r>
      <w:r>
        <w:rPr>
          <w:i/>
        </w:rPr>
        <w:t>See WAIT Radio v. FCC</w:t>
      </w:r>
      <w:r>
        <w:t xml:space="preserve">, 418 F.2d 1153, 1155, 1157 (D.C. Cir. 1969), </w:t>
      </w:r>
      <w:r>
        <w:rPr>
          <w:i/>
        </w:rPr>
        <w:t>aff’d</w:t>
      </w:r>
      <w:r>
        <w:t xml:space="preserve">, 459 F.2d 1203 (1972), </w:t>
      </w:r>
      <w:r>
        <w:rPr>
          <w:i/>
        </w:rPr>
        <w:t>cert. denied</w:t>
      </w:r>
      <w:r>
        <w:t>, 93 S.</w:t>
      </w:r>
      <w:r w:rsidR="00DE4A4C">
        <w:t xml:space="preserve"> </w:t>
      </w:r>
      <w:r>
        <w:t xml:space="preserve">Ct. 461 (1972) (finding that the Commission may decide in some instances that rule waiver serves the public interest if an applicant’s proposal will not undermine the policy served by the rule).  </w:t>
      </w:r>
      <w:r>
        <w:rPr>
          <w:i/>
        </w:rPr>
        <w:t>See also Thomas Radio v. FCC</w:t>
      </w:r>
      <w:r>
        <w:t xml:space="preserve">, 716 F.2d 921, 924 (D.C. Cir. 1983). </w:t>
      </w:r>
    </w:p>
  </w:footnote>
  <w:footnote w:id="29">
    <w:p w:rsidR="00FB1259" w:rsidRDefault="00FB1259">
      <w:pPr>
        <w:pStyle w:val="FootnoteText"/>
      </w:pPr>
      <w:r>
        <w:rPr>
          <w:rStyle w:val="FootnoteReference"/>
        </w:rPr>
        <w:footnoteRef/>
      </w:r>
      <w:r>
        <w:t xml:space="preserve"> </w:t>
      </w:r>
      <w:r w:rsidRPr="00ED2BAA">
        <w:rPr>
          <w:i/>
        </w:rPr>
        <w:t>BDPCS, Inc.</w:t>
      </w:r>
      <w:r w:rsidRPr="00715733">
        <w:t>,</w:t>
      </w:r>
      <w:r>
        <w:rPr>
          <w:i/>
        </w:rPr>
        <w:t xml:space="preserve"> </w:t>
      </w:r>
      <w:r w:rsidRPr="00ED2BAA">
        <w:t>Memorandum Opinion and Order</w:t>
      </w:r>
      <w:r w:rsidR="008F7C97" w:rsidRPr="008F7C97">
        <w:t>,</w:t>
      </w:r>
      <w:r>
        <w:t xml:space="preserve"> 15 FCC Rcd 17590, 17598-99</w:t>
      </w:r>
      <w:r w:rsidR="00667089">
        <w:t>,</w:t>
      </w:r>
      <w:r>
        <w:t xml:space="preserve"> </w:t>
      </w:r>
      <w:r w:rsidR="00D87DC4">
        <w:t>para</w:t>
      </w:r>
      <w:r w:rsidR="00667089">
        <w:t>s</w:t>
      </w:r>
      <w:r w:rsidR="00D87DC4">
        <w:t>.</w:t>
      </w:r>
      <w:r>
        <w:t xml:space="preserve"> 15</w:t>
      </w:r>
      <w:r w:rsidR="00667089">
        <w:t>-</w:t>
      </w:r>
      <w:r>
        <w:t>16 (2000</w:t>
      </w:r>
      <w:r w:rsidR="00667089">
        <w:t>)</w:t>
      </w:r>
      <w:r>
        <w:t xml:space="preserve">.  </w:t>
      </w:r>
      <w:bookmarkStart w:id="3" w:name="OLE_LINK5"/>
      <w:bookmarkStart w:id="4" w:name="OLE_LINK6"/>
      <w:r>
        <w:rPr>
          <w:i/>
        </w:rPr>
        <w:t>See also Mountain Solutions Ltd., Inc. v. FCC</w:t>
      </w:r>
      <w:r>
        <w:t>, 197 F.3d 512, 518 (D.C. Cir. 1999)</w:t>
      </w:r>
      <w:r w:rsidR="00D671F0">
        <w:t xml:space="preserve"> </w:t>
      </w:r>
      <w:r>
        <w:t>(</w:t>
      </w:r>
      <w:r>
        <w:rPr>
          <w:i/>
        </w:rPr>
        <w:t>Mountain Solutions</w:t>
      </w:r>
      <w:r>
        <w:t xml:space="preserve">) (upholding Commission policy of strict enforcement of down payment deadlines).  </w:t>
      </w:r>
      <w:bookmarkEnd w:id="3"/>
      <w:bookmarkEnd w:id="4"/>
    </w:p>
  </w:footnote>
  <w:footnote w:id="30">
    <w:p w:rsidR="00FB1259" w:rsidRDefault="00FB1259">
      <w:pPr>
        <w:pStyle w:val="FootnoteText"/>
      </w:pPr>
      <w:r>
        <w:rPr>
          <w:rStyle w:val="FootnoteReference"/>
        </w:rPr>
        <w:footnoteRef/>
      </w:r>
      <w:r>
        <w:t xml:space="preserve"> </w:t>
      </w:r>
      <w:r w:rsidRPr="00ED2BAA">
        <w:rPr>
          <w:i/>
        </w:rPr>
        <w:t>Implementation of Section 309(j) of the Communications Act – Competitive Bidding</w:t>
      </w:r>
      <w:r>
        <w:t xml:space="preserve">, </w:t>
      </w:r>
      <w:r w:rsidRPr="00ED2BAA">
        <w:t>Second Report and Order</w:t>
      </w:r>
      <w:r>
        <w:t>, 9 FCC Rcd 2348, 2381-82</w:t>
      </w:r>
      <w:r w:rsidR="00767AC4">
        <w:t>,</w:t>
      </w:r>
      <w:r>
        <w:t xml:space="preserve"> </w:t>
      </w:r>
      <w:r w:rsidR="00D87DC4">
        <w:t>para.</w:t>
      </w:r>
      <w:r>
        <w:t xml:space="preserve"> 192 (1994).   </w:t>
      </w:r>
    </w:p>
  </w:footnote>
  <w:footnote w:id="31">
    <w:p w:rsidR="00FB1259" w:rsidRDefault="00FB1259">
      <w:pPr>
        <w:pStyle w:val="FootnoteText"/>
      </w:pPr>
      <w:r>
        <w:rPr>
          <w:rStyle w:val="FootnoteReference"/>
        </w:rPr>
        <w:footnoteRef/>
      </w:r>
      <w:r>
        <w:rPr>
          <w:i/>
        </w:rPr>
        <w:t xml:space="preserve"> </w:t>
      </w:r>
      <w:smartTag w:uri="urn:schemas-microsoft-com:office:smarttags" w:element="place">
        <w:smartTag w:uri="urn:schemas-microsoft-com:office:smarttags" w:element="State">
          <w:r>
            <w:rPr>
              <w:i/>
            </w:rPr>
            <w:t>Id.</w:t>
          </w:r>
        </w:smartTag>
      </w:smartTag>
      <w:r>
        <w:t xml:space="preserve"> at 2382</w:t>
      </w:r>
      <w:r w:rsidR="00667089">
        <w:t>,</w:t>
      </w:r>
      <w:r>
        <w:t xml:space="preserve"> </w:t>
      </w:r>
      <w:r w:rsidR="00D87DC4">
        <w:t>para.</w:t>
      </w:r>
      <w:r>
        <w:t xml:space="preserve"> 192.</w:t>
      </w:r>
    </w:p>
  </w:footnote>
  <w:footnote w:id="32">
    <w:p w:rsidR="00FB1259" w:rsidRDefault="00FB1259">
      <w:pPr>
        <w:pStyle w:val="FootnoteText"/>
      </w:pPr>
      <w:r>
        <w:rPr>
          <w:rStyle w:val="FootnoteReference"/>
        </w:rPr>
        <w:footnoteRef/>
      </w:r>
      <w:r>
        <w:t xml:space="preserve"> </w:t>
      </w:r>
      <w:r>
        <w:rPr>
          <w:i/>
        </w:rPr>
        <w:t xml:space="preserve">See </w:t>
      </w:r>
      <w:r w:rsidR="005A1E4A" w:rsidRPr="00ED2BAA">
        <w:rPr>
          <w:i/>
        </w:rPr>
        <w:t xml:space="preserve">Ted </w:t>
      </w:r>
      <w:r w:rsidR="002532DC" w:rsidRPr="00ED2BAA">
        <w:rPr>
          <w:i/>
        </w:rPr>
        <w:t xml:space="preserve">W. </w:t>
      </w:r>
      <w:r w:rsidR="005A1E4A" w:rsidRPr="00ED2BAA">
        <w:rPr>
          <w:i/>
        </w:rPr>
        <w:t>Austin</w:t>
      </w:r>
      <w:r w:rsidR="002532DC" w:rsidRPr="00ED2BAA">
        <w:rPr>
          <w:i/>
        </w:rPr>
        <w:t>, Jr., Application for Review of Order Denying Request for Waiver of Down Payment Deadline for Auction 62</w:t>
      </w:r>
      <w:r w:rsidR="002532DC">
        <w:t xml:space="preserve">, </w:t>
      </w:r>
      <w:r w:rsidR="002532DC" w:rsidRPr="00ED2BAA">
        <w:t>Memorandum Opinion and Order</w:t>
      </w:r>
      <w:r w:rsidR="002532DC">
        <w:t xml:space="preserve">, </w:t>
      </w:r>
      <w:r w:rsidR="003B4183">
        <w:t>30</w:t>
      </w:r>
      <w:r w:rsidR="002532DC">
        <w:t xml:space="preserve"> FCC Rcd </w:t>
      </w:r>
      <w:r w:rsidR="003B4183">
        <w:t>3486</w:t>
      </w:r>
      <w:r w:rsidR="002532DC">
        <w:t xml:space="preserve"> (2015) (</w:t>
      </w:r>
      <w:r w:rsidR="002532DC">
        <w:rPr>
          <w:i/>
        </w:rPr>
        <w:t>Austin</w:t>
      </w:r>
      <w:r w:rsidR="002532DC">
        <w:t xml:space="preserve">).  </w:t>
      </w:r>
      <w:r w:rsidR="002532DC">
        <w:rPr>
          <w:i/>
        </w:rPr>
        <w:t>See also</w:t>
      </w:r>
      <w:r w:rsidR="002532DC">
        <w:t xml:space="preserve"> </w:t>
      </w:r>
      <w:r w:rsidRPr="00ED2BAA">
        <w:rPr>
          <w:i/>
        </w:rPr>
        <w:t>TPS Utilicom, Inc.</w:t>
      </w:r>
      <w:r>
        <w:t xml:space="preserve">, </w:t>
      </w:r>
      <w:r w:rsidRPr="00ED2BAA">
        <w:t>Order on Reconsideration</w:t>
      </w:r>
      <w:r w:rsidR="008F7C97" w:rsidRPr="008F7C97">
        <w:t>,</w:t>
      </w:r>
      <w:r>
        <w:t xml:space="preserve"> 18 FCC Rcd 2516, 2520</w:t>
      </w:r>
      <w:r w:rsidR="007818EB">
        <w:t>,</w:t>
      </w:r>
      <w:r>
        <w:t xml:space="preserve"> </w:t>
      </w:r>
      <w:r w:rsidR="00D87DC4">
        <w:t>para.</w:t>
      </w:r>
      <w:r>
        <w:t xml:space="preserve"> 9 (2003) (</w:t>
      </w:r>
      <w:r>
        <w:rPr>
          <w:i/>
        </w:rPr>
        <w:t>TPS Orde</w:t>
      </w:r>
      <w:r w:rsidR="00D8427D">
        <w:rPr>
          <w:i/>
        </w:rPr>
        <w:t>r</w:t>
      </w:r>
      <w:r>
        <w:t>)</w:t>
      </w:r>
      <w:r w:rsidR="002532DC">
        <w:t xml:space="preserve"> (</w:t>
      </w:r>
      <w:r w:rsidR="008F27EB">
        <w:t>denying request for waiver where petitioner submitted down payments for some but not all licenses where it was the high bidder</w:t>
      </w:r>
      <w:r w:rsidR="002532DC">
        <w:t>);</w:t>
      </w:r>
      <w:r>
        <w:t xml:space="preserve"> </w:t>
      </w:r>
      <w:r w:rsidRPr="00ED2BAA">
        <w:rPr>
          <w:i/>
        </w:rPr>
        <w:t>Kankakee Valley Broadcasting Co., Inc.</w:t>
      </w:r>
      <w:r w:rsidRPr="00715733">
        <w:t>,</w:t>
      </w:r>
      <w:r>
        <w:rPr>
          <w:i/>
        </w:rPr>
        <w:t xml:space="preserve"> </w:t>
      </w:r>
      <w:r w:rsidRPr="00ED2BAA">
        <w:t>Memorandum Opinion and Order,</w:t>
      </w:r>
      <w:r>
        <w:rPr>
          <w:i/>
        </w:rPr>
        <w:t xml:space="preserve"> </w:t>
      </w:r>
      <w:r>
        <w:t xml:space="preserve">22 FCC Rcd 8591 (WTB/ASAD 2007) (denying request for waiver of </w:t>
      </w:r>
      <w:r w:rsidR="009F4E06">
        <w:t>Section</w:t>
      </w:r>
      <w:r>
        <w:t xml:space="preserve"> 1.2107(b) and dismissing long-form application for FM construction permit where winning bidder claimed to be “unaware” of deadlines because of principal’s distraction due to medical treatments). </w:t>
      </w:r>
    </w:p>
  </w:footnote>
  <w:footnote w:id="33">
    <w:p w:rsidR="00934726" w:rsidRDefault="00934726">
      <w:pPr>
        <w:pStyle w:val="FootnoteText"/>
      </w:pPr>
      <w:r>
        <w:rPr>
          <w:rStyle w:val="FootnoteReference"/>
        </w:rPr>
        <w:footnoteRef/>
      </w:r>
      <w:r>
        <w:t xml:space="preserve"> </w:t>
      </w:r>
      <w:r w:rsidR="009F7F5D" w:rsidRPr="009F7F5D">
        <w:rPr>
          <w:i/>
        </w:rPr>
        <w:t>See Austin</w:t>
      </w:r>
      <w:r w:rsidR="003B4183">
        <w:t xml:space="preserve">, 30 FCC Rcd at 3487, </w:t>
      </w:r>
      <w:r w:rsidR="00D87DC4">
        <w:t>para.</w:t>
      </w:r>
      <w:r w:rsidR="003B4183">
        <w:t xml:space="preserve"> 2</w:t>
      </w:r>
      <w:r w:rsidR="009F7F5D">
        <w:t xml:space="preserve">.  </w:t>
      </w:r>
      <w:r w:rsidR="00EB4B66">
        <w:t xml:space="preserve">Notably, ERIE does not even mention </w:t>
      </w:r>
      <w:r w:rsidR="00EB4B66">
        <w:rPr>
          <w:i/>
        </w:rPr>
        <w:t>Austin</w:t>
      </w:r>
      <w:r w:rsidR="00EB4B66">
        <w:t xml:space="preserve"> in its Request, much less successfully distinguish it.</w:t>
      </w:r>
      <w:r w:rsidR="00662B2F">
        <w:t xml:space="preserve">  </w:t>
      </w:r>
      <w:r w:rsidR="00662B2F" w:rsidRPr="00662B2F">
        <w:rPr>
          <w:i/>
        </w:rPr>
        <w:t>Cf.</w:t>
      </w:r>
      <w:r w:rsidR="00662B2F">
        <w:t xml:space="preserve"> Connoisseur Opposition at 2-3 (“</w:t>
      </w:r>
      <w:r w:rsidR="00662B2F" w:rsidRPr="00662B2F">
        <w:t xml:space="preserve">If anything, ERIE’s circumstances are even less compelling than those presented in </w:t>
      </w:r>
      <w:r w:rsidR="00662B2F" w:rsidRPr="00662B2F">
        <w:rPr>
          <w:i/>
        </w:rPr>
        <w:t>Austin</w:t>
      </w:r>
      <w:r w:rsidR="00662B2F">
        <w:t xml:space="preserve"> . . . .”).</w:t>
      </w:r>
    </w:p>
  </w:footnote>
  <w:footnote w:id="34">
    <w:p w:rsidR="002C2FB8" w:rsidRDefault="002C2FB8">
      <w:pPr>
        <w:pStyle w:val="FootnoteText"/>
      </w:pPr>
      <w:r>
        <w:rPr>
          <w:rStyle w:val="FootnoteReference"/>
        </w:rPr>
        <w:footnoteRef/>
      </w:r>
      <w:r>
        <w:t xml:space="preserve"> </w:t>
      </w:r>
      <w:r w:rsidR="009F7F5D">
        <w:rPr>
          <w:i/>
        </w:rPr>
        <w:t>Id.</w:t>
      </w:r>
      <w:r w:rsidR="009F7F5D">
        <w:t xml:space="preserve"> at </w:t>
      </w:r>
      <w:r w:rsidR="003B4183">
        <w:t xml:space="preserve">3492, </w:t>
      </w:r>
      <w:r w:rsidR="00D87DC4">
        <w:t>para.</w:t>
      </w:r>
      <w:r w:rsidR="003B4183">
        <w:t xml:space="preserve"> 12</w:t>
      </w:r>
      <w:r>
        <w:t>.</w:t>
      </w:r>
      <w:r w:rsidR="007055A5">
        <w:t xml:space="preserve">  </w:t>
      </w:r>
    </w:p>
  </w:footnote>
  <w:footnote w:id="35">
    <w:p w:rsidR="00BC0E35" w:rsidRDefault="00BC0E35" w:rsidP="00BC0E35">
      <w:pPr>
        <w:pStyle w:val="FootnoteText"/>
      </w:pPr>
      <w:r>
        <w:rPr>
          <w:rStyle w:val="FootnoteReference"/>
        </w:rPr>
        <w:footnoteRef/>
      </w:r>
      <w:r>
        <w:t xml:space="preserve"> </w:t>
      </w:r>
      <w:r>
        <w:rPr>
          <w:i/>
        </w:rPr>
        <w:t>Mountain Solutions</w:t>
      </w:r>
      <w:r w:rsidRPr="00715733">
        <w:t>,</w:t>
      </w:r>
      <w:r>
        <w:rPr>
          <w:i/>
        </w:rPr>
        <w:t xml:space="preserve"> </w:t>
      </w:r>
      <w:r>
        <w:t xml:space="preserve">197 F.3d at 517.  </w:t>
      </w:r>
      <w:r>
        <w:rPr>
          <w:szCs w:val="22"/>
        </w:rPr>
        <w:t xml:space="preserve">  </w:t>
      </w:r>
    </w:p>
  </w:footnote>
  <w:footnote w:id="36">
    <w:p w:rsidR="00384E61" w:rsidRDefault="00384E61">
      <w:pPr>
        <w:pStyle w:val="FootnoteText"/>
      </w:pPr>
      <w:r>
        <w:rPr>
          <w:rStyle w:val="FootnoteReference"/>
        </w:rPr>
        <w:footnoteRef/>
      </w:r>
      <w:r>
        <w:t xml:space="preserve"> Request at </w:t>
      </w:r>
      <w:r w:rsidR="00FD0F0E">
        <w:t>3</w:t>
      </w:r>
      <w:r>
        <w:t>.</w:t>
      </w:r>
    </w:p>
  </w:footnote>
  <w:footnote w:id="37">
    <w:p w:rsidR="00BA7E21" w:rsidRDefault="00BA7E21">
      <w:pPr>
        <w:pStyle w:val="FootnoteText"/>
      </w:pPr>
      <w:r>
        <w:rPr>
          <w:rStyle w:val="FootnoteReference"/>
        </w:rPr>
        <w:footnoteRef/>
      </w:r>
      <w:r>
        <w:t xml:space="preserve"> </w:t>
      </w:r>
      <w:r w:rsidR="00534673" w:rsidRPr="00534673">
        <w:rPr>
          <w:i/>
        </w:rPr>
        <w:t>Austin</w:t>
      </w:r>
      <w:r w:rsidR="003B4183">
        <w:t xml:space="preserve">, 30 FCC Rcd at 3491, </w:t>
      </w:r>
      <w:r w:rsidR="00D87DC4">
        <w:t>para.</w:t>
      </w:r>
      <w:r w:rsidR="00534673">
        <w:t xml:space="preserve"> 11.</w:t>
      </w:r>
    </w:p>
  </w:footnote>
  <w:footnote w:id="38">
    <w:p w:rsidR="00534673" w:rsidRDefault="00534673" w:rsidP="00534673">
      <w:pPr>
        <w:pStyle w:val="FootnoteText"/>
      </w:pPr>
      <w:r>
        <w:rPr>
          <w:rStyle w:val="FootnoteReference"/>
        </w:rPr>
        <w:footnoteRef/>
      </w:r>
      <w:r>
        <w:t xml:space="preserve"> </w:t>
      </w:r>
      <w:r w:rsidR="00F60A9E">
        <w:rPr>
          <w:i/>
        </w:rPr>
        <w:t>Id.</w:t>
      </w:r>
      <w:r>
        <w:tab/>
      </w:r>
    </w:p>
  </w:footnote>
  <w:footnote w:id="39">
    <w:p w:rsidR="00534673" w:rsidRPr="0027708D" w:rsidRDefault="00534673">
      <w:pPr>
        <w:pStyle w:val="FootnoteText"/>
      </w:pPr>
      <w:r>
        <w:rPr>
          <w:rStyle w:val="FootnoteReference"/>
        </w:rPr>
        <w:footnoteRef/>
      </w:r>
      <w:r>
        <w:t xml:space="preserve"> </w:t>
      </w:r>
      <w:r w:rsidR="0027708D">
        <w:rPr>
          <w:i/>
        </w:rPr>
        <w:t>Id.</w:t>
      </w:r>
    </w:p>
  </w:footnote>
  <w:footnote w:id="40">
    <w:p w:rsidR="00C00CA6" w:rsidRDefault="00C00CA6">
      <w:pPr>
        <w:pStyle w:val="FootnoteText"/>
      </w:pPr>
      <w:r>
        <w:rPr>
          <w:rStyle w:val="FootnoteReference"/>
        </w:rPr>
        <w:footnoteRef/>
      </w:r>
      <w:r>
        <w:t xml:space="preserve"> </w:t>
      </w:r>
      <w:r w:rsidR="00F60A9E" w:rsidRPr="00ED2BAA">
        <w:rPr>
          <w:i/>
        </w:rPr>
        <w:t>Aircom Consultants, Inc.</w:t>
      </w:r>
      <w:r w:rsidR="00F60A9E">
        <w:t xml:space="preserve">, </w:t>
      </w:r>
      <w:r w:rsidR="00F60A9E" w:rsidRPr="00ED2BAA">
        <w:t>Order on Reconsideration</w:t>
      </w:r>
      <w:r w:rsidR="00F60A9E">
        <w:t>, 18 FCC Rcd 1806, 1809</w:t>
      </w:r>
      <w:r w:rsidR="00383C55">
        <w:t xml:space="preserve">, </w:t>
      </w:r>
      <w:r w:rsidR="00D87DC4">
        <w:t>para.</w:t>
      </w:r>
      <w:r w:rsidR="00383C55">
        <w:t xml:space="preserve"> 8</w:t>
      </w:r>
      <w:r w:rsidR="00F60A9E">
        <w:t xml:space="preserve"> (</w:t>
      </w:r>
      <w:r w:rsidR="00745075">
        <w:t xml:space="preserve">WTB </w:t>
      </w:r>
      <w:r w:rsidR="00F60A9E">
        <w:t xml:space="preserve">2003) </w:t>
      </w:r>
      <w:r w:rsidR="00761E67">
        <w:t xml:space="preserve">(emphasis added) </w:t>
      </w:r>
      <w:r w:rsidR="00D671F0">
        <w:t>(</w:t>
      </w:r>
      <w:r w:rsidR="00D671F0">
        <w:rPr>
          <w:i/>
        </w:rPr>
        <w:t>Aircom</w:t>
      </w:r>
      <w:r w:rsidR="00D671F0">
        <w:t xml:space="preserve">) </w:t>
      </w:r>
      <w:r w:rsidR="00F60A9E">
        <w:t>(rejecting AirCom’s arguments that it was not a speculative bidder seeking to “shop” its winning bid).</w:t>
      </w:r>
    </w:p>
  </w:footnote>
  <w:footnote w:id="41">
    <w:p w:rsidR="00FB1259" w:rsidRDefault="00FB1259">
      <w:pPr>
        <w:pStyle w:val="FootnoteText"/>
      </w:pPr>
      <w:r>
        <w:rPr>
          <w:rStyle w:val="FootnoteReference"/>
        </w:rPr>
        <w:footnoteRef/>
      </w:r>
      <w:r>
        <w:t xml:space="preserve"> The </w:t>
      </w:r>
      <w:bookmarkStart w:id="5" w:name="OLE_LINK10"/>
      <w:r>
        <w:rPr>
          <w:i/>
        </w:rPr>
        <w:t xml:space="preserve">Auction </w:t>
      </w:r>
      <w:r w:rsidR="00653A43">
        <w:rPr>
          <w:i/>
        </w:rPr>
        <w:t>98</w:t>
      </w:r>
      <w:r>
        <w:rPr>
          <w:i/>
        </w:rPr>
        <w:t xml:space="preserve"> Procedures Public Notice</w:t>
      </w:r>
      <w:bookmarkEnd w:id="5"/>
      <w:r>
        <w:t xml:space="preserve"> was released more than</w:t>
      </w:r>
      <w:r w:rsidR="00252739">
        <w:t xml:space="preserve"> four</w:t>
      </w:r>
      <w:r>
        <w:t xml:space="preserve"> months before the down payment deadline, and provided ample notice to prospective applicants of the down payment deadline. </w:t>
      </w:r>
    </w:p>
  </w:footnote>
  <w:footnote w:id="42">
    <w:p w:rsidR="00FB1259" w:rsidRDefault="00FB1259">
      <w:pPr>
        <w:pStyle w:val="FootnoteText"/>
      </w:pPr>
      <w:r>
        <w:rPr>
          <w:rStyle w:val="FootnoteReference"/>
        </w:rPr>
        <w:footnoteRef/>
      </w:r>
      <w:r w:rsidR="00322D6D">
        <w:rPr>
          <w:i/>
        </w:rPr>
        <w:t xml:space="preserve"> </w:t>
      </w:r>
      <w:r>
        <w:rPr>
          <w:i/>
        </w:rPr>
        <w:t xml:space="preserve">Auction </w:t>
      </w:r>
      <w:r w:rsidR="00653A43">
        <w:rPr>
          <w:i/>
        </w:rPr>
        <w:t>98</w:t>
      </w:r>
      <w:r>
        <w:t xml:space="preserve"> </w:t>
      </w:r>
      <w:r>
        <w:rPr>
          <w:i/>
        </w:rPr>
        <w:t>Procedures Public Notice</w:t>
      </w:r>
      <w:r w:rsidRPr="00715733">
        <w:t>,</w:t>
      </w:r>
      <w:r>
        <w:t xml:space="preserve"> </w:t>
      </w:r>
      <w:r w:rsidR="00653A43">
        <w:t xml:space="preserve">30 FCC Rcd at </w:t>
      </w:r>
      <w:r w:rsidR="00252739">
        <w:t xml:space="preserve">3570, </w:t>
      </w:r>
      <w:r w:rsidR="00D87DC4">
        <w:t>para.</w:t>
      </w:r>
      <w:r w:rsidR="00252739">
        <w:t xml:space="preserve"> 94</w:t>
      </w:r>
      <w:r>
        <w:t xml:space="preserve"> (advising potential Auction </w:t>
      </w:r>
      <w:r w:rsidR="00653A43">
        <w:t>98</w:t>
      </w:r>
      <w:r>
        <w:t xml:space="preserve"> participants with regard to upfront payments to discuss arrangements with their bankers “several days” before executing their wire transfers and to allow sufficient time for transfers to be initiated and completed before the deadline); </w:t>
      </w:r>
      <w:r>
        <w:rPr>
          <w:i/>
        </w:rPr>
        <w:t xml:space="preserve">Auction </w:t>
      </w:r>
      <w:r w:rsidR="00653A43">
        <w:rPr>
          <w:i/>
        </w:rPr>
        <w:t>98</w:t>
      </w:r>
      <w:r>
        <w:t xml:space="preserve"> </w:t>
      </w:r>
      <w:r>
        <w:rPr>
          <w:i/>
        </w:rPr>
        <w:t>Closing Public Notice</w:t>
      </w:r>
      <w:r w:rsidR="008F7C97" w:rsidRPr="008F7C97">
        <w:t>,</w:t>
      </w:r>
      <w:r>
        <w:t xml:space="preserve"> 21 FCC Rcd at 1073.         </w:t>
      </w:r>
    </w:p>
  </w:footnote>
  <w:footnote w:id="43">
    <w:p w:rsidR="00A74723" w:rsidRPr="00885BA4" w:rsidRDefault="00A74723" w:rsidP="00A74723">
      <w:pPr>
        <w:pStyle w:val="FootnoteText"/>
      </w:pPr>
      <w:r>
        <w:rPr>
          <w:rStyle w:val="FootnoteReference"/>
        </w:rPr>
        <w:footnoteRef/>
      </w:r>
      <w:r>
        <w:t xml:space="preserve"> </w:t>
      </w:r>
      <w:r>
        <w:rPr>
          <w:i/>
        </w:rPr>
        <w:t>Id.</w:t>
      </w:r>
      <w:r>
        <w:t xml:space="preserve"> at </w:t>
      </w:r>
      <w:r w:rsidR="00252739">
        <w:t xml:space="preserve">8315, </w:t>
      </w:r>
      <w:r w:rsidR="00D87DC4">
        <w:t>para.</w:t>
      </w:r>
      <w:r>
        <w:t xml:space="preserve"> 9</w:t>
      </w:r>
      <w:r w:rsidR="007818EB">
        <w:t xml:space="preserve">; </w:t>
      </w:r>
      <w:r w:rsidR="007818EB">
        <w:rPr>
          <w:i/>
        </w:rPr>
        <w:t xml:space="preserve">see </w:t>
      </w:r>
      <w:r w:rsidR="007818EB">
        <w:t>Connoisseur Opposition at 4</w:t>
      </w:r>
      <w:r>
        <w:t>.</w:t>
      </w:r>
    </w:p>
  </w:footnote>
  <w:footnote w:id="44">
    <w:p w:rsidR="006B06EB" w:rsidRDefault="006B06EB">
      <w:pPr>
        <w:pStyle w:val="FootnoteText"/>
      </w:pPr>
      <w:r>
        <w:rPr>
          <w:rStyle w:val="FootnoteReference"/>
        </w:rPr>
        <w:footnoteRef/>
      </w:r>
      <w:r>
        <w:t xml:space="preserve"> </w:t>
      </w:r>
      <w:r w:rsidRPr="00BD7742">
        <w:rPr>
          <w:i/>
        </w:rPr>
        <w:t>See</w:t>
      </w:r>
      <w:r>
        <w:t xml:space="preserve"> Request at </w:t>
      </w:r>
      <w:r w:rsidR="003B4183">
        <w:t>3</w:t>
      </w:r>
      <w:r>
        <w:t>.</w:t>
      </w:r>
    </w:p>
  </w:footnote>
  <w:footnote w:id="45">
    <w:p w:rsidR="007818EB" w:rsidRPr="007818EB" w:rsidRDefault="007818EB" w:rsidP="007818EB">
      <w:pPr>
        <w:pStyle w:val="FootnoteText"/>
      </w:pPr>
      <w:r>
        <w:rPr>
          <w:rStyle w:val="FootnoteReference"/>
        </w:rPr>
        <w:footnoteRef/>
      </w:r>
      <w:r>
        <w:t xml:space="preserve"> </w:t>
      </w:r>
      <w:r>
        <w:rPr>
          <w:i/>
        </w:rPr>
        <w:t>See</w:t>
      </w:r>
      <w:r>
        <w:t xml:space="preserve"> Connoisseur Opposition at 3 (observing that ERIE offered no details about its inability to meet the deadline “beyond the bank’s bare bones statement”).</w:t>
      </w:r>
    </w:p>
  </w:footnote>
  <w:footnote w:id="46">
    <w:p w:rsidR="00A21B4E" w:rsidRDefault="00A21B4E">
      <w:pPr>
        <w:pStyle w:val="FootnoteText"/>
      </w:pPr>
      <w:r>
        <w:rPr>
          <w:rStyle w:val="FootnoteReference"/>
        </w:rPr>
        <w:footnoteRef/>
      </w:r>
      <w:r>
        <w:t xml:space="preserve"> Request</w:t>
      </w:r>
      <w:r w:rsidR="00555EE1">
        <w:t xml:space="preserve"> at</w:t>
      </w:r>
      <w:r>
        <w:t xml:space="preserve"> Attach. C. </w:t>
      </w:r>
    </w:p>
  </w:footnote>
  <w:footnote w:id="47">
    <w:p w:rsidR="00BD7742" w:rsidRDefault="00BD7742">
      <w:pPr>
        <w:pStyle w:val="FootnoteText"/>
      </w:pPr>
      <w:r>
        <w:rPr>
          <w:rStyle w:val="FootnoteReference"/>
        </w:rPr>
        <w:footnoteRef/>
      </w:r>
      <w:r>
        <w:t xml:space="preserve"> </w:t>
      </w:r>
      <w:r w:rsidR="007818EB">
        <w:t>Request</w:t>
      </w:r>
      <w:r>
        <w:t xml:space="preserve"> at </w:t>
      </w:r>
      <w:r w:rsidR="003B4183">
        <w:t>1-2</w:t>
      </w:r>
      <w:r w:rsidR="00335A21">
        <w:t xml:space="preserve"> &amp;</w:t>
      </w:r>
      <w:r w:rsidR="00F16E77">
        <w:t xml:space="preserve"> Attach. C</w:t>
      </w:r>
      <w:r>
        <w:t>.</w:t>
      </w:r>
    </w:p>
  </w:footnote>
  <w:footnote w:id="48">
    <w:p w:rsidR="00A46101" w:rsidRPr="007E0649" w:rsidRDefault="00A46101">
      <w:pPr>
        <w:pStyle w:val="FootnoteText"/>
      </w:pPr>
      <w:r>
        <w:rPr>
          <w:rStyle w:val="FootnoteReference"/>
        </w:rPr>
        <w:footnoteRef/>
      </w:r>
      <w:r>
        <w:t xml:space="preserve"> </w:t>
      </w:r>
      <w:r w:rsidR="00BD7742">
        <w:rPr>
          <w:i/>
        </w:rPr>
        <w:t>Auction 98</w:t>
      </w:r>
      <w:r w:rsidR="00BD7742">
        <w:t xml:space="preserve"> </w:t>
      </w:r>
      <w:r w:rsidR="00BD7742">
        <w:rPr>
          <w:i/>
        </w:rPr>
        <w:t>Closing Public Notice</w:t>
      </w:r>
      <w:r w:rsidR="003B4183" w:rsidRPr="00715733">
        <w:t>,</w:t>
      </w:r>
      <w:r w:rsidR="003B4183">
        <w:rPr>
          <w:i/>
        </w:rPr>
        <w:t xml:space="preserve"> </w:t>
      </w:r>
      <w:r w:rsidR="003B4183">
        <w:t xml:space="preserve">30 FCC Rcd </w:t>
      </w:r>
      <w:r w:rsidR="00252739">
        <w:t xml:space="preserve">at 8315, </w:t>
      </w:r>
      <w:r w:rsidR="00D87DC4">
        <w:t>para.</w:t>
      </w:r>
      <w:r w:rsidR="00252739">
        <w:t xml:space="preserve"> 9</w:t>
      </w:r>
      <w:r w:rsidR="00BD7742">
        <w:rPr>
          <w:szCs w:val="22"/>
        </w:rPr>
        <w:t>.</w:t>
      </w:r>
      <w:r w:rsidR="007E0649">
        <w:rPr>
          <w:szCs w:val="22"/>
        </w:rPr>
        <w:t xml:space="preserve">  </w:t>
      </w:r>
      <w:r w:rsidR="003D6799">
        <w:rPr>
          <w:szCs w:val="22"/>
        </w:rPr>
        <w:t>We note that t</w:t>
      </w:r>
      <w:r w:rsidR="007E0649">
        <w:rPr>
          <w:szCs w:val="22"/>
        </w:rPr>
        <w:t xml:space="preserve">he Commission’s order in </w:t>
      </w:r>
      <w:r w:rsidR="007E0649">
        <w:rPr>
          <w:i/>
          <w:szCs w:val="22"/>
        </w:rPr>
        <w:t>Austin</w:t>
      </w:r>
      <w:r w:rsidR="009E226A">
        <w:rPr>
          <w:szCs w:val="22"/>
        </w:rPr>
        <w:t>, which addressed a late wire transfer,</w:t>
      </w:r>
      <w:r w:rsidR="007E0649">
        <w:rPr>
          <w:i/>
          <w:szCs w:val="22"/>
        </w:rPr>
        <w:t xml:space="preserve"> </w:t>
      </w:r>
      <w:r w:rsidR="007E0649">
        <w:rPr>
          <w:szCs w:val="22"/>
        </w:rPr>
        <w:t xml:space="preserve">was released </w:t>
      </w:r>
      <w:r w:rsidR="00E70F0C">
        <w:rPr>
          <w:szCs w:val="22"/>
        </w:rPr>
        <w:t>only</w:t>
      </w:r>
      <w:r w:rsidR="00E133AC">
        <w:rPr>
          <w:szCs w:val="22"/>
        </w:rPr>
        <w:t xml:space="preserve"> </w:t>
      </w:r>
      <w:r w:rsidR="007E0649">
        <w:rPr>
          <w:szCs w:val="22"/>
        </w:rPr>
        <w:t xml:space="preserve">four months prior to the </w:t>
      </w:r>
      <w:r w:rsidR="007E0649">
        <w:rPr>
          <w:i/>
        </w:rPr>
        <w:t>Auction 98</w:t>
      </w:r>
      <w:r w:rsidR="007E0649">
        <w:t xml:space="preserve"> </w:t>
      </w:r>
      <w:r w:rsidR="007E0649">
        <w:rPr>
          <w:i/>
        </w:rPr>
        <w:t>Closing Public Notice</w:t>
      </w:r>
      <w:r w:rsidR="007E0649">
        <w:t>.</w:t>
      </w:r>
      <w:r w:rsidR="007E0649">
        <w:rPr>
          <w:szCs w:val="22"/>
        </w:rPr>
        <w:t xml:space="preserve"> </w:t>
      </w:r>
    </w:p>
  </w:footnote>
  <w:footnote w:id="49">
    <w:p w:rsidR="00137DF2" w:rsidRDefault="00137DF2">
      <w:pPr>
        <w:pStyle w:val="FootnoteText"/>
      </w:pPr>
      <w:r>
        <w:rPr>
          <w:rStyle w:val="FootnoteReference"/>
        </w:rPr>
        <w:footnoteRef/>
      </w:r>
      <w:r>
        <w:t xml:space="preserve"> </w:t>
      </w:r>
      <w:r w:rsidR="00941F64" w:rsidRPr="00ED2BAA">
        <w:rPr>
          <w:i/>
        </w:rPr>
        <w:t>Ted W. Austin, Jr., Request for Waiver of Down Payment Deadline for Auction 62</w:t>
      </w:r>
      <w:r w:rsidR="00941F64">
        <w:t xml:space="preserve">, </w:t>
      </w:r>
      <w:r w:rsidR="00941F64" w:rsidRPr="00ED2BAA">
        <w:t>Memorandum Opinion and Order</w:t>
      </w:r>
      <w:r w:rsidR="00941F64">
        <w:t>, 25 FCC Rcd 1439, 1441, para. 5 (</w:t>
      </w:r>
      <w:r w:rsidR="00D83C60">
        <w:t>MB/WTB</w:t>
      </w:r>
      <w:r w:rsidR="00AC43F1">
        <w:t xml:space="preserve"> </w:t>
      </w:r>
      <w:r w:rsidR="00941F64">
        <w:t>2010) (</w:t>
      </w:r>
      <w:r w:rsidR="00941F64" w:rsidRPr="00515512">
        <w:rPr>
          <w:i/>
        </w:rPr>
        <w:t>Austin Staff Decision</w:t>
      </w:r>
      <w:r w:rsidR="00941F64">
        <w:t>)</w:t>
      </w:r>
      <w:r w:rsidR="003B4183">
        <w:t>.</w:t>
      </w:r>
    </w:p>
  </w:footnote>
  <w:footnote w:id="50">
    <w:p w:rsidR="00137DF2" w:rsidRDefault="00137DF2">
      <w:pPr>
        <w:pStyle w:val="FootnoteText"/>
      </w:pPr>
      <w:r>
        <w:rPr>
          <w:rStyle w:val="FootnoteReference"/>
        </w:rPr>
        <w:footnoteRef/>
      </w:r>
      <w:r>
        <w:t xml:space="preserve"> </w:t>
      </w:r>
      <w:r w:rsidR="00941F64">
        <w:rPr>
          <w:i/>
        </w:rPr>
        <w:t>Id</w:t>
      </w:r>
      <w:r w:rsidR="00745075">
        <w:t xml:space="preserve">.  </w:t>
      </w:r>
    </w:p>
  </w:footnote>
  <w:footnote w:id="51">
    <w:p w:rsidR="00DA564F" w:rsidRDefault="00DA564F">
      <w:pPr>
        <w:pStyle w:val="FootnoteText"/>
      </w:pPr>
      <w:r>
        <w:rPr>
          <w:rStyle w:val="FootnoteReference"/>
        </w:rPr>
        <w:footnoteRef/>
      </w:r>
      <w:r>
        <w:t xml:space="preserve"> </w:t>
      </w:r>
      <w:r w:rsidR="00BD7742" w:rsidRPr="00745075">
        <w:rPr>
          <w:i/>
        </w:rPr>
        <w:t>Austin</w:t>
      </w:r>
      <w:r w:rsidR="00BD7742">
        <w:t xml:space="preserve">, </w:t>
      </w:r>
      <w:r w:rsidR="003B4183">
        <w:t xml:space="preserve">30 FCC Rcd at 3490 </w:t>
      </w:r>
      <w:r w:rsidR="00BD7742">
        <w:t>n.39</w:t>
      </w:r>
      <w:r w:rsidR="00252739">
        <w:t xml:space="preserve">, </w:t>
      </w:r>
      <w:r w:rsidR="00D87DC4">
        <w:t>para.</w:t>
      </w:r>
      <w:r w:rsidR="00252739">
        <w:t xml:space="preserve"> 10</w:t>
      </w:r>
      <w:r w:rsidR="00BD7742">
        <w:t>.</w:t>
      </w:r>
    </w:p>
  </w:footnote>
  <w:footnote w:id="52">
    <w:p w:rsidR="00FB1259" w:rsidRDefault="00FB1259">
      <w:pPr>
        <w:pStyle w:val="FootnoteText"/>
      </w:pPr>
      <w:r>
        <w:rPr>
          <w:rStyle w:val="FootnoteReference"/>
        </w:rPr>
        <w:footnoteRef/>
      </w:r>
      <w:r>
        <w:t xml:space="preserve"> </w:t>
      </w:r>
      <w:r w:rsidR="00CB2102" w:rsidRPr="00CB2102">
        <w:rPr>
          <w:i/>
        </w:rPr>
        <w:t>Austin Staff Decision</w:t>
      </w:r>
      <w:r w:rsidR="008F27EB" w:rsidRPr="00715733">
        <w:t>,</w:t>
      </w:r>
      <w:r w:rsidR="008F27EB" w:rsidRPr="008F27EB">
        <w:t xml:space="preserve"> 25 FCC Rcd at 1445,</w:t>
      </w:r>
      <w:r w:rsidR="008F27EB">
        <w:rPr>
          <w:i/>
        </w:rPr>
        <w:t xml:space="preserve"> </w:t>
      </w:r>
      <w:r w:rsidR="00D87DC4" w:rsidRPr="009F4E06">
        <w:t>para</w:t>
      </w:r>
      <w:r w:rsidR="00D87DC4">
        <w:rPr>
          <w:i/>
        </w:rPr>
        <w:t>.</w:t>
      </w:r>
      <w:r w:rsidR="00CB2102">
        <w:t xml:space="preserve"> 14.  </w:t>
      </w:r>
      <w:r w:rsidR="007002A4">
        <w:t>ERIE</w:t>
      </w:r>
      <w:r>
        <w:t xml:space="preserve">’s assertions of benefits to the </w:t>
      </w:r>
      <w:r w:rsidR="003A39B6">
        <w:t>Westfield</w:t>
      </w:r>
      <w:r>
        <w:t xml:space="preserve">, </w:t>
      </w:r>
      <w:r w:rsidR="003A39B6">
        <w:t>New York</w:t>
      </w:r>
      <w:r>
        <w:t xml:space="preserve">, community are similar to the public interest arguments the Commission has consistently rejected in declining to grant other requests for waiver of its competitive bidding rules. </w:t>
      </w:r>
      <w:r>
        <w:rPr>
          <w:i/>
        </w:rPr>
        <w:t xml:space="preserve"> See, e.g.</w:t>
      </w:r>
      <w:r w:rsidR="008F7C97" w:rsidRPr="008F7C97">
        <w:t>,</w:t>
      </w:r>
      <w:r>
        <w:t xml:space="preserve"> </w:t>
      </w:r>
      <w:r w:rsidRPr="00874F8E">
        <w:rPr>
          <w:i/>
        </w:rPr>
        <w:t>Southern Communications Systems, Inc.</w:t>
      </w:r>
      <w:r>
        <w:t xml:space="preserve">, </w:t>
      </w:r>
      <w:r w:rsidRPr="00874F8E">
        <w:t>Second Memorandum Opinion and Order</w:t>
      </w:r>
      <w:r w:rsidRPr="00715733">
        <w:t>,</w:t>
      </w:r>
      <w:r>
        <w:t xml:space="preserve"> 16 FCC Rcd 18357, 18361</w:t>
      </w:r>
      <w:r w:rsidR="007C5342">
        <w:t>,</w:t>
      </w:r>
      <w:r>
        <w:t xml:space="preserve"> </w:t>
      </w:r>
      <w:r w:rsidR="00D87DC4">
        <w:t>para.</w:t>
      </w:r>
      <w:r>
        <w:t xml:space="preserve"> 9 (2001) (“[E]nforcing the Commission’s payment rules . . . serves the public interest better than relying on the wholly unsubstantiated possibility that [petitioner] might have provided service in its license area sooner than the successor licensees will.”); </w:t>
      </w:r>
      <w:r>
        <w:rPr>
          <w:i/>
        </w:rPr>
        <w:t>see also</w:t>
      </w:r>
      <w:r>
        <w:t xml:space="preserve"> </w:t>
      </w:r>
      <w:r w:rsidRPr="00874F8E">
        <w:rPr>
          <w:i/>
        </w:rPr>
        <w:t>Spectrum IVDS, L.L.C.</w:t>
      </w:r>
      <w:r w:rsidRPr="00715733">
        <w:t>,</w:t>
      </w:r>
      <w:r>
        <w:rPr>
          <w:i/>
        </w:rPr>
        <w:t xml:space="preserve"> </w:t>
      </w:r>
      <w:r w:rsidRPr="00874F8E">
        <w:t>Order</w:t>
      </w:r>
      <w:r w:rsidR="008F7C97" w:rsidRPr="008F7C97">
        <w:t>,</w:t>
      </w:r>
      <w:r>
        <w:t xml:space="preserve"> 23 FCC Rcd 8800, 8807</w:t>
      </w:r>
      <w:r w:rsidR="007C5342">
        <w:t>,</w:t>
      </w:r>
      <w:r>
        <w:t xml:space="preserve"> </w:t>
      </w:r>
      <w:r w:rsidR="00D87DC4">
        <w:t>para.</w:t>
      </w:r>
      <w:r>
        <w:t xml:space="preserve"> 19 (2008) (Commission noted that “[a]llowing winning bidders to retain licenses when they are unable to pay their winning bids prevents the auction process from assigning licenses to those parties best able to serve the public.”); </w:t>
      </w:r>
      <w:r w:rsidRPr="008F27EB">
        <w:rPr>
          <w:i/>
        </w:rPr>
        <w:t>Air</w:t>
      </w:r>
      <w:r w:rsidR="008F27EB">
        <w:rPr>
          <w:i/>
        </w:rPr>
        <w:t>c</w:t>
      </w:r>
      <w:r w:rsidRPr="008F27EB">
        <w:rPr>
          <w:i/>
        </w:rPr>
        <w:t>om</w:t>
      </w:r>
      <w:r w:rsidR="007002A4">
        <w:t>,</w:t>
      </w:r>
      <w:r>
        <w:t xml:space="preserve"> 18 FCC Rcd </w:t>
      </w:r>
      <w:r w:rsidR="007002A4">
        <w:t xml:space="preserve">at </w:t>
      </w:r>
      <w:r>
        <w:t>1810-11</w:t>
      </w:r>
      <w:r w:rsidR="00383C55">
        <w:t xml:space="preserve">, </w:t>
      </w:r>
      <w:r w:rsidR="00D87DC4">
        <w:t>paras.</w:t>
      </w:r>
      <w:r w:rsidR="00383C55">
        <w:t xml:space="preserve"> 12-13</w:t>
      </w:r>
      <w:r>
        <w:t xml:space="preserve"> (following Commission precedent in rejecting the petitioner’s argument that the down payment and default rules should be waived to provide communications services to underserved tribal lands and rural areas). </w:t>
      </w:r>
    </w:p>
  </w:footnote>
  <w:footnote w:id="53">
    <w:p w:rsidR="00FB1259" w:rsidRDefault="00FB1259">
      <w:pPr>
        <w:pStyle w:val="FootnoteText"/>
      </w:pPr>
      <w:r>
        <w:rPr>
          <w:rStyle w:val="FootnoteReference"/>
        </w:rPr>
        <w:footnoteRef/>
      </w:r>
      <w:r>
        <w:t xml:space="preserve"> 47 CFR §§ 1.2109(b), 1.2104(g)(2).  </w:t>
      </w:r>
    </w:p>
  </w:footnote>
  <w:footnote w:id="54">
    <w:p w:rsidR="00DE1204" w:rsidRPr="00DE1204" w:rsidRDefault="00DE1204">
      <w:pPr>
        <w:pStyle w:val="FootnoteText"/>
      </w:pPr>
      <w:r>
        <w:rPr>
          <w:rStyle w:val="FootnoteReference"/>
        </w:rPr>
        <w:footnoteRef/>
      </w:r>
      <w:r>
        <w:t xml:space="preserve"> </w:t>
      </w:r>
      <w:r>
        <w:rPr>
          <w:i/>
        </w:rPr>
        <w:t>Id.</w:t>
      </w:r>
    </w:p>
  </w:footnote>
  <w:footnote w:id="55">
    <w:p w:rsidR="00FB1259" w:rsidRDefault="00FB1259">
      <w:pPr>
        <w:pStyle w:val="FootnoteText"/>
      </w:pPr>
      <w:r>
        <w:rPr>
          <w:rStyle w:val="FootnoteReference"/>
        </w:rPr>
        <w:footnoteRef/>
      </w:r>
      <w:r>
        <w:t xml:space="preserve"> </w:t>
      </w:r>
      <w:r w:rsidR="00DE1204">
        <w:rPr>
          <w:i/>
        </w:rPr>
        <w:t>Auction 98</w:t>
      </w:r>
      <w:r w:rsidR="00DE1204">
        <w:t xml:space="preserve"> </w:t>
      </w:r>
      <w:r w:rsidR="00DE1204">
        <w:rPr>
          <w:i/>
        </w:rPr>
        <w:t>Closing Public Notice</w:t>
      </w:r>
      <w:r w:rsidR="00DE1204" w:rsidRPr="00715733">
        <w:t>,</w:t>
      </w:r>
      <w:r w:rsidR="00DE1204">
        <w:rPr>
          <w:i/>
        </w:rPr>
        <w:t xml:space="preserve"> </w:t>
      </w:r>
      <w:r w:rsidR="00DE1204">
        <w:t xml:space="preserve">30 FCC Rcd at 8316, </w:t>
      </w:r>
      <w:r w:rsidR="00D87DC4">
        <w:t>para.</w:t>
      </w:r>
      <w:r w:rsidR="00DE1204">
        <w:t xml:space="preserve"> 14.  </w:t>
      </w:r>
    </w:p>
  </w:footnote>
  <w:footnote w:id="56">
    <w:p w:rsidR="00FB1259" w:rsidRDefault="00FB1259">
      <w:pPr>
        <w:pStyle w:val="FootnoteText"/>
      </w:pPr>
      <w:r>
        <w:rPr>
          <w:rStyle w:val="FootnoteReference"/>
        </w:rPr>
        <w:footnoteRef/>
      </w:r>
      <w:r>
        <w:t xml:space="preserve"> 47 CFR §§</w:t>
      </w:r>
      <w:r w:rsidR="00D87DC4">
        <w:t xml:space="preserve"> </w:t>
      </w:r>
      <w:r>
        <w:t xml:space="preserve">1.2104(g) and 1.2109(b).  </w:t>
      </w:r>
    </w:p>
  </w:footnote>
  <w:footnote w:id="57">
    <w:p w:rsidR="00FB1259" w:rsidRDefault="00FB1259">
      <w:pPr>
        <w:pStyle w:val="FootnoteText"/>
      </w:pPr>
      <w:r>
        <w:rPr>
          <w:rStyle w:val="FootnoteReference"/>
        </w:rPr>
        <w:footnoteRef/>
      </w:r>
      <w:r>
        <w:t xml:space="preserve"> Consistent with Commission precedent, the disposition of the remaining amount of monies on deposit with the Commission related to this matter will be addressed in a subsequent letter to the payor of record, once a construction permit covering the same spectrum is re-auctioned and the final default payment can be calculated.  </w:t>
      </w:r>
      <w:r>
        <w:rPr>
          <w:i/>
        </w:rPr>
        <w:t xml:space="preserve">See </w:t>
      </w:r>
      <w:r w:rsidRPr="00ED2BAA">
        <w:rPr>
          <w:i/>
        </w:rPr>
        <w:t>AirCom Communication Consultants, Inc.</w:t>
      </w:r>
      <w:r>
        <w:t xml:space="preserve">, </w:t>
      </w:r>
      <w:r w:rsidRPr="00ED2BAA">
        <w:t>Order</w:t>
      </w:r>
      <w:r>
        <w:t xml:space="preserve">, 16 FCC </w:t>
      </w:r>
      <w:smartTag w:uri="urn:schemas-microsoft-com:office:smarttags" w:element="place">
        <w:smartTag w:uri="urn:schemas-microsoft-com:office:smarttags" w:element="City">
          <w:r>
            <w:t>Rcd</w:t>
          </w:r>
        </w:smartTag>
        <w:r>
          <w:t xml:space="preserve"> </w:t>
        </w:r>
        <w:smartTag w:uri="urn:schemas-microsoft-com:office:smarttags" w:element="PostalCode">
          <w:r>
            <w:t>17685</w:t>
          </w:r>
        </w:smartTag>
        <w:r>
          <w:t xml:space="preserve">, </w:t>
        </w:r>
        <w:smartTag w:uri="urn:schemas-microsoft-com:office:smarttags" w:element="PostalCode">
          <w:r>
            <w:t>17691</w:t>
          </w:r>
        </w:smartTag>
      </w:smartTag>
      <w:r>
        <w:t xml:space="preserve"> n.47 (WTB 2001), </w:t>
      </w:r>
      <w:r>
        <w:rPr>
          <w:i/>
        </w:rPr>
        <w:t>recon. denied</w:t>
      </w:r>
      <w:r>
        <w:t xml:space="preserve"> </w:t>
      </w:r>
      <w:r>
        <w:rPr>
          <w:i/>
        </w:rPr>
        <w:t>sub nom</w:t>
      </w:r>
      <w:r>
        <w:t xml:space="preserve">., </w:t>
      </w:r>
      <w:r w:rsidRPr="00ED2BAA">
        <w:rPr>
          <w:i/>
        </w:rPr>
        <w:t>AirCom Consultants, Inc.</w:t>
      </w:r>
      <w:r>
        <w:t xml:space="preserve">, </w:t>
      </w:r>
      <w:r w:rsidRPr="00ED2BAA">
        <w:t>Order on Reconsideration</w:t>
      </w:r>
      <w:r>
        <w:t xml:space="preserve">, 18 FCC Rcd 1806 (WTB 2003). </w:t>
      </w:r>
      <w:r w:rsidR="00D46E20">
        <w:t xml:space="preserve"> </w:t>
      </w:r>
      <w:r>
        <w:rPr>
          <w:i/>
        </w:rPr>
        <w:t xml:space="preserve">See also </w:t>
      </w:r>
      <w:r>
        <w:t xml:space="preserve">47 </w:t>
      </w:r>
      <w:r w:rsidR="00B84BA0">
        <w:t>CFR</w:t>
      </w:r>
      <w:r>
        <w:t xml:space="preserve"> § 1.2104(g)(2).</w:t>
      </w:r>
    </w:p>
  </w:footnote>
  <w:footnote w:id="58">
    <w:p w:rsidR="00FB1259" w:rsidRDefault="00FB1259">
      <w:pPr>
        <w:pStyle w:val="FootnoteText"/>
      </w:pPr>
      <w:r>
        <w:rPr>
          <w:rStyle w:val="FootnoteReference"/>
        </w:rPr>
        <w:footnoteRef/>
      </w:r>
      <w:r>
        <w:t xml:space="preserve"> </w:t>
      </w:r>
      <w:r>
        <w:rPr>
          <w:i/>
        </w:rPr>
        <w:t xml:space="preserve">See </w:t>
      </w:r>
      <w:r>
        <w:t xml:space="preserve">47 CFR § 1.2106(e).  </w:t>
      </w:r>
      <w:r>
        <w:rPr>
          <w:i/>
        </w:rPr>
        <w:t>See also TPS Order</w:t>
      </w:r>
      <w:r w:rsidRPr="00715733">
        <w:t>,</w:t>
      </w:r>
      <w:r>
        <w:t xml:space="preserve"> 18 FCC Rcd at 2516.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F6" w:rsidRDefault="002E4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59" w:rsidRDefault="00FB1259">
    <w:pPr>
      <w:pStyle w:val="Header"/>
    </w:pPr>
    <w:r>
      <w:tab/>
      <w:t>Federal Communications Commission</w:t>
    </w:r>
    <w:r>
      <w:tab/>
      <w:t>DA 1</w:t>
    </w:r>
    <w:r w:rsidR="00D2017C">
      <w:t>7</w:t>
    </w:r>
    <w:r>
      <w:t>-</w:t>
    </w:r>
    <w:r w:rsidR="00FD64FE">
      <w:t>447</w:t>
    </w:r>
  </w:p>
  <w:p w:rsidR="00FB1259" w:rsidRDefault="000C6CA8">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81CCC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FB1259" w:rsidRDefault="00FB1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59" w:rsidRDefault="00FB1259">
    <w:pPr>
      <w:pStyle w:val="Header"/>
    </w:pPr>
    <w:r>
      <w:tab/>
      <w:t xml:space="preserve">Federal Communications Commission   </w:t>
    </w:r>
    <w:r>
      <w:tab/>
      <w:t>DA 1</w:t>
    </w:r>
    <w:r w:rsidR="00C32ED9">
      <w:t>7</w:t>
    </w:r>
    <w:r>
      <w:t>-</w:t>
    </w:r>
    <w:r w:rsidR="00FD64FE">
      <w:t>447</w:t>
    </w:r>
  </w:p>
  <w:p w:rsidR="00FB1259" w:rsidRDefault="000C6CA8">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97D39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61182925"/>
    <w:multiLevelType w:val="singleLevel"/>
    <w:tmpl w:val="5BFAF236"/>
    <w:lvl w:ilvl="0">
      <w:start w:val="1"/>
      <w:numFmt w:val="decimal"/>
      <w:pStyle w:val="ParaNum"/>
      <w:lvlText w:val="%1."/>
      <w:lvlJc w:val="left"/>
      <w:pPr>
        <w:tabs>
          <w:tab w:val="num" w:pos="990"/>
        </w:tabs>
        <w:ind w:left="-9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6496261D"/>
    <w:multiLevelType w:val="singleLevel"/>
    <w:tmpl w:val="459AAAC2"/>
    <w:lvl w:ilvl="0">
      <w:start w:val="1"/>
      <w:numFmt w:val="decimal"/>
      <w:pStyle w:val="Bullet"/>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3"/>
  </w:num>
  <w:num w:numId="3">
    <w:abstractNumId w:val="2"/>
    <w:lvlOverride w:ilvl="0">
      <w:startOverride w:val="14"/>
    </w:lvlOverride>
  </w:num>
  <w:num w:numId="4">
    <w:abstractNumId w:val="4"/>
  </w:num>
  <w:num w:numId="5">
    <w:abstractNumId w:val="1"/>
  </w:num>
  <w:num w:numId="6">
    <w:abstractNumId w:val="4"/>
    <w:lvlOverride w:ilvl="0">
      <w:startOverride w:val="15"/>
    </w:lvlOverride>
  </w:num>
  <w:num w:numId="7">
    <w:abstractNumId w:val="4"/>
  </w:num>
  <w:num w:numId="8">
    <w:abstractNumId w:val="4"/>
  </w:num>
  <w:num w:numId="9">
    <w:abstractNumId w:val="4"/>
  </w:num>
  <w:num w:numId="10">
    <w:abstractNumId w:val="4"/>
  </w:num>
  <w:num w:numId="11">
    <w:abstractNumId w:val="4"/>
  </w:num>
  <w:num w:numId="12">
    <w:abstractNumId w:val="1"/>
  </w:num>
  <w:num w:numId="13">
    <w:abstractNumId w:val="1"/>
  </w:num>
  <w:num w:numId="14">
    <w:abstractNumId w:val="4"/>
  </w:num>
  <w:num w:numId="15">
    <w:abstractNumId w:val="4"/>
  </w:num>
  <w:num w:numId="16">
    <w:abstractNumId w:val="4"/>
  </w:num>
  <w:num w:numId="17">
    <w:abstractNumId w:val="4"/>
  </w:num>
  <w:num w:numId="18">
    <w:abstractNumId w:val="1"/>
  </w:num>
  <w:num w:numId="19">
    <w:abstractNumId w:val="4"/>
  </w:num>
  <w:num w:numId="20">
    <w:abstractNumId w:val="4"/>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8B"/>
    <w:rsid w:val="00013616"/>
    <w:rsid w:val="00014DF6"/>
    <w:rsid w:val="0001779B"/>
    <w:rsid w:val="00017FEF"/>
    <w:rsid w:val="00032B17"/>
    <w:rsid w:val="00034141"/>
    <w:rsid w:val="00052E48"/>
    <w:rsid w:val="0006073F"/>
    <w:rsid w:val="000715C2"/>
    <w:rsid w:val="00085D41"/>
    <w:rsid w:val="000B1C84"/>
    <w:rsid w:val="000B23A0"/>
    <w:rsid w:val="000C6CA8"/>
    <w:rsid w:val="000E4531"/>
    <w:rsid w:val="000F5052"/>
    <w:rsid w:val="0011055E"/>
    <w:rsid w:val="00126358"/>
    <w:rsid w:val="001277EA"/>
    <w:rsid w:val="00137DF2"/>
    <w:rsid w:val="00144C54"/>
    <w:rsid w:val="0015371D"/>
    <w:rsid w:val="00190CE3"/>
    <w:rsid w:val="00191F33"/>
    <w:rsid w:val="001A3EF4"/>
    <w:rsid w:val="001A5007"/>
    <w:rsid w:val="001C4CB8"/>
    <w:rsid w:val="001C5D4A"/>
    <w:rsid w:val="001D75BB"/>
    <w:rsid w:val="001D79B4"/>
    <w:rsid w:val="001D7B8B"/>
    <w:rsid w:val="001F7823"/>
    <w:rsid w:val="002174AF"/>
    <w:rsid w:val="00221E61"/>
    <w:rsid w:val="0023119D"/>
    <w:rsid w:val="00232E3A"/>
    <w:rsid w:val="00243687"/>
    <w:rsid w:val="00252739"/>
    <w:rsid w:val="00252961"/>
    <w:rsid w:val="002532DC"/>
    <w:rsid w:val="00254B47"/>
    <w:rsid w:val="0027708D"/>
    <w:rsid w:val="00281561"/>
    <w:rsid w:val="00297927"/>
    <w:rsid w:val="002A0734"/>
    <w:rsid w:val="002B308B"/>
    <w:rsid w:val="002B79E2"/>
    <w:rsid w:val="002C2FB8"/>
    <w:rsid w:val="002D0E1A"/>
    <w:rsid w:val="002E4EF6"/>
    <w:rsid w:val="002E70FB"/>
    <w:rsid w:val="002F1348"/>
    <w:rsid w:val="00300E4B"/>
    <w:rsid w:val="00307C51"/>
    <w:rsid w:val="00314286"/>
    <w:rsid w:val="003161D0"/>
    <w:rsid w:val="00317279"/>
    <w:rsid w:val="003204B9"/>
    <w:rsid w:val="00322D6D"/>
    <w:rsid w:val="00335A21"/>
    <w:rsid w:val="00343810"/>
    <w:rsid w:val="00351BAB"/>
    <w:rsid w:val="003554C4"/>
    <w:rsid w:val="00355BC0"/>
    <w:rsid w:val="00355BCA"/>
    <w:rsid w:val="003622F4"/>
    <w:rsid w:val="0037081A"/>
    <w:rsid w:val="00377FB3"/>
    <w:rsid w:val="00383C55"/>
    <w:rsid w:val="00384E61"/>
    <w:rsid w:val="00393741"/>
    <w:rsid w:val="003A39B6"/>
    <w:rsid w:val="003B1753"/>
    <w:rsid w:val="003B4183"/>
    <w:rsid w:val="003B4428"/>
    <w:rsid w:val="003B4E22"/>
    <w:rsid w:val="003B5AE4"/>
    <w:rsid w:val="003C7F61"/>
    <w:rsid w:val="003D0E15"/>
    <w:rsid w:val="003D6799"/>
    <w:rsid w:val="00410EF9"/>
    <w:rsid w:val="004130F5"/>
    <w:rsid w:val="00421DC5"/>
    <w:rsid w:val="0043358E"/>
    <w:rsid w:val="00437A5E"/>
    <w:rsid w:val="00444E8E"/>
    <w:rsid w:val="00446B91"/>
    <w:rsid w:val="00481FED"/>
    <w:rsid w:val="00491A87"/>
    <w:rsid w:val="00491B88"/>
    <w:rsid w:val="00492CE9"/>
    <w:rsid w:val="004A27E0"/>
    <w:rsid w:val="004A5DE3"/>
    <w:rsid w:val="004C5212"/>
    <w:rsid w:val="004C7E04"/>
    <w:rsid w:val="004D07B0"/>
    <w:rsid w:val="004F515E"/>
    <w:rsid w:val="004F543A"/>
    <w:rsid w:val="00501882"/>
    <w:rsid w:val="0050412E"/>
    <w:rsid w:val="00510762"/>
    <w:rsid w:val="00515512"/>
    <w:rsid w:val="00534673"/>
    <w:rsid w:val="005413C9"/>
    <w:rsid w:val="00545B58"/>
    <w:rsid w:val="0055416D"/>
    <w:rsid w:val="00555EE1"/>
    <w:rsid w:val="005610D1"/>
    <w:rsid w:val="00561561"/>
    <w:rsid w:val="0057271F"/>
    <w:rsid w:val="00575CAA"/>
    <w:rsid w:val="005824E8"/>
    <w:rsid w:val="0058513B"/>
    <w:rsid w:val="00587F0F"/>
    <w:rsid w:val="005946C2"/>
    <w:rsid w:val="00594DFF"/>
    <w:rsid w:val="005A1E4A"/>
    <w:rsid w:val="005B59AB"/>
    <w:rsid w:val="005C276B"/>
    <w:rsid w:val="005D6971"/>
    <w:rsid w:val="005E0C81"/>
    <w:rsid w:val="006013EC"/>
    <w:rsid w:val="00601C5F"/>
    <w:rsid w:val="00607C86"/>
    <w:rsid w:val="006101E1"/>
    <w:rsid w:val="00611680"/>
    <w:rsid w:val="00631684"/>
    <w:rsid w:val="006367FB"/>
    <w:rsid w:val="00643F61"/>
    <w:rsid w:val="006516C1"/>
    <w:rsid w:val="006518F6"/>
    <w:rsid w:val="00653A43"/>
    <w:rsid w:val="00654F78"/>
    <w:rsid w:val="0065752E"/>
    <w:rsid w:val="00662B2F"/>
    <w:rsid w:val="00667089"/>
    <w:rsid w:val="00675A5B"/>
    <w:rsid w:val="00677E9A"/>
    <w:rsid w:val="00682FAF"/>
    <w:rsid w:val="00684759"/>
    <w:rsid w:val="00691327"/>
    <w:rsid w:val="006B06EB"/>
    <w:rsid w:val="006B5274"/>
    <w:rsid w:val="006B52C8"/>
    <w:rsid w:val="006C12CB"/>
    <w:rsid w:val="006E2BBE"/>
    <w:rsid w:val="006E4BE0"/>
    <w:rsid w:val="007002A4"/>
    <w:rsid w:val="007055A5"/>
    <w:rsid w:val="00715733"/>
    <w:rsid w:val="00716565"/>
    <w:rsid w:val="00735A01"/>
    <w:rsid w:val="00737984"/>
    <w:rsid w:val="00745075"/>
    <w:rsid w:val="00761E67"/>
    <w:rsid w:val="00762B19"/>
    <w:rsid w:val="0076479B"/>
    <w:rsid w:val="00767AC4"/>
    <w:rsid w:val="0078063A"/>
    <w:rsid w:val="007818EB"/>
    <w:rsid w:val="00782715"/>
    <w:rsid w:val="00787E9E"/>
    <w:rsid w:val="00794588"/>
    <w:rsid w:val="007A09C8"/>
    <w:rsid w:val="007C1922"/>
    <w:rsid w:val="007C5342"/>
    <w:rsid w:val="007D0C3B"/>
    <w:rsid w:val="007D2CE3"/>
    <w:rsid w:val="007D7A5E"/>
    <w:rsid w:val="007E0649"/>
    <w:rsid w:val="007E4197"/>
    <w:rsid w:val="007F133C"/>
    <w:rsid w:val="007F6DC5"/>
    <w:rsid w:val="0081539D"/>
    <w:rsid w:val="00824557"/>
    <w:rsid w:val="0082710B"/>
    <w:rsid w:val="00841832"/>
    <w:rsid w:val="00843B94"/>
    <w:rsid w:val="008442FC"/>
    <w:rsid w:val="0084634D"/>
    <w:rsid w:val="00847BDF"/>
    <w:rsid w:val="00860C79"/>
    <w:rsid w:val="00863DAF"/>
    <w:rsid w:val="008640FC"/>
    <w:rsid w:val="00865C77"/>
    <w:rsid w:val="008670CA"/>
    <w:rsid w:val="00874F8E"/>
    <w:rsid w:val="00885BA4"/>
    <w:rsid w:val="008939D9"/>
    <w:rsid w:val="008A00B3"/>
    <w:rsid w:val="008B3996"/>
    <w:rsid w:val="008C0B5B"/>
    <w:rsid w:val="008F27EB"/>
    <w:rsid w:val="008F7C97"/>
    <w:rsid w:val="009009AA"/>
    <w:rsid w:val="00904029"/>
    <w:rsid w:val="00905A3B"/>
    <w:rsid w:val="009163C8"/>
    <w:rsid w:val="00920441"/>
    <w:rsid w:val="00921F96"/>
    <w:rsid w:val="00923A3C"/>
    <w:rsid w:val="00923C36"/>
    <w:rsid w:val="00927404"/>
    <w:rsid w:val="0093397F"/>
    <w:rsid w:val="00934726"/>
    <w:rsid w:val="00934B24"/>
    <w:rsid w:val="0093702D"/>
    <w:rsid w:val="0094081A"/>
    <w:rsid w:val="00941F64"/>
    <w:rsid w:val="00966863"/>
    <w:rsid w:val="00982B9A"/>
    <w:rsid w:val="009A330B"/>
    <w:rsid w:val="009A4C1F"/>
    <w:rsid w:val="009A5256"/>
    <w:rsid w:val="009A7BC8"/>
    <w:rsid w:val="009B247C"/>
    <w:rsid w:val="009B35A4"/>
    <w:rsid w:val="009C4709"/>
    <w:rsid w:val="009C61F4"/>
    <w:rsid w:val="009C6363"/>
    <w:rsid w:val="009D5952"/>
    <w:rsid w:val="009E017C"/>
    <w:rsid w:val="009E226A"/>
    <w:rsid w:val="009F4E06"/>
    <w:rsid w:val="009F7F5D"/>
    <w:rsid w:val="00A12244"/>
    <w:rsid w:val="00A145C8"/>
    <w:rsid w:val="00A2018E"/>
    <w:rsid w:val="00A21B4E"/>
    <w:rsid w:val="00A46101"/>
    <w:rsid w:val="00A53382"/>
    <w:rsid w:val="00A55761"/>
    <w:rsid w:val="00A624E7"/>
    <w:rsid w:val="00A6357E"/>
    <w:rsid w:val="00A64BAA"/>
    <w:rsid w:val="00A65D3D"/>
    <w:rsid w:val="00A728D8"/>
    <w:rsid w:val="00A74723"/>
    <w:rsid w:val="00A925CB"/>
    <w:rsid w:val="00A95174"/>
    <w:rsid w:val="00AA0528"/>
    <w:rsid w:val="00AA3A18"/>
    <w:rsid w:val="00AB15E0"/>
    <w:rsid w:val="00AB17E6"/>
    <w:rsid w:val="00AB356B"/>
    <w:rsid w:val="00AC43F1"/>
    <w:rsid w:val="00AC5C07"/>
    <w:rsid w:val="00AD16AB"/>
    <w:rsid w:val="00B05586"/>
    <w:rsid w:val="00B11B02"/>
    <w:rsid w:val="00B15B33"/>
    <w:rsid w:val="00B16424"/>
    <w:rsid w:val="00B24962"/>
    <w:rsid w:val="00B35200"/>
    <w:rsid w:val="00B50EDF"/>
    <w:rsid w:val="00B60040"/>
    <w:rsid w:val="00B65EC7"/>
    <w:rsid w:val="00B67F03"/>
    <w:rsid w:val="00B712E4"/>
    <w:rsid w:val="00B726A2"/>
    <w:rsid w:val="00B74695"/>
    <w:rsid w:val="00B812C3"/>
    <w:rsid w:val="00B84BA0"/>
    <w:rsid w:val="00B85BC0"/>
    <w:rsid w:val="00B95C45"/>
    <w:rsid w:val="00BA3DB0"/>
    <w:rsid w:val="00BA7E21"/>
    <w:rsid w:val="00BB17CB"/>
    <w:rsid w:val="00BC0E35"/>
    <w:rsid w:val="00BD7742"/>
    <w:rsid w:val="00BF44CD"/>
    <w:rsid w:val="00C00CA6"/>
    <w:rsid w:val="00C03B5F"/>
    <w:rsid w:val="00C05766"/>
    <w:rsid w:val="00C23544"/>
    <w:rsid w:val="00C2798C"/>
    <w:rsid w:val="00C32ED9"/>
    <w:rsid w:val="00C35086"/>
    <w:rsid w:val="00C43500"/>
    <w:rsid w:val="00C4397C"/>
    <w:rsid w:val="00C45FDA"/>
    <w:rsid w:val="00C55347"/>
    <w:rsid w:val="00C61DBB"/>
    <w:rsid w:val="00C67AA3"/>
    <w:rsid w:val="00C958A1"/>
    <w:rsid w:val="00C96217"/>
    <w:rsid w:val="00CB2102"/>
    <w:rsid w:val="00CB4BC0"/>
    <w:rsid w:val="00CB6732"/>
    <w:rsid w:val="00CC146C"/>
    <w:rsid w:val="00CC63E9"/>
    <w:rsid w:val="00CD3F01"/>
    <w:rsid w:val="00CD6B53"/>
    <w:rsid w:val="00CD7B1E"/>
    <w:rsid w:val="00CE2912"/>
    <w:rsid w:val="00CE6CBE"/>
    <w:rsid w:val="00CF44CF"/>
    <w:rsid w:val="00CF5287"/>
    <w:rsid w:val="00CF6F05"/>
    <w:rsid w:val="00D00646"/>
    <w:rsid w:val="00D03816"/>
    <w:rsid w:val="00D05C28"/>
    <w:rsid w:val="00D11055"/>
    <w:rsid w:val="00D1366D"/>
    <w:rsid w:val="00D2017C"/>
    <w:rsid w:val="00D302AE"/>
    <w:rsid w:val="00D3455A"/>
    <w:rsid w:val="00D36349"/>
    <w:rsid w:val="00D46E20"/>
    <w:rsid w:val="00D50158"/>
    <w:rsid w:val="00D57953"/>
    <w:rsid w:val="00D57B57"/>
    <w:rsid w:val="00D66BE1"/>
    <w:rsid w:val="00D671F0"/>
    <w:rsid w:val="00D71B50"/>
    <w:rsid w:val="00D7766E"/>
    <w:rsid w:val="00D83C60"/>
    <w:rsid w:val="00D8427D"/>
    <w:rsid w:val="00D85798"/>
    <w:rsid w:val="00D8763A"/>
    <w:rsid w:val="00D87DC4"/>
    <w:rsid w:val="00D90262"/>
    <w:rsid w:val="00D912FB"/>
    <w:rsid w:val="00D92039"/>
    <w:rsid w:val="00D974B5"/>
    <w:rsid w:val="00DA009B"/>
    <w:rsid w:val="00DA564F"/>
    <w:rsid w:val="00DA69DB"/>
    <w:rsid w:val="00DA7EEC"/>
    <w:rsid w:val="00DB21D9"/>
    <w:rsid w:val="00DB23D9"/>
    <w:rsid w:val="00DB7636"/>
    <w:rsid w:val="00DC0940"/>
    <w:rsid w:val="00DD2FAF"/>
    <w:rsid w:val="00DD74F2"/>
    <w:rsid w:val="00DE1204"/>
    <w:rsid w:val="00DE4A4C"/>
    <w:rsid w:val="00DF5658"/>
    <w:rsid w:val="00E040A8"/>
    <w:rsid w:val="00E133AC"/>
    <w:rsid w:val="00E20C33"/>
    <w:rsid w:val="00E32907"/>
    <w:rsid w:val="00E42238"/>
    <w:rsid w:val="00E528F1"/>
    <w:rsid w:val="00E54B85"/>
    <w:rsid w:val="00E70F0C"/>
    <w:rsid w:val="00E724DE"/>
    <w:rsid w:val="00E735B6"/>
    <w:rsid w:val="00E75E8E"/>
    <w:rsid w:val="00E81218"/>
    <w:rsid w:val="00E82E8F"/>
    <w:rsid w:val="00E8352B"/>
    <w:rsid w:val="00E859E3"/>
    <w:rsid w:val="00E927BF"/>
    <w:rsid w:val="00E9329B"/>
    <w:rsid w:val="00EB4B66"/>
    <w:rsid w:val="00EC2A40"/>
    <w:rsid w:val="00ED2BAA"/>
    <w:rsid w:val="00EE1D7F"/>
    <w:rsid w:val="00EE2972"/>
    <w:rsid w:val="00EE554C"/>
    <w:rsid w:val="00EF1C1C"/>
    <w:rsid w:val="00EF5B98"/>
    <w:rsid w:val="00F0268B"/>
    <w:rsid w:val="00F0628D"/>
    <w:rsid w:val="00F141F6"/>
    <w:rsid w:val="00F16E58"/>
    <w:rsid w:val="00F16E77"/>
    <w:rsid w:val="00F22120"/>
    <w:rsid w:val="00F26BB6"/>
    <w:rsid w:val="00F30E7F"/>
    <w:rsid w:val="00F60A9E"/>
    <w:rsid w:val="00F67D1D"/>
    <w:rsid w:val="00F71A7B"/>
    <w:rsid w:val="00F75EF3"/>
    <w:rsid w:val="00F76B92"/>
    <w:rsid w:val="00F77866"/>
    <w:rsid w:val="00F87B19"/>
    <w:rsid w:val="00F95ECB"/>
    <w:rsid w:val="00FB1259"/>
    <w:rsid w:val="00FD0F0E"/>
    <w:rsid w:val="00FD64FE"/>
    <w:rsid w:val="00FE3BC6"/>
    <w:rsid w:val="00FE4316"/>
    <w:rsid w:val="00FE7273"/>
    <w:rsid w:val="00FF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5"/>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5"/>
      </w:numPr>
      <w:spacing w:after="120"/>
      <w:outlineLvl w:val="1"/>
    </w:pPr>
    <w:rPr>
      <w:b/>
    </w:rPr>
  </w:style>
  <w:style w:type="paragraph" w:styleId="Heading3">
    <w:name w:val="heading 3"/>
    <w:basedOn w:val="Normal"/>
    <w:next w:val="ParaNum"/>
    <w:qFormat/>
    <w:pPr>
      <w:keepNext/>
      <w:numPr>
        <w:ilvl w:val="2"/>
        <w:numId w:val="5"/>
      </w:numPr>
      <w:tabs>
        <w:tab w:val="left" w:pos="2160"/>
      </w:tabs>
      <w:spacing w:after="120"/>
      <w:outlineLvl w:val="2"/>
    </w:pPr>
    <w:rPr>
      <w:b/>
    </w:rPr>
  </w:style>
  <w:style w:type="paragraph" w:styleId="Heading4">
    <w:name w:val="heading 4"/>
    <w:basedOn w:val="Normal"/>
    <w:next w:val="ParaNum"/>
    <w:qFormat/>
    <w:pPr>
      <w:keepNext/>
      <w:numPr>
        <w:ilvl w:val="3"/>
        <w:numId w:val="5"/>
      </w:numPr>
      <w:tabs>
        <w:tab w:val="left" w:pos="2880"/>
      </w:tabs>
      <w:spacing w:after="120"/>
      <w:outlineLvl w:val="3"/>
    </w:pPr>
    <w:rPr>
      <w:b/>
    </w:rPr>
  </w:style>
  <w:style w:type="paragraph" w:styleId="Heading5">
    <w:name w:val="heading 5"/>
    <w:basedOn w:val="Normal"/>
    <w:next w:val="ParaNum"/>
    <w:qFormat/>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pPr>
      <w:numPr>
        <w:ilvl w:val="5"/>
        <w:numId w:val="5"/>
      </w:numPr>
      <w:tabs>
        <w:tab w:val="left" w:pos="4320"/>
      </w:tabs>
      <w:spacing w:after="120"/>
      <w:outlineLvl w:val="5"/>
    </w:pPr>
    <w:rPr>
      <w:b/>
    </w:rPr>
  </w:style>
  <w:style w:type="paragraph" w:styleId="Heading7">
    <w:name w:val="heading 7"/>
    <w:basedOn w:val="Normal"/>
    <w:next w:val="ParaNum"/>
    <w:qFormat/>
    <w:pPr>
      <w:numPr>
        <w:ilvl w:val="6"/>
        <w:numId w:val="5"/>
      </w:numPr>
      <w:tabs>
        <w:tab w:val="left" w:pos="5040"/>
      </w:tabs>
      <w:spacing w:after="120"/>
      <w:ind w:left="5040" w:hanging="720"/>
      <w:outlineLvl w:val="6"/>
    </w:pPr>
    <w:rPr>
      <w:b/>
    </w:rPr>
  </w:style>
  <w:style w:type="paragraph" w:styleId="Heading8">
    <w:name w:val="heading 8"/>
    <w:basedOn w:val="Normal"/>
    <w:next w:val="ParaNum"/>
    <w:qFormat/>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4"/>
      </w:numPr>
      <w:spacing w:after="120"/>
    </w:pPr>
  </w:style>
  <w:style w:type="paragraph" w:styleId="FootnoteText">
    <w:name w:val="footnote text"/>
    <w:aliases w:val="Footnote Text Char,Footnote Text Char1 Char,Footnote Text Char Char Char,Footnote Text Char1 Char Char Char,Footnote Text Char Char Char Char Char,Footnote Text Char1 Char Char Char Char Char,ft Char Char,Footnote Text Char3 Char Char Char"/>
    <w:link w:val="FootnoteTextChar1"/>
    <w:semiHidden/>
    <w:pPr>
      <w:spacing w:after="120"/>
    </w:pPr>
  </w:style>
  <w:style w:type="paragraph" w:customStyle="1" w:styleId="Bullet">
    <w:name w:val="Bullet"/>
    <w:basedOn w:val="Normal"/>
    <w:pPr>
      <w:numPr>
        <w:numId w:val="1"/>
      </w:numPr>
      <w:tabs>
        <w:tab w:val="left" w:pos="2160"/>
      </w:tabs>
      <w:spacing w:after="220"/>
      <w:ind w:left="2160" w:hanging="720"/>
    </w:pPr>
  </w:style>
  <w:style w:type="paragraph" w:styleId="BlockText">
    <w:name w:val="Block Text"/>
    <w:basedOn w:val="Normal"/>
    <w:pPr>
      <w:spacing w:after="240"/>
      <w:ind w:left="1440" w:right="1440"/>
    </w:pPr>
  </w:style>
  <w:style w:type="paragraph" w:customStyle="1" w:styleId="TableFormat">
    <w:name w:val="TableFormat"/>
    <w:basedOn w:val="Bullet"/>
    <w:pPr>
      <w:numPr>
        <w:numId w:val="0"/>
      </w:numPr>
      <w:tabs>
        <w:tab w:val="clear" w:pos="2160"/>
        <w:tab w:val="left" w:pos="5040"/>
      </w:tabs>
      <w:ind w:left="5040" w:hanging="3600"/>
    </w:pPr>
  </w:style>
  <w:style w:type="character" w:styleId="FootnoteReference">
    <w:name w:val="footnote reference"/>
    <w:aliases w:val="Appel note de bas de p"/>
    <w:rPr>
      <w:rFonts w:ascii="Times New Roman" w:hAnsi="Times New Roman"/>
      <w:dstrike w:val="0"/>
      <w:sz w:val="22"/>
      <w:vertAlign w:val="superscript"/>
    </w:rPr>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
      </w:numPr>
      <w:tabs>
        <w:tab w:val="clear" w:pos="1080"/>
      </w:tabs>
      <w:spacing w:after="220"/>
      <w:ind w:firstLine="0"/>
    </w:p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StyleLinespacingDouble">
    <w:name w:val="Style Line spacing:  Double"/>
    <w:basedOn w:val="Normal"/>
    <w:next w:val="Signature"/>
    <w:pPr>
      <w:spacing w:line="480" w:lineRule="auto"/>
    </w:pPr>
  </w:style>
  <w:style w:type="paragraph" w:customStyle="1" w:styleId="Style1">
    <w:name w:val="Style1"/>
    <w:basedOn w:val="Normal"/>
    <w:rPr>
      <w:szCs w:val="22"/>
    </w:rPr>
  </w:style>
  <w:style w:type="paragraph" w:styleId="Signature">
    <w:name w:val="Signature"/>
    <w:basedOn w:val="Normal"/>
    <w:pPr>
      <w:ind w:left="4320"/>
    </w:pPr>
  </w:style>
  <w:style w:type="paragraph" w:customStyle="1" w:styleId="Style2">
    <w:name w:val="Style2"/>
    <w:basedOn w:val="Normal"/>
    <w:rPr>
      <w:szCs w:val="22"/>
    </w:rPr>
  </w:style>
  <w:style w:type="paragraph" w:styleId="BalloonText">
    <w:name w:val="Balloon Text"/>
    <w:basedOn w:val="Normal"/>
    <w:semiHidden/>
    <w:rPr>
      <w:rFonts w:ascii="Tahoma" w:hAnsi="Tahoma" w:cs="Tahoma"/>
      <w:sz w:val="16"/>
      <w:szCs w:val="16"/>
    </w:rPr>
  </w:style>
  <w:style w:type="paragraph" w:styleId="List2">
    <w:name w:val="List 2"/>
    <w:basedOn w:val="Normal"/>
    <w:pPr>
      <w:ind w:left="720" w:hanging="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character" w:customStyle="1" w:styleId="ParaNumChar">
    <w:name w:val="ParaNum Char"/>
    <w:link w:val="ParaNum"/>
    <w:rPr>
      <w:snapToGrid w:val="0"/>
      <w:kern w:val="28"/>
      <w:sz w:val="22"/>
      <w:lang w:val="en-US" w:eastAsia="en-US" w:bidi="ar-S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customStyle="1" w:styleId="Jay">
    <w:name w:val="Jay"/>
    <w:basedOn w:val="ParaNum"/>
    <w:link w:val="JayChar"/>
  </w:style>
  <w:style w:type="character" w:customStyle="1" w:styleId="JayChar">
    <w:name w:val="Jay Char"/>
    <w:basedOn w:val="ParaNumChar"/>
    <w:link w:val="Jay"/>
    <w:rPr>
      <w:snapToGrid w:val="0"/>
      <w:kern w:val="28"/>
      <w:sz w:val="22"/>
      <w:lang w:val="en-US" w:eastAsia="en-US" w:bidi="ar-SA"/>
    </w:rPr>
  </w:style>
  <w:style w:type="paragraph" w:customStyle="1" w:styleId="Jay1">
    <w:name w:val="Jay1"/>
    <w:basedOn w:val="ParaNum"/>
    <w:link w:val="Jay1Char"/>
  </w:style>
  <w:style w:type="character" w:customStyle="1" w:styleId="Jay1Char">
    <w:name w:val="Jay1 Char"/>
    <w:basedOn w:val="ParaNumChar"/>
    <w:link w:val="Jay1"/>
    <w:rPr>
      <w:snapToGrid w:val="0"/>
      <w:kern w:val="28"/>
      <w:sz w:val="22"/>
      <w:lang w:val="en-US" w:eastAsia="en-US" w:bidi="ar-SA"/>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1 Char Char Char Char Char Char"/>
    <w:link w:val="FootnoteText"/>
    <w:semiHidden/>
    <w:rPr>
      <w:lang w:val="en-US" w:eastAsia="en-US" w:bidi="ar-SA"/>
    </w:rPr>
  </w:style>
  <w:style w:type="character" w:styleId="CommentReference">
    <w:name w:val="annotation reference"/>
    <w:rsid w:val="002A0734"/>
    <w:rPr>
      <w:sz w:val="16"/>
      <w:szCs w:val="16"/>
    </w:rPr>
  </w:style>
  <w:style w:type="paragraph" w:styleId="CommentText">
    <w:name w:val="annotation text"/>
    <w:basedOn w:val="Normal"/>
    <w:link w:val="CommentTextChar"/>
    <w:rsid w:val="002A0734"/>
    <w:rPr>
      <w:sz w:val="20"/>
    </w:rPr>
  </w:style>
  <w:style w:type="character" w:customStyle="1" w:styleId="CommentTextChar">
    <w:name w:val="Comment Text Char"/>
    <w:link w:val="CommentText"/>
    <w:rsid w:val="002A0734"/>
    <w:rPr>
      <w:snapToGrid w:val="0"/>
      <w:kern w:val="28"/>
    </w:rPr>
  </w:style>
  <w:style w:type="paragraph" w:styleId="CommentSubject">
    <w:name w:val="annotation subject"/>
    <w:basedOn w:val="CommentText"/>
    <w:next w:val="CommentText"/>
    <w:link w:val="CommentSubjectChar"/>
    <w:rsid w:val="002A0734"/>
    <w:rPr>
      <w:b/>
      <w:bCs/>
    </w:rPr>
  </w:style>
  <w:style w:type="character" w:customStyle="1" w:styleId="CommentSubjectChar">
    <w:name w:val="Comment Subject Char"/>
    <w:link w:val="CommentSubject"/>
    <w:rsid w:val="002A0734"/>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5"/>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5"/>
      </w:numPr>
      <w:spacing w:after="120"/>
      <w:outlineLvl w:val="1"/>
    </w:pPr>
    <w:rPr>
      <w:b/>
    </w:rPr>
  </w:style>
  <w:style w:type="paragraph" w:styleId="Heading3">
    <w:name w:val="heading 3"/>
    <w:basedOn w:val="Normal"/>
    <w:next w:val="ParaNum"/>
    <w:qFormat/>
    <w:pPr>
      <w:keepNext/>
      <w:numPr>
        <w:ilvl w:val="2"/>
        <w:numId w:val="5"/>
      </w:numPr>
      <w:tabs>
        <w:tab w:val="left" w:pos="2160"/>
      </w:tabs>
      <w:spacing w:after="120"/>
      <w:outlineLvl w:val="2"/>
    </w:pPr>
    <w:rPr>
      <w:b/>
    </w:rPr>
  </w:style>
  <w:style w:type="paragraph" w:styleId="Heading4">
    <w:name w:val="heading 4"/>
    <w:basedOn w:val="Normal"/>
    <w:next w:val="ParaNum"/>
    <w:qFormat/>
    <w:pPr>
      <w:keepNext/>
      <w:numPr>
        <w:ilvl w:val="3"/>
        <w:numId w:val="5"/>
      </w:numPr>
      <w:tabs>
        <w:tab w:val="left" w:pos="2880"/>
      </w:tabs>
      <w:spacing w:after="120"/>
      <w:outlineLvl w:val="3"/>
    </w:pPr>
    <w:rPr>
      <w:b/>
    </w:rPr>
  </w:style>
  <w:style w:type="paragraph" w:styleId="Heading5">
    <w:name w:val="heading 5"/>
    <w:basedOn w:val="Normal"/>
    <w:next w:val="ParaNum"/>
    <w:qFormat/>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pPr>
      <w:numPr>
        <w:ilvl w:val="5"/>
        <w:numId w:val="5"/>
      </w:numPr>
      <w:tabs>
        <w:tab w:val="left" w:pos="4320"/>
      </w:tabs>
      <w:spacing w:after="120"/>
      <w:outlineLvl w:val="5"/>
    </w:pPr>
    <w:rPr>
      <w:b/>
    </w:rPr>
  </w:style>
  <w:style w:type="paragraph" w:styleId="Heading7">
    <w:name w:val="heading 7"/>
    <w:basedOn w:val="Normal"/>
    <w:next w:val="ParaNum"/>
    <w:qFormat/>
    <w:pPr>
      <w:numPr>
        <w:ilvl w:val="6"/>
        <w:numId w:val="5"/>
      </w:numPr>
      <w:tabs>
        <w:tab w:val="left" w:pos="5040"/>
      </w:tabs>
      <w:spacing w:after="120"/>
      <w:ind w:left="5040" w:hanging="720"/>
      <w:outlineLvl w:val="6"/>
    </w:pPr>
    <w:rPr>
      <w:b/>
    </w:rPr>
  </w:style>
  <w:style w:type="paragraph" w:styleId="Heading8">
    <w:name w:val="heading 8"/>
    <w:basedOn w:val="Normal"/>
    <w:next w:val="ParaNum"/>
    <w:qFormat/>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4"/>
      </w:numPr>
      <w:spacing w:after="120"/>
    </w:pPr>
  </w:style>
  <w:style w:type="paragraph" w:styleId="FootnoteText">
    <w:name w:val="footnote text"/>
    <w:aliases w:val="Footnote Text Char,Footnote Text Char1 Char,Footnote Text Char Char Char,Footnote Text Char1 Char Char Char,Footnote Text Char Char Char Char Char,Footnote Text Char1 Char Char Char Char Char,ft Char Char,Footnote Text Char3 Char Char Char"/>
    <w:link w:val="FootnoteTextChar1"/>
    <w:semiHidden/>
    <w:pPr>
      <w:spacing w:after="120"/>
    </w:pPr>
  </w:style>
  <w:style w:type="paragraph" w:customStyle="1" w:styleId="Bullet">
    <w:name w:val="Bullet"/>
    <w:basedOn w:val="Normal"/>
    <w:pPr>
      <w:numPr>
        <w:numId w:val="1"/>
      </w:numPr>
      <w:tabs>
        <w:tab w:val="left" w:pos="2160"/>
      </w:tabs>
      <w:spacing w:after="220"/>
      <w:ind w:left="2160" w:hanging="720"/>
    </w:pPr>
  </w:style>
  <w:style w:type="paragraph" w:styleId="BlockText">
    <w:name w:val="Block Text"/>
    <w:basedOn w:val="Normal"/>
    <w:pPr>
      <w:spacing w:after="240"/>
      <w:ind w:left="1440" w:right="1440"/>
    </w:pPr>
  </w:style>
  <w:style w:type="paragraph" w:customStyle="1" w:styleId="TableFormat">
    <w:name w:val="TableFormat"/>
    <w:basedOn w:val="Bullet"/>
    <w:pPr>
      <w:numPr>
        <w:numId w:val="0"/>
      </w:numPr>
      <w:tabs>
        <w:tab w:val="clear" w:pos="2160"/>
        <w:tab w:val="left" w:pos="5040"/>
      </w:tabs>
      <w:ind w:left="5040" w:hanging="3600"/>
    </w:pPr>
  </w:style>
  <w:style w:type="character" w:styleId="FootnoteReference">
    <w:name w:val="footnote reference"/>
    <w:aliases w:val="Appel note de bas de p"/>
    <w:rPr>
      <w:rFonts w:ascii="Times New Roman" w:hAnsi="Times New Roman"/>
      <w:dstrike w:val="0"/>
      <w:sz w:val="22"/>
      <w:vertAlign w:val="superscript"/>
    </w:rPr>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
      </w:numPr>
      <w:tabs>
        <w:tab w:val="clear" w:pos="1080"/>
      </w:tabs>
      <w:spacing w:after="220"/>
      <w:ind w:firstLine="0"/>
    </w:p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StyleLinespacingDouble">
    <w:name w:val="Style Line spacing:  Double"/>
    <w:basedOn w:val="Normal"/>
    <w:next w:val="Signature"/>
    <w:pPr>
      <w:spacing w:line="480" w:lineRule="auto"/>
    </w:pPr>
  </w:style>
  <w:style w:type="paragraph" w:customStyle="1" w:styleId="Style1">
    <w:name w:val="Style1"/>
    <w:basedOn w:val="Normal"/>
    <w:rPr>
      <w:szCs w:val="22"/>
    </w:rPr>
  </w:style>
  <w:style w:type="paragraph" w:styleId="Signature">
    <w:name w:val="Signature"/>
    <w:basedOn w:val="Normal"/>
    <w:pPr>
      <w:ind w:left="4320"/>
    </w:pPr>
  </w:style>
  <w:style w:type="paragraph" w:customStyle="1" w:styleId="Style2">
    <w:name w:val="Style2"/>
    <w:basedOn w:val="Normal"/>
    <w:rPr>
      <w:szCs w:val="22"/>
    </w:rPr>
  </w:style>
  <w:style w:type="paragraph" w:styleId="BalloonText">
    <w:name w:val="Balloon Text"/>
    <w:basedOn w:val="Normal"/>
    <w:semiHidden/>
    <w:rPr>
      <w:rFonts w:ascii="Tahoma" w:hAnsi="Tahoma" w:cs="Tahoma"/>
      <w:sz w:val="16"/>
      <w:szCs w:val="16"/>
    </w:rPr>
  </w:style>
  <w:style w:type="paragraph" w:styleId="List2">
    <w:name w:val="List 2"/>
    <w:basedOn w:val="Normal"/>
    <w:pPr>
      <w:ind w:left="720" w:hanging="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character" w:customStyle="1" w:styleId="ParaNumChar">
    <w:name w:val="ParaNum Char"/>
    <w:link w:val="ParaNum"/>
    <w:rPr>
      <w:snapToGrid w:val="0"/>
      <w:kern w:val="28"/>
      <w:sz w:val="22"/>
      <w:lang w:val="en-US" w:eastAsia="en-US" w:bidi="ar-S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customStyle="1" w:styleId="Jay">
    <w:name w:val="Jay"/>
    <w:basedOn w:val="ParaNum"/>
    <w:link w:val="JayChar"/>
  </w:style>
  <w:style w:type="character" w:customStyle="1" w:styleId="JayChar">
    <w:name w:val="Jay Char"/>
    <w:basedOn w:val="ParaNumChar"/>
    <w:link w:val="Jay"/>
    <w:rPr>
      <w:snapToGrid w:val="0"/>
      <w:kern w:val="28"/>
      <w:sz w:val="22"/>
      <w:lang w:val="en-US" w:eastAsia="en-US" w:bidi="ar-SA"/>
    </w:rPr>
  </w:style>
  <w:style w:type="paragraph" w:customStyle="1" w:styleId="Jay1">
    <w:name w:val="Jay1"/>
    <w:basedOn w:val="ParaNum"/>
    <w:link w:val="Jay1Char"/>
  </w:style>
  <w:style w:type="character" w:customStyle="1" w:styleId="Jay1Char">
    <w:name w:val="Jay1 Char"/>
    <w:basedOn w:val="ParaNumChar"/>
    <w:link w:val="Jay1"/>
    <w:rPr>
      <w:snapToGrid w:val="0"/>
      <w:kern w:val="28"/>
      <w:sz w:val="22"/>
      <w:lang w:val="en-US" w:eastAsia="en-US" w:bidi="ar-SA"/>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1 Char Char Char Char Char Char"/>
    <w:link w:val="FootnoteText"/>
    <w:semiHidden/>
    <w:rPr>
      <w:lang w:val="en-US" w:eastAsia="en-US" w:bidi="ar-SA"/>
    </w:rPr>
  </w:style>
  <w:style w:type="character" w:styleId="CommentReference">
    <w:name w:val="annotation reference"/>
    <w:rsid w:val="002A0734"/>
    <w:rPr>
      <w:sz w:val="16"/>
      <w:szCs w:val="16"/>
    </w:rPr>
  </w:style>
  <w:style w:type="paragraph" w:styleId="CommentText">
    <w:name w:val="annotation text"/>
    <w:basedOn w:val="Normal"/>
    <w:link w:val="CommentTextChar"/>
    <w:rsid w:val="002A0734"/>
    <w:rPr>
      <w:sz w:val="20"/>
    </w:rPr>
  </w:style>
  <w:style w:type="character" w:customStyle="1" w:styleId="CommentTextChar">
    <w:name w:val="Comment Text Char"/>
    <w:link w:val="CommentText"/>
    <w:rsid w:val="002A0734"/>
    <w:rPr>
      <w:snapToGrid w:val="0"/>
      <w:kern w:val="28"/>
    </w:rPr>
  </w:style>
  <w:style w:type="paragraph" w:styleId="CommentSubject">
    <w:name w:val="annotation subject"/>
    <w:basedOn w:val="CommentText"/>
    <w:next w:val="CommentText"/>
    <w:link w:val="CommentSubjectChar"/>
    <w:rsid w:val="002A0734"/>
    <w:rPr>
      <w:b/>
      <w:bCs/>
    </w:rPr>
  </w:style>
  <w:style w:type="character" w:customStyle="1" w:styleId="CommentSubjectChar">
    <w:name w:val="Comment Subject Char"/>
    <w:link w:val="CommentSubject"/>
    <w:rsid w:val="002A073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Nacpil\Desktop\Work\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3185</Words>
  <Characters>16984</Characters>
  <Application>Microsoft Office Word</Application>
  <DocSecurity>0</DocSecurity>
  <Lines>260</Lines>
  <Paragraphs>57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20235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2010-02-18T15:46:00Z</cp:lastPrinted>
  <dcterms:created xsi:type="dcterms:W3CDTF">2017-05-12T19:59:00Z</dcterms:created>
  <dcterms:modified xsi:type="dcterms:W3CDTF">2017-05-12T19:59:00Z</dcterms:modified>
  <cp:category> </cp:category>
  <cp:contentStatus> </cp:contentStatus>
</cp:coreProperties>
</file>