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E36F" w14:textId="77777777" w:rsidR="0034754E" w:rsidRPr="000B5742" w:rsidRDefault="0034754E" w:rsidP="0034754E">
      <w:pPr>
        <w:jc w:val="right"/>
        <w:rPr>
          <w:b/>
          <w:szCs w:val="22"/>
          <w:highlight w:val="yellow"/>
        </w:rPr>
      </w:pPr>
      <w:bookmarkStart w:id="0" w:name="_GoBack"/>
      <w:bookmarkEnd w:id="0"/>
    </w:p>
    <w:p w14:paraId="436DE5D3" w14:textId="66DD2EA4" w:rsidR="0034754E" w:rsidRPr="009301B2" w:rsidRDefault="0034754E" w:rsidP="0034754E">
      <w:pPr>
        <w:jc w:val="right"/>
        <w:rPr>
          <w:b/>
          <w:szCs w:val="22"/>
        </w:rPr>
      </w:pPr>
      <w:r w:rsidRPr="009301B2">
        <w:rPr>
          <w:b/>
          <w:szCs w:val="22"/>
        </w:rPr>
        <w:t>DA 17-</w:t>
      </w:r>
      <w:r w:rsidR="0070662B">
        <w:rPr>
          <w:b/>
          <w:szCs w:val="22"/>
        </w:rPr>
        <w:t>392</w:t>
      </w:r>
    </w:p>
    <w:p w14:paraId="6A16BAF3" w14:textId="72D2AB20" w:rsidR="0034754E" w:rsidRPr="000B5742" w:rsidRDefault="0034754E" w:rsidP="0034754E">
      <w:pPr>
        <w:spacing w:before="60"/>
        <w:jc w:val="right"/>
        <w:rPr>
          <w:b/>
          <w:szCs w:val="22"/>
        </w:rPr>
      </w:pPr>
      <w:r w:rsidRPr="009301B2">
        <w:rPr>
          <w:b/>
          <w:szCs w:val="22"/>
        </w:rPr>
        <w:t xml:space="preserve">Released:  </w:t>
      </w:r>
      <w:r w:rsidR="004857AF">
        <w:rPr>
          <w:b/>
          <w:szCs w:val="22"/>
        </w:rPr>
        <w:t>April</w:t>
      </w:r>
      <w:r w:rsidRPr="009301B2">
        <w:rPr>
          <w:b/>
          <w:szCs w:val="22"/>
        </w:rPr>
        <w:t xml:space="preserve"> </w:t>
      </w:r>
      <w:r w:rsidR="0070662B">
        <w:rPr>
          <w:b/>
          <w:szCs w:val="22"/>
        </w:rPr>
        <w:t>25</w:t>
      </w:r>
      <w:r w:rsidRPr="009301B2">
        <w:rPr>
          <w:b/>
          <w:szCs w:val="22"/>
        </w:rPr>
        <w:t>, 2017</w:t>
      </w:r>
    </w:p>
    <w:p w14:paraId="050EDA51" w14:textId="77777777" w:rsidR="0034754E" w:rsidRPr="000B5742" w:rsidRDefault="0034754E" w:rsidP="0034754E">
      <w:pPr>
        <w:jc w:val="right"/>
        <w:rPr>
          <w:szCs w:val="22"/>
        </w:rPr>
      </w:pPr>
    </w:p>
    <w:p w14:paraId="25DA0754" w14:textId="77777777" w:rsidR="0034754E" w:rsidRPr="000B5742" w:rsidRDefault="0034754E" w:rsidP="0034754E">
      <w:pPr>
        <w:jc w:val="center"/>
        <w:rPr>
          <w:b/>
          <w:caps/>
          <w:szCs w:val="22"/>
        </w:rPr>
      </w:pPr>
      <w:r w:rsidRPr="000B5742">
        <w:rPr>
          <w:b/>
          <w:caps/>
          <w:szCs w:val="22"/>
        </w:rPr>
        <w:t xml:space="preserve">FCC ANNOUNCES </w:t>
      </w:r>
      <w:r w:rsidR="004857AF">
        <w:rPr>
          <w:b/>
          <w:caps/>
          <w:szCs w:val="22"/>
        </w:rPr>
        <w:t xml:space="preserve">APPLICANTS </w:t>
      </w:r>
      <w:r w:rsidRPr="000B5742">
        <w:rPr>
          <w:b/>
          <w:caps/>
          <w:szCs w:val="22"/>
        </w:rPr>
        <w:t>FOR CERTIFICATION TO PARTICIPATE IN THE</w:t>
      </w:r>
    </w:p>
    <w:p w14:paraId="3857FA4E" w14:textId="77777777" w:rsidR="0034754E" w:rsidRPr="000B5742" w:rsidRDefault="0034754E" w:rsidP="0034754E">
      <w:pPr>
        <w:jc w:val="center"/>
        <w:rPr>
          <w:b/>
          <w:caps/>
          <w:szCs w:val="22"/>
        </w:rPr>
      </w:pPr>
      <w:r w:rsidRPr="000B5742">
        <w:rPr>
          <w:b/>
          <w:caps/>
          <w:szCs w:val="22"/>
        </w:rPr>
        <w:t>NATIONAL DEAF-BLIND EQUIPMENT DISTRIBUTION PROGRAM</w:t>
      </w:r>
    </w:p>
    <w:p w14:paraId="222A658B" w14:textId="77777777" w:rsidR="0034754E" w:rsidRPr="000B5742" w:rsidRDefault="0034754E" w:rsidP="0034754E">
      <w:pPr>
        <w:jc w:val="center"/>
        <w:rPr>
          <w:b/>
          <w:caps/>
          <w:szCs w:val="22"/>
        </w:rPr>
      </w:pPr>
    </w:p>
    <w:p w14:paraId="4F864BDA" w14:textId="77777777" w:rsidR="0034754E" w:rsidRPr="000B5742" w:rsidRDefault="0034754E" w:rsidP="0034754E">
      <w:pPr>
        <w:spacing w:after="240"/>
        <w:jc w:val="center"/>
        <w:rPr>
          <w:b/>
          <w:szCs w:val="22"/>
        </w:rPr>
      </w:pPr>
      <w:r w:rsidRPr="000B5742">
        <w:rPr>
          <w:b/>
          <w:szCs w:val="22"/>
        </w:rPr>
        <w:t>CG Docket No. 10-210</w:t>
      </w:r>
    </w:p>
    <w:p w14:paraId="4E5DC07E" w14:textId="77777777" w:rsidR="00B93F1F" w:rsidRDefault="00A104C2" w:rsidP="00D75E5D">
      <w:pPr>
        <w:widowControl/>
        <w:tabs>
          <w:tab w:val="left" w:pos="720"/>
          <w:tab w:val="left" w:pos="9990"/>
        </w:tabs>
        <w:autoSpaceDE w:val="0"/>
        <w:autoSpaceDN w:val="0"/>
        <w:adjustRightInd w:val="0"/>
        <w:spacing w:after="120"/>
        <w:rPr>
          <w:szCs w:val="22"/>
        </w:rPr>
      </w:pPr>
      <w:r>
        <w:rPr>
          <w:szCs w:val="22"/>
        </w:rPr>
        <w:tab/>
      </w:r>
      <w:r w:rsidR="0034754E" w:rsidRPr="000B5742">
        <w:rPr>
          <w:szCs w:val="22"/>
        </w:rPr>
        <w:t xml:space="preserve">On August 4, 2016, the </w:t>
      </w:r>
      <w:r w:rsidR="00BE4E79">
        <w:rPr>
          <w:szCs w:val="22"/>
        </w:rPr>
        <w:t xml:space="preserve">Federal Communications </w:t>
      </w:r>
      <w:r w:rsidR="00CE1598">
        <w:rPr>
          <w:szCs w:val="22"/>
        </w:rPr>
        <w:t xml:space="preserve">Commission </w:t>
      </w:r>
      <w:r w:rsidR="00BE4E79">
        <w:rPr>
          <w:szCs w:val="22"/>
        </w:rPr>
        <w:t xml:space="preserve">(FCC or Commission) </w:t>
      </w:r>
      <w:r w:rsidR="0034754E" w:rsidRPr="000B5742">
        <w:rPr>
          <w:szCs w:val="22"/>
        </w:rPr>
        <w:t>adopted rules to convert the</w:t>
      </w:r>
      <w:r w:rsidR="003079F7" w:rsidRPr="003079F7">
        <w:rPr>
          <w:szCs w:val="22"/>
        </w:rPr>
        <w:t xml:space="preserve"> </w:t>
      </w:r>
      <w:r w:rsidR="003079F7" w:rsidRPr="000B5742">
        <w:rPr>
          <w:szCs w:val="22"/>
        </w:rPr>
        <w:t xml:space="preserve">National Deaf-Blind Equipment Distribution Program </w:t>
      </w:r>
      <w:r w:rsidR="003079F7">
        <w:rPr>
          <w:szCs w:val="22"/>
        </w:rPr>
        <w:t>(N</w:t>
      </w:r>
      <w:r>
        <w:rPr>
          <w:szCs w:val="22"/>
        </w:rPr>
        <w:t>DBEDP</w:t>
      </w:r>
      <w:r w:rsidR="003079F7">
        <w:rPr>
          <w:szCs w:val="22"/>
        </w:rPr>
        <w:t>)</w:t>
      </w:r>
      <w:r>
        <w:rPr>
          <w:szCs w:val="22"/>
        </w:rPr>
        <w:t xml:space="preserve">, </w:t>
      </w:r>
      <w:r w:rsidR="004857AF" w:rsidRPr="000B5742">
        <w:rPr>
          <w:szCs w:val="22"/>
        </w:rPr>
        <w:t xml:space="preserve">also known as “iCanConnect,” </w:t>
      </w:r>
      <w:r w:rsidR="0034754E" w:rsidRPr="000B5742">
        <w:rPr>
          <w:szCs w:val="22"/>
        </w:rPr>
        <w:t>from a pilot program to a permanent program</w:t>
      </w:r>
      <w:r w:rsidR="003605CE">
        <w:rPr>
          <w:szCs w:val="22"/>
        </w:rPr>
        <w:t xml:space="preserve"> as of July 1, 2017</w:t>
      </w:r>
      <w:r w:rsidR="0034754E" w:rsidRPr="000B5742">
        <w:rPr>
          <w:szCs w:val="22"/>
        </w:rPr>
        <w:t>.</w:t>
      </w:r>
      <w:r w:rsidR="0034754E" w:rsidRPr="000B5742">
        <w:rPr>
          <w:rStyle w:val="FootnoteReference"/>
          <w:sz w:val="22"/>
          <w:szCs w:val="22"/>
        </w:rPr>
        <w:footnoteReference w:id="2"/>
      </w:r>
      <w:r w:rsidR="0034754E" w:rsidRPr="000B5742">
        <w:rPr>
          <w:szCs w:val="22"/>
        </w:rPr>
        <w:t xml:space="preserve">  </w:t>
      </w:r>
      <w:r w:rsidR="003605CE">
        <w:rPr>
          <w:szCs w:val="22"/>
        </w:rPr>
        <w:t>Pursuant to these rules, t</w:t>
      </w:r>
      <w:r w:rsidR="0034754E">
        <w:rPr>
          <w:szCs w:val="22"/>
        </w:rPr>
        <w:t xml:space="preserve">he Commission’s </w:t>
      </w:r>
      <w:r w:rsidR="0034754E" w:rsidRPr="000B5742">
        <w:rPr>
          <w:szCs w:val="22"/>
        </w:rPr>
        <w:t>Consumer and Governmental Affairs Bureau (CGB)</w:t>
      </w:r>
      <w:r w:rsidR="0034754E">
        <w:rPr>
          <w:szCs w:val="22"/>
        </w:rPr>
        <w:t>,</w:t>
      </w:r>
      <w:r w:rsidR="0034754E" w:rsidRPr="000B5742">
        <w:rPr>
          <w:szCs w:val="22"/>
        </w:rPr>
        <w:t xml:space="preserve"> </w:t>
      </w:r>
      <w:r w:rsidR="003079F7">
        <w:rPr>
          <w:szCs w:val="22"/>
        </w:rPr>
        <w:t>must</w:t>
      </w:r>
      <w:r w:rsidR="0034754E">
        <w:rPr>
          <w:szCs w:val="22"/>
        </w:rPr>
        <w:t xml:space="preserve"> </w:t>
      </w:r>
      <w:r w:rsidR="0034754E" w:rsidRPr="000B5742">
        <w:rPr>
          <w:szCs w:val="22"/>
        </w:rPr>
        <w:t xml:space="preserve">certify a single </w:t>
      </w:r>
      <w:r w:rsidR="0034754E">
        <w:rPr>
          <w:szCs w:val="22"/>
        </w:rPr>
        <w:t xml:space="preserve">entity for </w:t>
      </w:r>
      <w:r w:rsidR="0034754E" w:rsidRPr="000B5742">
        <w:rPr>
          <w:szCs w:val="22"/>
        </w:rPr>
        <w:t>each state, the District of Columbia, Puerto Rico, American Samoa, Guam, the Northern Mariana Islands, and the U.S. Virgin Islands,</w:t>
      </w:r>
      <w:r w:rsidR="0034754E">
        <w:rPr>
          <w:szCs w:val="22"/>
        </w:rPr>
        <w:t xml:space="preserve"> </w:t>
      </w:r>
      <w:r w:rsidR="0034754E" w:rsidRPr="000B5742">
        <w:rPr>
          <w:szCs w:val="22"/>
        </w:rPr>
        <w:t xml:space="preserve">as the sole entity </w:t>
      </w:r>
      <w:r w:rsidR="0034754E">
        <w:rPr>
          <w:szCs w:val="22"/>
        </w:rPr>
        <w:t xml:space="preserve">for that jurisdiction to </w:t>
      </w:r>
      <w:r w:rsidR="003605CE">
        <w:rPr>
          <w:szCs w:val="22"/>
        </w:rPr>
        <w:t xml:space="preserve">administer the </w:t>
      </w:r>
      <w:r w:rsidR="0034754E" w:rsidRPr="000B5742">
        <w:rPr>
          <w:szCs w:val="22"/>
        </w:rPr>
        <w:t xml:space="preserve">NDBEDP </w:t>
      </w:r>
      <w:r w:rsidR="003605CE">
        <w:rPr>
          <w:szCs w:val="22"/>
        </w:rPr>
        <w:t xml:space="preserve">and receive </w:t>
      </w:r>
      <w:r w:rsidR="002446A4" w:rsidRPr="000B5742">
        <w:rPr>
          <w:szCs w:val="22"/>
        </w:rPr>
        <w:t xml:space="preserve">reimbursement for NDBEDP activities </w:t>
      </w:r>
      <w:r w:rsidR="0034754E" w:rsidRPr="000B5742">
        <w:rPr>
          <w:szCs w:val="22"/>
        </w:rPr>
        <w:t>from the TRS Fund.</w:t>
      </w:r>
      <w:r w:rsidR="0034754E" w:rsidRPr="000B5742">
        <w:rPr>
          <w:rStyle w:val="FootnoteReference"/>
          <w:sz w:val="22"/>
          <w:szCs w:val="22"/>
        </w:rPr>
        <w:footnoteReference w:id="3"/>
      </w:r>
      <w:r w:rsidR="0034754E" w:rsidRPr="000B5742">
        <w:rPr>
          <w:szCs w:val="22"/>
        </w:rPr>
        <w:t xml:space="preserve">  </w:t>
      </w:r>
      <w:r w:rsidR="004857AF">
        <w:rPr>
          <w:szCs w:val="22"/>
        </w:rPr>
        <w:t xml:space="preserve">On February 7, 2017, CGB announced </w:t>
      </w:r>
      <w:r w:rsidR="00A34ADA">
        <w:rPr>
          <w:szCs w:val="22"/>
        </w:rPr>
        <w:t xml:space="preserve">that </w:t>
      </w:r>
      <w:r w:rsidR="004857AF">
        <w:rPr>
          <w:szCs w:val="22"/>
        </w:rPr>
        <w:t xml:space="preserve">it would </w:t>
      </w:r>
      <w:r w:rsidR="0034754E" w:rsidRPr="000B5742">
        <w:rPr>
          <w:szCs w:val="22"/>
        </w:rPr>
        <w:t xml:space="preserve">accept </w:t>
      </w:r>
      <w:r w:rsidR="003605CE">
        <w:rPr>
          <w:szCs w:val="22"/>
        </w:rPr>
        <w:t xml:space="preserve">certification </w:t>
      </w:r>
      <w:r w:rsidR="0034754E" w:rsidRPr="000B5742">
        <w:rPr>
          <w:szCs w:val="22"/>
        </w:rPr>
        <w:t xml:space="preserve">applications </w:t>
      </w:r>
      <w:r w:rsidR="003079F7">
        <w:rPr>
          <w:szCs w:val="22"/>
        </w:rPr>
        <w:t xml:space="preserve">from interested parties </w:t>
      </w:r>
      <w:r w:rsidR="00A34ADA">
        <w:rPr>
          <w:szCs w:val="22"/>
        </w:rPr>
        <w:t xml:space="preserve">for a </w:t>
      </w:r>
      <w:r w:rsidR="00A34ADA" w:rsidRPr="000B5742">
        <w:rPr>
          <w:szCs w:val="22"/>
        </w:rPr>
        <w:t>60</w:t>
      </w:r>
      <w:r w:rsidR="00A34ADA">
        <w:rPr>
          <w:szCs w:val="22"/>
        </w:rPr>
        <w:t>-</w:t>
      </w:r>
      <w:r w:rsidR="00A34ADA" w:rsidRPr="000B5742">
        <w:rPr>
          <w:szCs w:val="22"/>
        </w:rPr>
        <w:t>day</w:t>
      </w:r>
      <w:r w:rsidR="00A34ADA">
        <w:rPr>
          <w:szCs w:val="22"/>
        </w:rPr>
        <w:t xml:space="preserve"> period</w:t>
      </w:r>
      <w:r w:rsidR="00A34ADA" w:rsidRPr="000B5742">
        <w:rPr>
          <w:szCs w:val="22"/>
        </w:rPr>
        <w:t xml:space="preserve">, ending </w:t>
      </w:r>
      <w:r w:rsidR="003605CE">
        <w:rPr>
          <w:szCs w:val="22"/>
        </w:rPr>
        <w:t xml:space="preserve">on </w:t>
      </w:r>
      <w:r w:rsidR="00A34ADA">
        <w:rPr>
          <w:szCs w:val="22"/>
        </w:rPr>
        <w:t>April 7, 2017</w:t>
      </w:r>
      <w:r w:rsidR="0034754E" w:rsidRPr="000B5742">
        <w:rPr>
          <w:szCs w:val="22"/>
        </w:rPr>
        <w:t>.</w:t>
      </w:r>
      <w:r w:rsidR="00A34ADA">
        <w:rPr>
          <w:rStyle w:val="FootnoteReference"/>
          <w:szCs w:val="22"/>
        </w:rPr>
        <w:footnoteReference w:id="4"/>
      </w:r>
      <w:r w:rsidR="0034754E" w:rsidRPr="000B5742">
        <w:rPr>
          <w:szCs w:val="22"/>
        </w:rPr>
        <w:t xml:space="preserve">  </w:t>
      </w:r>
      <w:r w:rsidR="003079F7">
        <w:rPr>
          <w:szCs w:val="22"/>
        </w:rPr>
        <w:tab/>
      </w:r>
    </w:p>
    <w:p w14:paraId="4A5E59D3" w14:textId="2A30830E" w:rsidR="0034754E" w:rsidRPr="000B5742" w:rsidRDefault="00B93F1F" w:rsidP="00D75E5D">
      <w:pPr>
        <w:widowControl/>
        <w:tabs>
          <w:tab w:val="left" w:pos="720"/>
          <w:tab w:val="left" w:pos="9990"/>
        </w:tabs>
        <w:autoSpaceDE w:val="0"/>
        <w:autoSpaceDN w:val="0"/>
        <w:adjustRightInd w:val="0"/>
        <w:spacing w:after="120"/>
        <w:rPr>
          <w:szCs w:val="22"/>
        </w:rPr>
      </w:pPr>
      <w:r>
        <w:rPr>
          <w:szCs w:val="22"/>
        </w:rPr>
        <w:tab/>
      </w:r>
      <w:r w:rsidR="003605CE">
        <w:rPr>
          <w:szCs w:val="22"/>
        </w:rPr>
        <w:t xml:space="preserve">In accordance with the </w:t>
      </w:r>
      <w:r w:rsidR="003605CE" w:rsidRPr="001851F5">
        <w:rPr>
          <w:i/>
          <w:szCs w:val="22"/>
        </w:rPr>
        <w:t>NDBEDP Permanent Program Order</w:t>
      </w:r>
      <w:r w:rsidR="003605CE">
        <w:rPr>
          <w:szCs w:val="22"/>
        </w:rPr>
        <w:t xml:space="preserve">, CGB publishes </w:t>
      </w:r>
      <w:r w:rsidR="004C1585">
        <w:rPr>
          <w:szCs w:val="22"/>
        </w:rPr>
        <w:t xml:space="preserve">this </w:t>
      </w:r>
      <w:r w:rsidR="003605CE">
        <w:rPr>
          <w:szCs w:val="22"/>
        </w:rPr>
        <w:t xml:space="preserve">list of entities that have applied for certification to participate in the </w:t>
      </w:r>
      <w:r w:rsidR="003605CE" w:rsidRPr="000B5742">
        <w:rPr>
          <w:szCs w:val="22"/>
        </w:rPr>
        <w:t>NDBEDP</w:t>
      </w:r>
      <w:r w:rsidR="001478DA">
        <w:rPr>
          <w:szCs w:val="22"/>
        </w:rPr>
        <w:t>.</w:t>
      </w:r>
      <w:r w:rsidR="008B1AC9">
        <w:rPr>
          <w:rStyle w:val="FootnoteReference"/>
          <w:szCs w:val="22"/>
        </w:rPr>
        <w:footnoteReference w:id="5"/>
      </w:r>
      <w:r w:rsidR="001478DA">
        <w:rPr>
          <w:szCs w:val="22"/>
        </w:rPr>
        <w:t xml:space="preserve">  </w:t>
      </w:r>
      <w:r w:rsidR="001478DA" w:rsidRPr="00E509A9">
        <w:t xml:space="preserve">This announcement </w:t>
      </w:r>
      <w:r w:rsidR="001478DA">
        <w:t xml:space="preserve">puts all certification applicants </w:t>
      </w:r>
      <w:r w:rsidR="001478DA" w:rsidRPr="00E509A9">
        <w:t>on notice of</w:t>
      </w:r>
      <w:r w:rsidR="001478DA">
        <w:t xml:space="preserve"> </w:t>
      </w:r>
      <w:r w:rsidR="001478DA" w:rsidRPr="00E509A9">
        <w:t>competing applications</w:t>
      </w:r>
      <w:r w:rsidR="008B1AC9">
        <w:t>.</w:t>
      </w:r>
      <w:r w:rsidR="008B1AC9">
        <w:rPr>
          <w:rStyle w:val="FootnoteReference"/>
        </w:rPr>
        <w:footnoteReference w:id="6"/>
      </w:r>
      <w:r w:rsidR="001478DA" w:rsidRPr="00E509A9">
        <w:t xml:space="preserve"> </w:t>
      </w:r>
      <w:r w:rsidR="003605CE">
        <w:rPr>
          <w:szCs w:val="22"/>
        </w:rPr>
        <w:t xml:space="preserve">  </w:t>
      </w:r>
    </w:p>
    <w:p w14:paraId="20A8D3A3" w14:textId="77777777" w:rsidR="00A104C2" w:rsidRPr="00A104C2" w:rsidRDefault="00A104C2" w:rsidP="007854C0">
      <w:pPr>
        <w:keepNext/>
        <w:keepLines/>
        <w:widowControl/>
        <w:tabs>
          <w:tab w:val="left" w:pos="720"/>
          <w:tab w:val="left" w:pos="9990"/>
        </w:tabs>
        <w:autoSpaceDE w:val="0"/>
        <w:autoSpaceDN w:val="0"/>
        <w:adjustRightInd w:val="0"/>
        <w:spacing w:after="120"/>
        <w:rPr>
          <w:b/>
          <w:szCs w:val="22"/>
        </w:rPr>
      </w:pPr>
      <w:r w:rsidRPr="00A104C2">
        <w:rPr>
          <w:b/>
          <w:szCs w:val="22"/>
        </w:rPr>
        <w:lastRenderedPageBreak/>
        <w:t>APPLICANTS FOR CERTIFICATION:</w:t>
      </w:r>
    </w:p>
    <w:tbl>
      <w:tblPr>
        <w:tblStyle w:val="TableGrid"/>
        <w:tblW w:w="9350" w:type="dxa"/>
        <w:tblLook w:val="04A0" w:firstRow="1" w:lastRow="0" w:firstColumn="1" w:lastColumn="0" w:noHBand="0" w:noVBand="1"/>
      </w:tblPr>
      <w:tblGrid>
        <w:gridCol w:w="2605"/>
        <w:gridCol w:w="6745"/>
      </w:tblGrid>
      <w:tr w:rsidR="00C653F3" w14:paraId="2F4F5FB0" w14:textId="77777777" w:rsidTr="008B6880">
        <w:tc>
          <w:tcPr>
            <w:tcW w:w="2605" w:type="dxa"/>
            <w:vAlign w:val="center"/>
          </w:tcPr>
          <w:p w14:paraId="07CBE1D8" w14:textId="77777777" w:rsidR="00C653F3" w:rsidRPr="0047086C" w:rsidRDefault="00C653F3" w:rsidP="00485278">
            <w:pPr>
              <w:keepNext/>
              <w:keepLines/>
              <w:widowControl/>
              <w:spacing w:before="60" w:after="60"/>
              <w:jc w:val="center"/>
              <w:rPr>
                <w:b/>
                <w:bCs/>
                <w:szCs w:val="22"/>
              </w:rPr>
            </w:pPr>
            <w:r w:rsidRPr="0047086C">
              <w:rPr>
                <w:b/>
                <w:bCs/>
                <w:szCs w:val="22"/>
              </w:rPr>
              <w:t>State</w:t>
            </w:r>
          </w:p>
        </w:tc>
        <w:tc>
          <w:tcPr>
            <w:tcW w:w="6745" w:type="dxa"/>
          </w:tcPr>
          <w:p w14:paraId="33A3D5D7" w14:textId="77777777" w:rsidR="00C653F3" w:rsidRPr="001B1C46" w:rsidRDefault="00C653F3" w:rsidP="00485278">
            <w:pPr>
              <w:keepNext/>
              <w:keepLines/>
              <w:widowControl/>
              <w:spacing w:before="60" w:after="60"/>
              <w:ind w:left="-108"/>
              <w:jc w:val="center"/>
              <w:rPr>
                <w:szCs w:val="22"/>
              </w:rPr>
            </w:pPr>
            <w:r w:rsidRPr="001B1C46">
              <w:rPr>
                <w:b/>
                <w:bCs/>
                <w:szCs w:val="22"/>
              </w:rPr>
              <w:t>Applicants</w:t>
            </w:r>
          </w:p>
        </w:tc>
      </w:tr>
      <w:tr w:rsidR="00C653F3" w14:paraId="1A610638" w14:textId="77777777" w:rsidTr="00BA54AC">
        <w:tc>
          <w:tcPr>
            <w:tcW w:w="2605" w:type="dxa"/>
            <w:vAlign w:val="center"/>
          </w:tcPr>
          <w:p w14:paraId="1316C0D3" w14:textId="77777777" w:rsidR="00C653F3" w:rsidRPr="0047086C" w:rsidRDefault="00C653F3" w:rsidP="00485278">
            <w:pPr>
              <w:keepNext/>
              <w:keepLines/>
              <w:widowControl/>
              <w:spacing w:before="60" w:after="60"/>
              <w:rPr>
                <w:szCs w:val="22"/>
              </w:rPr>
            </w:pPr>
            <w:r w:rsidRPr="0047086C">
              <w:rPr>
                <w:szCs w:val="22"/>
              </w:rPr>
              <w:t>Alabama</w:t>
            </w:r>
          </w:p>
        </w:tc>
        <w:tc>
          <w:tcPr>
            <w:tcW w:w="6745" w:type="dxa"/>
            <w:vAlign w:val="center"/>
          </w:tcPr>
          <w:p w14:paraId="6AF028FB" w14:textId="77777777" w:rsidR="00C653F3" w:rsidRPr="001B1C46" w:rsidRDefault="005F5B57" w:rsidP="00485278">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Alabama Institute for Deaf and Blind</w:t>
            </w:r>
          </w:p>
        </w:tc>
      </w:tr>
      <w:tr w:rsidR="00C653F3" w14:paraId="46256413" w14:textId="77777777" w:rsidTr="00BA54AC">
        <w:tc>
          <w:tcPr>
            <w:tcW w:w="2605" w:type="dxa"/>
            <w:vAlign w:val="center"/>
          </w:tcPr>
          <w:p w14:paraId="17384E84" w14:textId="77777777" w:rsidR="00C653F3" w:rsidRPr="0047086C" w:rsidRDefault="00C653F3" w:rsidP="00485278">
            <w:pPr>
              <w:keepNext/>
              <w:keepLines/>
              <w:widowControl/>
              <w:spacing w:before="60" w:after="60"/>
              <w:rPr>
                <w:szCs w:val="22"/>
              </w:rPr>
            </w:pPr>
            <w:r w:rsidRPr="0047086C">
              <w:rPr>
                <w:szCs w:val="22"/>
              </w:rPr>
              <w:t>Alaska</w:t>
            </w:r>
          </w:p>
        </w:tc>
        <w:tc>
          <w:tcPr>
            <w:tcW w:w="6745" w:type="dxa"/>
            <w:vAlign w:val="center"/>
          </w:tcPr>
          <w:p w14:paraId="6628CBF5" w14:textId="77777777" w:rsidR="00C653F3" w:rsidRPr="001B1C46" w:rsidRDefault="0037062B" w:rsidP="00485278">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Assistive Technology of Alaska</w:t>
            </w:r>
          </w:p>
        </w:tc>
      </w:tr>
      <w:tr w:rsidR="00C653F3" w14:paraId="44CD2191" w14:textId="77777777" w:rsidTr="00BA54AC">
        <w:tc>
          <w:tcPr>
            <w:tcW w:w="2605" w:type="dxa"/>
            <w:vAlign w:val="center"/>
          </w:tcPr>
          <w:p w14:paraId="237D003A" w14:textId="77777777" w:rsidR="00C653F3" w:rsidRPr="0047086C" w:rsidRDefault="00C653F3" w:rsidP="00485278">
            <w:pPr>
              <w:keepNext/>
              <w:keepLines/>
              <w:widowControl/>
              <w:spacing w:before="60" w:after="60"/>
              <w:rPr>
                <w:szCs w:val="22"/>
              </w:rPr>
            </w:pPr>
            <w:r w:rsidRPr="0047086C">
              <w:rPr>
                <w:szCs w:val="22"/>
              </w:rPr>
              <w:t>Arizona</w:t>
            </w:r>
          </w:p>
        </w:tc>
        <w:tc>
          <w:tcPr>
            <w:tcW w:w="6745" w:type="dxa"/>
            <w:vAlign w:val="center"/>
          </w:tcPr>
          <w:p w14:paraId="0D7E63F3" w14:textId="77777777" w:rsidR="00C653F3" w:rsidRPr="001B1C46" w:rsidRDefault="0037062B" w:rsidP="00485278">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4171FE0B" w14:textId="77777777" w:rsidTr="00BA54AC">
        <w:tc>
          <w:tcPr>
            <w:tcW w:w="2605" w:type="dxa"/>
            <w:vAlign w:val="center"/>
          </w:tcPr>
          <w:p w14:paraId="0C8D8BAD" w14:textId="77777777" w:rsidR="00C653F3" w:rsidRPr="0047086C" w:rsidRDefault="00C653F3" w:rsidP="00485278">
            <w:pPr>
              <w:keepNext/>
              <w:keepLines/>
              <w:widowControl/>
              <w:spacing w:before="60" w:after="60"/>
              <w:rPr>
                <w:szCs w:val="22"/>
              </w:rPr>
            </w:pPr>
            <w:r w:rsidRPr="0047086C">
              <w:rPr>
                <w:szCs w:val="22"/>
              </w:rPr>
              <w:t>Arkansas</w:t>
            </w:r>
          </w:p>
        </w:tc>
        <w:tc>
          <w:tcPr>
            <w:tcW w:w="6745" w:type="dxa"/>
            <w:vAlign w:val="center"/>
          </w:tcPr>
          <w:p w14:paraId="2D3410B7" w14:textId="77777777" w:rsidR="00C653F3" w:rsidRPr="001B1C46" w:rsidRDefault="0037062B" w:rsidP="00485278">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4FD83981" w14:textId="77777777" w:rsidTr="00BA54AC">
        <w:tc>
          <w:tcPr>
            <w:tcW w:w="2605" w:type="dxa"/>
            <w:vAlign w:val="center"/>
          </w:tcPr>
          <w:p w14:paraId="4D2BC35D" w14:textId="77777777" w:rsidR="00C653F3" w:rsidRPr="0047086C" w:rsidRDefault="00C653F3" w:rsidP="00485278">
            <w:pPr>
              <w:keepNext/>
              <w:keepLines/>
              <w:widowControl/>
              <w:spacing w:before="60" w:after="60"/>
              <w:rPr>
                <w:szCs w:val="22"/>
              </w:rPr>
            </w:pPr>
            <w:r w:rsidRPr="0047086C">
              <w:rPr>
                <w:szCs w:val="22"/>
              </w:rPr>
              <w:t>California</w:t>
            </w:r>
          </w:p>
        </w:tc>
        <w:tc>
          <w:tcPr>
            <w:tcW w:w="6745" w:type="dxa"/>
            <w:vAlign w:val="center"/>
          </w:tcPr>
          <w:p w14:paraId="22F298AF" w14:textId="77777777" w:rsidR="00C653F3" w:rsidRPr="001B1C46" w:rsidRDefault="0037062B" w:rsidP="00485278">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Lighthouse for the Blind and Visually Impaired</w:t>
            </w:r>
          </w:p>
        </w:tc>
      </w:tr>
      <w:tr w:rsidR="00C653F3" w14:paraId="6C70A435" w14:textId="77777777" w:rsidTr="00BA54AC">
        <w:tc>
          <w:tcPr>
            <w:tcW w:w="2605" w:type="dxa"/>
            <w:vAlign w:val="center"/>
          </w:tcPr>
          <w:p w14:paraId="3522F217" w14:textId="77777777" w:rsidR="00C653F3" w:rsidRPr="0047086C" w:rsidRDefault="00C653F3" w:rsidP="00485278">
            <w:pPr>
              <w:spacing w:before="60" w:after="60"/>
              <w:rPr>
                <w:szCs w:val="22"/>
              </w:rPr>
            </w:pPr>
            <w:r w:rsidRPr="0047086C">
              <w:rPr>
                <w:szCs w:val="22"/>
              </w:rPr>
              <w:t>Colorado</w:t>
            </w:r>
          </w:p>
        </w:tc>
        <w:tc>
          <w:tcPr>
            <w:tcW w:w="6745" w:type="dxa"/>
            <w:vAlign w:val="center"/>
          </w:tcPr>
          <w:p w14:paraId="18AE293C" w14:textId="77777777" w:rsidR="00C653F3" w:rsidRPr="001B1C46" w:rsidRDefault="0037062B"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Colorado Commission for the Deaf and Hard of Hearing</w:t>
            </w:r>
          </w:p>
        </w:tc>
      </w:tr>
      <w:tr w:rsidR="00C653F3" w14:paraId="72EB20AE" w14:textId="77777777" w:rsidTr="00BA54AC">
        <w:tc>
          <w:tcPr>
            <w:tcW w:w="2605" w:type="dxa"/>
            <w:vAlign w:val="center"/>
          </w:tcPr>
          <w:p w14:paraId="3858750C" w14:textId="77777777" w:rsidR="00C653F3" w:rsidRPr="0047086C" w:rsidRDefault="00C653F3" w:rsidP="00485278">
            <w:pPr>
              <w:spacing w:before="60" w:after="60"/>
              <w:rPr>
                <w:szCs w:val="22"/>
              </w:rPr>
            </w:pPr>
            <w:r w:rsidRPr="0047086C">
              <w:rPr>
                <w:szCs w:val="22"/>
              </w:rPr>
              <w:t>Connecticut</w:t>
            </w:r>
          </w:p>
        </w:tc>
        <w:tc>
          <w:tcPr>
            <w:tcW w:w="6745" w:type="dxa"/>
            <w:vAlign w:val="center"/>
          </w:tcPr>
          <w:p w14:paraId="348F2780" w14:textId="77777777" w:rsidR="00C653F3" w:rsidRPr="001B1C46" w:rsidRDefault="0037062B"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Connecticut Tech Act Project</w:t>
            </w:r>
          </w:p>
        </w:tc>
      </w:tr>
      <w:tr w:rsidR="00C653F3" w14:paraId="045F11AF" w14:textId="77777777" w:rsidTr="00BA54AC">
        <w:tc>
          <w:tcPr>
            <w:tcW w:w="2605" w:type="dxa"/>
            <w:vAlign w:val="center"/>
          </w:tcPr>
          <w:p w14:paraId="4151A27B" w14:textId="77777777" w:rsidR="00C653F3" w:rsidRPr="0047086C" w:rsidRDefault="00C653F3" w:rsidP="00485278">
            <w:pPr>
              <w:spacing w:before="60" w:after="60"/>
              <w:rPr>
                <w:szCs w:val="22"/>
              </w:rPr>
            </w:pPr>
            <w:r w:rsidRPr="0047086C">
              <w:rPr>
                <w:szCs w:val="22"/>
              </w:rPr>
              <w:t>Delaware</w:t>
            </w:r>
          </w:p>
        </w:tc>
        <w:tc>
          <w:tcPr>
            <w:tcW w:w="6745" w:type="dxa"/>
            <w:vAlign w:val="center"/>
          </w:tcPr>
          <w:p w14:paraId="73D3187B" w14:textId="77777777" w:rsidR="00C653F3" w:rsidRPr="001B1C46" w:rsidRDefault="00941741"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University of Delaware – Center for Disabilities Studies</w:t>
            </w:r>
          </w:p>
        </w:tc>
      </w:tr>
      <w:tr w:rsidR="00C653F3" w14:paraId="4E26ACA6" w14:textId="77777777" w:rsidTr="00BA54AC">
        <w:tc>
          <w:tcPr>
            <w:tcW w:w="2605" w:type="dxa"/>
            <w:vAlign w:val="center"/>
          </w:tcPr>
          <w:p w14:paraId="4E3628BC" w14:textId="77777777" w:rsidR="00C653F3" w:rsidRPr="0047086C" w:rsidRDefault="00C653F3" w:rsidP="00485278">
            <w:pPr>
              <w:spacing w:before="60" w:after="60"/>
              <w:rPr>
                <w:szCs w:val="22"/>
              </w:rPr>
            </w:pPr>
            <w:r w:rsidRPr="0047086C">
              <w:rPr>
                <w:szCs w:val="22"/>
              </w:rPr>
              <w:t>Florida</w:t>
            </w:r>
          </w:p>
        </w:tc>
        <w:tc>
          <w:tcPr>
            <w:tcW w:w="6745" w:type="dxa"/>
            <w:vAlign w:val="center"/>
          </w:tcPr>
          <w:p w14:paraId="0EC59D0D" w14:textId="77777777" w:rsidR="00C653F3" w:rsidRPr="001B1C46" w:rsidRDefault="00941741"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C653F3" w14:paraId="64EA41C9" w14:textId="77777777" w:rsidTr="00BA54AC">
        <w:tc>
          <w:tcPr>
            <w:tcW w:w="2605" w:type="dxa"/>
            <w:vAlign w:val="center"/>
          </w:tcPr>
          <w:p w14:paraId="3CBA4D99" w14:textId="77777777" w:rsidR="00C653F3" w:rsidRPr="0047086C" w:rsidRDefault="00C653F3" w:rsidP="00485278">
            <w:pPr>
              <w:spacing w:before="60" w:after="60"/>
              <w:rPr>
                <w:szCs w:val="22"/>
              </w:rPr>
            </w:pPr>
            <w:r w:rsidRPr="0047086C">
              <w:rPr>
                <w:szCs w:val="22"/>
              </w:rPr>
              <w:t>Georgia</w:t>
            </w:r>
          </w:p>
        </w:tc>
        <w:tc>
          <w:tcPr>
            <w:tcW w:w="6745" w:type="dxa"/>
            <w:vAlign w:val="center"/>
          </w:tcPr>
          <w:p w14:paraId="523FB2A2" w14:textId="5368D4F0" w:rsidR="00C653F3" w:rsidRPr="001B1C46" w:rsidRDefault="005043D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Georgia Center </w:t>
            </w:r>
            <w:r w:rsidR="00AB036A">
              <w:rPr>
                <w:szCs w:val="22"/>
              </w:rPr>
              <w:t>of</w:t>
            </w:r>
            <w:r w:rsidR="00AB036A" w:rsidRPr="001B1C46">
              <w:rPr>
                <w:szCs w:val="22"/>
              </w:rPr>
              <w:t xml:space="preserve"> </w:t>
            </w:r>
            <w:r w:rsidRPr="001B1C46">
              <w:rPr>
                <w:szCs w:val="22"/>
              </w:rPr>
              <w:t>the Deaf and Hard of Hearing, Inc.</w:t>
            </w:r>
          </w:p>
          <w:p w14:paraId="70B4D8B3" w14:textId="77777777" w:rsidR="005043DA" w:rsidRPr="001B1C46" w:rsidRDefault="005043D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Tools for Life</w:t>
            </w:r>
          </w:p>
        </w:tc>
      </w:tr>
      <w:tr w:rsidR="00C653F3" w14:paraId="6DDEBC18" w14:textId="77777777" w:rsidTr="00BA54AC">
        <w:tc>
          <w:tcPr>
            <w:tcW w:w="2605" w:type="dxa"/>
            <w:vAlign w:val="center"/>
          </w:tcPr>
          <w:p w14:paraId="09EAB87B" w14:textId="77777777" w:rsidR="00C653F3" w:rsidRPr="0047086C" w:rsidRDefault="00C653F3" w:rsidP="00485278">
            <w:pPr>
              <w:spacing w:before="60" w:after="60"/>
              <w:rPr>
                <w:szCs w:val="22"/>
              </w:rPr>
            </w:pPr>
            <w:r w:rsidRPr="0047086C">
              <w:rPr>
                <w:szCs w:val="22"/>
              </w:rPr>
              <w:t>Hawaii</w:t>
            </w:r>
          </w:p>
        </w:tc>
        <w:tc>
          <w:tcPr>
            <w:tcW w:w="6745" w:type="dxa"/>
            <w:vAlign w:val="center"/>
          </w:tcPr>
          <w:p w14:paraId="0CB3EED9" w14:textId="77777777" w:rsidR="00C653F3" w:rsidRPr="001B1C46" w:rsidRDefault="005043D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C653F3" w14:paraId="31B0C032" w14:textId="77777777" w:rsidTr="00BA54AC">
        <w:tc>
          <w:tcPr>
            <w:tcW w:w="2605" w:type="dxa"/>
            <w:vAlign w:val="center"/>
          </w:tcPr>
          <w:p w14:paraId="14E2C694" w14:textId="77777777" w:rsidR="00C653F3" w:rsidRPr="0047086C" w:rsidRDefault="00C653F3" w:rsidP="00485278">
            <w:pPr>
              <w:spacing w:before="60" w:after="60"/>
              <w:rPr>
                <w:szCs w:val="22"/>
              </w:rPr>
            </w:pPr>
            <w:r w:rsidRPr="0047086C">
              <w:rPr>
                <w:szCs w:val="22"/>
              </w:rPr>
              <w:t>Idaho</w:t>
            </w:r>
          </w:p>
        </w:tc>
        <w:tc>
          <w:tcPr>
            <w:tcW w:w="6745" w:type="dxa"/>
            <w:vAlign w:val="center"/>
          </w:tcPr>
          <w:p w14:paraId="5AE8D7EF" w14:textId="77BDEAE7" w:rsidR="00C653F3" w:rsidRPr="001B1C46" w:rsidRDefault="005043D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University of Idaho – Center on Disabilities </w:t>
            </w:r>
            <w:r w:rsidR="00AB036A">
              <w:rPr>
                <w:szCs w:val="22"/>
              </w:rPr>
              <w:t>and</w:t>
            </w:r>
            <w:r w:rsidRPr="001B1C46">
              <w:rPr>
                <w:szCs w:val="22"/>
              </w:rPr>
              <w:t xml:space="preserve"> Human Development</w:t>
            </w:r>
          </w:p>
        </w:tc>
      </w:tr>
      <w:tr w:rsidR="00C653F3" w14:paraId="5B69091E" w14:textId="77777777" w:rsidTr="00BA54AC">
        <w:tc>
          <w:tcPr>
            <w:tcW w:w="2605" w:type="dxa"/>
            <w:vAlign w:val="center"/>
          </w:tcPr>
          <w:p w14:paraId="64CA05DE" w14:textId="77777777" w:rsidR="00C653F3" w:rsidRPr="0047086C" w:rsidRDefault="00C653F3" w:rsidP="00485278">
            <w:pPr>
              <w:keepNext/>
              <w:keepLines/>
              <w:spacing w:before="60" w:after="60"/>
              <w:rPr>
                <w:szCs w:val="22"/>
              </w:rPr>
            </w:pPr>
            <w:r w:rsidRPr="0047086C">
              <w:rPr>
                <w:szCs w:val="22"/>
              </w:rPr>
              <w:t>Illinois</w:t>
            </w:r>
          </w:p>
        </w:tc>
        <w:tc>
          <w:tcPr>
            <w:tcW w:w="6745" w:type="dxa"/>
            <w:vAlign w:val="center"/>
          </w:tcPr>
          <w:p w14:paraId="35500F55" w14:textId="7CC461F4" w:rsidR="00C653F3" w:rsidRPr="00BA54AC" w:rsidRDefault="00080EDE" w:rsidP="00080EDE">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080EDE">
              <w:rPr>
                <w:szCs w:val="22"/>
              </w:rPr>
              <w:t>The Chicago Lighthouse Serving the Blind, Visually Impaired, Disabled and Veteran Communities</w:t>
            </w:r>
          </w:p>
        </w:tc>
      </w:tr>
      <w:tr w:rsidR="00C653F3" w14:paraId="3717AA93" w14:textId="77777777" w:rsidTr="00BA54AC">
        <w:tc>
          <w:tcPr>
            <w:tcW w:w="2605" w:type="dxa"/>
            <w:vAlign w:val="center"/>
          </w:tcPr>
          <w:p w14:paraId="678FAA8C" w14:textId="77777777" w:rsidR="00C653F3" w:rsidRPr="0047086C" w:rsidRDefault="00C653F3" w:rsidP="00485278">
            <w:pPr>
              <w:spacing w:before="60" w:after="60"/>
              <w:rPr>
                <w:szCs w:val="22"/>
              </w:rPr>
            </w:pPr>
            <w:r w:rsidRPr="0047086C">
              <w:rPr>
                <w:szCs w:val="22"/>
              </w:rPr>
              <w:t>Indiana</w:t>
            </w:r>
          </w:p>
        </w:tc>
        <w:tc>
          <w:tcPr>
            <w:tcW w:w="6745" w:type="dxa"/>
            <w:vAlign w:val="center"/>
          </w:tcPr>
          <w:p w14:paraId="0D8EB738" w14:textId="77777777" w:rsidR="00C653F3" w:rsidRPr="00BA54AC" w:rsidRDefault="00CC318C"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Perkins School for the Blind</w:t>
            </w:r>
          </w:p>
        </w:tc>
      </w:tr>
      <w:tr w:rsidR="00C653F3" w14:paraId="44EC79FB" w14:textId="77777777" w:rsidTr="00BA54AC">
        <w:tc>
          <w:tcPr>
            <w:tcW w:w="2605" w:type="dxa"/>
            <w:vAlign w:val="center"/>
          </w:tcPr>
          <w:p w14:paraId="21F78AF7" w14:textId="77777777" w:rsidR="00C653F3" w:rsidRPr="0047086C" w:rsidRDefault="00C653F3" w:rsidP="00485278">
            <w:pPr>
              <w:spacing w:before="60" w:after="60"/>
              <w:rPr>
                <w:szCs w:val="22"/>
              </w:rPr>
            </w:pPr>
            <w:r w:rsidRPr="0047086C">
              <w:rPr>
                <w:szCs w:val="22"/>
              </w:rPr>
              <w:t>Iowa</w:t>
            </w:r>
          </w:p>
        </w:tc>
        <w:tc>
          <w:tcPr>
            <w:tcW w:w="6745" w:type="dxa"/>
            <w:vAlign w:val="center"/>
          </w:tcPr>
          <w:p w14:paraId="309AFD19" w14:textId="77777777" w:rsidR="00C653F3" w:rsidRPr="00BA54AC" w:rsidRDefault="00CC318C"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Helen Keller National Center for Deaf-Blind Youth and Adults</w:t>
            </w:r>
          </w:p>
        </w:tc>
      </w:tr>
      <w:tr w:rsidR="00C653F3" w14:paraId="3C36EFB8" w14:textId="77777777" w:rsidTr="00BA54AC">
        <w:tc>
          <w:tcPr>
            <w:tcW w:w="2605" w:type="dxa"/>
            <w:vAlign w:val="center"/>
          </w:tcPr>
          <w:p w14:paraId="3F105A1D" w14:textId="77777777" w:rsidR="00C653F3" w:rsidRPr="0047086C" w:rsidRDefault="00C653F3" w:rsidP="00485278">
            <w:pPr>
              <w:spacing w:before="60" w:after="60"/>
              <w:rPr>
                <w:szCs w:val="22"/>
              </w:rPr>
            </w:pPr>
            <w:r w:rsidRPr="0047086C">
              <w:rPr>
                <w:szCs w:val="22"/>
              </w:rPr>
              <w:t>Kansas</w:t>
            </w:r>
          </w:p>
        </w:tc>
        <w:tc>
          <w:tcPr>
            <w:tcW w:w="6745" w:type="dxa"/>
            <w:vAlign w:val="center"/>
          </w:tcPr>
          <w:p w14:paraId="715DF2C2" w14:textId="77777777" w:rsidR="00C653F3" w:rsidRPr="00BA54AC" w:rsidRDefault="00CC318C"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Assistive Technology for Kansans</w:t>
            </w:r>
          </w:p>
        </w:tc>
      </w:tr>
      <w:tr w:rsidR="00C653F3" w14:paraId="060CBBB5" w14:textId="77777777" w:rsidTr="00BA54AC">
        <w:tc>
          <w:tcPr>
            <w:tcW w:w="2605" w:type="dxa"/>
            <w:vAlign w:val="center"/>
          </w:tcPr>
          <w:p w14:paraId="22972768" w14:textId="77777777" w:rsidR="00C653F3" w:rsidRPr="0047086C" w:rsidRDefault="00C653F3" w:rsidP="00485278">
            <w:pPr>
              <w:spacing w:before="60" w:after="60"/>
              <w:rPr>
                <w:szCs w:val="22"/>
              </w:rPr>
            </w:pPr>
            <w:r w:rsidRPr="0047086C">
              <w:rPr>
                <w:szCs w:val="22"/>
              </w:rPr>
              <w:t>Kentucky</w:t>
            </w:r>
          </w:p>
        </w:tc>
        <w:tc>
          <w:tcPr>
            <w:tcW w:w="6745" w:type="dxa"/>
            <w:vAlign w:val="center"/>
          </w:tcPr>
          <w:p w14:paraId="1BCF9826" w14:textId="39DD5916" w:rsidR="00C653F3" w:rsidRPr="00BA54AC" w:rsidRDefault="00E26B4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E26B4D">
              <w:rPr>
                <w:szCs w:val="22"/>
              </w:rPr>
              <w:t>Eastern Kentucky University</w:t>
            </w:r>
          </w:p>
        </w:tc>
      </w:tr>
      <w:tr w:rsidR="00C653F3" w14:paraId="0CABC055" w14:textId="77777777" w:rsidTr="00BA54AC">
        <w:tc>
          <w:tcPr>
            <w:tcW w:w="2605" w:type="dxa"/>
            <w:vAlign w:val="center"/>
          </w:tcPr>
          <w:p w14:paraId="3189B053" w14:textId="77777777" w:rsidR="00C653F3" w:rsidRPr="0047086C" w:rsidRDefault="00C653F3" w:rsidP="00485278">
            <w:pPr>
              <w:spacing w:before="60" w:after="60"/>
              <w:rPr>
                <w:szCs w:val="22"/>
              </w:rPr>
            </w:pPr>
            <w:r w:rsidRPr="0047086C">
              <w:rPr>
                <w:szCs w:val="22"/>
              </w:rPr>
              <w:t>Louisiana</w:t>
            </w:r>
          </w:p>
        </w:tc>
        <w:tc>
          <w:tcPr>
            <w:tcW w:w="6745" w:type="dxa"/>
            <w:vAlign w:val="center"/>
          </w:tcPr>
          <w:p w14:paraId="0A3E2205"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Affiliated Blind of Louisiana Training Center</w:t>
            </w:r>
          </w:p>
        </w:tc>
      </w:tr>
      <w:tr w:rsidR="00C653F3" w14:paraId="4C29A2FC" w14:textId="77777777" w:rsidTr="00BA54AC">
        <w:tc>
          <w:tcPr>
            <w:tcW w:w="2605" w:type="dxa"/>
            <w:vAlign w:val="center"/>
          </w:tcPr>
          <w:p w14:paraId="33FE3E4B" w14:textId="77777777" w:rsidR="00C653F3" w:rsidRPr="0047086C" w:rsidRDefault="00C653F3" w:rsidP="00485278">
            <w:pPr>
              <w:spacing w:before="60" w:after="60"/>
              <w:rPr>
                <w:szCs w:val="22"/>
              </w:rPr>
            </w:pPr>
            <w:r w:rsidRPr="0047086C">
              <w:rPr>
                <w:szCs w:val="22"/>
              </w:rPr>
              <w:t>Maine</w:t>
            </w:r>
          </w:p>
        </w:tc>
        <w:tc>
          <w:tcPr>
            <w:tcW w:w="6745" w:type="dxa"/>
            <w:vAlign w:val="center"/>
          </w:tcPr>
          <w:p w14:paraId="3BA88CAD"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Disability Rights Maine</w:t>
            </w:r>
          </w:p>
        </w:tc>
      </w:tr>
      <w:tr w:rsidR="00C653F3" w14:paraId="3E5829ED" w14:textId="77777777" w:rsidTr="00BA54AC">
        <w:tc>
          <w:tcPr>
            <w:tcW w:w="2605" w:type="dxa"/>
            <w:vAlign w:val="center"/>
          </w:tcPr>
          <w:p w14:paraId="745E8B17" w14:textId="77777777" w:rsidR="00C653F3" w:rsidRPr="0047086C" w:rsidRDefault="00C653F3" w:rsidP="00485278">
            <w:pPr>
              <w:spacing w:before="60" w:after="60"/>
              <w:rPr>
                <w:szCs w:val="22"/>
              </w:rPr>
            </w:pPr>
            <w:r w:rsidRPr="0047086C">
              <w:rPr>
                <w:szCs w:val="22"/>
              </w:rPr>
              <w:t>Maryland</w:t>
            </w:r>
          </w:p>
        </w:tc>
        <w:tc>
          <w:tcPr>
            <w:tcW w:w="6745" w:type="dxa"/>
            <w:vAlign w:val="center"/>
          </w:tcPr>
          <w:p w14:paraId="6A0AE09F"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25223C41" w14:textId="77777777" w:rsidTr="00BA54AC">
        <w:tc>
          <w:tcPr>
            <w:tcW w:w="2605" w:type="dxa"/>
            <w:vAlign w:val="center"/>
          </w:tcPr>
          <w:p w14:paraId="574D2DBB" w14:textId="77777777" w:rsidR="00C653F3" w:rsidRPr="0047086C" w:rsidRDefault="00C653F3" w:rsidP="00485278">
            <w:pPr>
              <w:spacing w:before="60" w:after="60"/>
              <w:rPr>
                <w:szCs w:val="22"/>
              </w:rPr>
            </w:pPr>
            <w:r w:rsidRPr="0047086C">
              <w:rPr>
                <w:szCs w:val="22"/>
              </w:rPr>
              <w:t>Massachusetts</w:t>
            </w:r>
          </w:p>
        </w:tc>
        <w:tc>
          <w:tcPr>
            <w:tcW w:w="6745" w:type="dxa"/>
            <w:vAlign w:val="center"/>
          </w:tcPr>
          <w:p w14:paraId="46E04775"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531F36AB" w14:textId="77777777" w:rsidTr="00BA54AC">
        <w:tc>
          <w:tcPr>
            <w:tcW w:w="2605" w:type="dxa"/>
            <w:vAlign w:val="center"/>
          </w:tcPr>
          <w:p w14:paraId="2D6E60E8" w14:textId="77777777" w:rsidR="00C653F3" w:rsidRPr="0047086C" w:rsidRDefault="00C653F3" w:rsidP="00485278">
            <w:pPr>
              <w:spacing w:before="60" w:after="60"/>
              <w:rPr>
                <w:szCs w:val="22"/>
              </w:rPr>
            </w:pPr>
            <w:r w:rsidRPr="0047086C">
              <w:rPr>
                <w:szCs w:val="22"/>
              </w:rPr>
              <w:t>Michigan</w:t>
            </w:r>
          </w:p>
        </w:tc>
        <w:tc>
          <w:tcPr>
            <w:tcW w:w="6745" w:type="dxa"/>
            <w:vAlign w:val="center"/>
          </w:tcPr>
          <w:p w14:paraId="7E886F35"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5B20BE9E" w14:textId="77777777" w:rsidTr="00BA54AC">
        <w:tc>
          <w:tcPr>
            <w:tcW w:w="2605" w:type="dxa"/>
            <w:vAlign w:val="center"/>
          </w:tcPr>
          <w:p w14:paraId="6F81260B" w14:textId="77777777" w:rsidR="00C653F3" w:rsidRPr="0047086C" w:rsidRDefault="00C653F3" w:rsidP="00485278">
            <w:pPr>
              <w:spacing w:before="60" w:after="60"/>
              <w:rPr>
                <w:szCs w:val="22"/>
              </w:rPr>
            </w:pPr>
            <w:r w:rsidRPr="0047086C">
              <w:rPr>
                <w:szCs w:val="22"/>
              </w:rPr>
              <w:t>Minnesota</w:t>
            </w:r>
          </w:p>
        </w:tc>
        <w:tc>
          <w:tcPr>
            <w:tcW w:w="6745" w:type="dxa"/>
            <w:vAlign w:val="center"/>
          </w:tcPr>
          <w:p w14:paraId="489D71BA"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565D8E90" w14:textId="77777777" w:rsidTr="00BA54AC">
        <w:tc>
          <w:tcPr>
            <w:tcW w:w="2605" w:type="dxa"/>
            <w:vAlign w:val="center"/>
          </w:tcPr>
          <w:p w14:paraId="123D8945" w14:textId="77777777" w:rsidR="00C653F3" w:rsidRPr="0047086C" w:rsidRDefault="00C653F3" w:rsidP="00485278">
            <w:pPr>
              <w:spacing w:before="60" w:after="60"/>
              <w:rPr>
                <w:szCs w:val="22"/>
              </w:rPr>
            </w:pPr>
            <w:r w:rsidRPr="0047086C">
              <w:rPr>
                <w:szCs w:val="22"/>
              </w:rPr>
              <w:lastRenderedPageBreak/>
              <w:t>Mississippi</w:t>
            </w:r>
          </w:p>
        </w:tc>
        <w:tc>
          <w:tcPr>
            <w:tcW w:w="6745" w:type="dxa"/>
            <w:vAlign w:val="center"/>
          </w:tcPr>
          <w:p w14:paraId="5DC7D5AF"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4C1585" w14:paraId="5595B239" w14:textId="77777777" w:rsidTr="00D64C6E">
        <w:tc>
          <w:tcPr>
            <w:tcW w:w="2605" w:type="dxa"/>
            <w:vAlign w:val="center"/>
          </w:tcPr>
          <w:p w14:paraId="6CEDCE78" w14:textId="77777777" w:rsidR="004C1585" w:rsidRPr="0047086C" w:rsidRDefault="004C1585" w:rsidP="00D64C6E">
            <w:pPr>
              <w:keepNext/>
              <w:keepLines/>
              <w:widowControl/>
              <w:spacing w:before="60" w:after="60"/>
              <w:jc w:val="center"/>
              <w:rPr>
                <w:b/>
                <w:bCs/>
                <w:szCs w:val="22"/>
              </w:rPr>
            </w:pPr>
            <w:r w:rsidRPr="0047086C">
              <w:rPr>
                <w:b/>
                <w:bCs/>
                <w:szCs w:val="22"/>
              </w:rPr>
              <w:t>State</w:t>
            </w:r>
          </w:p>
        </w:tc>
        <w:tc>
          <w:tcPr>
            <w:tcW w:w="6745" w:type="dxa"/>
          </w:tcPr>
          <w:p w14:paraId="7A16BE76" w14:textId="77777777" w:rsidR="004C1585" w:rsidRPr="001B1C46" w:rsidRDefault="004C1585" w:rsidP="00D64C6E">
            <w:pPr>
              <w:pStyle w:val="ListParagraph"/>
              <w:keepNext/>
              <w:keepLines/>
              <w:widowControl/>
              <w:spacing w:before="60" w:after="60"/>
              <w:ind w:left="-108"/>
              <w:contextualSpacing w:val="0"/>
              <w:jc w:val="center"/>
              <w:rPr>
                <w:szCs w:val="22"/>
              </w:rPr>
            </w:pPr>
            <w:r w:rsidRPr="001B1C46">
              <w:rPr>
                <w:b/>
                <w:bCs/>
                <w:szCs w:val="22"/>
              </w:rPr>
              <w:t>Applicants</w:t>
            </w:r>
          </w:p>
        </w:tc>
      </w:tr>
      <w:tr w:rsidR="00C653F3" w14:paraId="735AA86F" w14:textId="77777777" w:rsidTr="00BA54AC">
        <w:tc>
          <w:tcPr>
            <w:tcW w:w="2605" w:type="dxa"/>
            <w:vAlign w:val="center"/>
          </w:tcPr>
          <w:p w14:paraId="5E330B0B" w14:textId="77777777" w:rsidR="00C653F3" w:rsidRPr="0047086C" w:rsidRDefault="00C653F3" w:rsidP="00485278">
            <w:pPr>
              <w:spacing w:before="60" w:after="60"/>
              <w:rPr>
                <w:szCs w:val="22"/>
              </w:rPr>
            </w:pPr>
            <w:r w:rsidRPr="0047086C">
              <w:rPr>
                <w:szCs w:val="22"/>
              </w:rPr>
              <w:t>Missouri</w:t>
            </w:r>
          </w:p>
        </w:tc>
        <w:tc>
          <w:tcPr>
            <w:tcW w:w="6745" w:type="dxa"/>
            <w:vAlign w:val="center"/>
          </w:tcPr>
          <w:p w14:paraId="673B91F1"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Missouri Assistive Technology</w:t>
            </w:r>
          </w:p>
        </w:tc>
      </w:tr>
      <w:tr w:rsidR="00C653F3" w14:paraId="49E90E22" w14:textId="77777777" w:rsidTr="00BA54AC">
        <w:tc>
          <w:tcPr>
            <w:tcW w:w="2605" w:type="dxa"/>
            <w:vAlign w:val="center"/>
          </w:tcPr>
          <w:p w14:paraId="77FC9B03" w14:textId="77777777" w:rsidR="00C653F3" w:rsidRPr="0047086C" w:rsidRDefault="00C653F3" w:rsidP="00485278">
            <w:pPr>
              <w:spacing w:before="60" w:after="60"/>
              <w:rPr>
                <w:szCs w:val="22"/>
              </w:rPr>
            </w:pPr>
            <w:r w:rsidRPr="0047086C">
              <w:rPr>
                <w:szCs w:val="22"/>
              </w:rPr>
              <w:t>Montana</w:t>
            </w:r>
          </w:p>
        </w:tc>
        <w:tc>
          <w:tcPr>
            <w:tcW w:w="6745" w:type="dxa"/>
            <w:vAlign w:val="center"/>
          </w:tcPr>
          <w:p w14:paraId="30D3C97D"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p w14:paraId="47E57C94" w14:textId="77777777" w:rsidR="006A44FA"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C653F3" w14:paraId="5B09D6D3" w14:textId="77777777" w:rsidTr="00BA54AC">
        <w:tc>
          <w:tcPr>
            <w:tcW w:w="2605" w:type="dxa"/>
            <w:vAlign w:val="center"/>
          </w:tcPr>
          <w:p w14:paraId="0CD01C6D" w14:textId="77777777" w:rsidR="00C653F3" w:rsidRPr="0047086C" w:rsidRDefault="00C653F3" w:rsidP="00485278">
            <w:pPr>
              <w:spacing w:before="60" w:after="60"/>
              <w:rPr>
                <w:szCs w:val="22"/>
              </w:rPr>
            </w:pPr>
            <w:r w:rsidRPr="0047086C">
              <w:rPr>
                <w:szCs w:val="22"/>
              </w:rPr>
              <w:t>Nebraska</w:t>
            </w:r>
          </w:p>
        </w:tc>
        <w:tc>
          <w:tcPr>
            <w:tcW w:w="6745" w:type="dxa"/>
            <w:vAlign w:val="center"/>
          </w:tcPr>
          <w:p w14:paraId="26DF2E8E" w14:textId="77777777" w:rsidR="00C653F3" w:rsidRPr="001B1C46" w:rsidRDefault="002A162D"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Nebraska Assistive Technology Partnership</w:t>
            </w:r>
          </w:p>
        </w:tc>
      </w:tr>
      <w:tr w:rsidR="00C653F3" w14:paraId="5E20171B" w14:textId="77777777" w:rsidTr="00BA54AC">
        <w:tc>
          <w:tcPr>
            <w:tcW w:w="2605" w:type="dxa"/>
            <w:vAlign w:val="center"/>
          </w:tcPr>
          <w:p w14:paraId="2383434E" w14:textId="77777777" w:rsidR="00C653F3" w:rsidRPr="0047086C" w:rsidRDefault="00C653F3" w:rsidP="00485278">
            <w:pPr>
              <w:spacing w:before="60" w:after="60"/>
              <w:rPr>
                <w:szCs w:val="22"/>
              </w:rPr>
            </w:pPr>
            <w:r w:rsidRPr="0047086C">
              <w:rPr>
                <w:szCs w:val="22"/>
              </w:rPr>
              <w:t>Nevada</w:t>
            </w:r>
          </w:p>
        </w:tc>
        <w:tc>
          <w:tcPr>
            <w:tcW w:w="6745" w:type="dxa"/>
            <w:vAlign w:val="center"/>
          </w:tcPr>
          <w:p w14:paraId="7DB9DB54" w14:textId="77777777" w:rsidR="00C653F3" w:rsidRPr="001B1C46" w:rsidRDefault="003E594C"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7365D918" w14:textId="77777777" w:rsidTr="00BA54AC">
        <w:tc>
          <w:tcPr>
            <w:tcW w:w="2605" w:type="dxa"/>
            <w:vAlign w:val="center"/>
          </w:tcPr>
          <w:p w14:paraId="2E3C14F7" w14:textId="77777777" w:rsidR="00C653F3" w:rsidRPr="0047086C" w:rsidRDefault="00C653F3" w:rsidP="00485278">
            <w:pPr>
              <w:spacing w:before="60" w:after="60"/>
              <w:rPr>
                <w:b/>
                <w:bCs/>
                <w:szCs w:val="22"/>
              </w:rPr>
            </w:pPr>
            <w:r w:rsidRPr="0047086C">
              <w:rPr>
                <w:szCs w:val="22"/>
              </w:rPr>
              <w:t>New Hampshire</w:t>
            </w:r>
          </w:p>
        </w:tc>
        <w:tc>
          <w:tcPr>
            <w:tcW w:w="6745" w:type="dxa"/>
            <w:vAlign w:val="center"/>
          </w:tcPr>
          <w:p w14:paraId="51FD0997"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Northeast Deaf and Hard of Hearing Services, Inc.</w:t>
            </w:r>
          </w:p>
        </w:tc>
      </w:tr>
      <w:tr w:rsidR="00C653F3" w14:paraId="4AB41EAF" w14:textId="77777777" w:rsidTr="00BA54AC">
        <w:tc>
          <w:tcPr>
            <w:tcW w:w="2605" w:type="dxa"/>
            <w:vAlign w:val="center"/>
          </w:tcPr>
          <w:p w14:paraId="2546557F" w14:textId="77777777" w:rsidR="00C653F3" w:rsidRPr="0047086C" w:rsidRDefault="00C653F3" w:rsidP="00485278">
            <w:pPr>
              <w:spacing w:before="60" w:after="60"/>
              <w:rPr>
                <w:szCs w:val="22"/>
              </w:rPr>
            </w:pPr>
            <w:r w:rsidRPr="0047086C">
              <w:rPr>
                <w:szCs w:val="22"/>
              </w:rPr>
              <w:t>New Jersey</w:t>
            </w:r>
          </w:p>
        </w:tc>
        <w:tc>
          <w:tcPr>
            <w:tcW w:w="6745" w:type="dxa"/>
            <w:vAlign w:val="center"/>
          </w:tcPr>
          <w:p w14:paraId="164AB2A5"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New Jersey Commission for the Blind and Visually Impaired</w:t>
            </w:r>
          </w:p>
        </w:tc>
      </w:tr>
      <w:tr w:rsidR="00C653F3" w14:paraId="0F18AC83" w14:textId="77777777" w:rsidTr="00BA54AC">
        <w:tc>
          <w:tcPr>
            <w:tcW w:w="2605" w:type="dxa"/>
            <w:vAlign w:val="center"/>
          </w:tcPr>
          <w:p w14:paraId="7B0A08FF" w14:textId="77777777" w:rsidR="00C653F3" w:rsidRPr="0047086C" w:rsidRDefault="00C653F3" w:rsidP="00485278">
            <w:pPr>
              <w:spacing w:before="60" w:after="60"/>
              <w:rPr>
                <w:szCs w:val="22"/>
              </w:rPr>
            </w:pPr>
            <w:r w:rsidRPr="0047086C">
              <w:rPr>
                <w:szCs w:val="22"/>
              </w:rPr>
              <w:t>New Mexico</w:t>
            </w:r>
          </w:p>
        </w:tc>
        <w:tc>
          <w:tcPr>
            <w:tcW w:w="6745" w:type="dxa"/>
            <w:vAlign w:val="center"/>
          </w:tcPr>
          <w:p w14:paraId="4B080E48"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627CB115" w14:textId="77777777" w:rsidTr="00BA54AC">
        <w:tc>
          <w:tcPr>
            <w:tcW w:w="2605" w:type="dxa"/>
            <w:vAlign w:val="center"/>
          </w:tcPr>
          <w:p w14:paraId="409ED496" w14:textId="77777777" w:rsidR="00C653F3" w:rsidRPr="0047086C" w:rsidRDefault="00C653F3" w:rsidP="00485278">
            <w:pPr>
              <w:spacing w:before="60" w:after="60"/>
              <w:rPr>
                <w:szCs w:val="22"/>
              </w:rPr>
            </w:pPr>
            <w:r w:rsidRPr="0047086C">
              <w:rPr>
                <w:szCs w:val="22"/>
              </w:rPr>
              <w:t>New York</w:t>
            </w:r>
          </w:p>
        </w:tc>
        <w:tc>
          <w:tcPr>
            <w:tcW w:w="6745" w:type="dxa"/>
            <w:vAlign w:val="center"/>
          </w:tcPr>
          <w:p w14:paraId="284E64C5"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C653F3" w14:paraId="07404659" w14:textId="77777777" w:rsidTr="00BA54AC">
        <w:tc>
          <w:tcPr>
            <w:tcW w:w="2605" w:type="dxa"/>
            <w:vAlign w:val="center"/>
          </w:tcPr>
          <w:p w14:paraId="64A25276" w14:textId="77777777" w:rsidR="00C653F3" w:rsidRPr="0047086C" w:rsidRDefault="00C653F3" w:rsidP="00485278">
            <w:pPr>
              <w:spacing w:before="60" w:after="60"/>
              <w:rPr>
                <w:szCs w:val="22"/>
              </w:rPr>
            </w:pPr>
            <w:r w:rsidRPr="0047086C">
              <w:rPr>
                <w:szCs w:val="22"/>
              </w:rPr>
              <w:t>North Carolina</w:t>
            </w:r>
          </w:p>
        </w:tc>
        <w:tc>
          <w:tcPr>
            <w:tcW w:w="6745" w:type="dxa"/>
            <w:vAlign w:val="center"/>
          </w:tcPr>
          <w:p w14:paraId="42425EEB"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North Carolina Division of Services for the Deaf and the Hard of Hearing</w:t>
            </w:r>
          </w:p>
        </w:tc>
      </w:tr>
      <w:tr w:rsidR="00C653F3" w14:paraId="4949C89D" w14:textId="77777777" w:rsidTr="00BA54AC">
        <w:tc>
          <w:tcPr>
            <w:tcW w:w="2605" w:type="dxa"/>
            <w:vAlign w:val="center"/>
          </w:tcPr>
          <w:p w14:paraId="47D78A2A" w14:textId="77777777" w:rsidR="00C653F3" w:rsidRPr="0047086C" w:rsidRDefault="00C653F3" w:rsidP="00485278">
            <w:pPr>
              <w:spacing w:before="60" w:after="60"/>
              <w:rPr>
                <w:szCs w:val="22"/>
              </w:rPr>
            </w:pPr>
            <w:r w:rsidRPr="0047086C">
              <w:rPr>
                <w:szCs w:val="22"/>
              </w:rPr>
              <w:t>North Dakota</w:t>
            </w:r>
          </w:p>
        </w:tc>
        <w:tc>
          <w:tcPr>
            <w:tcW w:w="6745" w:type="dxa"/>
            <w:vAlign w:val="center"/>
          </w:tcPr>
          <w:p w14:paraId="32DC5230" w14:textId="77777777" w:rsidR="00C653F3" w:rsidRPr="001B1C46" w:rsidRDefault="007737FF"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2665B5">
              <w:rPr>
                <w:szCs w:val="22"/>
              </w:rPr>
              <w:t xml:space="preserve">North Dakota </w:t>
            </w:r>
            <w:r w:rsidR="00454A07" w:rsidRPr="002665B5">
              <w:rPr>
                <w:szCs w:val="22"/>
              </w:rPr>
              <w:t>Assistive</w:t>
            </w:r>
          </w:p>
        </w:tc>
      </w:tr>
      <w:tr w:rsidR="00C653F3" w14:paraId="6361EBB8" w14:textId="77777777" w:rsidTr="00BA54AC">
        <w:tc>
          <w:tcPr>
            <w:tcW w:w="2605" w:type="dxa"/>
            <w:vAlign w:val="center"/>
          </w:tcPr>
          <w:p w14:paraId="2EA20C52" w14:textId="77777777" w:rsidR="00C653F3" w:rsidRPr="0047086C" w:rsidRDefault="00C653F3" w:rsidP="00485278">
            <w:pPr>
              <w:spacing w:before="60" w:after="60"/>
              <w:rPr>
                <w:szCs w:val="22"/>
              </w:rPr>
            </w:pPr>
            <w:r w:rsidRPr="0047086C">
              <w:rPr>
                <w:szCs w:val="22"/>
              </w:rPr>
              <w:t>Ohio</w:t>
            </w:r>
          </w:p>
        </w:tc>
        <w:tc>
          <w:tcPr>
            <w:tcW w:w="6745" w:type="dxa"/>
            <w:vAlign w:val="center"/>
          </w:tcPr>
          <w:p w14:paraId="19BF851A"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7282B213" w14:textId="77777777" w:rsidTr="00BA54AC">
        <w:tc>
          <w:tcPr>
            <w:tcW w:w="2605" w:type="dxa"/>
            <w:vAlign w:val="center"/>
          </w:tcPr>
          <w:p w14:paraId="3E9CD14E" w14:textId="77777777" w:rsidR="00C653F3" w:rsidRPr="0047086C" w:rsidRDefault="00C653F3" w:rsidP="00485278">
            <w:pPr>
              <w:spacing w:before="60" w:after="60"/>
              <w:rPr>
                <w:szCs w:val="22"/>
              </w:rPr>
            </w:pPr>
            <w:r w:rsidRPr="0047086C">
              <w:rPr>
                <w:szCs w:val="22"/>
              </w:rPr>
              <w:t>Oklahoma</w:t>
            </w:r>
          </w:p>
        </w:tc>
        <w:tc>
          <w:tcPr>
            <w:tcW w:w="6745" w:type="dxa"/>
            <w:vAlign w:val="center"/>
          </w:tcPr>
          <w:p w14:paraId="2116608D" w14:textId="5BB0C298"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Oklahoma Department of </w:t>
            </w:r>
            <w:r w:rsidR="002665B5">
              <w:rPr>
                <w:szCs w:val="22"/>
              </w:rPr>
              <w:t>Rehabilitation</w:t>
            </w:r>
            <w:r w:rsidR="002665B5" w:rsidRPr="001B1C46">
              <w:rPr>
                <w:szCs w:val="22"/>
              </w:rPr>
              <w:t xml:space="preserve"> </w:t>
            </w:r>
            <w:r w:rsidRPr="001B1C46">
              <w:rPr>
                <w:szCs w:val="22"/>
              </w:rPr>
              <w:t>Services</w:t>
            </w:r>
          </w:p>
        </w:tc>
      </w:tr>
      <w:tr w:rsidR="00C653F3" w14:paraId="100383E0" w14:textId="77777777" w:rsidTr="00BA54AC">
        <w:tc>
          <w:tcPr>
            <w:tcW w:w="2605" w:type="dxa"/>
            <w:vAlign w:val="center"/>
          </w:tcPr>
          <w:p w14:paraId="1AF66D3A" w14:textId="77777777" w:rsidR="00C653F3" w:rsidRPr="0047086C" w:rsidRDefault="00C653F3" w:rsidP="00485278">
            <w:pPr>
              <w:spacing w:before="60" w:after="60"/>
              <w:rPr>
                <w:szCs w:val="22"/>
              </w:rPr>
            </w:pPr>
            <w:r w:rsidRPr="0047086C">
              <w:rPr>
                <w:szCs w:val="22"/>
              </w:rPr>
              <w:t>Oregon</w:t>
            </w:r>
          </w:p>
        </w:tc>
        <w:tc>
          <w:tcPr>
            <w:tcW w:w="6745" w:type="dxa"/>
            <w:vAlign w:val="center"/>
          </w:tcPr>
          <w:p w14:paraId="7AC91A51"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Access Technologies, Inc.</w:t>
            </w:r>
          </w:p>
        </w:tc>
      </w:tr>
      <w:tr w:rsidR="00C653F3" w14:paraId="24CC3BD6" w14:textId="77777777" w:rsidTr="00BA54AC">
        <w:tc>
          <w:tcPr>
            <w:tcW w:w="2605" w:type="dxa"/>
            <w:vAlign w:val="center"/>
          </w:tcPr>
          <w:p w14:paraId="71E6D1F5" w14:textId="77777777" w:rsidR="00C653F3" w:rsidRPr="0047086C" w:rsidRDefault="00C653F3" w:rsidP="00485278">
            <w:pPr>
              <w:spacing w:before="60" w:after="60"/>
              <w:rPr>
                <w:szCs w:val="22"/>
              </w:rPr>
            </w:pPr>
            <w:r w:rsidRPr="0047086C">
              <w:rPr>
                <w:szCs w:val="22"/>
              </w:rPr>
              <w:t>Pennsylvania</w:t>
            </w:r>
          </w:p>
        </w:tc>
        <w:tc>
          <w:tcPr>
            <w:tcW w:w="6745" w:type="dxa"/>
            <w:vAlign w:val="center"/>
          </w:tcPr>
          <w:p w14:paraId="3F119CF0"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Institute on Disabilities – Temple University </w:t>
            </w:r>
          </w:p>
          <w:p w14:paraId="21BE839F" w14:textId="77777777" w:rsidR="00454A07"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Center for Independent Living</w:t>
            </w:r>
            <w:r w:rsidR="00A724B0" w:rsidRPr="001B1C46">
              <w:rPr>
                <w:szCs w:val="22"/>
              </w:rPr>
              <w:t xml:space="preserve"> of Central Pennsylvania</w:t>
            </w:r>
          </w:p>
        </w:tc>
      </w:tr>
      <w:tr w:rsidR="00C653F3" w14:paraId="64D03AE2" w14:textId="77777777" w:rsidTr="00BA54AC">
        <w:tc>
          <w:tcPr>
            <w:tcW w:w="2605" w:type="dxa"/>
            <w:vAlign w:val="center"/>
          </w:tcPr>
          <w:p w14:paraId="4A2048BF" w14:textId="77777777" w:rsidR="00C653F3" w:rsidRPr="0047086C" w:rsidRDefault="00C653F3" w:rsidP="00485278">
            <w:pPr>
              <w:spacing w:before="60" w:after="60"/>
              <w:rPr>
                <w:szCs w:val="22"/>
              </w:rPr>
            </w:pPr>
            <w:r w:rsidRPr="0047086C">
              <w:rPr>
                <w:szCs w:val="22"/>
              </w:rPr>
              <w:t>Rhode Island</w:t>
            </w:r>
          </w:p>
        </w:tc>
        <w:tc>
          <w:tcPr>
            <w:tcW w:w="6745" w:type="dxa"/>
            <w:vAlign w:val="center"/>
          </w:tcPr>
          <w:p w14:paraId="5393B694"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57090936" w14:textId="77777777" w:rsidTr="00BA54AC">
        <w:tc>
          <w:tcPr>
            <w:tcW w:w="2605" w:type="dxa"/>
            <w:vAlign w:val="center"/>
          </w:tcPr>
          <w:p w14:paraId="236FD841" w14:textId="77777777" w:rsidR="00C653F3" w:rsidRPr="0047086C" w:rsidRDefault="00C653F3" w:rsidP="00485278">
            <w:pPr>
              <w:spacing w:before="60" w:after="60"/>
              <w:rPr>
                <w:szCs w:val="22"/>
              </w:rPr>
            </w:pPr>
            <w:r w:rsidRPr="0047086C">
              <w:rPr>
                <w:szCs w:val="22"/>
              </w:rPr>
              <w:t>South Carolina</w:t>
            </w:r>
          </w:p>
        </w:tc>
        <w:tc>
          <w:tcPr>
            <w:tcW w:w="6745" w:type="dxa"/>
            <w:vAlign w:val="center"/>
          </w:tcPr>
          <w:p w14:paraId="14C7FB86"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3B40D040" w14:textId="77777777" w:rsidTr="00BA54AC">
        <w:tc>
          <w:tcPr>
            <w:tcW w:w="2605" w:type="dxa"/>
            <w:vAlign w:val="center"/>
          </w:tcPr>
          <w:p w14:paraId="10B34C0A" w14:textId="77777777" w:rsidR="00C653F3" w:rsidRPr="0047086C" w:rsidRDefault="00C653F3" w:rsidP="00485278">
            <w:pPr>
              <w:spacing w:before="60" w:after="60"/>
              <w:rPr>
                <w:szCs w:val="22"/>
              </w:rPr>
            </w:pPr>
            <w:r w:rsidRPr="0047086C">
              <w:rPr>
                <w:szCs w:val="22"/>
              </w:rPr>
              <w:t>South Dakota</w:t>
            </w:r>
          </w:p>
        </w:tc>
        <w:tc>
          <w:tcPr>
            <w:tcW w:w="6745" w:type="dxa"/>
            <w:vAlign w:val="center"/>
          </w:tcPr>
          <w:p w14:paraId="4978D2EE" w14:textId="77777777" w:rsidR="00C653F3" w:rsidRPr="001B1C46" w:rsidRDefault="00454A07"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South Dakota Department of Human Services</w:t>
            </w:r>
          </w:p>
        </w:tc>
      </w:tr>
      <w:tr w:rsidR="00C653F3" w14:paraId="1AD49061" w14:textId="77777777" w:rsidTr="00BA54AC">
        <w:tc>
          <w:tcPr>
            <w:tcW w:w="2605" w:type="dxa"/>
            <w:vAlign w:val="center"/>
          </w:tcPr>
          <w:p w14:paraId="4081EE48" w14:textId="77777777" w:rsidR="00C653F3" w:rsidRPr="0047086C" w:rsidRDefault="00C653F3" w:rsidP="00485278">
            <w:pPr>
              <w:spacing w:before="60" w:after="60"/>
              <w:rPr>
                <w:szCs w:val="22"/>
              </w:rPr>
            </w:pPr>
            <w:r w:rsidRPr="0047086C">
              <w:rPr>
                <w:szCs w:val="22"/>
              </w:rPr>
              <w:t>Tennessee</w:t>
            </w:r>
          </w:p>
        </w:tc>
        <w:tc>
          <w:tcPr>
            <w:tcW w:w="6745" w:type="dxa"/>
            <w:vAlign w:val="center"/>
          </w:tcPr>
          <w:p w14:paraId="539F217D"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Tennessee Public Utility Commission</w:t>
            </w:r>
          </w:p>
        </w:tc>
      </w:tr>
      <w:tr w:rsidR="00C653F3" w14:paraId="26E241C8" w14:textId="77777777" w:rsidTr="00BA54AC">
        <w:tc>
          <w:tcPr>
            <w:tcW w:w="2605" w:type="dxa"/>
            <w:vAlign w:val="center"/>
          </w:tcPr>
          <w:p w14:paraId="67B39627" w14:textId="77777777" w:rsidR="00C653F3" w:rsidRPr="0047086C" w:rsidRDefault="00C653F3" w:rsidP="00485278">
            <w:pPr>
              <w:spacing w:before="60" w:after="60"/>
              <w:rPr>
                <w:szCs w:val="22"/>
              </w:rPr>
            </w:pPr>
            <w:r w:rsidRPr="0047086C">
              <w:rPr>
                <w:szCs w:val="22"/>
              </w:rPr>
              <w:t>Texas</w:t>
            </w:r>
          </w:p>
        </w:tc>
        <w:tc>
          <w:tcPr>
            <w:tcW w:w="6745" w:type="dxa"/>
            <w:vAlign w:val="center"/>
          </w:tcPr>
          <w:p w14:paraId="6F9449DB"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65E8F686" w14:textId="77777777" w:rsidTr="00BA54AC">
        <w:tc>
          <w:tcPr>
            <w:tcW w:w="2605" w:type="dxa"/>
            <w:vAlign w:val="center"/>
          </w:tcPr>
          <w:p w14:paraId="51026CCC" w14:textId="77777777" w:rsidR="00C653F3" w:rsidRPr="0047086C" w:rsidRDefault="00C653F3" w:rsidP="00485278">
            <w:pPr>
              <w:spacing w:before="60" w:after="60"/>
              <w:rPr>
                <w:szCs w:val="22"/>
              </w:rPr>
            </w:pPr>
            <w:r w:rsidRPr="0047086C">
              <w:rPr>
                <w:szCs w:val="22"/>
              </w:rPr>
              <w:t>Utah</w:t>
            </w:r>
          </w:p>
        </w:tc>
        <w:tc>
          <w:tcPr>
            <w:tcW w:w="6745" w:type="dxa"/>
            <w:vAlign w:val="center"/>
          </w:tcPr>
          <w:p w14:paraId="6514B176"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7F6F08F2" w14:textId="77777777" w:rsidTr="00BA54AC">
        <w:tc>
          <w:tcPr>
            <w:tcW w:w="2605" w:type="dxa"/>
            <w:vAlign w:val="center"/>
          </w:tcPr>
          <w:p w14:paraId="354659C8" w14:textId="77777777" w:rsidR="00C653F3" w:rsidRPr="0047086C" w:rsidRDefault="00C653F3" w:rsidP="00485278">
            <w:pPr>
              <w:spacing w:before="60" w:after="60"/>
              <w:rPr>
                <w:szCs w:val="22"/>
              </w:rPr>
            </w:pPr>
            <w:r w:rsidRPr="0047086C">
              <w:rPr>
                <w:szCs w:val="22"/>
              </w:rPr>
              <w:t>Vermont</w:t>
            </w:r>
          </w:p>
        </w:tc>
        <w:tc>
          <w:tcPr>
            <w:tcW w:w="6745" w:type="dxa"/>
            <w:vAlign w:val="center"/>
          </w:tcPr>
          <w:p w14:paraId="66EF2518"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25BF9A72" w14:textId="77777777" w:rsidTr="00BA54AC">
        <w:tc>
          <w:tcPr>
            <w:tcW w:w="2605" w:type="dxa"/>
            <w:vAlign w:val="center"/>
          </w:tcPr>
          <w:p w14:paraId="61B71616" w14:textId="77777777" w:rsidR="00C653F3" w:rsidRPr="0047086C" w:rsidRDefault="00C653F3" w:rsidP="00485278">
            <w:pPr>
              <w:spacing w:before="60" w:after="60"/>
              <w:rPr>
                <w:szCs w:val="22"/>
              </w:rPr>
            </w:pPr>
            <w:r w:rsidRPr="0047086C">
              <w:rPr>
                <w:szCs w:val="22"/>
              </w:rPr>
              <w:t>Virginia</w:t>
            </w:r>
          </w:p>
        </w:tc>
        <w:tc>
          <w:tcPr>
            <w:tcW w:w="6745" w:type="dxa"/>
            <w:vAlign w:val="center"/>
          </w:tcPr>
          <w:p w14:paraId="47D732AB"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53E9D5A7" w14:textId="77777777" w:rsidTr="00BA54AC">
        <w:tc>
          <w:tcPr>
            <w:tcW w:w="2605" w:type="dxa"/>
            <w:vAlign w:val="center"/>
          </w:tcPr>
          <w:p w14:paraId="4294D677" w14:textId="77777777" w:rsidR="00C653F3" w:rsidRPr="0047086C" w:rsidRDefault="00C653F3" w:rsidP="00485278">
            <w:pPr>
              <w:spacing w:before="60" w:after="60"/>
              <w:rPr>
                <w:szCs w:val="22"/>
              </w:rPr>
            </w:pPr>
            <w:r w:rsidRPr="0047086C">
              <w:rPr>
                <w:szCs w:val="22"/>
              </w:rPr>
              <w:t>Washington</w:t>
            </w:r>
          </w:p>
        </w:tc>
        <w:tc>
          <w:tcPr>
            <w:tcW w:w="6745" w:type="dxa"/>
            <w:vAlign w:val="center"/>
          </w:tcPr>
          <w:p w14:paraId="62F45EE8"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384497A7" w14:textId="77777777" w:rsidTr="00BA54AC">
        <w:tc>
          <w:tcPr>
            <w:tcW w:w="2605" w:type="dxa"/>
            <w:vAlign w:val="center"/>
          </w:tcPr>
          <w:p w14:paraId="4CB64CAC" w14:textId="77777777" w:rsidR="00C653F3" w:rsidRPr="0047086C" w:rsidRDefault="00C653F3" w:rsidP="00485278">
            <w:pPr>
              <w:spacing w:before="60" w:after="60"/>
              <w:rPr>
                <w:szCs w:val="22"/>
              </w:rPr>
            </w:pPr>
            <w:r w:rsidRPr="0047086C">
              <w:rPr>
                <w:szCs w:val="22"/>
              </w:rPr>
              <w:t>West Virginia</w:t>
            </w:r>
          </w:p>
        </w:tc>
        <w:tc>
          <w:tcPr>
            <w:tcW w:w="6745" w:type="dxa"/>
            <w:vAlign w:val="center"/>
          </w:tcPr>
          <w:p w14:paraId="08A836A2"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6613036A" w14:textId="77777777" w:rsidTr="00BA54AC">
        <w:tc>
          <w:tcPr>
            <w:tcW w:w="2605" w:type="dxa"/>
            <w:vAlign w:val="center"/>
          </w:tcPr>
          <w:p w14:paraId="3A7AC15A" w14:textId="77777777" w:rsidR="00C653F3" w:rsidRPr="0047086C" w:rsidRDefault="00C653F3" w:rsidP="00485278">
            <w:pPr>
              <w:spacing w:before="60" w:after="60"/>
              <w:rPr>
                <w:szCs w:val="22"/>
              </w:rPr>
            </w:pPr>
            <w:r w:rsidRPr="0047086C">
              <w:rPr>
                <w:szCs w:val="22"/>
              </w:rPr>
              <w:t>Wisconsin</w:t>
            </w:r>
          </w:p>
        </w:tc>
        <w:tc>
          <w:tcPr>
            <w:tcW w:w="6745" w:type="dxa"/>
            <w:vAlign w:val="center"/>
          </w:tcPr>
          <w:p w14:paraId="125871D0" w14:textId="77777777" w:rsidR="00C653F3" w:rsidRPr="001B1C46" w:rsidRDefault="00A724B0"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Wisconsin</w:t>
            </w:r>
            <w:r w:rsidR="00532634" w:rsidRPr="001B1C46">
              <w:rPr>
                <w:szCs w:val="22"/>
              </w:rPr>
              <w:t xml:space="preserve"> Department of Health Services</w:t>
            </w:r>
          </w:p>
        </w:tc>
      </w:tr>
      <w:tr w:rsidR="00C653F3" w14:paraId="26336710" w14:textId="77777777" w:rsidTr="00BA54AC">
        <w:tc>
          <w:tcPr>
            <w:tcW w:w="2605" w:type="dxa"/>
            <w:vAlign w:val="center"/>
          </w:tcPr>
          <w:p w14:paraId="0276E4F6" w14:textId="77777777" w:rsidR="00C653F3" w:rsidRPr="0047086C" w:rsidRDefault="00C653F3" w:rsidP="00485278">
            <w:pPr>
              <w:spacing w:before="60" w:after="60"/>
              <w:rPr>
                <w:szCs w:val="22"/>
              </w:rPr>
            </w:pPr>
            <w:r w:rsidRPr="0047086C">
              <w:rPr>
                <w:szCs w:val="22"/>
              </w:rPr>
              <w:t>Wyoming</w:t>
            </w:r>
          </w:p>
        </w:tc>
        <w:tc>
          <w:tcPr>
            <w:tcW w:w="6745" w:type="dxa"/>
            <w:vAlign w:val="center"/>
          </w:tcPr>
          <w:p w14:paraId="263A509D" w14:textId="77777777" w:rsidR="00C653F3" w:rsidRPr="001B1C46" w:rsidRDefault="00532634"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Wyoming Institute for Disabilities – University of Wyoming</w:t>
            </w:r>
          </w:p>
        </w:tc>
      </w:tr>
      <w:tr w:rsidR="00C653F3" w14:paraId="5C6161D8" w14:textId="77777777" w:rsidTr="00BA54AC">
        <w:tc>
          <w:tcPr>
            <w:tcW w:w="2605" w:type="dxa"/>
            <w:vAlign w:val="center"/>
          </w:tcPr>
          <w:p w14:paraId="1D059AFE" w14:textId="785F2D5F" w:rsidR="00C653F3" w:rsidRPr="00DA5574" w:rsidRDefault="00CE14D7" w:rsidP="00DA5574">
            <w:pPr>
              <w:spacing w:before="60" w:after="60"/>
              <w:jc w:val="center"/>
              <w:rPr>
                <w:b/>
                <w:szCs w:val="22"/>
              </w:rPr>
            </w:pPr>
            <w:r>
              <w:rPr>
                <w:b/>
                <w:szCs w:val="22"/>
              </w:rPr>
              <w:t>Other Jurisdiction</w:t>
            </w:r>
          </w:p>
        </w:tc>
        <w:tc>
          <w:tcPr>
            <w:tcW w:w="6745" w:type="dxa"/>
            <w:vAlign w:val="center"/>
          </w:tcPr>
          <w:p w14:paraId="7B17D55E" w14:textId="7A35ADF3" w:rsidR="00C653F3" w:rsidRPr="00DA5574" w:rsidRDefault="00CE14D7" w:rsidP="00DA5574">
            <w:pPr>
              <w:pStyle w:val="ListParagraph"/>
              <w:tabs>
                <w:tab w:val="left" w:pos="9990"/>
              </w:tabs>
              <w:autoSpaceDE w:val="0"/>
              <w:autoSpaceDN w:val="0"/>
              <w:adjustRightInd w:val="0"/>
              <w:spacing w:before="60" w:after="60"/>
              <w:ind w:left="-108"/>
              <w:contextualSpacing w:val="0"/>
              <w:jc w:val="center"/>
              <w:rPr>
                <w:b/>
                <w:szCs w:val="22"/>
              </w:rPr>
            </w:pPr>
            <w:r w:rsidRPr="00DA5574">
              <w:rPr>
                <w:b/>
                <w:szCs w:val="22"/>
              </w:rPr>
              <w:t>Applicants</w:t>
            </w:r>
          </w:p>
        </w:tc>
      </w:tr>
      <w:tr w:rsidR="00C653F3" w14:paraId="2DF2F62A" w14:textId="77777777" w:rsidTr="00BA54AC">
        <w:tc>
          <w:tcPr>
            <w:tcW w:w="2605" w:type="dxa"/>
            <w:vAlign w:val="center"/>
          </w:tcPr>
          <w:p w14:paraId="1EF38E7C" w14:textId="77777777" w:rsidR="00C653F3" w:rsidRPr="0047086C" w:rsidRDefault="00C653F3" w:rsidP="00485278">
            <w:pPr>
              <w:spacing w:before="60" w:after="60"/>
              <w:rPr>
                <w:szCs w:val="22"/>
              </w:rPr>
            </w:pPr>
            <w:r w:rsidRPr="0047086C">
              <w:rPr>
                <w:szCs w:val="22"/>
              </w:rPr>
              <w:t>District of Columbia</w:t>
            </w:r>
          </w:p>
        </w:tc>
        <w:tc>
          <w:tcPr>
            <w:tcW w:w="6745" w:type="dxa"/>
            <w:vAlign w:val="center"/>
          </w:tcPr>
          <w:p w14:paraId="00ADFDEC" w14:textId="77777777" w:rsidR="00C653F3"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Columbia Lighthouse for the Blind</w:t>
            </w:r>
          </w:p>
        </w:tc>
      </w:tr>
      <w:tr w:rsidR="007854C0" w14:paraId="21889FE5" w14:textId="77777777" w:rsidTr="00BA54AC">
        <w:tc>
          <w:tcPr>
            <w:tcW w:w="2605" w:type="dxa"/>
            <w:vAlign w:val="center"/>
          </w:tcPr>
          <w:p w14:paraId="5CDA8246" w14:textId="77777777" w:rsidR="007854C0" w:rsidRPr="0047086C" w:rsidRDefault="007854C0" w:rsidP="00485278">
            <w:pPr>
              <w:spacing w:before="60" w:after="60"/>
              <w:rPr>
                <w:szCs w:val="22"/>
              </w:rPr>
            </w:pPr>
            <w:r w:rsidRPr="007854C0">
              <w:rPr>
                <w:szCs w:val="22"/>
              </w:rPr>
              <w:t>American Samoa</w:t>
            </w:r>
          </w:p>
        </w:tc>
        <w:tc>
          <w:tcPr>
            <w:tcW w:w="6745" w:type="dxa"/>
            <w:vAlign w:val="center"/>
          </w:tcPr>
          <w:p w14:paraId="45C494AE" w14:textId="77777777" w:rsidR="007854C0"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4C1585" w14:paraId="137C2AF4" w14:textId="77777777" w:rsidTr="00D64C6E">
        <w:tc>
          <w:tcPr>
            <w:tcW w:w="2605" w:type="dxa"/>
            <w:vAlign w:val="center"/>
          </w:tcPr>
          <w:p w14:paraId="228B7CB8" w14:textId="1E5179A7" w:rsidR="004C1585" w:rsidRPr="0047086C" w:rsidRDefault="00CE14D7" w:rsidP="00D64C6E">
            <w:pPr>
              <w:keepNext/>
              <w:keepLines/>
              <w:widowControl/>
              <w:spacing w:before="60" w:after="60"/>
              <w:jc w:val="center"/>
              <w:rPr>
                <w:b/>
                <w:bCs/>
                <w:szCs w:val="22"/>
              </w:rPr>
            </w:pPr>
            <w:r>
              <w:rPr>
                <w:b/>
                <w:bCs/>
                <w:szCs w:val="22"/>
              </w:rPr>
              <w:t>Other Jurisdiction</w:t>
            </w:r>
          </w:p>
        </w:tc>
        <w:tc>
          <w:tcPr>
            <w:tcW w:w="6745" w:type="dxa"/>
          </w:tcPr>
          <w:p w14:paraId="5C3C61AE" w14:textId="77777777" w:rsidR="004C1585" w:rsidRPr="001B1C46" w:rsidRDefault="004C1585" w:rsidP="00D64C6E">
            <w:pPr>
              <w:pStyle w:val="ListParagraph"/>
              <w:keepNext/>
              <w:keepLines/>
              <w:widowControl/>
              <w:spacing w:before="60" w:after="60"/>
              <w:ind w:left="-108"/>
              <w:contextualSpacing w:val="0"/>
              <w:jc w:val="center"/>
              <w:rPr>
                <w:szCs w:val="22"/>
              </w:rPr>
            </w:pPr>
            <w:r w:rsidRPr="001B1C46">
              <w:rPr>
                <w:b/>
                <w:bCs/>
                <w:szCs w:val="22"/>
              </w:rPr>
              <w:t>Applicants</w:t>
            </w:r>
          </w:p>
        </w:tc>
      </w:tr>
      <w:tr w:rsidR="007854C0" w14:paraId="5E9E1A6B" w14:textId="77777777" w:rsidTr="00BA54AC">
        <w:tc>
          <w:tcPr>
            <w:tcW w:w="2605" w:type="dxa"/>
            <w:vAlign w:val="center"/>
          </w:tcPr>
          <w:p w14:paraId="116ACF03" w14:textId="77777777" w:rsidR="007854C0" w:rsidRPr="0047086C" w:rsidRDefault="007854C0" w:rsidP="00485278">
            <w:pPr>
              <w:spacing w:before="60" w:after="60"/>
              <w:rPr>
                <w:szCs w:val="22"/>
              </w:rPr>
            </w:pPr>
            <w:r>
              <w:rPr>
                <w:szCs w:val="22"/>
              </w:rPr>
              <w:t>Guam</w:t>
            </w:r>
          </w:p>
        </w:tc>
        <w:tc>
          <w:tcPr>
            <w:tcW w:w="6745" w:type="dxa"/>
            <w:vAlign w:val="center"/>
          </w:tcPr>
          <w:p w14:paraId="4994701E" w14:textId="77777777" w:rsidR="007854C0"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7854C0" w14:paraId="4037FF38" w14:textId="77777777" w:rsidTr="00BA54AC">
        <w:tc>
          <w:tcPr>
            <w:tcW w:w="2605" w:type="dxa"/>
            <w:vAlign w:val="center"/>
          </w:tcPr>
          <w:p w14:paraId="72686DCF" w14:textId="77777777" w:rsidR="007854C0" w:rsidRDefault="007854C0" w:rsidP="00485278">
            <w:pPr>
              <w:spacing w:before="60" w:after="60"/>
              <w:rPr>
                <w:szCs w:val="22"/>
              </w:rPr>
            </w:pPr>
            <w:r w:rsidRPr="007854C0">
              <w:rPr>
                <w:szCs w:val="22"/>
              </w:rPr>
              <w:t>Northern Mariana Islands</w:t>
            </w:r>
          </w:p>
        </w:tc>
        <w:tc>
          <w:tcPr>
            <w:tcW w:w="6745" w:type="dxa"/>
            <w:vAlign w:val="center"/>
          </w:tcPr>
          <w:p w14:paraId="2B499077" w14:textId="77777777" w:rsidR="007854C0"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rsidR="00C653F3" w14:paraId="70F9E75B" w14:textId="77777777" w:rsidTr="00BA54AC">
        <w:tc>
          <w:tcPr>
            <w:tcW w:w="2605" w:type="dxa"/>
            <w:vAlign w:val="center"/>
          </w:tcPr>
          <w:p w14:paraId="3F46E6F4" w14:textId="77777777" w:rsidR="00C653F3" w:rsidRPr="0047086C" w:rsidRDefault="00C653F3" w:rsidP="00485278">
            <w:pPr>
              <w:spacing w:before="60" w:after="60"/>
              <w:rPr>
                <w:szCs w:val="22"/>
              </w:rPr>
            </w:pPr>
            <w:r w:rsidRPr="0047086C">
              <w:rPr>
                <w:szCs w:val="22"/>
              </w:rPr>
              <w:t>Puerto Rico</w:t>
            </w:r>
          </w:p>
        </w:tc>
        <w:tc>
          <w:tcPr>
            <w:tcW w:w="6745" w:type="dxa"/>
            <w:vAlign w:val="center"/>
          </w:tcPr>
          <w:p w14:paraId="1E16EFCA" w14:textId="77777777" w:rsidR="00C653F3"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rsidR="00C653F3" w14:paraId="430FF12F" w14:textId="77777777" w:rsidTr="00BA54AC">
        <w:tc>
          <w:tcPr>
            <w:tcW w:w="2605" w:type="dxa"/>
            <w:vAlign w:val="center"/>
          </w:tcPr>
          <w:p w14:paraId="3E2D7922" w14:textId="77777777" w:rsidR="00C653F3" w:rsidRPr="0047086C" w:rsidRDefault="00C653F3" w:rsidP="00485278">
            <w:pPr>
              <w:spacing w:before="60" w:after="60"/>
              <w:rPr>
                <w:szCs w:val="22"/>
              </w:rPr>
            </w:pPr>
            <w:r w:rsidRPr="0047086C">
              <w:rPr>
                <w:szCs w:val="22"/>
              </w:rPr>
              <w:t>U.S. Virgin Islands</w:t>
            </w:r>
          </w:p>
        </w:tc>
        <w:tc>
          <w:tcPr>
            <w:tcW w:w="6745" w:type="dxa"/>
            <w:vAlign w:val="center"/>
          </w:tcPr>
          <w:p w14:paraId="718CD68E" w14:textId="77777777" w:rsidR="00C653F3" w:rsidRPr="001B1C46" w:rsidRDefault="006A44FA" w:rsidP="0048527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bl>
    <w:p w14:paraId="55A46B9E" w14:textId="77777777" w:rsidR="00A104C2" w:rsidRDefault="00A104C2" w:rsidP="00A104C2">
      <w:pPr>
        <w:tabs>
          <w:tab w:val="left" w:pos="720"/>
          <w:tab w:val="left" w:pos="9990"/>
        </w:tabs>
        <w:autoSpaceDE w:val="0"/>
        <w:autoSpaceDN w:val="0"/>
        <w:adjustRightInd w:val="0"/>
        <w:spacing w:after="120"/>
        <w:rPr>
          <w:szCs w:val="22"/>
        </w:rPr>
      </w:pPr>
    </w:p>
    <w:p w14:paraId="5C8700C9" w14:textId="61EEDA87" w:rsidR="0034754E" w:rsidRPr="000B5742" w:rsidRDefault="007854C0" w:rsidP="00C258C5">
      <w:pPr>
        <w:widowControl/>
        <w:tabs>
          <w:tab w:val="left" w:pos="720"/>
          <w:tab w:val="left" w:pos="9990"/>
        </w:tabs>
        <w:autoSpaceDE w:val="0"/>
        <w:autoSpaceDN w:val="0"/>
        <w:adjustRightInd w:val="0"/>
        <w:spacing w:after="120"/>
        <w:rPr>
          <w:szCs w:val="22"/>
        </w:rPr>
      </w:pPr>
      <w:r>
        <w:rPr>
          <w:szCs w:val="22"/>
        </w:rPr>
        <w:tab/>
      </w:r>
      <w:r w:rsidR="0034754E" w:rsidRPr="000B5742">
        <w:rPr>
          <w:b/>
          <w:bCs/>
          <w:szCs w:val="22"/>
        </w:rPr>
        <w:t>ACCESSIBLE FORMATS</w:t>
      </w:r>
      <w:r w:rsidR="0034754E" w:rsidRPr="000B5742">
        <w:rPr>
          <w:b/>
          <w:szCs w:val="22"/>
        </w:rPr>
        <w:t>:</w:t>
      </w:r>
      <w:r w:rsidR="0034754E" w:rsidRPr="000B5742">
        <w:rPr>
          <w:szCs w:val="22"/>
        </w:rPr>
        <w:t xml:space="preserve">  To request materials in accessible formats for people with disabilities (Braille, large print, electronic files, audio format), send an e-mail to </w:t>
      </w:r>
      <w:r w:rsidR="0034754E" w:rsidRPr="000B5742">
        <w:rPr>
          <w:color w:val="0000FF"/>
          <w:szCs w:val="22"/>
          <w:u w:val="single"/>
        </w:rPr>
        <w:t>fcc504@fcc.gov</w:t>
      </w:r>
      <w:r w:rsidR="0034754E" w:rsidRPr="000B5742">
        <w:rPr>
          <w:szCs w:val="22"/>
        </w:rPr>
        <w:t xml:space="preserve"> or call the Consumer and Governmental Affairs Bureau at 202-418-0530 (voice), 202-418-0432 (TTY).</w:t>
      </w:r>
    </w:p>
    <w:p w14:paraId="4235F423" w14:textId="2C1D71C5" w:rsidR="0034754E" w:rsidRPr="000B5742" w:rsidRDefault="0034754E" w:rsidP="0034754E">
      <w:pPr>
        <w:autoSpaceDE w:val="0"/>
        <w:autoSpaceDN w:val="0"/>
        <w:adjustRightInd w:val="0"/>
        <w:spacing w:after="120"/>
        <w:ind w:firstLine="720"/>
        <w:rPr>
          <w:szCs w:val="22"/>
        </w:rPr>
      </w:pPr>
      <w:r w:rsidRPr="000B5742">
        <w:rPr>
          <w:b/>
          <w:szCs w:val="22"/>
        </w:rPr>
        <w:t>FOR FURTHER INFORMATION</w:t>
      </w:r>
      <w:r w:rsidR="00EC03F9">
        <w:rPr>
          <w:b/>
          <w:szCs w:val="22"/>
        </w:rPr>
        <w:t>:</w:t>
      </w:r>
      <w:r w:rsidRPr="000B5742">
        <w:rPr>
          <w:szCs w:val="22"/>
        </w:rPr>
        <w:t xml:space="preserve">  </w:t>
      </w:r>
      <w:r w:rsidR="00EC03F9">
        <w:rPr>
          <w:szCs w:val="22"/>
        </w:rPr>
        <w:t xml:space="preserve">Contact </w:t>
      </w:r>
      <w:r w:rsidRPr="000B5742">
        <w:rPr>
          <w:szCs w:val="22"/>
        </w:rPr>
        <w:t xml:space="preserve">Jackie Ellington, Disability Rights Office, Consumer and Governmental Affairs Bureau, 202-418-1153, e-mail </w:t>
      </w:r>
      <w:hyperlink r:id="rId8" w:history="1">
        <w:r w:rsidRPr="000B5742">
          <w:rPr>
            <w:rStyle w:val="Hyperlink"/>
            <w:szCs w:val="22"/>
          </w:rPr>
          <w:t>Jackie.Ellington@fcc.gov</w:t>
        </w:r>
      </w:hyperlink>
      <w:r w:rsidRPr="000B5742">
        <w:rPr>
          <w:szCs w:val="22"/>
        </w:rPr>
        <w:t>; or Rosaline Crawford, Disability Rights Office, Consumer and Governmental Affairs Bureau, 202</w:t>
      </w:r>
      <w:r w:rsidRPr="000B5742">
        <w:rPr>
          <w:szCs w:val="22"/>
        </w:rPr>
        <w:noBreakHyphen/>
        <w:t>418</w:t>
      </w:r>
      <w:r w:rsidRPr="000B5742">
        <w:rPr>
          <w:szCs w:val="22"/>
        </w:rPr>
        <w:noBreakHyphen/>
        <w:t xml:space="preserve">2075, e-mail </w:t>
      </w:r>
      <w:hyperlink r:id="rId9" w:history="1">
        <w:r w:rsidRPr="000B5742">
          <w:rPr>
            <w:rStyle w:val="Hyperlink"/>
            <w:szCs w:val="22"/>
          </w:rPr>
          <w:t>Rosaline.Crawford@fcc.gov</w:t>
        </w:r>
      </w:hyperlink>
      <w:r w:rsidRPr="000B5742">
        <w:rPr>
          <w:szCs w:val="22"/>
        </w:rPr>
        <w:t>.</w:t>
      </w:r>
    </w:p>
    <w:p w14:paraId="2AE3C9BE" w14:textId="77777777" w:rsidR="0034754E" w:rsidRPr="000B5742" w:rsidRDefault="0034754E" w:rsidP="0034754E">
      <w:pPr>
        <w:tabs>
          <w:tab w:val="left" w:pos="720"/>
          <w:tab w:val="left" w:pos="9990"/>
        </w:tabs>
        <w:autoSpaceDE w:val="0"/>
        <w:autoSpaceDN w:val="0"/>
        <w:adjustRightInd w:val="0"/>
        <w:spacing w:after="120"/>
        <w:jc w:val="center"/>
        <w:rPr>
          <w:szCs w:val="22"/>
        </w:rPr>
      </w:pPr>
      <w:r w:rsidRPr="000B5742">
        <w:rPr>
          <w:szCs w:val="22"/>
        </w:rPr>
        <w:t>-FCC-</w:t>
      </w:r>
    </w:p>
    <w:p w14:paraId="7FBF4E7E" w14:textId="77777777" w:rsidR="006A1F49" w:rsidRDefault="006A1F49" w:rsidP="00D47505">
      <w:pPr>
        <w:spacing w:before="120" w:after="240"/>
        <w:rPr>
          <w:sz w:val="24"/>
        </w:rPr>
      </w:pPr>
    </w:p>
    <w:sectPr w:rsidR="006A1F49" w:rsidSect="00D5293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93728" w14:textId="77777777" w:rsidR="00AB1243" w:rsidRDefault="00AB1243">
      <w:pPr>
        <w:spacing w:line="20" w:lineRule="exact"/>
      </w:pPr>
    </w:p>
  </w:endnote>
  <w:endnote w:type="continuationSeparator" w:id="0">
    <w:p w14:paraId="0DBB1CC3" w14:textId="77777777" w:rsidR="00AB1243" w:rsidRDefault="00AB1243">
      <w:r>
        <w:t xml:space="preserve"> </w:t>
      </w:r>
    </w:p>
  </w:endnote>
  <w:endnote w:type="continuationNotice" w:id="1">
    <w:p w14:paraId="0121B66A" w14:textId="77777777" w:rsidR="00AB1243" w:rsidRDefault="00AB12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3EB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D19D379" w14:textId="77777777" w:rsidR="00D25FB5" w:rsidRDefault="00D25FB5">
    <w:pPr>
      <w:pStyle w:val="Footer"/>
    </w:pPr>
  </w:p>
  <w:p w14:paraId="32D2715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FB3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2AEC">
      <w:rPr>
        <w:noProof/>
      </w:rPr>
      <w:t>2</w:t>
    </w:r>
    <w:r>
      <w:fldChar w:fldCharType="end"/>
    </w:r>
  </w:p>
  <w:p w14:paraId="20DF03C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D428"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FC753" w14:textId="77777777" w:rsidR="00AB1243" w:rsidRDefault="00AB1243">
      <w:r>
        <w:separator/>
      </w:r>
    </w:p>
  </w:footnote>
  <w:footnote w:type="continuationSeparator" w:id="0">
    <w:p w14:paraId="0F3BAD3F" w14:textId="77777777" w:rsidR="00AB1243" w:rsidRDefault="00AB1243" w:rsidP="00C721AC">
      <w:pPr>
        <w:spacing w:before="120"/>
        <w:rPr>
          <w:sz w:val="20"/>
        </w:rPr>
      </w:pPr>
      <w:r>
        <w:rPr>
          <w:sz w:val="20"/>
        </w:rPr>
        <w:t xml:space="preserve">(Continued from previous page)  </w:t>
      </w:r>
      <w:r>
        <w:rPr>
          <w:sz w:val="20"/>
        </w:rPr>
        <w:separator/>
      </w:r>
    </w:p>
  </w:footnote>
  <w:footnote w:type="continuationNotice" w:id="1">
    <w:p w14:paraId="55C66B4A" w14:textId="77777777" w:rsidR="00AB1243" w:rsidRDefault="00AB1243" w:rsidP="00C721AC">
      <w:pPr>
        <w:jc w:val="right"/>
        <w:rPr>
          <w:sz w:val="20"/>
        </w:rPr>
      </w:pPr>
      <w:r>
        <w:rPr>
          <w:sz w:val="20"/>
        </w:rPr>
        <w:t>(continued….)</w:t>
      </w:r>
    </w:p>
  </w:footnote>
  <w:footnote w:id="2">
    <w:p w14:paraId="2EBFD438" w14:textId="2B096F38" w:rsidR="0034754E" w:rsidRDefault="0034754E" w:rsidP="0034754E">
      <w:pPr>
        <w:pStyle w:val="FootnoteText"/>
      </w:pPr>
      <w:r>
        <w:rPr>
          <w:rStyle w:val="FootnoteReference"/>
        </w:rPr>
        <w:footnoteRef/>
      </w:r>
      <w:r>
        <w:t xml:space="preserve"> </w:t>
      </w:r>
      <w:r w:rsidR="003079F7" w:rsidRPr="009551AA">
        <w:rPr>
          <w:i/>
        </w:rPr>
        <w:t>Implementation of the Twenty-First Century Communications and Video Accessibility Act of 2010, Section 105, Relay Services for Deaf-Blind Individuals</w:t>
      </w:r>
      <w:r w:rsidR="003079F7" w:rsidRPr="009551AA">
        <w:t>, Report and Order, 31 FCC Rcd 9178 (2016) (</w:t>
      </w:r>
      <w:r w:rsidR="003079F7" w:rsidRPr="009551AA">
        <w:rPr>
          <w:i/>
        </w:rPr>
        <w:t>NDBEDP Permanent Program Order</w:t>
      </w:r>
      <w:r w:rsidR="003079F7" w:rsidRPr="009551AA">
        <w:t>)</w:t>
      </w:r>
      <w:r w:rsidR="003079F7" w:rsidRPr="002446A4">
        <w:t xml:space="preserve">; </w:t>
      </w:r>
      <w:r w:rsidR="003079F7" w:rsidRPr="002446A4">
        <w:rPr>
          <w:i/>
        </w:rPr>
        <w:t xml:space="preserve">see also </w:t>
      </w:r>
      <w:r w:rsidR="003079F7" w:rsidRPr="002446A4">
        <w:t>47 CFR §§ 64.6201-64.6219.</w:t>
      </w:r>
      <w:r w:rsidRPr="006A272C">
        <w:t xml:space="preserve">  </w:t>
      </w:r>
      <w:r w:rsidR="004857AF" w:rsidRPr="004857AF">
        <w:t>Under the NDBEDP,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004857AF">
        <w:t xml:space="preserve">  </w:t>
      </w:r>
      <w:r w:rsidR="004857AF" w:rsidRPr="004857AF">
        <w:t>47 U.S.C. § 620</w:t>
      </w:r>
      <w:r w:rsidR="004857AF">
        <w:t>.</w:t>
      </w:r>
    </w:p>
  </w:footnote>
  <w:footnote w:id="3">
    <w:p w14:paraId="103D2E8E" w14:textId="664C2DCD" w:rsidR="0034754E" w:rsidRDefault="0034754E" w:rsidP="0034754E">
      <w:pPr>
        <w:pStyle w:val="FootnoteText"/>
      </w:pPr>
      <w:r>
        <w:rPr>
          <w:rStyle w:val="FootnoteReference"/>
        </w:rPr>
        <w:footnoteRef/>
      </w:r>
      <w:r>
        <w:t xml:space="preserve"> 47 CFR § 64.6207; </w:t>
      </w:r>
      <w:r>
        <w:rPr>
          <w:i/>
        </w:rPr>
        <w:t>see also NDBEDP Permanent Program Order</w:t>
      </w:r>
      <w:r>
        <w:t xml:space="preserve">, 31 FCC Rcd at 9184, para. 9. </w:t>
      </w:r>
    </w:p>
  </w:footnote>
  <w:footnote w:id="4">
    <w:p w14:paraId="162FB8A2" w14:textId="36B4C194" w:rsidR="00A34ADA" w:rsidRDefault="00A34ADA">
      <w:pPr>
        <w:pStyle w:val="FootnoteText"/>
      </w:pPr>
      <w:r>
        <w:rPr>
          <w:rStyle w:val="FootnoteReference"/>
        </w:rPr>
        <w:footnoteRef/>
      </w:r>
      <w:r>
        <w:t xml:space="preserve"> </w:t>
      </w:r>
      <w:r w:rsidRPr="00A34ADA">
        <w:rPr>
          <w:i/>
        </w:rPr>
        <w:t>FCC Announces 60-day Period to Apply for Certification to Participate in the National Deaf-Blind Equipment Distribution Program</w:t>
      </w:r>
      <w:r w:rsidRPr="00A34ADA">
        <w:t xml:space="preserve">, CG Docket No. 10-210, Public Notice, DA 17-138 (Feb. 7, 2017). </w:t>
      </w:r>
      <w:r>
        <w:t xml:space="preserve"> </w:t>
      </w:r>
      <w:r w:rsidRPr="00A34ADA">
        <w:t xml:space="preserve">In addition, </w:t>
      </w:r>
      <w:r>
        <w:t xml:space="preserve">CGB announced that </w:t>
      </w:r>
      <w:r w:rsidRPr="00A34ADA">
        <w:t xml:space="preserve">any entity that </w:t>
      </w:r>
      <w:r w:rsidR="003605CE">
        <w:t xml:space="preserve">held certification </w:t>
      </w:r>
      <w:r w:rsidRPr="00A34ADA">
        <w:t>under the NDBEDP pilot program that d</w:t>
      </w:r>
      <w:r w:rsidR="003605CE">
        <w:t>id</w:t>
      </w:r>
      <w:r w:rsidRPr="00A34ADA">
        <w:t xml:space="preserve"> not wish to participate in the permanent NDBEDP </w:t>
      </w:r>
      <w:r w:rsidR="003605CE">
        <w:t>was required to</w:t>
      </w:r>
      <w:r w:rsidRPr="00A34ADA">
        <w:t xml:space="preserve"> notify the Commission by April 7, 2017.</w:t>
      </w:r>
      <w:r>
        <w:t xml:space="preserve">  </w:t>
      </w:r>
      <w:r w:rsidR="00B95710" w:rsidRPr="00D52938">
        <w:rPr>
          <w:i/>
        </w:rPr>
        <w:t>Id.</w:t>
      </w:r>
      <w:r w:rsidR="00B95710" w:rsidRPr="00D52938">
        <w:t xml:space="preserve"> at 1</w:t>
      </w:r>
      <w:r w:rsidR="00B95710">
        <w:t>, 5;</w:t>
      </w:r>
      <w:r w:rsidR="00B95710" w:rsidRPr="00D52938">
        <w:t xml:space="preserve"> </w:t>
      </w:r>
      <w:r w:rsidR="00B95710" w:rsidRPr="00D52938">
        <w:rPr>
          <w:i/>
        </w:rPr>
        <w:t>see also</w:t>
      </w:r>
      <w:r w:rsidR="00B95710" w:rsidRPr="00D52938">
        <w:t xml:space="preserve"> </w:t>
      </w:r>
      <w:r w:rsidR="00B95710" w:rsidRPr="00D52938">
        <w:rPr>
          <w:i/>
        </w:rPr>
        <w:t>NDBEDP Permanent Program Order</w:t>
      </w:r>
      <w:r w:rsidR="00B95710" w:rsidRPr="00D52938">
        <w:t xml:space="preserve">, 31 FCC Rcd at 9186, para. 15.  </w:t>
      </w:r>
      <w:r w:rsidR="001478DA">
        <w:t>Only t</w:t>
      </w:r>
      <w:r w:rsidR="007854C0">
        <w:t xml:space="preserve">he entities certified </w:t>
      </w:r>
      <w:r w:rsidR="00D52938">
        <w:t xml:space="preserve">to serve </w:t>
      </w:r>
      <w:r w:rsidR="001478DA">
        <w:t xml:space="preserve">Virginia and Wisconsin </w:t>
      </w:r>
      <w:r w:rsidR="007854C0">
        <w:t xml:space="preserve">under the NDBEDP pilot program </w:t>
      </w:r>
      <w:r w:rsidR="00D52938">
        <w:t xml:space="preserve">notified CGB </w:t>
      </w:r>
      <w:r w:rsidR="003605CE">
        <w:t>of such</w:t>
      </w:r>
      <w:r w:rsidR="001478DA">
        <w:t xml:space="preserve"> intent.</w:t>
      </w:r>
      <w:r w:rsidR="00D52938">
        <w:t xml:space="preserve">  </w:t>
      </w:r>
      <w:r w:rsidR="001478DA">
        <w:t>These entities</w:t>
      </w:r>
      <w:r w:rsidR="00D52938">
        <w:t xml:space="preserve"> must </w:t>
      </w:r>
      <w:r w:rsidR="00D52938" w:rsidRPr="00D52938">
        <w:t xml:space="preserve">comply with </w:t>
      </w:r>
      <w:r w:rsidR="001478DA">
        <w:t xml:space="preserve">certain </w:t>
      </w:r>
      <w:r w:rsidR="00D52938" w:rsidRPr="00D52938">
        <w:t xml:space="preserve">requirements </w:t>
      </w:r>
      <w:r w:rsidR="003605CE">
        <w:t xml:space="preserve">set forth in the </w:t>
      </w:r>
      <w:r w:rsidR="003605CE" w:rsidRPr="00D52938">
        <w:rPr>
          <w:i/>
        </w:rPr>
        <w:t>NDBEDP Permanent Program Order</w:t>
      </w:r>
      <w:r w:rsidR="003605CE">
        <w:t xml:space="preserve"> </w:t>
      </w:r>
      <w:r w:rsidR="00D52938" w:rsidRPr="00D52938">
        <w:t>t</w:t>
      </w:r>
      <w:r w:rsidR="001478DA">
        <w:t>hat are designed to</w:t>
      </w:r>
      <w:r w:rsidR="00D52938" w:rsidRPr="00D52938">
        <w:t xml:space="preserve"> ensure the </w:t>
      </w:r>
      <w:r w:rsidR="003605CE">
        <w:t xml:space="preserve">continuation of </w:t>
      </w:r>
      <w:r w:rsidR="001478DA">
        <w:t xml:space="preserve">NDBEDP </w:t>
      </w:r>
      <w:r w:rsidR="00D52938" w:rsidRPr="00D52938">
        <w:t xml:space="preserve">operations </w:t>
      </w:r>
      <w:r w:rsidR="003605CE">
        <w:t>in their jurisdiction</w:t>
      </w:r>
      <w:r w:rsidR="001478DA">
        <w:t>s</w:t>
      </w:r>
      <w:r w:rsidR="00D52938" w:rsidRPr="00D52938">
        <w:t>, including the submission of final reimbursement claim</w:t>
      </w:r>
      <w:r w:rsidR="00CE123F">
        <w:t>s</w:t>
      </w:r>
      <w:r w:rsidR="00D52938" w:rsidRPr="00D52938">
        <w:t xml:space="preserve"> and report</w:t>
      </w:r>
      <w:r w:rsidR="00CE123F">
        <w:t>s</w:t>
      </w:r>
      <w:r w:rsidR="00D52938" w:rsidRPr="00D52938">
        <w:t xml:space="preserve"> to the Commission, the transfer of data and equipment inventory to</w:t>
      </w:r>
      <w:r w:rsidR="001478DA">
        <w:t xml:space="preserve"> their</w:t>
      </w:r>
      <w:r w:rsidR="00D52938" w:rsidRPr="00D52938">
        <w:t xml:space="preserve"> successor</w:t>
      </w:r>
      <w:r w:rsidR="001478DA">
        <w:t>s</w:t>
      </w:r>
      <w:r w:rsidR="00D52938" w:rsidRPr="00D52938">
        <w:t>, and notif</w:t>
      </w:r>
      <w:r w:rsidR="003605CE">
        <w:t xml:space="preserve">ication of </w:t>
      </w:r>
      <w:r w:rsidR="001478DA">
        <w:t xml:space="preserve">their </w:t>
      </w:r>
      <w:r w:rsidR="003605CE">
        <w:t>exit</w:t>
      </w:r>
      <w:r w:rsidR="00CE123F">
        <w:t>s</w:t>
      </w:r>
      <w:r w:rsidR="003605CE">
        <w:t xml:space="preserve"> </w:t>
      </w:r>
      <w:r w:rsidR="001478DA">
        <w:t xml:space="preserve">from the program </w:t>
      </w:r>
      <w:r w:rsidR="003605CE">
        <w:t>to</w:t>
      </w:r>
      <w:r w:rsidR="00D52938" w:rsidRPr="00D52938">
        <w:t xml:space="preserve"> consumers.</w:t>
      </w:r>
      <w:r w:rsidR="00D52938">
        <w:t xml:space="preserve">  </w:t>
      </w:r>
      <w:r w:rsidR="00D52938" w:rsidRPr="00D52938">
        <w:rPr>
          <w:i/>
        </w:rPr>
        <w:t>NDBEDP Permanent Program Order</w:t>
      </w:r>
      <w:r w:rsidR="00D52938" w:rsidRPr="00D52938">
        <w:t>, 31 FCC Rcd at 9197, paras. 44-45.</w:t>
      </w:r>
    </w:p>
  </w:footnote>
  <w:footnote w:id="5">
    <w:p w14:paraId="53C201B7" w14:textId="7BD2A291" w:rsidR="008B1AC9" w:rsidRPr="001F6E14" w:rsidRDefault="008B1AC9" w:rsidP="008B1AC9">
      <w:pPr>
        <w:pStyle w:val="FootnoteText"/>
      </w:pPr>
      <w:r>
        <w:rPr>
          <w:rStyle w:val="FootnoteReference"/>
        </w:rPr>
        <w:footnoteRef/>
      </w:r>
      <w:r>
        <w:t xml:space="preserve">  </w:t>
      </w:r>
      <w:r w:rsidRPr="009551AA">
        <w:rPr>
          <w:i/>
        </w:rPr>
        <w:t>NDBEDP Permanent Program Order</w:t>
      </w:r>
      <w:r w:rsidRPr="009551AA">
        <w:t xml:space="preserve">, 31 FCC Rcd </w:t>
      </w:r>
      <w:r>
        <w:t xml:space="preserve">at 9186-87, para. 16. </w:t>
      </w:r>
    </w:p>
  </w:footnote>
  <w:footnote w:id="6">
    <w:p w14:paraId="4A56C35F" w14:textId="3DF98935" w:rsidR="008B1AC9" w:rsidRPr="00CE123F" w:rsidRDefault="008B1AC9">
      <w:pPr>
        <w:pStyle w:val="FootnoteText"/>
      </w:pPr>
      <w:r>
        <w:rPr>
          <w:rStyle w:val="FootnoteReference"/>
        </w:rPr>
        <w:footnoteRef/>
      </w:r>
      <w:r>
        <w:t xml:space="preserve"> </w:t>
      </w:r>
      <w:r w:rsidR="00CE123F">
        <w:rPr>
          <w:i/>
        </w:rPr>
        <w:t xml:space="preserve">Id.  </w:t>
      </w:r>
      <w:r>
        <w:t>CGB received at least one application for certification for each jurisdiction</w:t>
      </w:r>
      <w:r w:rsidRPr="001F6E14">
        <w:t>.</w:t>
      </w:r>
      <w:r>
        <w:t xml:space="preserve">  On a rolling basis, </w:t>
      </w:r>
      <w:r>
        <w:rPr>
          <w:szCs w:val="22"/>
        </w:rPr>
        <w:t xml:space="preserve">CGB will release additional public notices announcing entities selected for certification under the permanent NDBEDP after reviewing </w:t>
      </w:r>
      <w:r w:rsidRPr="000B5742">
        <w:rPr>
          <w:szCs w:val="22"/>
        </w:rPr>
        <w:t>application</w:t>
      </w:r>
      <w:r>
        <w:rPr>
          <w:szCs w:val="22"/>
        </w:rPr>
        <w:t>s</w:t>
      </w:r>
      <w:r w:rsidRPr="000B5742">
        <w:rPr>
          <w:szCs w:val="22"/>
        </w:rPr>
        <w:t xml:space="preserve"> and </w:t>
      </w:r>
      <w:r>
        <w:rPr>
          <w:szCs w:val="22"/>
        </w:rPr>
        <w:t xml:space="preserve">supplemental materials received for each state.  In addition, </w:t>
      </w:r>
      <w:r>
        <w:t xml:space="preserve">CGB will </w:t>
      </w:r>
      <w:r w:rsidRPr="00846F71">
        <w:t>take appropriate steps to</w:t>
      </w:r>
      <w:r>
        <w:t xml:space="preserve"> </w:t>
      </w:r>
      <w:r w:rsidRPr="00846F71">
        <w:t>minimize possible disruption</w:t>
      </w:r>
      <w:r>
        <w:t>s</w:t>
      </w:r>
      <w:r w:rsidRPr="00846F71">
        <w:t xml:space="preserve"> of service by providing as much advance notice as possible about </w:t>
      </w:r>
      <w:r>
        <w:t xml:space="preserve">such </w:t>
      </w:r>
      <w:r w:rsidRPr="00846F71">
        <w:t>selection</w:t>
      </w:r>
      <w:r>
        <w:t>s</w:t>
      </w:r>
      <w:r w:rsidRPr="00846F71">
        <w:t>.</w:t>
      </w:r>
      <w:r>
        <w:t xml:space="preserve">  </w:t>
      </w:r>
      <w:r w:rsidRPr="00BE4E79">
        <w:rPr>
          <w:i/>
        </w:rPr>
        <w:t>See</w:t>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AB10" w14:textId="77777777" w:rsidR="001966EB" w:rsidRDefault="0019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1D8D" w14:textId="77777777" w:rsidR="001966EB" w:rsidRDefault="00196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FD9C"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E721970" wp14:editId="5A46BBB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BD565" w14:textId="77777777" w:rsidR="00D47505" w:rsidRDefault="00D47505" w:rsidP="00D47505">
                          <w:pPr>
                            <w:rPr>
                              <w:rFonts w:ascii="Arial" w:hAnsi="Arial"/>
                              <w:b/>
                            </w:rPr>
                          </w:pPr>
                          <w:r>
                            <w:rPr>
                              <w:rFonts w:ascii="Arial" w:hAnsi="Arial"/>
                              <w:b/>
                            </w:rPr>
                            <w:t>Federal Communications Commission</w:t>
                          </w:r>
                        </w:p>
                        <w:p w14:paraId="34F6450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6C3065E"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72197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4BBD565" w14:textId="77777777" w:rsidR="00D47505" w:rsidRDefault="00D47505" w:rsidP="00D47505">
                    <w:pPr>
                      <w:rPr>
                        <w:rFonts w:ascii="Arial" w:hAnsi="Arial"/>
                        <w:b/>
                      </w:rPr>
                    </w:pPr>
                    <w:r>
                      <w:rPr>
                        <w:rFonts w:ascii="Arial" w:hAnsi="Arial"/>
                        <w:b/>
                      </w:rPr>
                      <w:t>Federal Communications Commission</w:t>
                    </w:r>
                  </w:p>
                  <w:p w14:paraId="34F6450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6C3065E"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669C8078" wp14:editId="1CF97AC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927483A"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9E6D498" wp14:editId="1776919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D0B3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ABBA3BF" wp14:editId="4B85AD14">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DCF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AA54911" w14:textId="7FF226A4"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12AEC">
                            <w:rPr>
                              <w:rFonts w:ascii="Arial" w:hAnsi="Arial"/>
                              <w:b/>
                              <w:sz w:val="16"/>
                            </w:rPr>
                            <w:instrText>HYPERLINK "https://www.fcc.gov/"</w:instrText>
                          </w:r>
                          <w:r w:rsidR="00512AE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1F0F58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8ACDCF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AA54911" w14:textId="7FF226A4"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12AEC">
                      <w:rPr>
                        <w:rFonts w:ascii="Arial" w:hAnsi="Arial"/>
                        <w:b/>
                        <w:sz w:val="16"/>
                      </w:rPr>
                      <w:instrText>HYPERLINK "https://www.fcc.gov/"</w:instrText>
                    </w:r>
                    <w:r w:rsidR="00512AE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1F0F58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5FB41F0"/>
    <w:multiLevelType w:val="hybridMultilevel"/>
    <w:tmpl w:val="E9562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FF2ED2"/>
    <w:multiLevelType w:val="hybridMultilevel"/>
    <w:tmpl w:val="B4D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4E"/>
    <w:rsid w:val="00036039"/>
    <w:rsid w:val="00037F90"/>
    <w:rsid w:val="00044B6D"/>
    <w:rsid w:val="00080EDE"/>
    <w:rsid w:val="00085964"/>
    <w:rsid w:val="000875BF"/>
    <w:rsid w:val="00096D8C"/>
    <w:rsid w:val="000B5C3C"/>
    <w:rsid w:val="000C0B65"/>
    <w:rsid w:val="000E05FE"/>
    <w:rsid w:val="000E3D42"/>
    <w:rsid w:val="00122BD5"/>
    <w:rsid w:val="00133F79"/>
    <w:rsid w:val="001478DA"/>
    <w:rsid w:val="00194A66"/>
    <w:rsid w:val="001966EB"/>
    <w:rsid w:val="001B1C46"/>
    <w:rsid w:val="001D6BCF"/>
    <w:rsid w:val="001E01CA"/>
    <w:rsid w:val="001F6E14"/>
    <w:rsid w:val="002446A4"/>
    <w:rsid w:val="00247F48"/>
    <w:rsid w:val="002665B5"/>
    <w:rsid w:val="00275CF5"/>
    <w:rsid w:val="0028301F"/>
    <w:rsid w:val="00285017"/>
    <w:rsid w:val="002A162D"/>
    <w:rsid w:val="002A2D2E"/>
    <w:rsid w:val="002C00E8"/>
    <w:rsid w:val="002D46CB"/>
    <w:rsid w:val="00300645"/>
    <w:rsid w:val="003079F7"/>
    <w:rsid w:val="00343749"/>
    <w:rsid w:val="0034754E"/>
    <w:rsid w:val="003605CE"/>
    <w:rsid w:val="003660ED"/>
    <w:rsid w:val="0037062B"/>
    <w:rsid w:val="00370B5D"/>
    <w:rsid w:val="003B0550"/>
    <w:rsid w:val="003B694F"/>
    <w:rsid w:val="003E594C"/>
    <w:rsid w:val="003F171C"/>
    <w:rsid w:val="00412FC5"/>
    <w:rsid w:val="00422276"/>
    <w:rsid w:val="004242F1"/>
    <w:rsid w:val="00441B8F"/>
    <w:rsid w:val="00445A00"/>
    <w:rsid w:val="00451B0F"/>
    <w:rsid w:val="00454A07"/>
    <w:rsid w:val="00485278"/>
    <w:rsid w:val="004857AF"/>
    <w:rsid w:val="00492B0D"/>
    <w:rsid w:val="004C1585"/>
    <w:rsid w:val="004C2EE3"/>
    <w:rsid w:val="004E4A22"/>
    <w:rsid w:val="004F0819"/>
    <w:rsid w:val="005043DA"/>
    <w:rsid w:val="00511968"/>
    <w:rsid w:val="00512AEC"/>
    <w:rsid w:val="00524F9A"/>
    <w:rsid w:val="00532634"/>
    <w:rsid w:val="00554C34"/>
    <w:rsid w:val="0055614C"/>
    <w:rsid w:val="00557820"/>
    <w:rsid w:val="005D459F"/>
    <w:rsid w:val="005E14C2"/>
    <w:rsid w:val="005F5B57"/>
    <w:rsid w:val="00607BA5"/>
    <w:rsid w:val="0061180A"/>
    <w:rsid w:val="00626EB6"/>
    <w:rsid w:val="00655D03"/>
    <w:rsid w:val="00683388"/>
    <w:rsid w:val="00683F84"/>
    <w:rsid w:val="006A1F49"/>
    <w:rsid w:val="006A44FA"/>
    <w:rsid w:val="006A6A81"/>
    <w:rsid w:val="006B1456"/>
    <w:rsid w:val="006C40C8"/>
    <w:rsid w:val="006F7393"/>
    <w:rsid w:val="0070224F"/>
    <w:rsid w:val="007061EE"/>
    <w:rsid w:val="0070662B"/>
    <w:rsid w:val="007115F7"/>
    <w:rsid w:val="0072238E"/>
    <w:rsid w:val="00737BDF"/>
    <w:rsid w:val="007737FF"/>
    <w:rsid w:val="007854C0"/>
    <w:rsid w:val="00785689"/>
    <w:rsid w:val="0079754B"/>
    <w:rsid w:val="007A1E6D"/>
    <w:rsid w:val="007B0EB2"/>
    <w:rsid w:val="007C4B78"/>
    <w:rsid w:val="007F2CD7"/>
    <w:rsid w:val="007F413A"/>
    <w:rsid w:val="00810B6F"/>
    <w:rsid w:val="00811045"/>
    <w:rsid w:val="00815561"/>
    <w:rsid w:val="00822CE0"/>
    <w:rsid w:val="00830895"/>
    <w:rsid w:val="00833898"/>
    <w:rsid w:val="00841AB1"/>
    <w:rsid w:val="008B1AC9"/>
    <w:rsid w:val="008B6880"/>
    <w:rsid w:val="008C68F1"/>
    <w:rsid w:val="00921803"/>
    <w:rsid w:val="00926503"/>
    <w:rsid w:val="00941741"/>
    <w:rsid w:val="0095102D"/>
    <w:rsid w:val="009551AA"/>
    <w:rsid w:val="009726D8"/>
    <w:rsid w:val="009F76DB"/>
    <w:rsid w:val="00A104C2"/>
    <w:rsid w:val="00A32C3B"/>
    <w:rsid w:val="00A34ADA"/>
    <w:rsid w:val="00A45F4F"/>
    <w:rsid w:val="00A600A9"/>
    <w:rsid w:val="00A724B0"/>
    <w:rsid w:val="00AA55B7"/>
    <w:rsid w:val="00AA5B9E"/>
    <w:rsid w:val="00AB036A"/>
    <w:rsid w:val="00AB1243"/>
    <w:rsid w:val="00AB2407"/>
    <w:rsid w:val="00AB53DF"/>
    <w:rsid w:val="00AC424B"/>
    <w:rsid w:val="00AF46DC"/>
    <w:rsid w:val="00B07E5C"/>
    <w:rsid w:val="00B20363"/>
    <w:rsid w:val="00B338A9"/>
    <w:rsid w:val="00B34FA3"/>
    <w:rsid w:val="00B679AB"/>
    <w:rsid w:val="00B7064A"/>
    <w:rsid w:val="00B76DB8"/>
    <w:rsid w:val="00B811F7"/>
    <w:rsid w:val="00B90D9A"/>
    <w:rsid w:val="00B93F1F"/>
    <w:rsid w:val="00B95710"/>
    <w:rsid w:val="00BA54AC"/>
    <w:rsid w:val="00BA5DC6"/>
    <w:rsid w:val="00BA6196"/>
    <w:rsid w:val="00BC053E"/>
    <w:rsid w:val="00BC0784"/>
    <w:rsid w:val="00BC6D8C"/>
    <w:rsid w:val="00BE4E79"/>
    <w:rsid w:val="00BE7270"/>
    <w:rsid w:val="00C258C5"/>
    <w:rsid w:val="00C322F8"/>
    <w:rsid w:val="00C34006"/>
    <w:rsid w:val="00C426B1"/>
    <w:rsid w:val="00C44AA4"/>
    <w:rsid w:val="00C653F3"/>
    <w:rsid w:val="00C66160"/>
    <w:rsid w:val="00C721AC"/>
    <w:rsid w:val="00C90D6A"/>
    <w:rsid w:val="00CA247E"/>
    <w:rsid w:val="00CC318C"/>
    <w:rsid w:val="00CC72B6"/>
    <w:rsid w:val="00CC776F"/>
    <w:rsid w:val="00CD6CE0"/>
    <w:rsid w:val="00CE123F"/>
    <w:rsid w:val="00CE14D7"/>
    <w:rsid w:val="00CE1598"/>
    <w:rsid w:val="00CE584B"/>
    <w:rsid w:val="00D0218D"/>
    <w:rsid w:val="00D25FB5"/>
    <w:rsid w:val="00D44223"/>
    <w:rsid w:val="00D47505"/>
    <w:rsid w:val="00D52938"/>
    <w:rsid w:val="00D60F81"/>
    <w:rsid w:val="00D64C6E"/>
    <w:rsid w:val="00D75E5D"/>
    <w:rsid w:val="00DA2529"/>
    <w:rsid w:val="00DA5574"/>
    <w:rsid w:val="00DB130A"/>
    <w:rsid w:val="00DB2EBB"/>
    <w:rsid w:val="00DC10A1"/>
    <w:rsid w:val="00DC655F"/>
    <w:rsid w:val="00DD0B59"/>
    <w:rsid w:val="00DD7EBD"/>
    <w:rsid w:val="00DE4C8D"/>
    <w:rsid w:val="00DF0810"/>
    <w:rsid w:val="00DF0A6C"/>
    <w:rsid w:val="00DF62B6"/>
    <w:rsid w:val="00E07225"/>
    <w:rsid w:val="00E10EDA"/>
    <w:rsid w:val="00E26B4D"/>
    <w:rsid w:val="00E509A9"/>
    <w:rsid w:val="00E5409F"/>
    <w:rsid w:val="00EB4ACC"/>
    <w:rsid w:val="00EC03F9"/>
    <w:rsid w:val="00EE6488"/>
    <w:rsid w:val="00EE68CA"/>
    <w:rsid w:val="00F021FA"/>
    <w:rsid w:val="00F155D4"/>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4D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34754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4754E"/>
  </w:style>
  <w:style w:type="table" w:styleId="TableGrid">
    <w:name w:val="Table Grid"/>
    <w:basedOn w:val="TableNormal"/>
    <w:rsid w:val="00C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37BDF"/>
    <w:rPr>
      <w:sz w:val="16"/>
      <w:szCs w:val="16"/>
    </w:rPr>
  </w:style>
  <w:style w:type="paragraph" w:styleId="CommentText">
    <w:name w:val="annotation text"/>
    <w:basedOn w:val="Normal"/>
    <w:link w:val="CommentTextChar"/>
    <w:rsid w:val="00737BDF"/>
    <w:rPr>
      <w:sz w:val="20"/>
    </w:rPr>
  </w:style>
  <w:style w:type="character" w:customStyle="1" w:styleId="CommentTextChar">
    <w:name w:val="Comment Text Char"/>
    <w:basedOn w:val="DefaultParagraphFont"/>
    <w:link w:val="CommentText"/>
    <w:rsid w:val="00737BDF"/>
    <w:rPr>
      <w:snapToGrid w:val="0"/>
      <w:kern w:val="28"/>
    </w:rPr>
  </w:style>
  <w:style w:type="paragraph" w:styleId="CommentSubject">
    <w:name w:val="annotation subject"/>
    <w:basedOn w:val="CommentText"/>
    <w:next w:val="CommentText"/>
    <w:link w:val="CommentSubjectChar"/>
    <w:rsid w:val="00737BDF"/>
    <w:rPr>
      <w:b/>
      <w:bCs/>
    </w:rPr>
  </w:style>
  <w:style w:type="character" w:customStyle="1" w:styleId="CommentSubjectChar">
    <w:name w:val="Comment Subject Char"/>
    <w:basedOn w:val="CommentTextChar"/>
    <w:link w:val="CommentSubject"/>
    <w:rsid w:val="00737BDF"/>
    <w:rPr>
      <w:b/>
      <w:bCs/>
      <w:snapToGrid w:val="0"/>
      <w:kern w:val="28"/>
    </w:rPr>
  </w:style>
  <w:style w:type="paragraph" w:styleId="ListParagraph">
    <w:name w:val="List Paragraph"/>
    <w:basedOn w:val="Normal"/>
    <w:uiPriority w:val="34"/>
    <w:qFormat/>
    <w:rsid w:val="001B1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34754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4754E"/>
  </w:style>
  <w:style w:type="table" w:styleId="TableGrid">
    <w:name w:val="Table Grid"/>
    <w:basedOn w:val="TableNormal"/>
    <w:rsid w:val="00C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37BDF"/>
    <w:rPr>
      <w:sz w:val="16"/>
      <w:szCs w:val="16"/>
    </w:rPr>
  </w:style>
  <w:style w:type="paragraph" w:styleId="CommentText">
    <w:name w:val="annotation text"/>
    <w:basedOn w:val="Normal"/>
    <w:link w:val="CommentTextChar"/>
    <w:rsid w:val="00737BDF"/>
    <w:rPr>
      <w:sz w:val="20"/>
    </w:rPr>
  </w:style>
  <w:style w:type="character" w:customStyle="1" w:styleId="CommentTextChar">
    <w:name w:val="Comment Text Char"/>
    <w:basedOn w:val="DefaultParagraphFont"/>
    <w:link w:val="CommentText"/>
    <w:rsid w:val="00737BDF"/>
    <w:rPr>
      <w:snapToGrid w:val="0"/>
      <w:kern w:val="28"/>
    </w:rPr>
  </w:style>
  <w:style w:type="paragraph" w:styleId="CommentSubject">
    <w:name w:val="annotation subject"/>
    <w:basedOn w:val="CommentText"/>
    <w:next w:val="CommentText"/>
    <w:link w:val="CommentSubjectChar"/>
    <w:rsid w:val="00737BDF"/>
    <w:rPr>
      <w:b/>
      <w:bCs/>
    </w:rPr>
  </w:style>
  <w:style w:type="character" w:customStyle="1" w:styleId="CommentSubjectChar">
    <w:name w:val="Comment Subject Char"/>
    <w:basedOn w:val="CommentTextChar"/>
    <w:link w:val="CommentSubject"/>
    <w:rsid w:val="00737BDF"/>
    <w:rPr>
      <w:b/>
      <w:bCs/>
      <w:snapToGrid w:val="0"/>
      <w:kern w:val="28"/>
    </w:rPr>
  </w:style>
  <w:style w:type="paragraph" w:styleId="ListParagraph">
    <w:name w:val="List Paragraph"/>
    <w:basedOn w:val="Normal"/>
    <w:uiPriority w:val="34"/>
    <w:qFormat/>
    <w:rsid w:val="001B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693</Words>
  <Characters>4269</Characters>
  <Application>Microsoft Office Word</Application>
  <DocSecurity>0</DocSecurity>
  <Lines>156</Lines>
  <Paragraphs>134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2017-04-25T19:44:00Z</dcterms:created>
  <dcterms:modified xsi:type="dcterms:W3CDTF">2017-04-25T19:44:00Z</dcterms:modified>
  <cp:category> </cp:category>
  <cp:contentStatus> </cp:contentStatus>
</cp:coreProperties>
</file>