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4784" w14:textId="13B6808E" w:rsidR="00D47505" w:rsidRPr="00A87AD7" w:rsidRDefault="00A87AD7" w:rsidP="00DB1D41">
      <w:pPr>
        <w:spacing w:before="120"/>
        <w:jc w:val="right"/>
        <w:rPr>
          <w:b/>
          <w:szCs w:val="22"/>
        </w:rPr>
      </w:pPr>
      <w:bookmarkStart w:id="0" w:name="_GoBack"/>
      <w:bookmarkEnd w:id="0"/>
      <w:r w:rsidRPr="00A87AD7">
        <w:rPr>
          <w:b/>
          <w:szCs w:val="22"/>
        </w:rPr>
        <w:t xml:space="preserve">DA </w:t>
      </w:r>
      <w:r w:rsidR="00B97445">
        <w:rPr>
          <w:b/>
          <w:szCs w:val="22"/>
        </w:rPr>
        <w:t>17</w:t>
      </w:r>
      <w:r w:rsidR="004F2364">
        <w:rPr>
          <w:b/>
          <w:szCs w:val="22"/>
        </w:rPr>
        <w:t>-</w:t>
      </w:r>
      <w:r w:rsidR="000555A4">
        <w:rPr>
          <w:b/>
          <w:szCs w:val="22"/>
        </w:rPr>
        <w:t>346</w:t>
      </w:r>
    </w:p>
    <w:p w14:paraId="673E84C4" w14:textId="774C27B2" w:rsidR="00D47505" w:rsidRDefault="00B338A9" w:rsidP="00D47505">
      <w:pPr>
        <w:spacing w:before="60"/>
        <w:jc w:val="right"/>
        <w:rPr>
          <w:b/>
          <w:szCs w:val="22"/>
        </w:rPr>
      </w:pPr>
      <w:r w:rsidRPr="00A87AD7">
        <w:rPr>
          <w:b/>
          <w:szCs w:val="22"/>
        </w:rPr>
        <w:t xml:space="preserve">Released: </w:t>
      </w:r>
      <w:r w:rsidR="000555A4">
        <w:rPr>
          <w:b/>
          <w:szCs w:val="22"/>
        </w:rPr>
        <w:t>April</w:t>
      </w:r>
      <w:r w:rsidR="00571D66">
        <w:rPr>
          <w:b/>
          <w:szCs w:val="22"/>
        </w:rPr>
        <w:t xml:space="preserve"> </w:t>
      </w:r>
      <w:r w:rsidR="000555A4">
        <w:rPr>
          <w:b/>
          <w:szCs w:val="22"/>
        </w:rPr>
        <w:t>11</w:t>
      </w:r>
      <w:r w:rsidR="00571D66">
        <w:rPr>
          <w:b/>
          <w:szCs w:val="22"/>
        </w:rPr>
        <w:t xml:space="preserve">, </w:t>
      </w:r>
      <w:r w:rsidR="004F2364">
        <w:rPr>
          <w:b/>
          <w:szCs w:val="22"/>
        </w:rPr>
        <w:t>2017</w:t>
      </w:r>
    </w:p>
    <w:p w14:paraId="322B3A70" w14:textId="671103BF" w:rsidR="004E424E" w:rsidRPr="00A87AD7" w:rsidRDefault="00C31A4F" w:rsidP="00D47505">
      <w:pPr>
        <w:spacing w:before="60"/>
        <w:jc w:val="right"/>
        <w:rPr>
          <w:b/>
          <w:szCs w:val="22"/>
        </w:rPr>
      </w:pPr>
      <w:r>
        <w:rPr>
          <w:b/>
          <w:szCs w:val="22"/>
        </w:rPr>
        <w:t xml:space="preserve"> </w:t>
      </w:r>
    </w:p>
    <w:p w14:paraId="5B4A53C9" w14:textId="69E8F4F3" w:rsidR="00125BB3" w:rsidRPr="00A87AD7" w:rsidRDefault="00125BB3" w:rsidP="00125BB3">
      <w:pPr>
        <w:jc w:val="center"/>
        <w:rPr>
          <w:b/>
          <w:szCs w:val="22"/>
        </w:rPr>
      </w:pPr>
      <w:r w:rsidRPr="00A87AD7">
        <w:rPr>
          <w:b/>
          <w:szCs w:val="22"/>
        </w:rPr>
        <w:t xml:space="preserve">WIRELINE COMPETITION BUREAU ANNOUNCES </w:t>
      </w:r>
      <w:r w:rsidR="00B32E1C">
        <w:rPr>
          <w:b/>
          <w:szCs w:val="22"/>
        </w:rPr>
        <w:t xml:space="preserve">VOICE AND </w:t>
      </w:r>
      <w:r w:rsidR="00F1447A">
        <w:rPr>
          <w:b/>
          <w:szCs w:val="22"/>
        </w:rPr>
        <w:t xml:space="preserve">BROADBAND </w:t>
      </w:r>
      <w:r w:rsidR="00C31A4F">
        <w:rPr>
          <w:b/>
          <w:szCs w:val="22"/>
        </w:rPr>
        <w:t xml:space="preserve">REASONABLE COMPARABILITY </w:t>
      </w:r>
      <w:r w:rsidR="00F1447A">
        <w:rPr>
          <w:b/>
          <w:szCs w:val="22"/>
        </w:rPr>
        <w:t>BENCHMARKS FOR ALASKA</w:t>
      </w:r>
      <w:r w:rsidR="00E624C8">
        <w:rPr>
          <w:b/>
          <w:szCs w:val="22"/>
        </w:rPr>
        <w:t xml:space="preserve"> </w:t>
      </w:r>
      <w:r w:rsidR="00073D4A">
        <w:rPr>
          <w:b/>
          <w:szCs w:val="22"/>
        </w:rPr>
        <w:t xml:space="preserve">PLAN </w:t>
      </w:r>
      <w:r w:rsidR="001F6EFF">
        <w:rPr>
          <w:b/>
          <w:szCs w:val="22"/>
        </w:rPr>
        <w:t xml:space="preserve">RATE-OF-RETURN </w:t>
      </w:r>
      <w:r w:rsidR="00073D4A">
        <w:rPr>
          <w:b/>
          <w:szCs w:val="22"/>
        </w:rPr>
        <w:t xml:space="preserve">CARRIERS AND ALASKA COMMUNICATIONS SYSTEMS </w:t>
      </w:r>
      <w:r w:rsidR="00E624C8">
        <w:rPr>
          <w:b/>
          <w:szCs w:val="22"/>
        </w:rPr>
        <w:t xml:space="preserve">AND </w:t>
      </w:r>
      <w:r w:rsidR="009632F4">
        <w:rPr>
          <w:b/>
          <w:szCs w:val="22"/>
        </w:rPr>
        <w:t xml:space="preserve">CONFIRMS </w:t>
      </w:r>
      <w:r w:rsidR="00E624C8">
        <w:rPr>
          <w:b/>
          <w:szCs w:val="22"/>
        </w:rPr>
        <w:t xml:space="preserve">MINIMUM USAGE </w:t>
      </w:r>
      <w:r w:rsidR="00547BE0">
        <w:rPr>
          <w:b/>
          <w:szCs w:val="22"/>
        </w:rPr>
        <w:t xml:space="preserve">ALLOWANCE </w:t>
      </w:r>
      <w:r w:rsidR="00E624C8">
        <w:rPr>
          <w:b/>
          <w:szCs w:val="22"/>
        </w:rPr>
        <w:t xml:space="preserve">REQUIREMENTS </w:t>
      </w:r>
      <w:r w:rsidRPr="00A87AD7">
        <w:rPr>
          <w:b/>
          <w:szCs w:val="22"/>
        </w:rPr>
        <w:t xml:space="preserve"> </w:t>
      </w:r>
    </w:p>
    <w:p w14:paraId="4D7D1A3D" w14:textId="77777777" w:rsidR="00A87AD7" w:rsidRPr="00A87AD7" w:rsidRDefault="00A87AD7" w:rsidP="00D47505">
      <w:pPr>
        <w:jc w:val="center"/>
        <w:rPr>
          <w:b/>
          <w:szCs w:val="22"/>
        </w:rPr>
      </w:pPr>
    </w:p>
    <w:p w14:paraId="5364764B" w14:textId="4E281592" w:rsidR="00D47505" w:rsidRPr="00A87AD7" w:rsidRDefault="00F1447A" w:rsidP="00D47505">
      <w:pPr>
        <w:jc w:val="center"/>
        <w:rPr>
          <w:b/>
          <w:szCs w:val="22"/>
        </w:rPr>
      </w:pPr>
      <w:r>
        <w:rPr>
          <w:b/>
          <w:szCs w:val="22"/>
        </w:rPr>
        <w:t>WC Docket No</w:t>
      </w:r>
      <w:r w:rsidR="00073D4A">
        <w:rPr>
          <w:b/>
          <w:szCs w:val="22"/>
        </w:rPr>
        <w:t>s</w:t>
      </w:r>
      <w:r>
        <w:rPr>
          <w:b/>
          <w:szCs w:val="22"/>
        </w:rPr>
        <w:t xml:space="preserve">. </w:t>
      </w:r>
      <w:r w:rsidR="00073D4A">
        <w:rPr>
          <w:b/>
          <w:szCs w:val="22"/>
        </w:rPr>
        <w:t xml:space="preserve">10-90 and </w:t>
      </w:r>
      <w:r>
        <w:rPr>
          <w:b/>
          <w:szCs w:val="22"/>
        </w:rPr>
        <w:t>16-271</w:t>
      </w:r>
    </w:p>
    <w:p w14:paraId="501AF6CF" w14:textId="77777777" w:rsidR="00A87AD7" w:rsidRPr="00A87AD7" w:rsidRDefault="00A87AD7" w:rsidP="00D47505">
      <w:pPr>
        <w:jc w:val="center"/>
        <w:rPr>
          <w:b/>
          <w:szCs w:val="22"/>
        </w:rPr>
      </w:pPr>
    </w:p>
    <w:p w14:paraId="72804012" w14:textId="2909F8C1" w:rsidR="009632F4" w:rsidRDefault="00A87AD7" w:rsidP="00317D76">
      <w:pPr>
        <w:autoSpaceDE w:val="0"/>
        <w:autoSpaceDN w:val="0"/>
        <w:adjustRightInd w:val="0"/>
        <w:spacing w:after="120"/>
        <w:ind w:firstLine="720"/>
        <w:rPr>
          <w:szCs w:val="22"/>
        </w:rPr>
      </w:pPr>
      <w:r w:rsidRPr="00A87AD7">
        <w:rPr>
          <w:szCs w:val="22"/>
        </w:rPr>
        <w:t>Today, the Wireline Competition Bu</w:t>
      </w:r>
      <w:r w:rsidR="000F205F">
        <w:rPr>
          <w:szCs w:val="22"/>
        </w:rPr>
        <w:t xml:space="preserve">reau (Bureau) announces </w:t>
      </w:r>
      <w:r w:rsidR="00B32E1C">
        <w:rPr>
          <w:szCs w:val="22"/>
        </w:rPr>
        <w:t xml:space="preserve">reasonable comparability voice and broadband benchmarks </w:t>
      </w:r>
      <w:r w:rsidR="009632F4">
        <w:rPr>
          <w:szCs w:val="22"/>
        </w:rPr>
        <w:t xml:space="preserve">and confirms minimum usage </w:t>
      </w:r>
      <w:r w:rsidR="00547BE0">
        <w:rPr>
          <w:szCs w:val="22"/>
        </w:rPr>
        <w:t xml:space="preserve">allowance </w:t>
      </w:r>
      <w:r w:rsidR="009632F4">
        <w:rPr>
          <w:szCs w:val="22"/>
        </w:rPr>
        <w:t>requirements</w:t>
      </w:r>
      <w:r w:rsidR="00D2010E" w:rsidRPr="00D2010E">
        <w:rPr>
          <w:szCs w:val="22"/>
        </w:rPr>
        <w:t xml:space="preserve"> </w:t>
      </w:r>
      <w:r w:rsidR="00D2010E">
        <w:rPr>
          <w:szCs w:val="22"/>
        </w:rPr>
        <w:t xml:space="preserve">for Alaska Plan </w:t>
      </w:r>
      <w:r w:rsidR="009860B1">
        <w:rPr>
          <w:szCs w:val="22"/>
        </w:rPr>
        <w:t xml:space="preserve">rate-of-return </w:t>
      </w:r>
      <w:r w:rsidR="00D2010E">
        <w:rPr>
          <w:szCs w:val="22"/>
        </w:rPr>
        <w:t xml:space="preserve">carriers and </w:t>
      </w:r>
      <w:r w:rsidR="00D2010E">
        <w:t>Alaska Communications Systems (ACS)</w:t>
      </w:r>
      <w:r w:rsidR="00F23DCB">
        <w:rPr>
          <w:szCs w:val="22"/>
        </w:rPr>
        <w:t>.</w:t>
      </w:r>
    </w:p>
    <w:p w14:paraId="68010321" w14:textId="23AA16E0" w:rsidR="00317D76" w:rsidRDefault="00B32E1C" w:rsidP="00317D76">
      <w:pPr>
        <w:autoSpaceDE w:val="0"/>
        <w:autoSpaceDN w:val="0"/>
        <w:adjustRightInd w:val="0"/>
        <w:spacing w:after="120"/>
        <w:ind w:firstLine="720"/>
      </w:pPr>
      <w:r>
        <w:rPr>
          <w:szCs w:val="22"/>
        </w:rPr>
        <w:t xml:space="preserve">In the </w:t>
      </w:r>
      <w:r>
        <w:rPr>
          <w:i/>
          <w:szCs w:val="22"/>
        </w:rPr>
        <w:t>Alaska Plan Order</w:t>
      </w:r>
      <w:r w:rsidR="0068197D">
        <w:rPr>
          <w:i/>
          <w:szCs w:val="22"/>
        </w:rPr>
        <w:t xml:space="preserve"> </w:t>
      </w:r>
      <w:r w:rsidR="0068197D">
        <w:rPr>
          <w:szCs w:val="22"/>
        </w:rPr>
        <w:t xml:space="preserve">and the </w:t>
      </w:r>
      <w:r w:rsidR="0068197D">
        <w:rPr>
          <w:i/>
          <w:szCs w:val="22"/>
        </w:rPr>
        <w:t>ACS Order</w:t>
      </w:r>
      <w:r>
        <w:rPr>
          <w:szCs w:val="22"/>
        </w:rPr>
        <w:t>, the Federal Communications Commission (FCC or Commission)</w:t>
      </w:r>
      <w:r w:rsidR="00283D2E">
        <w:rPr>
          <w:szCs w:val="22"/>
        </w:rPr>
        <w:t xml:space="preserve"> determined that</w:t>
      </w:r>
      <w:r w:rsidR="00B80BF4">
        <w:rPr>
          <w:szCs w:val="22"/>
        </w:rPr>
        <w:t xml:space="preserve"> </w:t>
      </w:r>
      <w:r w:rsidR="0068197D">
        <w:rPr>
          <w:szCs w:val="22"/>
        </w:rPr>
        <w:t xml:space="preserve">Alaska Plan rate-of-return carriers and ACS are </w:t>
      </w:r>
      <w:r w:rsidR="00B80BF4">
        <w:t>subject to the same obligations as all other recipients of high-co</w:t>
      </w:r>
      <w:r w:rsidR="00F40FFF">
        <w:t>st universal service support</w:t>
      </w:r>
      <w:r w:rsidR="00D2010E">
        <w:t>, i.e.</w:t>
      </w:r>
      <w:r w:rsidR="0017443D">
        <w:t>,</w:t>
      </w:r>
      <w:r w:rsidR="00D2010E">
        <w:t xml:space="preserve"> to</w:t>
      </w:r>
      <w:r w:rsidR="00F40FFF">
        <w:t xml:space="preserve"> </w:t>
      </w:r>
      <w:r w:rsidR="00B80BF4">
        <w:t xml:space="preserve">provide voice and broadband service </w:t>
      </w:r>
      <w:r w:rsidR="00260AE7">
        <w:t>meeting minimum latency and usage requirement</w:t>
      </w:r>
      <w:r w:rsidR="00F23DCB">
        <w:t>s</w:t>
      </w:r>
      <w:r w:rsidR="00260AE7">
        <w:t xml:space="preserve"> </w:t>
      </w:r>
      <w:r w:rsidR="00B80BF4">
        <w:t xml:space="preserve">at </w:t>
      </w:r>
      <w:r w:rsidR="0068197D">
        <w:t>reasonably comparable rates</w:t>
      </w:r>
      <w:r w:rsidR="00260AE7">
        <w:t>.</w:t>
      </w:r>
      <w:r w:rsidR="00B80BF4">
        <w:rPr>
          <w:rStyle w:val="FootnoteReference"/>
        </w:rPr>
        <w:footnoteReference w:id="2"/>
      </w:r>
      <w:r w:rsidR="0068197D">
        <w:t xml:space="preserve">  </w:t>
      </w:r>
      <w:r w:rsidR="00BE1640">
        <w:t xml:space="preserve">However, because of the higher costs of </w:t>
      </w:r>
      <w:r w:rsidR="001E420D">
        <w:t xml:space="preserve">building infrastructure </w:t>
      </w:r>
      <w:r w:rsidR="00BE1640">
        <w:t>in Alaska</w:t>
      </w:r>
      <w:r w:rsidR="0068197D">
        <w:t xml:space="preserve">, the Commission </w:t>
      </w:r>
      <w:r w:rsidR="009860B1">
        <w:t xml:space="preserve">directed </w:t>
      </w:r>
      <w:r w:rsidR="0068197D">
        <w:t>the Bureau to determine an Alaska-specific reasonable comparability benchmark</w:t>
      </w:r>
      <w:r w:rsidR="00BE1640">
        <w:t xml:space="preserve"> for service</w:t>
      </w:r>
      <w:r w:rsidR="0068197D">
        <w:t>.</w:t>
      </w:r>
      <w:r w:rsidR="0068197D">
        <w:rPr>
          <w:rStyle w:val="FootnoteReference"/>
        </w:rPr>
        <w:footnoteReference w:id="3"/>
      </w:r>
      <w:r w:rsidR="00F40FFF">
        <w:t xml:space="preserve">  </w:t>
      </w:r>
    </w:p>
    <w:p w14:paraId="3AE10F5E" w14:textId="3590EE0F" w:rsidR="00283D2E" w:rsidRDefault="00283D2E" w:rsidP="002640C5">
      <w:pPr>
        <w:ind w:firstLine="720"/>
        <w:rPr>
          <w:szCs w:val="22"/>
        </w:rPr>
      </w:pPr>
      <w:r>
        <w:rPr>
          <w:i/>
          <w:szCs w:val="22"/>
        </w:rPr>
        <w:t>Voice Rates</w:t>
      </w:r>
      <w:r w:rsidR="009860B1">
        <w:rPr>
          <w:szCs w:val="22"/>
        </w:rPr>
        <w:t>.</w:t>
      </w:r>
      <w:r w:rsidR="00EC6DEA">
        <w:rPr>
          <w:szCs w:val="22"/>
        </w:rPr>
        <w:t xml:space="preserve"> </w:t>
      </w:r>
      <w:r w:rsidR="009860B1">
        <w:rPr>
          <w:szCs w:val="22"/>
        </w:rPr>
        <w:t xml:space="preserve"> </w:t>
      </w:r>
      <w:r w:rsidR="00BB52A3">
        <w:rPr>
          <w:szCs w:val="22"/>
        </w:rPr>
        <w:t xml:space="preserve">Alaska Plan carriers are required </w:t>
      </w:r>
      <w:r w:rsidR="00527FF6">
        <w:rPr>
          <w:szCs w:val="22"/>
        </w:rPr>
        <w:t xml:space="preserve">to offer voice service to all served locations.  </w:t>
      </w:r>
      <w:r w:rsidR="008C007E">
        <w:rPr>
          <w:szCs w:val="22"/>
        </w:rPr>
        <w:t xml:space="preserve">In the </w:t>
      </w:r>
      <w:r w:rsidR="008C007E" w:rsidRPr="00415B63">
        <w:rPr>
          <w:i/>
          <w:szCs w:val="22"/>
        </w:rPr>
        <w:t>Alaska Plan Order</w:t>
      </w:r>
      <w:r w:rsidR="008C007E">
        <w:rPr>
          <w:szCs w:val="22"/>
        </w:rPr>
        <w:t xml:space="preserve">, the Commission stated that </w:t>
      </w:r>
      <w:r w:rsidR="008C007E">
        <w:t xml:space="preserve">for voice service, Alaska Plan carriers are required to certify annually that their rates are in compliance with </w:t>
      </w:r>
      <w:r w:rsidR="00AE4913">
        <w:t xml:space="preserve">the existing </w:t>
      </w:r>
      <w:r w:rsidR="008C007E">
        <w:t>reasonabl</w:t>
      </w:r>
      <w:r w:rsidR="00AE4913">
        <w:t>e</w:t>
      </w:r>
      <w:r w:rsidR="008C007E">
        <w:t xml:space="preserve"> comparability benchmark.</w:t>
      </w:r>
      <w:r w:rsidR="00415B63">
        <w:rPr>
          <w:rStyle w:val="FootnoteReference"/>
        </w:rPr>
        <w:footnoteReference w:id="4"/>
      </w:r>
      <w:r w:rsidR="00415B63">
        <w:t xml:space="preserve">  ACS is subject to the same requirement.</w:t>
      </w:r>
      <w:r w:rsidR="00A1223A">
        <w:rPr>
          <w:rStyle w:val="FootnoteReference"/>
        </w:rPr>
        <w:footnoteReference w:id="5"/>
      </w:r>
      <w:r w:rsidR="008C007E">
        <w:t xml:space="preserve">  </w:t>
      </w:r>
      <w:r w:rsidR="00933809">
        <w:t>All Alaska Plan carriers certified compliance with the voice benchmark in 2016, so w</w:t>
      </w:r>
      <w:r w:rsidR="008C4A15">
        <w:rPr>
          <w:szCs w:val="22"/>
        </w:rPr>
        <w:t>e determine</w:t>
      </w:r>
      <w:r w:rsidR="00FB0AEA">
        <w:rPr>
          <w:szCs w:val="22"/>
        </w:rPr>
        <w:t xml:space="preserve"> </w:t>
      </w:r>
      <w:r w:rsidR="00326D53">
        <w:rPr>
          <w:szCs w:val="22"/>
        </w:rPr>
        <w:t xml:space="preserve">there </w:t>
      </w:r>
      <w:r w:rsidR="00FB0AEA">
        <w:rPr>
          <w:szCs w:val="22"/>
        </w:rPr>
        <w:t>is no reason for a different reasonable comparability benchmark for voice</w:t>
      </w:r>
      <w:r w:rsidR="00225641">
        <w:rPr>
          <w:szCs w:val="22"/>
        </w:rPr>
        <w:t>.</w:t>
      </w:r>
      <w:r w:rsidR="00FB0AEA">
        <w:rPr>
          <w:szCs w:val="22"/>
        </w:rPr>
        <w:t xml:space="preserve">  </w:t>
      </w:r>
      <w:r w:rsidR="00050D2F">
        <w:rPr>
          <w:szCs w:val="22"/>
        </w:rPr>
        <w:t xml:space="preserve">Accordingly, the reasonable comparability </w:t>
      </w:r>
      <w:r w:rsidR="00AE4913">
        <w:rPr>
          <w:szCs w:val="22"/>
        </w:rPr>
        <w:t xml:space="preserve">voice </w:t>
      </w:r>
      <w:r w:rsidR="00050D2F">
        <w:rPr>
          <w:szCs w:val="22"/>
        </w:rPr>
        <w:t>benchmark</w:t>
      </w:r>
      <w:r w:rsidR="002640C5">
        <w:rPr>
          <w:szCs w:val="22"/>
        </w:rPr>
        <w:t xml:space="preserve"> for </w:t>
      </w:r>
      <w:r w:rsidR="00AE4913">
        <w:rPr>
          <w:szCs w:val="22"/>
        </w:rPr>
        <w:t>these carriers for 2017 is</w:t>
      </w:r>
      <w:r w:rsidR="004B103F">
        <w:rPr>
          <w:szCs w:val="22"/>
        </w:rPr>
        <w:t xml:space="preserve"> $49.51</w:t>
      </w:r>
      <w:r w:rsidR="009158C9">
        <w:rPr>
          <w:szCs w:val="22"/>
        </w:rPr>
        <w:t>.</w:t>
      </w:r>
      <w:r w:rsidR="00415B63">
        <w:rPr>
          <w:rStyle w:val="FootnoteReference"/>
          <w:szCs w:val="22"/>
        </w:rPr>
        <w:footnoteReference w:id="6"/>
      </w:r>
      <w:r w:rsidR="009158C9">
        <w:rPr>
          <w:szCs w:val="22"/>
        </w:rPr>
        <w:t xml:space="preserve">  </w:t>
      </w:r>
      <w:r w:rsidR="004B103F">
        <w:rPr>
          <w:szCs w:val="22"/>
        </w:rPr>
        <w:t xml:space="preserve">All Alaska Plan rate-of-return </w:t>
      </w:r>
      <w:r w:rsidR="001F6EFF">
        <w:rPr>
          <w:szCs w:val="22"/>
        </w:rPr>
        <w:t xml:space="preserve">carriers </w:t>
      </w:r>
      <w:r w:rsidR="00415B63">
        <w:rPr>
          <w:szCs w:val="22"/>
        </w:rPr>
        <w:t xml:space="preserve">and ACS </w:t>
      </w:r>
      <w:r w:rsidR="004B103F">
        <w:rPr>
          <w:szCs w:val="22"/>
        </w:rPr>
        <w:t>must certify in the FCC Form 481</w:t>
      </w:r>
      <w:r w:rsidR="00DB06A8">
        <w:rPr>
          <w:szCs w:val="22"/>
        </w:rPr>
        <w:t xml:space="preserve"> f</w:t>
      </w:r>
      <w:r w:rsidR="00DB06A8" w:rsidRPr="00DB06A8">
        <w:rPr>
          <w:szCs w:val="22"/>
        </w:rPr>
        <w:t>iled no later than July 1, 201</w:t>
      </w:r>
      <w:r w:rsidR="00DB06A8">
        <w:rPr>
          <w:szCs w:val="22"/>
        </w:rPr>
        <w:t>7</w:t>
      </w:r>
      <w:r w:rsidR="004B103F">
        <w:rPr>
          <w:szCs w:val="22"/>
        </w:rPr>
        <w:t xml:space="preserve"> that the price of their basic residential voice service is not above $49.51. </w:t>
      </w:r>
    </w:p>
    <w:p w14:paraId="162EE553" w14:textId="77777777" w:rsidR="002640C5" w:rsidRDefault="002640C5" w:rsidP="002640C5">
      <w:pPr>
        <w:ind w:firstLine="720"/>
        <w:rPr>
          <w:szCs w:val="22"/>
        </w:rPr>
      </w:pPr>
    </w:p>
    <w:p w14:paraId="3DD34F16" w14:textId="02535A8C" w:rsidR="00AB1D96" w:rsidRDefault="00283D2E" w:rsidP="00AB1D96">
      <w:pPr>
        <w:autoSpaceDE w:val="0"/>
        <w:autoSpaceDN w:val="0"/>
        <w:adjustRightInd w:val="0"/>
        <w:ind w:firstLine="720"/>
      </w:pPr>
      <w:r w:rsidRPr="001A1646">
        <w:rPr>
          <w:i/>
        </w:rPr>
        <w:t>Broadband Rates</w:t>
      </w:r>
      <w:r w:rsidR="009860B1">
        <w:t>.</w:t>
      </w:r>
      <w:r w:rsidR="00B80BF4">
        <w:t xml:space="preserve">  </w:t>
      </w:r>
      <w:r w:rsidR="007C5E8D">
        <w:t xml:space="preserve">To meet the reasonable comparability benchmark for broadband, Alaska Plan </w:t>
      </w:r>
      <w:r w:rsidR="007C5E8D">
        <w:lastRenderedPageBreak/>
        <w:t xml:space="preserve">carriers </w:t>
      </w:r>
      <w:r w:rsidR="00AE4913">
        <w:t xml:space="preserve">and ACS </w:t>
      </w:r>
      <w:r w:rsidR="007C5E8D">
        <w:t xml:space="preserve">may certify compliance with reasonable comparability benchmarks or certify that </w:t>
      </w:r>
      <w:r w:rsidR="002640C5">
        <w:t>they offer</w:t>
      </w:r>
      <w:r w:rsidR="007C5E8D">
        <w:t xml:space="preserve"> the same or lower rates in rural areas as in urban areas.</w:t>
      </w:r>
      <w:r w:rsidR="007C5E8D">
        <w:rPr>
          <w:rStyle w:val="FootnoteReference"/>
        </w:rPr>
        <w:footnoteReference w:id="7"/>
      </w:r>
      <w:r w:rsidR="007C5E8D">
        <w:t xml:space="preserve">  </w:t>
      </w:r>
      <w:r w:rsidR="0031712A">
        <w:rPr>
          <w:szCs w:val="22"/>
        </w:rPr>
        <w:t xml:space="preserve">Recognizing the unique challenges and circumstances </w:t>
      </w:r>
      <w:r w:rsidR="00F417F6">
        <w:rPr>
          <w:szCs w:val="22"/>
        </w:rPr>
        <w:t>Alaskan ca</w:t>
      </w:r>
      <w:r w:rsidR="0031712A">
        <w:rPr>
          <w:szCs w:val="22"/>
        </w:rPr>
        <w:t xml:space="preserve">rriers </w:t>
      </w:r>
      <w:r w:rsidR="00F417F6">
        <w:rPr>
          <w:szCs w:val="22"/>
        </w:rPr>
        <w:t xml:space="preserve">face </w:t>
      </w:r>
      <w:r w:rsidR="0031712A">
        <w:rPr>
          <w:szCs w:val="22"/>
        </w:rPr>
        <w:t>serving their customers, the Commission directed the Bureau to establish an Alaska-specific reasonable comparability benchmark</w:t>
      </w:r>
      <w:r w:rsidR="00F417F6">
        <w:rPr>
          <w:szCs w:val="22"/>
        </w:rPr>
        <w:t xml:space="preserve"> for broadband</w:t>
      </w:r>
      <w:r w:rsidR="0031712A">
        <w:rPr>
          <w:szCs w:val="22"/>
        </w:rPr>
        <w:t>.  The Commission stated that the Bureau could us</w:t>
      </w:r>
      <w:r w:rsidR="007D1C9A">
        <w:rPr>
          <w:szCs w:val="22"/>
        </w:rPr>
        <w:t>e</w:t>
      </w:r>
      <w:r w:rsidR="0031712A">
        <w:rPr>
          <w:szCs w:val="22"/>
        </w:rPr>
        <w:t xml:space="preserve"> “</w:t>
      </w:r>
      <w:r w:rsidR="0031712A">
        <w:t>data from its urban rate survey or other sources, as appropriate” in establishing the benchmark.</w:t>
      </w:r>
      <w:r w:rsidR="00F417F6">
        <w:rPr>
          <w:rStyle w:val="FootnoteReference"/>
        </w:rPr>
        <w:footnoteReference w:id="8"/>
      </w:r>
      <w:r w:rsidR="0031712A">
        <w:t xml:space="preserve">  </w:t>
      </w:r>
    </w:p>
    <w:p w14:paraId="254A8CD6" w14:textId="77777777" w:rsidR="00AB1D96" w:rsidRDefault="00AB1D96" w:rsidP="00AB1D96">
      <w:pPr>
        <w:autoSpaceDE w:val="0"/>
        <w:autoSpaceDN w:val="0"/>
        <w:adjustRightInd w:val="0"/>
        <w:ind w:firstLine="720"/>
      </w:pPr>
    </w:p>
    <w:p w14:paraId="20258B5D" w14:textId="26A098F6" w:rsidR="00232AD2" w:rsidRPr="00755199" w:rsidRDefault="0063040E" w:rsidP="00260AE7">
      <w:pPr>
        <w:ind w:firstLine="720"/>
      </w:pPr>
      <w:r>
        <w:t xml:space="preserve">To calculate the broadband </w:t>
      </w:r>
      <w:r w:rsidR="009158C9">
        <w:t xml:space="preserve">reasonable comparability </w:t>
      </w:r>
      <w:r>
        <w:t>benchmark</w:t>
      </w:r>
      <w:r w:rsidR="003B7933">
        <w:t xml:space="preserve">, we use the same formula as in the </w:t>
      </w:r>
      <w:r w:rsidR="003B7933" w:rsidRPr="003B7933">
        <w:rPr>
          <w:i/>
        </w:rPr>
        <w:t>2017 Urban Rate Survey – Fixed Broadband Service Analysis</w:t>
      </w:r>
      <w:r w:rsidR="004B57E8">
        <w:rPr>
          <w:i/>
        </w:rPr>
        <w:t xml:space="preserve"> </w:t>
      </w:r>
      <w:r w:rsidR="004B57E8">
        <w:t>with one change</w:t>
      </w:r>
      <w:r w:rsidR="009860B1">
        <w:t xml:space="preserve"> to account for the unique challenges of serving Alaska</w:t>
      </w:r>
      <w:r>
        <w:t>.</w:t>
      </w:r>
      <w:r>
        <w:rPr>
          <w:rStyle w:val="FootnoteReference"/>
        </w:rPr>
        <w:footnoteReference w:id="9"/>
      </w:r>
      <w:r>
        <w:t xml:space="preserve">  The methodology adopted for the</w:t>
      </w:r>
      <w:r w:rsidR="00283D2E">
        <w:rPr>
          <w:szCs w:val="22"/>
        </w:rPr>
        <w:t xml:space="preserve"> reasonable comparability benchmark is the </w:t>
      </w:r>
      <w:r w:rsidR="00097D22">
        <w:rPr>
          <w:szCs w:val="22"/>
        </w:rPr>
        <w:t>“</w:t>
      </w:r>
      <w:r w:rsidR="00283D2E">
        <w:rPr>
          <w:szCs w:val="22"/>
        </w:rPr>
        <w:t>estimated average monthly rate plus twice the standard deviation of rates for terrestrial fixed broadband service plans with download speeds of 10 Mbps or greater, upload speeds of 1 Mbps or greater, and usage allowance of 100 GB or greate</w:t>
      </w:r>
      <w:r w:rsidR="00B80BF4">
        <w:rPr>
          <w:szCs w:val="22"/>
        </w:rPr>
        <w:t>r.</w:t>
      </w:r>
      <w:r w:rsidR="00097D22">
        <w:rPr>
          <w:szCs w:val="22"/>
        </w:rPr>
        <w:t>”</w:t>
      </w:r>
      <w:r w:rsidR="00C87714">
        <w:rPr>
          <w:rStyle w:val="FootnoteReference"/>
          <w:szCs w:val="22"/>
        </w:rPr>
        <w:footnoteReference w:id="10"/>
      </w:r>
      <w:r w:rsidR="00B80BF4">
        <w:rPr>
          <w:szCs w:val="22"/>
        </w:rPr>
        <w:t xml:space="preserve">  </w:t>
      </w:r>
      <w:r w:rsidR="000661E4">
        <w:rPr>
          <w:szCs w:val="22"/>
        </w:rPr>
        <w:t>The</w:t>
      </w:r>
      <w:r w:rsidR="008F5C4E">
        <w:rPr>
          <w:szCs w:val="22"/>
        </w:rPr>
        <w:t xml:space="preserve"> estimate of the standard deviation of rates for service plans meeting the reasonable comparability benchmark criteria is t</w:t>
      </w:r>
      <w:r w:rsidR="00283D2E">
        <w:rPr>
          <w:szCs w:val="22"/>
        </w:rPr>
        <w:t xml:space="preserve">he root weighted mean squared </w:t>
      </w:r>
      <w:r w:rsidR="00097D22">
        <w:rPr>
          <w:szCs w:val="22"/>
        </w:rPr>
        <w:t>residual</w:t>
      </w:r>
      <w:r w:rsidR="008F5C4E">
        <w:rPr>
          <w:szCs w:val="22"/>
        </w:rPr>
        <w:t xml:space="preserve"> </w:t>
      </w:r>
      <w:r w:rsidR="00097D22">
        <w:rPr>
          <w:szCs w:val="22"/>
        </w:rPr>
        <w:t>(RWMSR</w:t>
      </w:r>
      <w:r w:rsidR="00B80BF4">
        <w:rPr>
          <w:szCs w:val="22"/>
        </w:rPr>
        <w:t>).</w:t>
      </w:r>
      <w:r w:rsidR="005D2035">
        <w:rPr>
          <w:szCs w:val="22"/>
        </w:rPr>
        <w:t xml:space="preserve">  </w:t>
      </w:r>
      <w:r w:rsidR="005D2035" w:rsidRPr="005D2035">
        <w:rPr>
          <w:szCs w:val="22"/>
        </w:rPr>
        <w:t>RWMSR is the square root of the weighted average of the square of residuals (observed rate minus average rate as defined by the Average Monthly Rate equation) plus the square of the spreads divided by 12.</w:t>
      </w:r>
    </w:p>
    <w:p w14:paraId="15848E2F" w14:textId="77777777" w:rsidR="00232AD2" w:rsidRDefault="00232AD2" w:rsidP="00232AD2">
      <w:pPr>
        <w:ind w:firstLine="720"/>
        <w:rPr>
          <w:szCs w:val="22"/>
        </w:rPr>
      </w:pPr>
    </w:p>
    <w:p w14:paraId="004514DC" w14:textId="20DD5F86" w:rsidR="00C973FD" w:rsidRDefault="00B80BF4">
      <w:pPr>
        <w:ind w:firstLine="720"/>
      </w:pPr>
      <w:r>
        <w:rPr>
          <w:szCs w:val="22"/>
        </w:rPr>
        <w:t xml:space="preserve">For </w:t>
      </w:r>
      <w:r w:rsidR="0063040E">
        <w:t xml:space="preserve">Alaska, we </w:t>
      </w:r>
      <w:r w:rsidR="00C87714">
        <w:t>modify</w:t>
      </w:r>
      <w:r w:rsidR="0063040E">
        <w:t xml:space="preserve"> the formula </w:t>
      </w:r>
      <w:r>
        <w:t xml:space="preserve">to use four </w:t>
      </w:r>
      <w:r w:rsidR="00BC1657">
        <w:t xml:space="preserve">standard deviations </w:t>
      </w:r>
      <w:r>
        <w:t>rather than two</w:t>
      </w:r>
      <w:r w:rsidR="00BC1657">
        <w:t xml:space="preserve"> — that </w:t>
      </w:r>
      <w:r w:rsidR="0025602D">
        <w:t xml:space="preserve">is </w:t>
      </w:r>
      <w:r w:rsidR="007C5E8D">
        <w:t>four</w:t>
      </w:r>
      <w:r w:rsidR="00BC1657">
        <w:t xml:space="preserve"> times</w:t>
      </w:r>
      <w:r>
        <w:t xml:space="preserve"> </w:t>
      </w:r>
      <w:r w:rsidR="00097D22">
        <w:rPr>
          <w:szCs w:val="22"/>
        </w:rPr>
        <w:t xml:space="preserve">RWMSR rather than </w:t>
      </w:r>
      <w:r w:rsidR="007C5E8D">
        <w:rPr>
          <w:szCs w:val="22"/>
        </w:rPr>
        <w:t>two</w:t>
      </w:r>
      <w:r w:rsidR="00097D22">
        <w:rPr>
          <w:szCs w:val="22"/>
        </w:rPr>
        <w:t xml:space="preserve"> times RWMSR</w:t>
      </w:r>
      <w:r w:rsidR="00232AD2">
        <w:rPr>
          <w:szCs w:val="22"/>
        </w:rPr>
        <w:t xml:space="preserve">.  </w:t>
      </w:r>
      <w:r w:rsidR="0063040E">
        <w:rPr>
          <w:szCs w:val="22"/>
        </w:rPr>
        <w:t>F</w:t>
      </w:r>
      <w:r w:rsidR="009C0148">
        <w:rPr>
          <w:szCs w:val="22"/>
        </w:rPr>
        <w:t>our standard deviations</w:t>
      </w:r>
      <w:r w:rsidR="007C5E8D">
        <w:rPr>
          <w:szCs w:val="22"/>
        </w:rPr>
        <w:t xml:space="preserve">, which increases the </w:t>
      </w:r>
      <w:r w:rsidR="00130EF5">
        <w:rPr>
          <w:szCs w:val="22"/>
        </w:rPr>
        <w:t xml:space="preserve">price </w:t>
      </w:r>
      <w:r w:rsidR="007C5E8D">
        <w:rPr>
          <w:szCs w:val="22"/>
        </w:rPr>
        <w:t>benchmarks,</w:t>
      </w:r>
      <w:r w:rsidR="00BC1657">
        <w:rPr>
          <w:szCs w:val="22"/>
        </w:rPr>
        <w:t xml:space="preserve"> </w:t>
      </w:r>
      <w:r w:rsidR="0063040E">
        <w:rPr>
          <w:szCs w:val="22"/>
        </w:rPr>
        <w:t xml:space="preserve">accounts for </w:t>
      </w:r>
      <w:r w:rsidR="009C0148">
        <w:rPr>
          <w:szCs w:val="22"/>
        </w:rPr>
        <w:t>the unique geographical and infrastructure challenges carriers face in bringing</w:t>
      </w:r>
      <w:r w:rsidR="00DC02DE">
        <w:rPr>
          <w:szCs w:val="22"/>
        </w:rPr>
        <w:t xml:space="preserve"> broadband</w:t>
      </w:r>
      <w:r w:rsidR="009C0148">
        <w:rPr>
          <w:szCs w:val="22"/>
        </w:rPr>
        <w:t xml:space="preserve"> service to Alaskan consumers, in particular </w:t>
      </w:r>
      <w:r w:rsidR="007C5E8D">
        <w:rPr>
          <w:szCs w:val="22"/>
        </w:rPr>
        <w:t xml:space="preserve">high </w:t>
      </w:r>
      <w:r w:rsidR="00097D22">
        <w:rPr>
          <w:szCs w:val="22"/>
        </w:rPr>
        <w:t xml:space="preserve">middle-mile </w:t>
      </w:r>
      <w:r w:rsidR="007C5E8D">
        <w:rPr>
          <w:szCs w:val="22"/>
        </w:rPr>
        <w:t>costs</w:t>
      </w:r>
      <w:r w:rsidR="00130EF5">
        <w:rPr>
          <w:szCs w:val="22"/>
        </w:rPr>
        <w:t xml:space="preserve"> even for </w:t>
      </w:r>
      <w:r w:rsidR="007C5E8D">
        <w:rPr>
          <w:szCs w:val="22"/>
        </w:rPr>
        <w:t>fiber facilities</w:t>
      </w:r>
      <w:r w:rsidR="00BC1657">
        <w:rPr>
          <w:szCs w:val="22"/>
        </w:rPr>
        <w:t>.</w:t>
      </w:r>
      <w:r w:rsidR="007C5E8D">
        <w:rPr>
          <w:rStyle w:val="FootnoteReference"/>
        </w:rPr>
        <w:footnoteReference w:id="11"/>
      </w:r>
      <w:r w:rsidR="007C5E8D">
        <w:t xml:space="preserve">  </w:t>
      </w:r>
      <w:r w:rsidR="007710B5">
        <w:t>T</w:t>
      </w:r>
      <w:r w:rsidR="004B103F">
        <w:t>o</w:t>
      </w:r>
      <w:r w:rsidR="004245F4">
        <w:t xml:space="preserve"> the extent </w:t>
      </w:r>
      <w:r w:rsidR="00E64211">
        <w:t xml:space="preserve">that </w:t>
      </w:r>
      <w:r w:rsidR="004245F4">
        <w:t>a carrier cannot certify</w:t>
      </w:r>
      <w:r w:rsidR="004B57E8">
        <w:t xml:space="preserve"> in it</w:t>
      </w:r>
      <w:r w:rsidR="001A40E5">
        <w:t>s</w:t>
      </w:r>
      <w:r w:rsidR="004B57E8">
        <w:t xml:space="preserve"> FCC Form 481</w:t>
      </w:r>
      <w:r w:rsidR="004245F4">
        <w:t xml:space="preserve"> to meeting the benchmark, it will provide an explanation.  </w:t>
      </w:r>
    </w:p>
    <w:p w14:paraId="634F96A6" w14:textId="77777777" w:rsidR="00C973FD" w:rsidRDefault="00C973FD" w:rsidP="00C973FD">
      <w:pPr>
        <w:ind w:firstLine="720"/>
      </w:pPr>
    </w:p>
    <w:p w14:paraId="6FCD7670" w14:textId="45D879DE" w:rsidR="00C973FD" w:rsidRDefault="004245F4" w:rsidP="00E64211">
      <w:pPr>
        <w:ind w:firstLine="720"/>
      </w:pPr>
      <w:r>
        <w:t xml:space="preserve">The Bureau will monitor middle-mile </w:t>
      </w:r>
      <w:r w:rsidR="00C973FD">
        <w:t xml:space="preserve">costs and availability </w:t>
      </w:r>
      <w:r>
        <w:t xml:space="preserve">in Alaska and annually evaluate whether four rather than two standard </w:t>
      </w:r>
      <w:r w:rsidR="00C973FD">
        <w:t>deviations remains justified</w:t>
      </w:r>
      <w:r w:rsidR="007C5E8D">
        <w:t xml:space="preserve"> or whet</w:t>
      </w:r>
      <w:r w:rsidR="00610C99">
        <w:t xml:space="preserve">her circumstances necessitate an alternative </w:t>
      </w:r>
      <w:r w:rsidR="007C5E8D">
        <w:t>approach</w:t>
      </w:r>
      <w:r w:rsidR="00C973FD">
        <w:t xml:space="preserve">.  </w:t>
      </w:r>
      <w:r w:rsidR="00AB1D96">
        <w:t>B</w:t>
      </w:r>
      <w:r w:rsidR="00755199">
        <w:t xml:space="preserve">enchmarks </w:t>
      </w:r>
      <w:r w:rsidR="007A5641">
        <w:t xml:space="preserve">for some common service offerings </w:t>
      </w:r>
      <w:r w:rsidR="00755199">
        <w:t>are</w:t>
      </w:r>
      <w:r w:rsidR="00AB1D96">
        <w:t xml:space="preserve"> below and </w:t>
      </w:r>
      <w:r w:rsidR="007A5641">
        <w:t>can also be</w:t>
      </w:r>
      <w:r w:rsidR="00AB1D96">
        <w:t xml:space="preserve"> calculate</w:t>
      </w:r>
      <w:r w:rsidR="007A5641">
        <w:t>d</w:t>
      </w:r>
      <w:r w:rsidR="00AB1D96">
        <w:t xml:space="preserve"> using the spreadsheet on our website at</w:t>
      </w:r>
      <w:r w:rsidR="00E8718F">
        <w:t xml:space="preserve"> </w:t>
      </w:r>
      <w:hyperlink r:id="rId8" w:history="1">
        <w:r w:rsidR="00E8718F" w:rsidRPr="006F73C7">
          <w:rPr>
            <w:rStyle w:val="Hyperlink"/>
          </w:rPr>
          <w:t>https://www.fcc.gov/general/urban-rate-survey-data-resources</w:t>
        </w:r>
      </w:hyperlink>
      <w:r w:rsidR="0043318C">
        <w:t xml:space="preserve"> and the online tool.</w:t>
      </w:r>
      <w:r w:rsidR="007A5641">
        <w:rPr>
          <w:rStyle w:val="FootnoteReference"/>
        </w:rPr>
        <w:footnoteReference w:id="12"/>
      </w:r>
      <w:r w:rsidR="0043318C">
        <w:t xml:space="preserve">  </w:t>
      </w:r>
      <w:r w:rsidR="00E8718F">
        <w:t xml:space="preserve"> </w:t>
      </w:r>
    </w:p>
    <w:p w14:paraId="47BDE150" w14:textId="77777777" w:rsidR="00755199" w:rsidRDefault="00755199" w:rsidP="00755199">
      <w:pPr>
        <w:ind w:firstLine="720"/>
      </w:pPr>
    </w:p>
    <w:tbl>
      <w:tblPr>
        <w:tblW w:w="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0"/>
        <w:gridCol w:w="960"/>
        <w:gridCol w:w="1194"/>
        <w:gridCol w:w="1316"/>
      </w:tblGrid>
      <w:tr w:rsidR="00755199" w:rsidRPr="00755199" w14:paraId="1EC774C7" w14:textId="77777777" w:rsidTr="002B32EB">
        <w:trPr>
          <w:trHeight w:val="759"/>
          <w:jc w:val="center"/>
        </w:trPr>
        <w:tc>
          <w:tcPr>
            <w:tcW w:w="1133" w:type="dxa"/>
            <w:shd w:val="clear" w:color="auto" w:fill="BFBFBF" w:themeFill="background1" w:themeFillShade="BF"/>
            <w:tcMar>
              <w:top w:w="0" w:type="dxa"/>
              <w:left w:w="108" w:type="dxa"/>
              <w:bottom w:w="0" w:type="dxa"/>
              <w:right w:w="108" w:type="dxa"/>
            </w:tcMar>
            <w:vAlign w:val="center"/>
            <w:hideMark/>
          </w:tcPr>
          <w:p w14:paraId="7B94427B" w14:textId="77777777" w:rsidR="00755199" w:rsidRPr="00C076CB" w:rsidRDefault="00755199" w:rsidP="0098377A">
            <w:pPr>
              <w:keepNext/>
              <w:keepLines/>
              <w:widowControl/>
              <w:jc w:val="center"/>
              <w:rPr>
                <w:b/>
                <w:snapToGrid/>
                <w:color w:val="000000"/>
                <w:kern w:val="0"/>
                <w:szCs w:val="22"/>
              </w:rPr>
            </w:pPr>
            <w:r w:rsidRPr="00C076CB">
              <w:rPr>
                <w:b/>
                <w:color w:val="000000"/>
                <w:szCs w:val="22"/>
              </w:rPr>
              <w:lastRenderedPageBreak/>
              <w:t>Download Speed (Mbps)</w:t>
            </w:r>
          </w:p>
        </w:tc>
        <w:tc>
          <w:tcPr>
            <w:tcW w:w="960" w:type="dxa"/>
            <w:shd w:val="clear" w:color="auto" w:fill="BFBFBF" w:themeFill="background1" w:themeFillShade="BF"/>
            <w:tcMar>
              <w:top w:w="0" w:type="dxa"/>
              <w:left w:w="108" w:type="dxa"/>
              <w:bottom w:w="0" w:type="dxa"/>
              <w:right w:w="108" w:type="dxa"/>
            </w:tcMar>
            <w:vAlign w:val="center"/>
            <w:hideMark/>
          </w:tcPr>
          <w:p w14:paraId="01C7745B" w14:textId="77777777" w:rsidR="00755199" w:rsidRPr="00C076CB" w:rsidRDefault="00755199" w:rsidP="0098377A">
            <w:pPr>
              <w:keepNext/>
              <w:keepLines/>
              <w:widowControl/>
              <w:jc w:val="center"/>
              <w:rPr>
                <w:b/>
                <w:color w:val="000000"/>
                <w:szCs w:val="22"/>
              </w:rPr>
            </w:pPr>
            <w:r w:rsidRPr="00C076CB">
              <w:rPr>
                <w:b/>
                <w:color w:val="000000"/>
                <w:szCs w:val="22"/>
              </w:rPr>
              <w:t>Upload Speed (Mbps)</w:t>
            </w:r>
          </w:p>
        </w:tc>
        <w:tc>
          <w:tcPr>
            <w:tcW w:w="1169" w:type="dxa"/>
            <w:shd w:val="clear" w:color="auto" w:fill="BFBFBF" w:themeFill="background1" w:themeFillShade="BF"/>
            <w:tcMar>
              <w:top w:w="0" w:type="dxa"/>
              <w:left w:w="108" w:type="dxa"/>
              <w:bottom w:w="0" w:type="dxa"/>
              <w:right w:w="108" w:type="dxa"/>
            </w:tcMar>
            <w:vAlign w:val="center"/>
            <w:hideMark/>
          </w:tcPr>
          <w:p w14:paraId="5BC76A59" w14:textId="77777777" w:rsidR="00755199" w:rsidRPr="00C076CB" w:rsidRDefault="00755199" w:rsidP="0098377A">
            <w:pPr>
              <w:keepNext/>
              <w:keepLines/>
              <w:widowControl/>
              <w:jc w:val="center"/>
              <w:rPr>
                <w:b/>
                <w:color w:val="000000"/>
                <w:szCs w:val="22"/>
              </w:rPr>
            </w:pPr>
            <w:r w:rsidRPr="00C076CB">
              <w:rPr>
                <w:b/>
                <w:color w:val="000000"/>
                <w:szCs w:val="22"/>
              </w:rPr>
              <w:t>Capacity Allowance (GB)</w:t>
            </w:r>
          </w:p>
        </w:tc>
        <w:tc>
          <w:tcPr>
            <w:tcW w:w="1231" w:type="dxa"/>
            <w:shd w:val="clear" w:color="auto" w:fill="BFBFBF" w:themeFill="background1" w:themeFillShade="BF"/>
            <w:tcMar>
              <w:top w:w="0" w:type="dxa"/>
              <w:left w:w="108" w:type="dxa"/>
              <w:bottom w:w="0" w:type="dxa"/>
              <w:right w:w="108" w:type="dxa"/>
            </w:tcMar>
            <w:vAlign w:val="center"/>
            <w:hideMark/>
          </w:tcPr>
          <w:p w14:paraId="38B8A610" w14:textId="77777777" w:rsidR="00755199" w:rsidRPr="00C076CB" w:rsidRDefault="00755199" w:rsidP="0098377A">
            <w:pPr>
              <w:keepNext/>
              <w:keepLines/>
              <w:widowControl/>
              <w:jc w:val="center"/>
              <w:rPr>
                <w:b/>
                <w:color w:val="000000"/>
                <w:szCs w:val="22"/>
              </w:rPr>
            </w:pPr>
            <w:r w:rsidRPr="00C076CB">
              <w:rPr>
                <w:b/>
                <w:color w:val="000000"/>
                <w:szCs w:val="22"/>
              </w:rPr>
              <w:t xml:space="preserve">AK Benchmark </w:t>
            </w:r>
          </w:p>
        </w:tc>
      </w:tr>
      <w:tr w:rsidR="00755199" w:rsidRPr="00755199" w14:paraId="5D415A46" w14:textId="77777777" w:rsidTr="00C076CB">
        <w:trPr>
          <w:trHeight w:hRule="exact" w:val="432"/>
          <w:jc w:val="center"/>
        </w:trPr>
        <w:tc>
          <w:tcPr>
            <w:tcW w:w="1133" w:type="dxa"/>
            <w:noWrap/>
            <w:tcMar>
              <w:top w:w="0" w:type="dxa"/>
              <w:left w:w="108" w:type="dxa"/>
              <w:bottom w:w="0" w:type="dxa"/>
              <w:right w:w="108" w:type="dxa"/>
            </w:tcMar>
            <w:vAlign w:val="center"/>
            <w:hideMark/>
          </w:tcPr>
          <w:p w14:paraId="64D7BC46" w14:textId="5608EFC8" w:rsidR="00755199" w:rsidRPr="00755199" w:rsidRDefault="00F72538" w:rsidP="0098377A">
            <w:pPr>
              <w:keepNext/>
              <w:keepLines/>
              <w:widowControl/>
              <w:jc w:val="center"/>
              <w:rPr>
                <w:color w:val="000000"/>
                <w:szCs w:val="22"/>
              </w:rPr>
            </w:pPr>
            <w:r>
              <w:rPr>
                <w:color w:val="000000"/>
                <w:szCs w:val="22"/>
              </w:rPr>
              <w:t>4</w:t>
            </w:r>
          </w:p>
        </w:tc>
        <w:tc>
          <w:tcPr>
            <w:tcW w:w="960" w:type="dxa"/>
            <w:noWrap/>
            <w:tcMar>
              <w:top w:w="0" w:type="dxa"/>
              <w:left w:w="108" w:type="dxa"/>
              <w:bottom w:w="0" w:type="dxa"/>
              <w:right w:w="108" w:type="dxa"/>
            </w:tcMar>
            <w:vAlign w:val="center"/>
            <w:hideMark/>
          </w:tcPr>
          <w:p w14:paraId="435EBC4B" w14:textId="77777777" w:rsidR="00755199" w:rsidRPr="00755199" w:rsidRDefault="00755199" w:rsidP="0098377A">
            <w:pPr>
              <w:keepNext/>
              <w:keepLines/>
              <w:widowControl/>
              <w:jc w:val="center"/>
              <w:rPr>
                <w:color w:val="000000"/>
                <w:szCs w:val="22"/>
              </w:rPr>
            </w:pPr>
            <w:r w:rsidRPr="00755199">
              <w:rPr>
                <w:color w:val="000000"/>
                <w:szCs w:val="22"/>
              </w:rPr>
              <w:t>1</w:t>
            </w:r>
          </w:p>
        </w:tc>
        <w:tc>
          <w:tcPr>
            <w:tcW w:w="1169" w:type="dxa"/>
            <w:noWrap/>
            <w:tcMar>
              <w:top w:w="0" w:type="dxa"/>
              <w:left w:w="108" w:type="dxa"/>
              <w:bottom w:w="0" w:type="dxa"/>
              <w:right w:w="108" w:type="dxa"/>
            </w:tcMar>
            <w:vAlign w:val="center"/>
            <w:hideMark/>
          </w:tcPr>
          <w:p w14:paraId="246A748C" w14:textId="4BB56648" w:rsidR="00755199" w:rsidRPr="00755199" w:rsidRDefault="00F72538" w:rsidP="0098377A">
            <w:pPr>
              <w:keepNext/>
              <w:keepLines/>
              <w:widowControl/>
              <w:jc w:val="center"/>
              <w:rPr>
                <w:color w:val="000000"/>
                <w:szCs w:val="22"/>
              </w:rPr>
            </w:pPr>
            <w:r>
              <w:rPr>
                <w:color w:val="000000"/>
                <w:szCs w:val="22"/>
              </w:rPr>
              <w:t>160</w:t>
            </w:r>
          </w:p>
        </w:tc>
        <w:tc>
          <w:tcPr>
            <w:tcW w:w="1231" w:type="dxa"/>
            <w:noWrap/>
            <w:tcMar>
              <w:top w:w="0" w:type="dxa"/>
              <w:left w:w="108" w:type="dxa"/>
              <w:bottom w:w="0" w:type="dxa"/>
              <w:right w:w="108" w:type="dxa"/>
            </w:tcMar>
            <w:vAlign w:val="center"/>
            <w:hideMark/>
          </w:tcPr>
          <w:p w14:paraId="3203F7AC" w14:textId="331E1964" w:rsidR="00755199" w:rsidRPr="00755199" w:rsidRDefault="00D12020" w:rsidP="0098377A">
            <w:pPr>
              <w:keepNext/>
              <w:keepLines/>
              <w:widowControl/>
              <w:jc w:val="center"/>
              <w:rPr>
                <w:color w:val="000000"/>
                <w:szCs w:val="22"/>
              </w:rPr>
            </w:pPr>
            <w:r>
              <w:rPr>
                <w:color w:val="000000"/>
                <w:szCs w:val="22"/>
              </w:rPr>
              <w:t>$88.34</w:t>
            </w:r>
          </w:p>
        </w:tc>
      </w:tr>
      <w:tr w:rsidR="00755199" w:rsidRPr="00755199" w14:paraId="2CD9CDDB" w14:textId="77777777" w:rsidTr="00C076CB">
        <w:trPr>
          <w:trHeight w:hRule="exact" w:val="432"/>
          <w:jc w:val="center"/>
        </w:trPr>
        <w:tc>
          <w:tcPr>
            <w:tcW w:w="1133" w:type="dxa"/>
            <w:noWrap/>
            <w:tcMar>
              <w:top w:w="0" w:type="dxa"/>
              <w:left w:w="108" w:type="dxa"/>
              <w:bottom w:w="0" w:type="dxa"/>
              <w:right w:w="108" w:type="dxa"/>
            </w:tcMar>
            <w:vAlign w:val="center"/>
            <w:hideMark/>
          </w:tcPr>
          <w:p w14:paraId="051FD34B" w14:textId="77777777" w:rsidR="00755199" w:rsidRPr="00755199" w:rsidRDefault="00755199" w:rsidP="0098377A">
            <w:pPr>
              <w:keepNext/>
              <w:keepLines/>
              <w:widowControl/>
              <w:jc w:val="center"/>
              <w:rPr>
                <w:color w:val="000000"/>
                <w:szCs w:val="22"/>
              </w:rPr>
            </w:pPr>
            <w:r w:rsidRPr="00755199">
              <w:rPr>
                <w:color w:val="000000"/>
                <w:szCs w:val="22"/>
              </w:rPr>
              <w:t>10</w:t>
            </w:r>
          </w:p>
        </w:tc>
        <w:tc>
          <w:tcPr>
            <w:tcW w:w="960" w:type="dxa"/>
            <w:noWrap/>
            <w:tcMar>
              <w:top w:w="0" w:type="dxa"/>
              <w:left w:w="108" w:type="dxa"/>
              <w:bottom w:w="0" w:type="dxa"/>
              <w:right w:w="108" w:type="dxa"/>
            </w:tcMar>
            <w:vAlign w:val="center"/>
            <w:hideMark/>
          </w:tcPr>
          <w:p w14:paraId="30F9AA75" w14:textId="77777777" w:rsidR="00755199" w:rsidRPr="00755199" w:rsidRDefault="00755199" w:rsidP="0098377A">
            <w:pPr>
              <w:keepNext/>
              <w:keepLines/>
              <w:widowControl/>
              <w:jc w:val="center"/>
              <w:rPr>
                <w:color w:val="000000"/>
                <w:szCs w:val="22"/>
              </w:rPr>
            </w:pPr>
            <w:r w:rsidRPr="00755199">
              <w:rPr>
                <w:color w:val="000000"/>
                <w:szCs w:val="22"/>
              </w:rPr>
              <w:t>1</w:t>
            </w:r>
          </w:p>
        </w:tc>
        <w:tc>
          <w:tcPr>
            <w:tcW w:w="1169" w:type="dxa"/>
            <w:noWrap/>
            <w:tcMar>
              <w:top w:w="0" w:type="dxa"/>
              <w:left w:w="108" w:type="dxa"/>
              <w:bottom w:w="0" w:type="dxa"/>
              <w:right w:w="108" w:type="dxa"/>
            </w:tcMar>
            <w:vAlign w:val="center"/>
            <w:hideMark/>
          </w:tcPr>
          <w:p w14:paraId="750D058B" w14:textId="01F29575" w:rsidR="00755199" w:rsidRPr="00755199" w:rsidRDefault="00F72538" w:rsidP="0098377A">
            <w:pPr>
              <w:keepNext/>
              <w:keepLines/>
              <w:widowControl/>
              <w:jc w:val="center"/>
              <w:rPr>
                <w:color w:val="000000"/>
                <w:szCs w:val="22"/>
              </w:rPr>
            </w:pPr>
            <w:r>
              <w:rPr>
                <w:color w:val="000000"/>
                <w:szCs w:val="22"/>
              </w:rPr>
              <w:t>160</w:t>
            </w:r>
          </w:p>
        </w:tc>
        <w:tc>
          <w:tcPr>
            <w:tcW w:w="1231" w:type="dxa"/>
            <w:noWrap/>
            <w:tcMar>
              <w:top w:w="0" w:type="dxa"/>
              <w:left w:w="108" w:type="dxa"/>
              <w:bottom w:w="0" w:type="dxa"/>
              <w:right w:w="108" w:type="dxa"/>
            </w:tcMar>
            <w:vAlign w:val="center"/>
            <w:hideMark/>
          </w:tcPr>
          <w:p w14:paraId="3B970CFB" w14:textId="2784F7AB" w:rsidR="00755199" w:rsidRPr="00755199" w:rsidRDefault="00D12020" w:rsidP="0098377A">
            <w:pPr>
              <w:keepNext/>
              <w:keepLines/>
              <w:widowControl/>
              <w:jc w:val="center"/>
              <w:rPr>
                <w:color w:val="000000"/>
                <w:szCs w:val="22"/>
              </w:rPr>
            </w:pPr>
            <w:r>
              <w:rPr>
                <w:color w:val="000000"/>
                <w:szCs w:val="22"/>
              </w:rPr>
              <w:t>$99.90</w:t>
            </w:r>
          </w:p>
        </w:tc>
      </w:tr>
      <w:tr w:rsidR="00F72538" w:rsidRPr="00755199" w14:paraId="4613B92D" w14:textId="77777777" w:rsidTr="00C076CB">
        <w:trPr>
          <w:trHeight w:hRule="exact" w:val="432"/>
          <w:jc w:val="center"/>
        </w:trPr>
        <w:tc>
          <w:tcPr>
            <w:tcW w:w="1133" w:type="dxa"/>
            <w:noWrap/>
            <w:tcMar>
              <w:top w:w="0" w:type="dxa"/>
              <w:left w:w="108" w:type="dxa"/>
              <w:bottom w:w="0" w:type="dxa"/>
              <w:right w:w="108" w:type="dxa"/>
            </w:tcMar>
            <w:vAlign w:val="center"/>
            <w:hideMark/>
          </w:tcPr>
          <w:p w14:paraId="3ABB07C7" w14:textId="4016F510" w:rsidR="00F72538" w:rsidRPr="00755199" w:rsidRDefault="00F72538" w:rsidP="0098377A">
            <w:pPr>
              <w:keepNext/>
              <w:keepLines/>
              <w:widowControl/>
              <w:jc w:val="center"/>
              <w:rPr>
                <w:color w:val="000000"/>
                <w:szCs w:val="22"/>
              </w:rPr>
            </w:pPr>
            <w:r w:rsidRPr="00755199">
              <w:rPr>
                <w:color w:val="000000"/>
                <w:szCs w:val="22"/>
              </w:rPr>
              <w:t>25</w:t>
            </w:r>
          </w:p>
        </w:tc>
        <w:tc>
          <w:tcPr>
            <w:tcW w:w="960" w:type="dxa"/>
            <w:noWrap/>
            <w:tcMar>
              <w:top w:w="0" w:type="dxa"/>
              <w:left w:w="108" w:type="dxa"/>
              <w:bottom w:w="0" w:type="dxa"/>
              <w:right w:w="108" w:type="dxa"/>
            </w:tcMar>
            <w:vAlign w:val="center"/>
            <w:hideMark/>
          </w:tcPr>
          <w:p w14:paraId="34262021" w14:textId="45133FC5" w:rsidR="00F72538" w:rsidRPr="00755199" w:rsidRDefault="00F72538" w:rsidP="0098377A">
            <w:pPr>
              <w:keepNext/>
              <w:keepLines/>
              <w:widowControl/>
              <w:jc w:val="center"/>
              <w:rPr>
                <w:color w:val="000000"/>
                <w:szCs w:val="22"/>
              </w:rPr>
            </w:pPr>
            <w:r w:rsidRPr="00755199">
              <w:rPr>
                <w:color w:val="000000"/>
                <w:szCs w:val="22"/>
              </w:rPr>
              <w:t>3</w:t>
            </w:r>
          </w:p>
        </w:tc>
        <w:tc>
          <w:tcPr>
            <w:tcW w:w="1169" w:type="dxa"/>
            <w:noWrap/>
            <w:tcMar>
              <w:top w:w="0" w:type="dxa"/>
              <w:left w:w="108" w:type="dxa"/>
              <w:bottom w:w="0" w:type="dxa"/>
              <w:right w:w="108" w:type="dxa"/>
            </w:tcMar>
            <w:vAlign w:val="center"/>
            <w:hideMark/>
          </w:tcPr>
          <w:p w14:paraId="35AB6CBA" w14:textId="37B12BCE" w:rsidR="00F72538" w:rsidRPr="00755199" w:rsidRDefault="00F72538" w:rsidP="0098377A">
            <w:pPr>
              <w:keepNext/>
              <w:keepLines/>
              <w:widowControl/>
              <w:jc w:val="center"/>
              <w:rPr>
                <w:color w:val="000000"/>
                <w:szCs w:val="22"/>
              </w:rPr>
            </w:pPr>
            <w:r>
              <w:rPr>
                <w:color w:val="000000"/>
                <w:szCs w:val="22"/>
              </w:rPr>
              <w:t>160</w:t>
            </w:r>
          </w:p>
        </w:tc>
        <w:tc>
          <w:tcPr>
            <w:tcW w:w="1231" w:type="dxa"/>
            <w:noWrap/>
            <w:tcMar>
              <w:top w:w="0" w:type="dxa"/>
              <w:left w:w="108" w:type="dxa"/>
              <w:bottom w:w="0" w:type="dxa"/>
              <w:right w:w="108" w:type="dxa"/>
            </w:tcMar>
            <w:vAlign w:val="center"/>
            <w:hideMark/>
          </w:tcPr>
          <w:p w14:paraId="4A80B104" w14:textId="24C0CE22" w:rsidR="00F72538" w:rsidRPr="00755199" w:rsidRDefault="00D12020" w:rsidP="0098377A">
            <w:pPr>
              <w:keepNext/>
              <w:keepLines/>
              <w:widowControl/>
              <w:jc w:val="center"/>
              <w:rPr>
                <w:color w:val="000000"/>
                <w:szCs w:val="22"/>
              </w:rPr>
            </w:pPr>
            <w:r>
              <w:rPr>
                <w:color w:val="000000"/>
                <w:szCs w:val="22"/>
              </w:rPr>
              <w:t>$111.97</w:t>
            </w:r>
          </w:p>
        </w:tc>
      </w:tr>
      <w:tr w:rsidR="00F72538" w:rsidRPr="00755199" w14:paraId="03235B11" w14:textId="77777777" w:rsidTr="00C076CB">
        <w:trPr>
          <w:trHeight w:hRule="exact" w:val="432"/>
          <w:jc w:val="center"/>
        </w:trPr>
        <w:tc>
          <w:tcPr>
            <w:tcW w:w="1133" w:type="dxa"/>
            <w:noWrap/>
            <w:tcMar>
              <w:top w:w="0" w:type="dxa"/>
              <w:left w:w="108" w:type="dxa"/>
              <w:bottom w:w="0" w:type="dxa"/>
              <w:right w:w="108" w:type="dxa"/>
            </w:tcMar>
            <w:vAlign w:val="center"/>
            <w:hideMark/>
          </w:tcPr>
          <w:p w14:paraId="7DB3BB33" w14:textId="64947941" w:rsidR="00F72538" w:rsidRPr="00755199" w:rsidRDefault="00F72538" w:rsidP="0098377A">
            <w:pPr>
              <w:keepNext/>
              <w:keepLines/>
              <w:widowControl/>
              <w:jc w:val="center"/>
              <w:rPr>
                <w:color w:val="000000"/>
                <w:szCs w:val="22"/>
              </w:rPr>
            </w:pPr>
            <w:r>
              <w:rPr>
                <w:color w:val="000000"/>
                <w:szCs w:val="22"/>
              </w:rPr>
              <w:t>50</w:t>
            </w:r>
          </w:p>
        </w:tc>
        <w:tc>
          <w:tcPr>
            <w:tcW w:w="960" w:type="dxa"/>
            <w:noWrap/>
            <w:tcMar>
              <w:top w:w="0" w:type="dxa"/>
              <w:left w:w="108" w:type="dxa"/>
              <w:bottom w:w="0" w:type="dxa"/>
              <w:right w:w="108" w:type="dxa"/>
            </w:tcMar>
            <w:vAlign w:val="center"/>
            <w:hideMark/>
          </w:tcPr>
          <w:p w14:paraId="73219B25" w14:textId="2D1A67FB" w:rsidR="00F72538" w:rsidRPr="00755199" w:rsidRDefault="00F72538" w:rsidP="0098377A">
            <w:pPr>
              <w:keepNext/>
              <w:keepLines/>
              <w:widowControl/>
              <w:jc w:val="center"/>
              <w:rPr>
                <w:color w:val="000000"/>
                <w:szCs w:val="22"/>
              </w:rPr>
            </w:pPr>
            <w:r>
              <w:rPr>
                <w:color w:val="000000"/>
                <w:szCs w:val="22"/>
              </w:rPr>
              <w:t>5</w:t>
            </w:r>
          </w:p>
        </w:tc>
        <w:tc>
          <w:tcPr>
            <w:tcW w:w="1169" w:type="dxa"/>
            <w:noWrap/>
            <w:tcMar>
              <w:top w:w="0" w:type="dxa"/>
              <w:left w:w="108" w:type="dxa"/>
              <w:bottom w:w="0" w:type="dxa"/>
              <w:right w:w="108" w:type="dxa"/>
            </w:tcMar>
            <w:vAlign w:val="center"/>
            <w:hideMark/>
          </w:tcPr>
          <w:p w14:paraId="6B49D1F3" w14:textId="3A431852" w:rsidR="00F72538" w:rsidRPr="00755199" w:rsidRDefault="00F72538" w:rsidP="0098377A">
            <w:pPr>
              <w:keepNext/>
              <w:keepLines/>
              <w:widowControl/>
              <w:jc w:val="center"/>
              <w:rPr>
                <w:color w:val="000000"/>
                <w:szCs w:val="22"/>
              </w:rPr>
            </w:pPr>
            <w:r>
              <w:rPr>
                <w:color w:val="000000"/>
                <w:szCs w:val="22"/>
              </w:rPr>
              <w:t>160</w:t>
            </w:r>
          </w:p>
        </w:tc>
        <w:tc>
          <w:tcPr>
            <w:tcW w:w="1231" w:type="dxa"/>
            <w:noWrap/>
            <w:tcMar>
              <w:top w:w="0" w:type="dxa"/>
              <w:left w:w="108" w:type="dxa"/>
              <w:bottom w:w="0" w:type="dxa"/>
              <w:right w:w="108" w:type="dxa"/>
            </w:tcMar>
            <w:vAlign w:val="center"/>
            <w:hideMark/>
          </w:tcPr>
          <w:p w14:paraId="7B72EE0D" w14:textId="601904DE" w:rsidR="00F72538" w:rsidRPr="00755199" w:rsidRDefault="00D12020" w:rsidP="0098377A">
            <w:pPr>
              <w:keepNext/>
              <w:keepLines/>
              <w:widowControl/>
              <w:jc w:val="center"/>
              <w:rPr>
                <w:color w:val="000000"/>
                <w:szCs w:val="22"/>
              </w:rPr>
            </w:pPr>
            <w:r>
              <w:rPr>
                <w:color w:val="000000"/>
                <w:szCs w:val="22"/>
              </w:rPr>
              <w:t>$120.95</w:t>
            </w:r>
          </w:p>
        </w:tc>
      </w:tr>
    </w:tbl>
    <w:p w14:paraId="47AB45BE" w14:textId="77777777" w:rsidR="00E64211" w:rsidRDefault="00E64211" w:rsidP="00E64211"/>
    <w:p w14:paraId="0E209F07" w14:textId="496F1BA1" w:rsidR="004245F4" w:rsidRDefault="004245F4" w:rsidP="004245F4">
      <w:pPr>
        <w:ind w:firstLine="720"/>
      </w:pPr>
      <w:r>
        <w:t xml:space="preserve">  </w:t>
      </w:r>
      <w:r w:rsidR="00717C1F">
        <w:t xml:space="preserve">Only locations being served by fiber </w:t>
      </w:r>
      <w:r w:rsidR="00DC02DE">
        <w:t xml:space="preserve">middle-mile </w:t>
      </w:r>
      <w:r w:rsidR="00717C1F">
        <w:t xml:space="preserve">or hybrid fiber/microwave middle-mile are subject </w:t>
      </w:r>
      <w:r w:rsidR="0017443D">
        <w:t xml:space="preserve">to </w:t>
      </w:r>
      <w:r w:rsidR="00717C1F">
        <w:t xml:space="preserve">the reasonable comparability benchmark.  </w:t>
      </w:r>
      <w:r>
        <w:t xml:space="preserve">For locations </w:t>
      </w:r>
      <w:r w:rsidR="00F417F6">
        <w:t xml:space="preserve">Alaska Plan </w:t>
      </w:r>
      <w:r>
        <w:t>carriers</w:t>
      </w:r>
      <w:r w:rsidR="00C80048">
        <w:t xml:space="preserve"> </w:t>
      </w:r>
      <w:r>
        <w:t>are serving with satellite and microwave middle-mile facilities, carrier</w:t>
      </w:r>
      <w:r w:rsidR="002E0E2E">
        <w:t>s</w:t>
      </w:r>
      <w:r>
        <w:t xml:space="preserve"> are not required to meet the broadband </w:t>
      </w:r>
      <w:r w:rsidR="009158C9">
        <w:t xml:space="preserve">reasonable comparability </w:t>
      </w:r>
      <w:r>
        <w:t>benchmark.</w:t>
      </w:r>
      <w:r w:rsidR="002E0E2E">
        <w:t xml:space="preserve">  A</w:t>
      </w:r>
      <w:r w:rsidR="0041071D">
        <w:t>laska Plan carriers should</w:t>
      </w:r>
      <w:r w:rsidR="00DF1A07">
        <w:t xml:space="preserve"> of</w:t>
      </w:r>
      <w:r w:rsidR="002E0E2E">
        <w:t>fer</w:t>
      </w:r>
      <w:r w:rsidR="00DF1A07">
        <w:t xml:space="preserve"> service at these locations </w:t>
      </w:r>
      <w:r w:rsidR="002E0E2E">
        <w:t>a</w:t>
      </w:r>
      <w:r w:rsidR="00DF1A07">
        <w:t xml:space="preserve">t </w:t>
      </w:r>
      <w:r w:rsidR="008E388B">
        <w:t xml:space="preserve">or below the </w:t>
      </w:r>
      <w:r w:rsidR="002E0E2E">
        <w:t>pric</w:t>
      </w:r>
      <w:r w:rsidR="00DF1A07">
        <w:t>es</w:t>
      </w:r>
      <w:r w:rsidR="008E388B">
        <w:t xml:space="preserve"> to which they</w:t>
      </w:r>
      <w:r w:rsidR="002E0E2E">
        <w:t xml:space="preserve"> </w:t>
      </w:r>
      <w:r w:rsidR="0021654B">
        <w:t xml:space="preserve">committed to in </w:t>
      </w:r>
      <w:r w:rsidR="002E0E2E">
        <w:t>this proceeding</w:t>
      </w:r>
      <w:r w:rsidR="002E4CF8">
        <w:t>.</w:t>
      </w:r>
      <w:r w:rsidR="002E4CF8">
        <w:rPr>
          <w:rStyle w:val="FootnoteReference"/>
        </w:rPr>
        <w:footnoteReference w:id="13"/>
      </w:r>
      <w:r w:rsidR="00DF1A07">
        <w:t xml:space="preserve">  </w:t>
      </w:r>
      <w:r w:rsidR="005D2035">
        <w:t xml:space="preserve"> </w:t>
      </w:r>
      <w:r w:rsidR="00717C1F">
        <w:t xml:space="preserve"> </w:t>
      </w:r>
    </w:p>
    <w:p w14:paraId="67DCCFA1" w14:textId="77777777" w:rsidR="007D1C9A" w:rsidRDefault="007D1C9A" w:rsidP="004245F4">
      <w:pPr>
        <w:ind w:firstLine="720"/>
      </w:pPr>
    </w:p>
    <w:p w14:paraId="50BF218F" w14:textId="7121DA99" w:rsidR="007D1C9A" w:rsidRDefault="007D1C9A" w:rsidP="004245F4">
      <w:pPr>
        <w:ind w:firstLine="720"/>
      </w:pPr>
      <w:r>
        <w:t xml:space="preserve">Alaskan carriers receiving Alternative Connect America Cost Model (A-CAM) support must meet the same pricing benchmarks as </w:t>
      </w:r>
      <w:r w:rsidR="00D00294">
        <w:t xml:space="preserve">all </w:t>
      </w:r>
      <w:r>
        <w:t>other A-CAM carriers</w:t>
      </w:r>
      <w:r w:rsidR="00825077">
        <w:t xml:space="preserve">.  The Commission explicitly </w:t>
      </w:r>
      <w:r w:rsidR="004B57E8">
        <w:t>permitted</w:t>
      </w:r>
      <w:r w:rsidR="00BC5A9B">
        <w:t xml:space="preserve"> only</w:t>
      </w:r>
      <w:r w:rsidR="00825077">
        <w:t xml:space="preserve"> Alaska Pla</w:t>
      </w:r>
      <w:r w:rsidR="004B57E8">
        <w:t>n carriers and ACS to meet an</w:t>
      </w:r>
      <w:r w:rsidR="00825077">
        <w:t xml:space="preserve"> Alaska-</w:t>
      </w:r>
      <w:r w:rsidR="00BC5A9B">
        <w:t xml:space="preserve">specific benchmark.  </w:t>
      </w:r>
    </w:p>
    <w:p w14:paraId="796645B2" w14:textId="14817FCD" w:rsidR="00B32E1C" w:rsidRPr="004245F4" w:rsidRDefault="00362E50" w:rsidP="004245F4">
      <w:r>
        <w:rPr>
          <w:szCs w:val="22"/>
        </w:rPr>
        <w:t xml:space="preserve">  </w:t>
      </w:r>
      <w:r w:rsidR="00B32E1C">
        <w:rPr>
          <w:szCs w:val="22"/>
        </w:rPr>
        <w:t xml:space="preserve">      </w:t>
      </w:r>
      <w:r w:rsidR="00283D2E">
        <w:rPr>
          <w:szCs w:val="22"/>
        </w:rPr>
        <w:t xml:space="preserve"> </w:t>
      </w:r>
    </w:p>
    <w:p w14:paraId="15CCB29F" w14:textId="37DCED6B" w:rsidR="00F417F6" w:rsidRDefault="00A87AD7" w:rsidP="00AB1D96">
      <w:pPr>
        <w:pStyle w:val="ParaNum"/>
        <w:widowControl/>
        <w:numPr>
          <w:ilvl w:val="0"/>
          <w:numId w:val="0"/>
        </w:numPr>
        <w:spacing w:after="0"/>
        <w:ind w:firstLine="720"/>
      </w:pPr>
      <w:r>
        <w:rPr>
          <w:i/>
        </w:rPr>
        <w:t>Minimum Usage Allowance</w:t>
      </w:r>
      <w:r>
        <w:t xml:space="preserve">.  </w:t>
      </w:r>
      <w:r w:rsidR="002D4BAF">
        <w:t xml:space="preserve">Participants in the Alaska </w:t>
      </w:r>
      <w:r w:rsidR="009158C9">
        <w:t xml:space="preserve">Plan </w:t>
      </w:r>
      <w:r w:rsidR="002D4BAF">
        <w:t>are</w:t>
      </w:r>
      <w:r w:rsidR="00AF2C00">
        <w:t xml:space="preserve"> required to provide a usage allowance that evolves over time to remain reasonably comparable to usage by subscribers in urban areas, similar to the approach adopted for price cap carriers and other rate-of-return carriers.</w:t>
      </w:r>
      <w:r w:rsidR="008150BD">
        <w:rPr>
          <w:rStyle w:val="FootnoteReference"/>
        </w:rPr>
        <w:footnoteReference w:id="14"/>
      </w:r>
      <w:r w:rsidR="00AF2C00">
        <w:t xml:space="preserve">  When approving carriers’ plan in </w:t>
      </w:r>
      <w:r w:rsidR="002D4BAF">
        <w:t>December</w:t>
      </w:r>
      <w:r w:rsidR="00AF2C00">
        <w:t xml:space="preserve"> 2016, the required minimum </w:t>
      </w:r>
      <w:r w:rsidR="00D22272">
        <w:t xml:space="preserve">data usage </w:t>
      </w:r>
      <w:r w:rsidR="001A40E5">
        <w:t xml:space="preserve">allowance </w:t>
      </w:r>
      <w:r w:rsidR="00D22272">
        <w:t xml:space="preserve">was </w:t>
      </w:r>
      <w:r w:rsidR="002D4BAF">
        <w:t>150 GB.</w:t>
      </w:r>
      <w:r w:rsidR="008150BD">
        <w:rPr>
          <w:rStyle w:val="FootnoteReference"/>
        </w:rPr>
        <w:footnoteReference w:id="15"/>
      </w:r>
      <w:r w:rsidR="00960832">
        <w:t xml:space="preserve">  Accordingly, </w:t>
      </w:r>
      <w:r w:rsidR="008150BD">
        <w:t>the Bureau</w:t>
      </w:r>
      <w:r w:rsidR="00960832">
        <w:t xml:space="preserve"> listed</w:t>
      </w:r>
      <w:r w:rsidR="009D4372">
        <w:t xml:space="preserve"> 150 GB </w:t>
      </w:r>
      <w:r w:rsidR="00D22272">
        <w:t>on the approved plans</w:t>
      </w:r>
      <w:r w:rsidR="009D4372">
        <w:t xml:space="preserve"> for locations served with fiber or hybrid microwave/fiber</w:t>
      </w:r>
      <w:r w:rsidR="00D22272">
        <w:t>.</w:t>
      </w:r>
      <w:r w:rsidR="009D4372">
        <w:rPr>
          <w:rStyle w:val="FootnoteReference"/>
        </w:rPr>
        <w:footnoteReference w:id="16"/>
      </w:r>
      <w:r w:rsidR="009D4372">
        <w:t xml:space="preserve">  </w:t>
      </w:r>
      <w:r w:rsidR="002D4BAF">
        <w:t xml:space="preserve">  </w:t>
      </w:r>
    </w:p>
    <w:p w14:paraId="13830164" w14:textId="77777777" w:rsidR="00AB1D96" w:rsidRDefault="00AB1D96" w:rsidP="00AB1D96">
      <w:pPr>
        <w:pStyle w:val="ParaNum"/>
        <w:widowControl/>
        <w:numPr>
          <w:ilvl w:val="0"/>
          <w:numId w:val="0"/>
        </w:numPr>
        <w:spacing w:after="0"/>
        <w:ind w:firstLine="720"/>
      </w:pPr>
    </w:p>
    <w:p w14:paraId="132E8158" w14:textId="38140F2C" w:rsidR="00960832" w:rsidRDefault="00AB1D96" w:rsidP="00AB1D96">
      <w:pPr>
        <w:pStyle w:val="ParaNum"/>
        <w:widowControl/>
        <w:numPr>
          <w:ilvl w:val="0"/>
          <w:numId w:val="0"/>
        </w:numPr>
        <w:spacing w:after="0"/>
        <w:ind w:firstLine="720"/>
      </w:pPr>
      <w:r>
        <w:t>W</w:t>
      </w:r>
      <w:r w:rsidR="002D4BAF">
        <w:t>e clarify</w:t>
      </w:r>
      <w:r w:rsidR="00232AD2">
        <w:t xml:space="preserve">, consistent with the Commission’s </w:t>
      </w:r>
      <w:r w:rsidR="00232AD2">
        <w:rPr>
          <w:i/>
        </w:rPr>
        <w:t>Alaska Plan Order</w:t>
      </w:r>
      <w:r w:rsidR="007710B5">
        <w:t>,</w:t>
      </w:r>
      <w:r w:rsidR="002D4BAF">
        <w:t xml:space="preserve"> that the 150 GB was the starting point and </w:t>
      </w:r>
      <w:r w:rsidR="00312831">
        <w:t xml:space="preserve">the </w:t>
      </w:r>
      <w:r w:rsidR="002D4BAF">
        <w:t>usage allowance for Alaska Plan carriers will evolve over</w:t>
      </w:r>
      <w:r w:rsidR="00D22272">
        <w:t xml:space="preserve"> time.  Specifically, the Commission stated that Alaska Plan “</w:t>
      </w:r>
      <w:r w:rsidR="00D22272" w:rsidRPr="00D22272">
        <w:t>carriers will be required to certify that they offer a minimum usage allowance of 150 GB per month, or a usage allowance that reflects the average usage of a majority of consumers, using Measuring Broadband America data or a similar data source, whichever is higher.</w:t>
      </w:r>
      <w:r w:rsidR="00D22272">
        <w:t>”</w:t>
      </w:r>
      <w:r w:rsidR="00D22272">
        <w:rPr>
          <w:rStyle w:val="FootnoteReference"/>
        </w:rPr>
        <w:footnoteReference w:id="17"/>
      </w:r>
      <w:r w:rsidR="00D22272">
        <w:t xml:space="preserve">  </w:t>
      </w:r>
    </w:p>
    <w:p w14:paraId="23D90C6E" w14:textId="77777777" w:rsidR="00AB1D96" w:rsidRDefault="00AB1D96" w:rsidP="00AB1D96">
      <w:pPr>
        <w:pStyle w:val="ParaNum"/>
        <w:widowControl/>
        <w:numPr>
          <w:ilvl w:val="0"/>
          <w:numId w:val="0"/>
        </w:numPr>
        <w:spacing w:after="0"/>
        <w:ind w:firstLine="720"/>
      </w:pPr>
    </w:p>
    <w:p w14:paraId="73258F06" w14:textId="7496DDA1" w:rsidR="00A41A63" w:rsidRDefault="005772BD" w:rsidP="00A41A63">
      <w:pPr>
        <w:pStyle w:val="ParaNum"/>
        <w:widowControl/>
        <w:numPr>
          <w:ilvl w:val="0"/>
          <w:numId w:val="0"/>
        </w:numPr>
        <w:spacing w:after="0"/>
        <w:ind w:firstLine="720"/>
      </w:pPr>
      <w:r>
        <w:t>As stated in the Commission’s recent Public Notice</w:t>
      </w:r>
      <w:r w:rsidR="00D22272" w:rsidRPr="004928BA">
        <w:t xml:space="preserve">, we </w:t>
      </w:r>
      <w:r w:rsidR="00F507F9">
        <w:t>confirm</w:t>
      </w:r>
      <w:r w:rsidR="00D22272" w:rsidRPr="004928BA">
        <w:t xml:space="preserve"> </w:t>
      </w:r>
      <w:r>
        <w:t xml:space="preserve">the </w:t>
      </w:r>
      <w:r w:rsidR="00D22272" w:rsidRPr="004928BA">
        <w:t xml:space="preserve">minimum monthly usage allowance </w:t>
      </w:r>
      <w:r>
        <w:t>is</w:t>
      </w:r>
      <w:r w:rsidRPr="004928BA">
        <w:t xml:space="preserve"> </w:t>
      </w:r>
      <w:r w:rsidR="00D22272" w:rsidRPr="004928BA">
        <w:t>160 GBs</w:t>
      </w:r>
      <w:r w:rsidR="00A41A63">
        <w:t xml:space="preserve"> for Alaska Plan carriers.</w:t>
      </w:r>
      <w:r>
        <w:rPr>
          <w:rStyle w:val="FootnoteReference"/>
        </w:rPr>
        <w:footnoteReference w:id="18"/>
      </w:r>
      <w:r w:rsidR="00A41A63">
        <w:t xml:space="preserve">  For locations Alaska Plan carriers are serving with satellite and microwave middle-mile facilities, carriers are not required to meet the 160 GB minimum usage </w:t>
      </w:r>
      <w:r w:rsidR="00312831">
        <w:t xml:space="preserve">allowance </w:t>
      </w:r>
      <w:r w:rsidR="00A41A63">
        <w:t xml:space="preserve">requirement.  Rather, their minimum usage </w:t>
      </w:r>
      <w:r w:rsidR="00312831">
        <w:t xml:space="preserve">allowance </w:t>
      </w:r>
      <w:r w:rsidR="00A41A63">
        <w:t xml:space="preserve">requirement remains at what is listed in Appendix B of the </w:t>
      </w:r>
      <w:r w:rsidR="00A41A63">
        <w:rPr>
          <w:i/>
        </w:rPr>
        <w:t>Authorization Public Notice</w:t>
      </w:r>
      <w:r w:rsidR="00A41A63">
        <w:t>.</w:t>
      </w:r>
      <w:r w:rsidR="00A41A63">
        <w:rPr>
          <w:rStyle w:val="FootnoteReference"/>
        </w:rPr>
        <w:footnoteReference w:id="19"/>
      </w:r>
      <w:r w:rsidR="00A41A63">
        <w:t xml:space="preserve"> </w:t>
      </w:r>
    </w:p>
    <w:p w14:paraId="12115DBD" w14:textId="77777777" w:rsidR="00A41A63" w:rsidRDefault="00A41A63" w:rsidP="00AB1D96">
      <w:pPr>
        <w:pStyle w:val="ParaNum"/>
        <w:widowControl/>
        <w:numPr>
          <w:ilvl w:val="0"/>
          <w:numId w:val="0"/>
        </w:numPr>
        <w:spacing w:after="0"/>
        <w:ind w:firstLine="720"/>
      </w:pPr>
    </w:p>
    <w:p w14:paraId="40B7DA9C" w14:textId="67C087E1" w:rsidR="00AB1D96" w:rsidRDefault="00D22272" w:rsidP="00A41A63">
      <w:pPr>
        <w:pStyle w:val="ParaNum"/>
        <w:widowControl/>
        <w:numPr>
          <w:ilvl w:val="0"/>
          <w:numId w:val="0"/>
        </w:numPr>
        <w:spacing w:after="0"/>
        <w:ind w:firstLine="720"/>
        <w:rPr>
          <w:szCs w:val="22"/>
        </w:rPr>
      </w:pPr>
      <w:r>
        <w:t>ACS is subject to the</w:t>
      </w:r>
      <w:r w:rsidR="00A41A63">
        <w:t xml:space="preserve"> same minimum usage </w:t>
      </w:r>
      <w:r w:rsidR="00312831">
        <w:t xml:space="preserve">allowance </w:t>
      </w:r>
      <w:r w:rsidR="00A41A63">
        <w:t>requirement</w:t>
      </w:r>
      <w:r w:rsidR="00F15D87">
        <w:t xml:space="preserve">, </w:t>
      </w:r>
      <w:r w:rsidR="00A41A63">
        <w:t>although a</w:t>
      </w:r>
      <w:r w:rsidR="00A41A63" w:rsidRPr="00A41A63">
        <w:t xml:space="preserve">lternatively, ACS may </w:t>
      </w:r>
      <w:r w:rsidR="00A41A63">
        <w:t>“</w:t>
      </w:r>
      <w:r w:rsidR="00A41A63" w:rsidRPr="00A41A63">
        <w:t>offer a usage allowance consistent with the usage level of 80 percent of its own broadband subscribers, including those subscribers that live outside of Phase II-funded areas</w:t>
      </w:r>
      <w:r w:rsidR="00F15D87">
        <w:t>.</w:t>
      </w:r>
      <w:r w:rsidR="00A41A63">
        <w:t>”</w:t>
      </w:r>
      <w:r w:rsidR="00A41A63">
        <w:rPr>
          <w:rStyle w:val="FootnoteReference"/>
        </w:rPr>
        <w:footnoteReference w:id="20"/>
      </w:r>
      <w:r w:rsidR="00A41A63">
        <w:t xml:space="preserve">  Given that ACS does not offer plans with usage limits, </w:t>
      </w:r>
      <w:r w:rsidR="007643DD">
        <w:t xml:space="preserve">we </w:t>
      </w:r>
      <w:r w:rsidR="00A41A63">
        <w:t>do not expect ACS to have problems meeting this requirement.</w:t>
      </w:r>
      <w:r w:rsidR="00A41A63">
        <w:rPr>
          <w:rStyle w:val="FootnoteReference"/>
        </w:rPr>
        <w:footnoteReference w:id="21"/>
      </w:r>
      <w:r w:rsidR="00A41A63">
        <w:t xml:space="preserve">      </w:t>
      </w:r>
      <w:r>
        <w:t xml:space="preserve">   </w:t>
      </w:r>
      <w:r>
        <w:rPr>
          <w:szCs w:val="22"/>
        </w:rPr>
        <w:t xml:space="preserve"> </w:t>
      </w:r>
    </w:p>
    <w:p w14:paraId="0AB8C930" w14:textId="77777777" w:rsidR="00AB1D96" w:rsidRDefault="00AB1D96" w:rsidP="00AB1D96">
      <w:pPr>
        <w:pStyle w:val="ParaNum"/>
        <w:widowControl/>
        <w:numPr>
          <w:ilvl w:val="0"/>
          <w:numId w:val="0"/>
        </w:numPr>
        <w:spacing w:after="0"/>
        <w:ind w:firstLine="720"/>
      </w:pPr>
    </w:p>
    <w:p w14:paraId="6618064B" w14:textId="358E9BD4" w:rsidR="00A87AD7" w:rsidRDefault="00A87AD7" w:rsidP="00AB1D96">
      <w:pPr>
        <w:pStyle w:val="ParaNum"/>
        <w:widowControl/>
        <w:numPr>
          <w:ilvl w:val="0"/>
          <w:numId w:val="0"/>
        </w:numPr>
        <w:spacing w:after="0"/>
        <w:ind w:firstLine="720"/>
      </w:pPr>
      <w:r>
        <w:t>For further information, please contact Suzanne Yelen, Industry Analysis and Technology Division, Wireline Competition Bureau, at (202) 418-7400 or (202) 418-0484</w:t>
      </w:r>
      <w:r w:rsidR="00DB1D41">
        <w:t xml:space="preserve"> (TTY)</w:t>
      </w:r>
      <w:r w:rsidR="00B32E1C">
        <w:t>, or</w:t>
      </w:r>
      <w:r w:rsidR="00DB1D41">
        <w:t xml:space="preserve"> </w:t>
      </w:r>
      <w:hyperlink r:id="rId9" w:history="1">
        <w:r w:rsidR="00E34FC3" w:rsidRPr="00B21E09">
          <w:rPr>
            <w:rStyle w:val="Hyperlink"/>
          </w:rPr>
          <w:t>suzanne.yelen@fcc.gov</w:t>
        </w:r>
      </w:hyperlink>
      <w:r w:rsidR="0051778A">
        <w:rPr>
          <w:rStyle w:val="Hyperlink"/>
        </w:rPr>
        <w:t>.</w:t>
      </w:r>
    </w:p>
    <w:p w14:paraId="42B64768" w14:textId="77777777" w:rsidR="00A87AD7" w:rsidRDefault="00A87AD7" w:rsidP="00A87AD7">
      <w:pPr>
        <w:pStyle w:val="HTMLPreformatted"/>
        <w:rPr>
          <w:color w:val="000000"/>
        </w:rPr>
      </w:pPr>
    </w:p>
    <w:p w14:paraId="1BE2DBC3" w14:textId="0AC70024" w:rsidR="006A1F49" w:rsidRDefault="00DB1D41" w:rsidP="00511836">
      <w:pPr>
        <w:jc w:val="center"/>
        <w:rPr>
          <w:sz w:val="24"/>
        </w:rPr>
      </w:pPr>
      <w:r>
        <w:rPr>
          <w:b/>
          <w:szCs w:val="22"/>
        </w:rPr>
        <w:t>‒</w:t>
      </w:r>
      <w:r w:rsidR="00A87AD7">
        <w:rPr>
          <w:b/>
          <w:szCs w:val="22"/>
        </w:rPr>
        <w:t xml:space="preserve"> FCC </w:t>
      </w:r>
      <w:r>
        <w:rPr>
          <w:b/>
          <w:szCs w:val="22"/>
        </w:rPr>
        <w:t>‒</w:t>
      </w: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7987F" w14:textId="77777777" w:rsidR="00906406" w:rsidRDefault="00906406">
      <w:pPr>
        <w:spacing w:line="20" w:lineRule="exact"/>
      </w:pPr>
    </w:p>
  </w:endnote>
  <w:endnote w:type="continuationSeparator" w:id="0">
    <w:p w14:paraId="1AA5979A" w14:textId="77777777" w:rsidR="00906406" w:rsidRDefault="00906406">
      <w:r>
        <w:t xml:space="preserve"> </w:t>
      </w:r>
    </w:p>
  </w:endnote>
  <w:endnote w:type="continuationNotice" w:id="1">
    <w:p w14:paraId="1F18D8E5" w14:textId="77777777" w:rsidR="00906406" w:rsidRDefault="009064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065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8B75D00" w14:textId="77777777" w:rsidR="00D25FB5" w:rsidRDefault="00D25FB5">
    <w:pPr>
      <w:pStyle w:val="Footer"/>
    </w:pPr>
  </w:p>
  <w:p w14:paraId="2D77B7D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D3F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71EFC">
      <w:rPr>
        <w:noProof/>
      </w:rPr>
      <w:t>2</w:t>
    </w:r>
    <w:r>
      <w:fldChar w:fldCharType="end"/>
    </w:r>
  </w:p>
  <w:p w14:paraId="05AE847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BC06" w14:textId="77777777" w:rsidR="008C43D3" w:rsidRDefault="008C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95E6" w14:textId="77777777" w:rsidR="00906406" w:rsidRDefault="00906406">
      <w:r>
        <w:separator/>
      </w:r>
    </w:p>
  </w:footnote>
  <w:footnote w:type="continuationSeparator" w:id="0">
    <w:p w14:paraId="3200C4D9" w14:textId="77777777" w:rsidR="00906406" w:rsidRDefault="00906406" w:rsidP="00C721AC">
      <w:pPr>
        <w:spacing w:before="120"/>
        <w:rPr>
          <w:sz w:val="20"/>
        </w:rPr>
      </w:pPr>
      <w:r>
        <w:rPr>
          <w:sz w:val="20"/>
        </w:rPr>
        <w:t xml:space="preserve">(Continued from previous page)  </w:t>
      </w:r>
      <w:r>
        <w:rPr>
          <w:sz w:val="20"/>
        </w:rPr>
        <w:separator/>
      </w:r>
    </w:p>
  </w:footnote>
  <w:footnote w:type="continuationNotice" w:id="1">
    <w:p w14:paraId="4334A111" w14:textId="77777777" w:rsidR="00906406" w:rsidRDefault="00906406" w:rsidP="00C721AC">
      <w:pPr>
        <w:jc w:val="right"/>
        <w:rPr>
          <w:sz w:val="20"/>
        </w:rPr>
      </w:pPr>
      <w:r>
        <w:rPr>
          <w:sz w:val="20"/>
        </w:rPr>
        <w:t>(continued….)</w:t>
      </w:r>
    </w:p>
  </w:footnote>
  <w:footnote w:id="2">
    <w:p w14:paraId="1924D75B" w14:textId="02CDFFAE" w:rsidR="00B80BF4" w:rsidRPr="00E8561A" w:rsidRDefault="00B80BF4">
      <w:pPr>
        <w:pStyle w:val="FootnoteText"/>
      </w:pPr>
      <w:r>
        <w:rPr>
          <w:rStyle w:val="FootnoteReference"/>
        </w:rPr>
        <w:footnoteRef/>
      </w:r>
      <w:r>
        <w:t xml:space="preserve"> </w:t>
      </w:r>
      <w:r w:rsidR="00E8561A">
        <w:rPr>
          <w:i/>
        </w:rPr>
        <w:t>See Connect America Fund</w:t>
      </w:r>
      <w:r w:rsidR="00E8561A">
        <w:t xml:space="preserve">; </w:t>
      </w:r>
      <w:r w:rsidR="00E8561A">
        <w:rPr>
          <w:i/>
        </w:rPr>
        <w:t>Universal Service Reform</w:t>
      </w:r>
      <w:r w:rsidR="00E8561A">
        <w:t xml:space="preserve">; </w:t>
      </w:r>
      <w:r w:rsidR="00E8561A">
        <w:rPr>
          <w:i/>
        </w:rPr>
        <w:t>Connect America Fund</w:t>
      </w:r>
      <w:r w:rsidR="00E8561A">
        <w:t xml:space="preserve"> </w:t>
      </w:r>
      <w:r w:rsidR="00E8561A">
        <w:rPr>
          <w:i/>
        </w:rPr>
        <w:t>– Alaska Plan</w:t>
      </w:r>
      <w:r w:rsidR="00E8561A">
        <w:t>, Report and Order and Further Notice of Proposed Rulemaking, 31 FCC Rcd 10139</w:t>
      </w:r>
      <w:r w:rsidR="00F23DCB">
        <w:t>, 10146-</w:t>
      </w:r>
      <w:r w:rsidR="00E8561A">
        <w:t>48, para</w:t>
      </w:r>
      <w:r w:rsidR="00F23DCB">
        <w:t>s</w:t>
      </w:r>
      <w:r w:rsidR="00E8561A">
        <w:t xml:space="preserve">. </w:t>
      </w:r>
      <w:r w:rsidR="00F23DCB">
        <w:t xml:space="preserve">19-20, 23, </w:t>
      </w:r>
      <w:r w:rsidR="00E8561A">
        <w:t>26 (2016) (</w:t>
      </w:r>
      <w:r w:rsidR="00E8561A">
        <w:rPr>
          <w:i/>
        </w:rPr>
        <w:t>Alaska Plan Order</w:t>
      </w:r>
      <w:r w:rsidR="00E8561A">
        <w:t xml:space="preserve">), </w:t>
      </w:r>
      <w:r w:rsidR="00E8561A">
        <w:rPr>
          <w:i/>
        </w:rPr>
        <w:t>and Connect America Fund</w:t>
      </w:r>
      <w:r w:rsidR="00E8561A">
        <w:t>, Order</w:t>
      </w:r>
      <w:r w:rsidR="00537B1B">
        <w:t xml:space="preserve">, 31 FCC Rcd 12086, </w:t>
      </w:r>
      <w:r w:rsidR="0069682A">
        <w:t>12089-91</w:t>
      </w:r>
      <w:r w:rsidR="00537B1B">
        <w:t>, para</w:t>
      </w:r>
      <w:r w:rsidR="0069682A">
        <w:t>s</w:t>
      </w:r>
      <w:r w:rsidR="00537B1B">
        <w:t xml:space="preserve">. </w:t>
      </w:r>
      <w:r w:rsidR="0069682A">
        <w:t xml:space="preserve">12, 14, </w:t>
      </w:r>
      <w:r w:rsidR="00537B1B">
        <w:t>19 (2016) (</w:t>
      </w:r>
      <w:r w:rsidR="00537B1B">
        <w:rPr>
          <w:i/>
        </w:rPr>
        <w:t>ACS Order</w:t>
      </w:r>
      <w:r w:rsidR="00537B1B">
        <w:t xml:space="preserve">).  </w:t>
      </w:r>
      <w:r w:rsidR="00E8561A">
        <w:rPr>
          <w:i/>
        </w:rPr>
        <w:t xml:space="preserve"> </w:t>
      </w:r>
    </w:p>
  </w:footnote>
  <w:footnote w:id="3">
    <w:p w14:paraId="29D2CBB4" w14:textId="51C77AD5" w:rsidR="0068197D" w:rsidRPr="0068197D" w:rsidRDefault="0068197D">
      <w:pPr>
        <w:pStyle w:val="FootnoteText"/>
      </w:pPr>
      <w:r>
        <w:rPr>
          <w:rStyle w:val="FootnoteReference"/>
        </w:rPr>
        <w:footnoteRef/>
      </w:r>
      <w:r>
        <w:t xml:space="preserve"> </w:t>
      </w:r>
      <w:r>
        <w:rPr>
          <w:i/>
        </w:rPr>
        <w:t>Alaska Plan</w:t>
      </w:r>
      <w:r w:rsidR="00A1223A">
        <w:rPr>
          <w:i/>
        </w:rPr>
        <w:t xml:space="preserve"> Order</w:t>
      </w:r>
      <w:r w:rsidR="00A1223A">
        <w:t xml:space="preserve">, 31 FCC Rcd at 10149, para. 28; </w:t>
      </w:r>
      <w:r w:rsidR="00A1223A">
        <w:rPr>
          <w:i/>
        </w:rPr>
        <w:t>ACS Order</w:t>
      </w:r>
      <w:r w:rsidR="00A1223A">
        <w:t>, 31 FCC Rcd at 12092, para. 21.</w:t>
      </w:r>
    </w:p>
  </w:footnote>
  <w:footnote w:id="4">
    <w:p w14:paraId="6A756A66" w14:textId="6F48F11A" w:rsidR="00415B63" w:rsidRPr="00A1223A" w:rsidRDefault="00415B63">
      <w:pPr>
        <w:pStyle w:val="FootnoteText"/>
      </w:pPr>
      <w:r>
        <w:rPr>
          <w:rStyle w:val="FootnoteReference"/>
        </w:rPr>
        <w:footnoteRef/>
      </w:r>
      <w:r>
        <w:t xml:space="preserve"> </w:t>
      </w:r>
      <w:r w:rsidR="00A1223A">
        <w:rPr>
          <w:i/>
        </w:rPr>
        <w:t>Alaska Plan Order</w:t>
      </w:r>
      <w:r w:rsidR="00A1223A">
        <w:t xml:space="preserve">, 31 FCC Rcd at 10148-49, paras. </w:t>
      </w:r>
      <w:r w:rsidR="0077393D">
        <w:t>26-28</w:t>
      </w:r>
      <w:r w:rsidR="00A1223A">
        <w:t xml:space="preserve">.  </w:t>
      </w:r>
    </w:p>
  </w:footnote>
  <w:footnote w:id="5">
    <w:p w14:paraId="77F597F6" w14:textId="12B29087" w:rsidR="00A1223A" w:rsidRDefault="00A1223A">
      <w:pPr>
        <w:pStyle w:val="FootnoteText"/>
      </w:pPr>
      <w:r>
        <w:rPr>
          <w:rStyle w:val="FootnoteReference"/>
        </w:rPr>
        <w:footnoteRef/>
      </w:r>
      <w:r>
        <w:t xml:space="preserve"> </w:t>
      </w:r>
      <w:r>
        <w:rPr>
          <w:i/>
        </w:rPr>
        <w:t>ACS Order</w:t>
      </w:r>
      <w:r>
        <w:t xml:space="preserve">, 31 FCC Rcd at 12091, para. 19; 47 CFR § 54.313(a)(10).  </w:t>
      </w:r>
    </w:p>
  </w:footnote>
  <w:footnote w:id="6">
    <w:p w14:paraId="113A3822" w14:textId="400972E8" w:rsidR="00415B63" w:rsidRDefault="00415B63" w:rsidP="00D82B41">
      <w:pPr>
        <w:pStyle w:val="FootnoteText"/>
      </w:pPr>
      <w:r>
        <w:rPr>
          <w:rStyle w:val="FootnoteReference"/>
        </w:rPr>
        <w:footnoteRef/>
      </w:r>
      <w:r>
        <w:t xml:space="preserve"> </w:t>
      </w:r>
      <w:r w:rsidR="00D82B41" w:rsidRPr="00E8561A">
        <w:rPr>
          <w:i/>
        </w:rPr>
        <w:t>Wireline Competition Bureau Announces Results of 2017 Urban Rate Survey for Fixed Voice and Broadband Services, Posting of Survey Data and Explanatory Notes, and Required Minimum Usage Allowance for ETCs Subject to Broadband Public Interest Obligations</w:t>
      </w:r>
      <w:r w:rsidR="00D82B41">
        <w:t>, WC Docket No. 10-90, Public Notice, DA 17-167</w:t>
      </w:r>
      <w:r w:rsidR="00E8561A">
        <w:t>, 1</w:t>
      </w:r>
      <w:r w:rsidR="00D82B41">
        <w:t xml:space="preserve"> (WCB Feb. 14, 2017) </w:t>
      </w:r>
      <w:r w:rsidR="007710B5">
        <w:t>(</w:t>
      </w:r>
      <w:r w:rsidR="007710B5" w:rsidRPr="007710B5">
        <w:rPr>
          <w:i/>
        </w:rPr>
        <w:t>2017 Urban Rate Survey Public Notice</w:t>
      </w:r>
      <w:r w:rsidR="007710B5">
        <w:t>)</w:t>
      </w:r>
      <w:r w:rsidR="0017443D">
        <w:t>.</w:t>
      </w:r>
      <w:r w:rsidR="00D82B41">
        <w:t xml:space="preserve"> </w:t>
      </w:r>
      <w:r w:rsidR="00D82B41">
        <w:cr/>
      </w:r>
    </w:p>
  </w:footnote>
  <w:footnote w:id="7">
    <w:p w14:paraId="688A7497" w14:textId="0BA11685" w:rsidR="007C5E8D" w:rsidRPr="00DC2D85" w:rsidRDefault="007C5E8D" w:rsidP="007C5E8D">
      <w:pPr>
        <w:pStyle w:val="FootnoteText"/>
      </w:pPr>
      <w:r>
        <w:rPr>
          <w:rStyle w:val="FootnoteReference"/>
        </w:rPr>
        <w:footnoteRef/>
      </w:r>
      <w:r>
        <w:t xml:space="preserve"> </w:t>
      </w:r>
      <w:r w:rsidR="00083D7F">
        <w:rPr>
          <w:i/>
        </w:rPr>
        <w:t>Alaska Plan Order</w:t>
      </w:r>
      <w:r w:rsidR="00083D7F">
        <w:t xml:space="preserve">, 31 FCC Rcd </w:t>
      </w:r>
      <w:r>
        <w:t>at 10148-49, para. 27</w:t>
      </w:r>
      <w:r w:rsidR="00AE4913">
        <w:t xml:space="preserve">; </w:t>
      </w:r>
      <w:r w:rsidR="00AE4913">
        <w:rPr>
          <w:i/>
        </w:rPr>
        <w:t>ACS Order</w:t>
      </w:r>
      <w:r w:rsidR="00AE4913">
        <w:t>, 31 FCC Rcd at 12092, para. 21</w:t>
      </w:r>
      <w:r>
        <w:t xml:space="preserve">.  </w:t>
      </w:r>
    </w:p>
  </w:footnote>
  <w:footnote w:id="8">
    <w:p w14:paraId="1E4A8704" w14:textId="4D1F7FAD" w:rsidR="00F417F6" w:rsidRPr="00A36E41" w:rsidRDefault="00F417F6">
      <w:pPr>
        <w:pStyle w:val="FootnoteText"/>
      </w:pPr>
      <w:r>
        <w:rPr>
          <w:rStyle w:val="FootnoteReference"/>
        </w:rPr>
        <w:footnoteRef/>
      </w:r>
      <w:r>
        <w:t xml:space="preserve"> </w:t>
      </w:r>
      <w:r>
        <w:rPr>
          <w:i/>
        </w:rPr>
        <w:t>Alaska Plan</w:t>
      </w:r>
      <w:r w:rsidR="00A36E41">
        <w:rPr>
          <w:i/>
        </w:rPr>
        <w:t xml:space="preserve"> Order</w:t>
      </w:r>
      <w:r w:rsidR="00A36E41">
        <w:t>, 31 FCC Rcd at 10149, para. 28.</w:t>
      </w:r>
    </w:p>
  </w:footnote>
  <w:footnote w:id="9">
    <w:p w14:paraId="1CF4CCA6" w14:textId="2D7B94AC" w:rsidR="0063040E" w:rsidRPr="003B7933" w:rsidRDefault="0063040E">
      <w:pPr>
        <w:pStyle w:val="FootnoteText"/>
      </w:pPr>
      <w:r>
        <w:rPr>
          <w:rStyle w:val="FootnoteReference"/>
        </w:rPr>
        <w:footnoteRef/>
      </w:r>
      <w:r>
        <w:t xml:space="preserve"> </w:t>
      </w:r>
      <w:r w:rsidR="003B7933">
        <w:rPr>
          <w:i/>
        </w:rPr>
        <w:t xml:space="preserve">See </w:t>
      </w:r>
      <w:r w:rsidR="003B7933" w:rsidRPr="003B7933">
        <w:rPr>
          <w:i/>
        </w:rPr>
        <w:t>2017 Urban Rate Survey – Fixed Broadband Service Analysis</w:t>
      </w:r>
      <w:r w:rsidR="003B7933">
        <w:t xml:space="preserve">, 7, </w:t>
      </w:r>
      <w:r w:rsidR="003B7933">
        <w:rPr>
          <w:i/>
        </w:rPr>
        <w:t xml:space="preserve">available at </w:t>
      </w:r>
      <w:hyperlink r:id="rId1" w:history="1">
        <w:r w:rsidR="0017443D" w:rsidRPr="00C6233F">
          <w:rPr>
            <w:rStyle w:val="Hyperlink"/>
          </w:rPr>
          <w:t>https://www.fcc.gov/general/urban-rate-survey-data-resources</w:t>
        </w:r>
      </w:hyperlink>
      <w:r w:rsidR="0017443D">
        <w:t>.</w:t>
      </w:r>
      <w:r w:rsidR="003B7933">
        <w:rPr>
          <w:i/>
        </w:rPr>
        <w:t xml:space="preserve"> </w:t>
      </w:r>
    </w:p>
  </w:footnote>
  <w:footnote w:id="10">
    <w:p w14:paraId="5AFDF537" w14:textId="135F986A" w:rsidR="00C87714" w:rsidRPr="00C87714" w:rsidRDefault="00C87714">
      <w:pPr>
        <w:pStyle w:val="FootnoteText"/>
      </w:pPr>
      <w:r>
        <w:rPr>
          <w:rStyle w:val="FootnoteReference"/>
        </w:rPr>
        <w:footnoteRef/>
      </w:r>
      <w:r>
        <w:t xml:space="preserve"> </w:t>
      </w:r>
      <w:r>
        <w:rPr>
          <w:i/>
        </w:rPr>
        <w:t>Id.</w:t>
      </w:r>
    </w:p>
  </w:footnote>
  <w:footnote w:id="11">
    <w:p w14:paraId="3AE51DA1" w14:textId="12A16F65" w:rsidR="007C5E8D" w:rsidRDefault="007C5E8D" w:rsidP="007C5E8D">
      <w:pPr>
        <w:pStyle w:val="FootnoteText"/>
      </w:pPr>
      <w:r>
        <w:rPr>
          <w:rStyle w:val="FootnoteReference"/>
        </w:rPr>
        <w:footnoteRef/>
      </w:r>
      <w:r>
        <w:t xml:space="preserve"> Comments of the Alaska Telephone Association on Calculation of Reasonably Comparability Benchmark for Broadband Services,</w:t>
      </w:r>
      <w:r w:rsidR="001031C8">
        <w:t xml:space="preserve"> WC Docket No. 10-90, et al.,</w:t>
      </w:r>
      <w:r>
        <w:t xml:space="preserve"> 2 (filed Aug. 19, 2014)</w:t>
      </w:r>
      <w:r w:rsidR="007A5641">
        <w:t>;</w:t>
      </w:r>
      <w:r w:rsidR="007A5641" w:rsidRPr="007A5641">
        <w:t xml:space="preserve"> </w:t>
      </w:r>
      <w:r w:rsidR="007A5641">
        <w:t>Letter from Karen Brinkmann, Counsel to Alaska Communications, to Marlene Dortch, FCC Secretary, WC Docket No. 10-90, Attachment, Closing the Middle Mile Gap in Alaska, 3 (filed Nov. 19, 2015)</w:t>
      </w:r>
      <w:r>
        <w:t xml:space="preserve">.  </w:t>
      </w:r>
    </w:p>
  </w:footnote>
  <w:footnote w:id="12">
    <w:p w14:paraId="6FA21278" w14:textId="518D9243" w:rsidR="007A5641" w:rsidRPr="009860B1" w:rsidRDefault="007A5641" w:rsidP="009860B1">
      <w:pPr>
        <w:rPr>
          <w:sz w:val="20"/>
        </w:rPr>
      </w:pPr>
      <w:r w:rsidRPr="007A5641">
        <w:rPr>
          <w:rStyle w:val="FootnoteReference"/>
        </w:rPr>
        <w:footnoteRef/>
      </w:r>
      <w:r w:rsidRPr="009860B1">
        <w:rPr>
          <w:sz w:val="20"/>
        </w:rPr>
        <w:t xml:space="preserve"> Certain Alaska Plan carriers committed to deploying speeds of 100/5 Mbps and 1GB/100 Mbps.</w:t>
      </w:r>
      <w:r w:rsidR="00375A89">
        <w:rPr>
          <w:sz w:val="20"/>
        </w:rPr>
        <w:t xml:space="preserve">  </w:t>
      </w:r>
      <w:r w:rsidRPr="009860B1">
        <w:rPr>
          <w:sz w:val="20"/>
        </w:rPr>
        <w:t>However, reasonable comparability benchmarks at those speeds are not yet available</w:t>
      </w:r>
      <w:r>
        <w:rPr>
          <w:sz w:val="20"/>
        </w:rPr>
        <w:t xml:space="preserve"> but will be in coming years as such speeds become more common</w:t>
      </w:r>
      <w:r w:rsidRPr="009860B1">
        <w:rPr>
          <w:sz w:val="20"/>
        </w:rPr>
        <w:t xml:space="preserve">.  </w:t>
      </w:r>
    </w:p>
    <w:p w14:paraId="5DB5EF24" w14:textId="5DCE84D7" w:rsidR="007A5641" w:rsidRDefault="007A5641">
      <w:pPr>
        <w:pStyle w:val="FootnoteText"/>
      </w:pPr>
    </w:p>
  </w:footnote>
  <w:footnote w:id="13">
    <w:p w14:paraId="5392C7CB" w14:textId="045AF5E0" w:rsidR="002E4CF8" w:rsidRPr="002E4CF8" w:rsidRDefault="002E4CF8">
      <w:pPr>
        <w:pStyle w:val="FootnoteText"/>
      </w:pPr>
      <w:r>
        <w:rPr>
          <w:rStyle w:val="FootnoteReference"/>
        </w:rPr>
        <w:footnoteRef/>
      </w:r>
      <w:r>
        <w:t xml:space="preserve"> </w:t>
      </w:r>
      <w:r>
        <w:rPr>
          <w:i/>
        </w:rPr>
        <w:t xml:space="preserve">See </w:t>
      </w:r>
      <w:r w:rsidR="00FD71EE">
        <w:t>Letter from Christine O’Connor, Executive Director, Alaska Telephone Association, to Marlene Dortch, Secretary, FCC, WC Docket No. 10-90, Attachment (file</w:t>
      </w:r>
      <w:r w:rsidR="00375A89">
        <w:t>d</w:t>
      </w:r>
      <w:r w:rsidR="00FD71EE">
        <w:t xml:space="preserve"> May 12, 2016)</w:t>
      </w:r>
      <w:r w:rsidR="00375A89">
        <w:t xml:space="preserve"> </w:t>
      </w:r>
      <w:r w:rsidR="00DF1A07">
        <w:t xml:space="preserve">(BRST – Microwave </w:t>
      </w:r>
      <w:r w:rsidR="0098377A">
        <w:t>–</w:t>
      </w:r>
      <w:r w:rsidR="00DF1A07">
        <w:t xml:space="preserve"> $150.00; AMRC – Satellite </w:t>
      </w:r>
      <w:r w:rsidR="0098377A">
        <w:t xml:space="preserve">– </w:t>
      </w:r>
      <w:r w:rsidR="00DF1A07">
        <w:t xml:space="preserve">$194.90; NSHG – Microwave </w:t>
      </w:r>
      <w:r w:rsidR="0098377A">
        <w:t>–</w:t>
      </w:r>
      <w:r w:rsidR="00DF1A07">
        <w:t xml:space="preserve"> $160.98; OTZT – Satellite </w:t>
      </w:r>
      <w:r w:rsidR="0098377A">
        <w:t>–</w:t>
      </w:r>
      <w:r w:rsidR="00DF1A07">
        <w:t xml:space="preserve"> $74.99; ADKG – Satellite </w:t>
      </w:r>
      <w:r w:rsidR="0098377A">
        <w:t>–</w:t>
      </w:r>
      <w:r w:rsidR="00DF1A07">
        <w:t xml:space="preserve"> $150.00; ARCT – Satellite </w:t>
      </w:r>
      <w:r w:rsidR="0098377A">
        <w:t>–</w:t>
      </w:r>
      <w:r w:rsidR="00DF1A07">
        <w:t xml:space="preserve"> $149.99; BSHT – Microwave </w:t>
      </w:r>
      <w:r w:rsidR="0098377A">
        <w:t>–</w:t>
      </w:r>
      <w:r w:rsidR="00DF1A07">
        <w:t xml:space="preserve"> $110.30); </w:t>
      </w:r>
      <w:r>
        <w:t>GCI Nov. 29 Letter</w:t>
      </w:r>
      <w:r w:rsidR="00DF1A07">
        <w:t xml:space="preserve"> (Satellite </w:t>
      </w:r>
      <w:r w:rsidR="0098377A">
        <w:t>–</w:t>
      </w:r>
      <w:r w:rsidR="00DF1A07">
        <w:t xml:space="preserve"> $99.99, Microwave (4/1) </w:t>
      </w:r>
      <w:r w:rsidR="0098377A">
        <w:t>–</w:t>
      </w:r>
      <w:r w:rsidR="00DF1A07">
        <w:t xml:space="preserve"> $99.99, Microwave (10/1) </w:t>
      </w:r>
      <w:r w:rsidR="0098377A">
        <w:t>–</w:t>
      </w:r>
      <w:r w:rsidR="00DF1A07">
        <w:t xml:space="preserve"> $149.99)</w:t>
      </w:r>
      <w:r>
        <w:t xml:space="preserve">.  </w:t>
      </w:r>
    </w:p>
  </w:footnote>
  <w:footnote w:id="14">
    <w:p w14:paraId="548AAAEA" w14:textId="18004374" w:rsidR="008150BD" w:rsidRPr="008150BD" w:rsidRDefault="008150BD">
      <w:pPr>
        <w:pStyle w:val="FootnoteText"/>
      </w:pPr>
      <w:r>
        <w:rPr>
          <w:rStyle w:val="FootnoteReference"/>
        </w:rPr>
        <w:footnoteRef/>
      </w:r>
      <w:r>
        <w:t xml:space="preserve"> </w:t>
      </w:r>
      <w:r>
        <w:rPr>
          <w:i/>
        </w:rPr>
        <w:t>Alaska Plan Order</w:t>
      </w:r>
      <w:r>
        <w:t>, 31 FCC Rcd at 10147, para. 21.</w:t>
      </w:r>
    </w:p>
  </w:footnote>
  <w:footnote w:id="15">
    <w:p w14:paraId="08BEC014" w14:textId="4694FF91" w:rsidR="008150BD" w:rsidRPr="008150BD" w:rsidRDefault="008150BD">
      <w:pPr>
        <w:pStyle w:val="FootnoteText"/>
      </w:pPr>
      <w:r>
        <w:rPr>
          <w:rStyle w:val="FootnoteReference"/>
        </w:rPr>
        <w:footnoteRef/>
      </w:r>
      <w:r>
        <w:t xml:space="preserve"> </w:t>
      </w:r>
      <w:r>
        <w:rPr>
          <w:i/>
        </w:rPr>
        <w:t>Id</w:t>
      </w:r>
      <w:r>
        <w:t>. at 10147, para. 23</w:t>
      </w:r>
      <w:r w:rsidR="0051778A">
        <w:t xml:space="preserve">. </w:t>
      </w:r>
      <w:r>
        <w:t xml:space="preserve">  </w:t>
      </w:r>
    </w:p>
  </w:footnote>
  <w:footnote w:id="16">
    <w:p w14:paraId="5257C811" w14:textId="55631B6F" w:rsidR="009D4372" w:rsidRPr="00E16722" w:rsidRDefault="009D4372" w:rsidP="009D4372">
      <w:pPr>
        <w:pStyle w:val="FootnoteText"/>
      </w:pPr>
      <w:r>
        <w:rPr>
          <w:rStyle w:val="FootnoteReference"/>
        </w:rPr>
        <w:footnoteRef/>
      </w:r>
      <w:r>
        <w:t xml:space="preserve"> </w:t>
      </w:r>
      <w:r>
        <w:rPr>
          <w:i/>
        </w:rPr>
        <w:t xml:space="preserve">See </w:t>
      </w:r>
      <w:r w:rsidR="00FD71EE" w:rsidRPr="001031C8">
        <w:rPr>
          <w:i/>
        </w:rPr>
        <w:t>Wireline Competition Bureau Authorizes Alaska Plan Support for 13 Alaskan Rate-of-Return Companies</w:t>
      </w:r>
      <w:r w:rsidR="00FD71EE">
        <w:t>, Public Notice, 31 FCC Rcd 13347, 13351-54 (WCB 2016) (</w:t>
      </w:r>
      <w:r w:rsidR="00FD71EE">
        <w:rPr>
          <w:i/>
        </w:rPr>
        <w:t>Authorization Public Notice</w:t>
      </w:r>
      <w:r w:rsidR="00FD71EE">
        <w:t xml:space="preserve">). </w:t>
      </w:r>
    </w:p>
  </w:footnote>
  <w:footnote w:id="17">
    <w:p w14:paraId="06126853" w14:textId="42933B51" w:rsidR="00D22272" w:rsidRDefault="00D22272">
      <w:pPr>
        <w:pStyle w:val="FootnoteText"/>
      </w:pPr>
      <w:r>
        <w:rPr>
          <w:rStyle w:val="FootnoteReference"/>
        </w:rPr>
        <w:footnoteRef/>
      </w:r>
      <w:r>
        <w:t xml:space="preserve"> </w:t>
      </w:r>
      <w:r w:rsidRPr="008150BD">
        <w:rPr>
          <w:i/>
        </w:rPr>
        <w:t>Alaska Plan</w:t>
      </w:r>
      <w:r>
        <w:t xml:space="preserve">, </w:t>
      </w:r>
      <w:r w:rsidR="008150BD">
        <w:t xml:space="preserve">31 FCC Rcd at 10147, para. 23.  </w:t>
      </w:r>
    </w:p>
  </w:footnote>
  <w:footnote w:id="18">
    <w:p w14:paraId="387D7260" w14:textId="1EFB7866" w:rsidR="005772BD" w:rsidRPr="00F23DCB" w:rsidRDefault="005772BD">
      <w:pPr>
        <w:pStyle w:val="FootnoteText"/>
      </w:pPr>
      <w:r>
        <w:rPr>
          <w:rStyle w:val="FootnoteReference"/>
        </w:rPr>
        <w:footnoteRef/>
      </w:r>
      <w:r>
        <w:t xml:space="preserve"> </w:t>
      </w:r>
      <w:r w:rsidR="00F23DCB" w:rsidRPr="007710B5">
        <w:rPr>
          <w:i/>
        </w:rPr>
        <w:t>2017 Urban Rate Survey Public Notice</w:t>
      </w:r>
      <w:r w:rsidR="00F23DCB">
        <w:rPr>
          <w:i/>
        </w:rPr>
        <w:t xml:space="preserve"> </w:t>
      </w:r>
      <w:r w:rsidR="00F23DCB">
        <w:t>at 3.</w:t>
      </w:r>
    </w:p>
  </w:footnote>
  <w:footnote w:id="19">
    <w:p w14:paraId="02ECCC33" w14:textId="77777777" w:rsidR="00A41A63" w:rsidRPr="008150BD" w:rsidRDefault="00A41A63" w:rsidP="00A41A63">
      <w:pPr>
        <w:pStyle w:val="FootnoteText"/>
      </w:pPr>
      <w:r>
        <w:rPr>
          <w:rStyle w:val="FootnoteReference"/>
        </w:rPr>
        <w:footnoteRef/>
      </w:r>
      <w:r>
        <w:t xml:space="preserve"> </w:t>
      </w:r>
      <w:r>
        <w:rPr>
          <w:i/>
        </w:rPr>
        <w:t>Authorization Public Notice</w:t>
      </w:r>
      <w:r>
        <w:t xml:space="preserve">, 31 FCC Rcd at 13351-54.  </w:t>
      </w:r>
    </w:p>
  </w:footnote>
  <w:footnote w:id="20">
    <w:p w14:paraId="1B39C06E" w14:textId="56875B41" w:rsidR="00A41A63" w:rsidRPr="00A41A63" w:rsidRDefault="00A41A63">
      <w:pPr>
        <w:pStyle w:val="FootnoteText"/>
      </w:pPr>
      <w:r>
        <w:rPr>
          <w:rStyle w:val="FootnoteReference"/>
        </w:rPr>
        <w:footnoteRef/>
      </w:r>
      <w:r>
        <w:t xml:space="preserve"> </w:t>
      </w:r>
      <w:r>
        <w:rPr>
          <w:i/>
        </w:rPr>
        <w:t>ACS Order</w:t>
      </w:r>
      <w:r>
        <w:t xml:space="preserve">, 31 FCC Rcd at 12091, para. 18.  </w:t>
      </w:r>
    </w:p>
  </w:footnote>
  <w:footnote w:id="21">
    <w:p w14:paraId="0C2438CA" w14:textId="1D94F599" w:rsidR="00A41A63" w:rsidRPr="00A41A63" w:rsidRDefault="00A41A63">
      <w:pPr>
        <w:pStyle w:val="FootnoteText"/>
      </w:pPr>
      <w:r>
        <w:rPr>
          <w:rStyle w:val="FootnoteReference"/>
        </w:rPr>
        <w:footnoteRef/>
      </w:r>
      <w:r>
        <w:t xml:space="preserve"> </w:t>
      </w:r>
      <w:r w:rsidR="007B4A74" w:rsidRPr="00B53F1F">
        <w:rPr>
          <w:i/>
        </w:rPr>
        <w:t>See</w:t>
      </w:r>
      <w:r w:rsidR="007B4A74">
        <w:t xml:space="preserve"> </w:t>
      </w:r>
      <w:r w:rsidR="00F23DCB">
        <w:rPr>
          <w:i/>
        </w:rPr>
        <w:t xml:space="preserve">id. </w:t>
      </w:r>
      <w:r w:rsidR="007B4A74">
        <w:t xml:space="preserve">at 12091, para. 17.  </w:t>
      </w:r>
      <w:r>
        <w:rPr>
          <w:i/>
        </w:rPr>
        <w:t>See</w:t>
      </w:r>
      <w:r w:rsidR="007B4A74">
        <w:rPr>
          <w:i/>
        </w:rPr>
        <w:t xml:space="preserve"> also</w:t>
      </w:r>
      <w:r>
        <w:rPr>
          <w:i/>
        </w:rPr>
        <w:t xml:space="preserve"> </w:t>
      </w:r>
      <w:r>
        <w:t xml:space="preserve">Alaska Communications, </w:t>
      </w:r>
      <w:hyperlink r:id="rId2" w:history="1">
        <w:r w:rsidR="009928F5" w:rsidRPr="009928F5">
          <w:rPr>
            <w:rStyle w:val="Hyperlink"/>
          </w:rPr>
          <w:t>http://www.alaskacommunications.com/</w:t>
        </w:r>
        <w:r w:rsidR="009928F5" w:rsidRPr="003676E0">
          <w:rPr>
            <w:rStyle w:val="Hyperlink"/>
          </w:rPr>
          <w:t>Residential</w:t>
        </w:r>
      </w:hyperlink>
      <w:r w:rsidR="009928F5">
        <w:t xml:space="preserve"> </w:t>
      </w:r>
      <w:r>
        <w:t>(l</w:t>
      </w:r>
      <w:r w:rsidR="007F11CD">
        <w:t xml:space="preserve">ast visited </w:t>
      </w:r>
      <w:r w:rsidR="00EA7D9C">
        <w:t>Apr</w:t>
      </w:r>
      <w:r w:rsidR="007F11CD">
        <w:t>. 1</w:t>
      </w:r>
      <w:r w:rsidR="00EA7D9C">
        <w:t>1</w:t>
      </w:r>
      <w:r>
        <w:t>, 2017) (</w:t>
      </w:r>
      <w:r w:rsidR="00EA7D9C">
        <w:t xml:space="preserve">click </w:t>
      </w:r>
      <w:r>
        <w:t>“</w:t>
      </w:r>
      <w:r w:rsidR="00EA7D9C">
        <w:t>Products</w:t>
      </w:r>
      <w:r>
        <w:t>” to see only unlimited Internet plans</w:t>
      </w:r>
      <w:r w:rsidR="002B32EB">
        <w:t xml:space="preserve"> being advertised</w:t>
      </w:r>
      <w:r>
        <w:t>)</w:t>
      </w:r>
      <w:r w:rsidR="00EA7D9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A8C4" w14:textId="77777777" w:rsidR="008C43D3" w:rsidRDefault="008C4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7F85" w14:textId="77777777" w:rsidR="008C43D3" w:rsidRDefault="008C4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9F38" w14:textId="37200AFC" w:rsidR="00D47505" w:rsidRPr="00B338A9" w:rsidRDefault="00DB1D41" w:rsidP="00571D66">
    <w:pPr>
      <w:pStyle w:val="Header"/>
    </w:pPr>
    <w:r w:rsidRPr="00B338A9">
      <w:rPr>
        <w:noProof/>
        <w:sz w:val="24"/>
      </w:rPr>
      <w:drawing>
        <wp:anchor distT="0" distB="0" distL="114300" distR="114300" simplePos="0" relativeHeight="251659264" behindDoc="1" locked="0" layoutInCell="0" allowOverlap="1" wp14:anchorId="7D97C198" wp14:editId="7FCB8B5A">
          <wp:simplePos x="0" y="0"/>
          <wp:positionH relativeFrom="column">
            <wp:posOffset>38100</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6192" behindDoc="0" locked="0" layoutInCell="0" allowOverlap="1" wp14:anchorId="15B62B45" wp14:editId="1106412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6BD8" w14:textId="77777777" w:rsidR="00D47505" w:rsidRDefault="00D47505" w:rsidP="00D47505">
                          <w:pPr>
                            <w:rPr>
                              <w:rFonts w:ascii="Arial" w:hAnsi="Arial"/>
                              <w:b/>
                            </w:rPr>
                          </w:pPr>
                          <w:r>
                            <w:rPr>
                              <w:rFonts w:ascii="Arial" w:hAnsi="Arial"/>
                              <w:b/>
                            </w:rPr>
                            <w:t>Federal Communications Commission</w:t>
                          </w:r>
                        </w:p>
                        <w:p w14:paraId="795E1BA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A57BBD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B62B45"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4486BD8" w14:textId="77777777" w:rsidR="00D47505" w:rsidRDefault="00D47505" w:rsidP="00D47505">
                    <w:pPr>
                      <w:rPr>
                        <w:rFonts w:ascii="Arial" w:hAnsi="Arial"/>
                        <w:b/>
                      </w:rPr>
                    </w:pPr>
                    <w:r>
                      <w:rPr>
                        <w:rFonts w:ascii="Arial" w:hAnsi="Arial"/>
                        <w:b/>
                      </w:rPr>
                      <w:t>Federal Communications Commission</w:t>
                    </w:r>
                  </w:p>
                  <w:p w14:paraId="795E1BA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A57BBD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259C0D66" w14:textId="77777777" w:rsidR="00D47505" w:rsidRDefault="00B338A9" w:rsidP="00571D66">
    <w:pPr>
      <w:pStyle w:val="Header"/>
    </w:pPr>
    <w:r>
      <w:rPr>
        <w:noProof/>
      </w:rPr>
      <mc:AlternateContent>
        <mc:Choice Requires="wps">
          <w:drawing>
            <wp:anchor distT="0" distB="0" distL="114300" distR="114300" simplePos="0" relativeHeight="251657216" behindDoc="0" locked="0" layoutInCell="0" allowOverlap="1" wp14:anchorId="6B835264" wp14:editId="27FCC75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440D2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2778BFCF" wp14:editId="5E63223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093E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6EA9A" w14:textId="4CE5C5A1"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71EFC">
                            <w:rPr>
                              <w:rFonts w:ascii="Arial" w:hAnsi="Arial"/>
                              <w:b/>
                              <w:sz w:val="16"/>
                            </w:rPr>
                            <w:instrText>HYPERLINK "https://www.fcc.gov/"</w:instrText>
                          </w:r>
                          <w:r w:rsidR="00571EF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072CCB8"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0A093E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6EA9A" w14:textId="4CE5C5A1"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71EFC">
                      <w:rPr>
                        <w:rFonts w:ascii="Arial" w:hAnsi="Arial"/>
                        <w:b/>
                        <w:sz w:val="16"/>
                      </w:rPr>
                      <w:instrText>HYPERLINK "https://www.fcc.gov/"</w:instrText>
                    </w:r>
                    <w:r w:rsidR="00571EF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072CCB8"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7"/>
    <w:rsid w:val="0002000B"/>
    <w:rsid w:val="00036039"/>
    <w:rsid w:val="00037F90"/>
    <w:rsid w:val="00050D2F"/>
    <w:rsid w:val="000519F8"/>
    <w:rsid w:val="000555A4"/>
    <w:rsid w:val="000661E4"/>
    <w:rsid w:val="00066CCF"/>
    <w:rsid w:val="00073D4A"/>
    <w:rsid w:val="00076747"/>
    <w:rsid w:val="00077316"/>
    <w:rsid w:val="00083D7F"/>
    <w:rsid w:val="000875BF"/>
    <w:rsid w:val="00096D8C"/>
    <w:rsid w:val="000976DC"/>
    <w:rsid w:val="00097D22"/>
    <w:rsid w:val="000A2233"/>
    <w:rsid w:val="000C0B65"/>
    <w:rsid w:val="000C2D58"/>
    <w:rsid w:val="000C5E47"/>
    <w:rsid w:val="000E05FE"/>
    <w:rsid w:val="000E3D42"/>
    <w:rsid w:val="000E43F0"/>
    <w:rsid w:val="000F205F"/>
    <w:rsid w:val="000F3012"/>
    <w:rsid w:val="001031C8"/>
    <w:rsid w:val="001153B1"/>
    <w:rsid w:val="00122BD5"/>
    <w:rsid w:val="00125BB3"/>
    <w:rsid w:val="00130EF5"/>
    <w:rsid w:val="00133F79"/>
    <w:rsid w:val="001502FE"/>
    <w:rsid w:val="00150FD2"/>
    <w:rsid w:val="00165FC4"/>
    <w:rsid w:val="0017443D"/>
    <w:rsid w:val="00194A66"/>
    <w:rsid w:val="00197823"/>
    <w:rsid w:val="00197A93"/>
    <w:rsid w:val="001A40E5"/>
    <w:rsid w:val="001A4EC4"/>
    <w:rsid w:val="001A7596"/>
    <w:rsid w:val="001D6BCF"/>
    <w:rsid w:val="001E01CA"/>
    <w:rsid w:val="001E420D"/>
    <w:rsid w:val="001F6EFF"/>
    <w:rsid w:val="001F7697"/>
    <w:rsid w:val="0021341C"/>
    <w:rsid w:val="00215844"/>
    <w:rsid w:val="0021654B"/>
    <w:rsid w:val="00225641"/>
    <w:rsid w:val="00225D29"/>
    <w:rsid w:val="00232AD2"/>
    <w:rsid w:val="002352D8"/>
    <w:rsid w:val="002430C6"/>
    <w:rsid w:val="00251332"/>
    <w:rsid w:val="0025602D"/>
    <w:rsid w:val="00260AE7"/>
    <w:rsid w:val="002640C5"/>
    <w:rsid w:val="00264543"/>
    <w:rsid w:val="00275CF5"/>
    <w:rsid w:val="0028301F"/>
    <w:rsid w:val="00283D2E"/>
    <w:rsid w:val="00285017"/>
    <w:rsid w:val="002A2D2E"/>
    <w:rsid w:val="002B32EB"/>
    <w:rsid w:val="002C00E8"/>
    <w:rsid w:val="002D4BAF"/>
    <w:rsid w:val="002E0E2E"/>
    <w:rsid w:val="002E4CF8"/>
    <w:rsid w:val="002E7670"/>
    <w:rsid w:val="003022E0"/>
    <w:rsid w:val="00312831"/>
    <w:rsid w:val="0031712A"/>
    <w:rsid w:val="00317D76"/>
    <w:rsid w:val="00326D53"/>
    <w:rsid w:val="00343749"/>
    <w:rsid w:val="00362E50"/>
    <w:rsid w:val="003660ED"/>
    <w:rsid w:val="00375A89"/>
    <w:rsid w:val="003944B0"/>
    <w:rsid w:val="003A3E46"/>
    <w:rsid w:val="003B0550"/>
    <w:rsid w:val="003B694F"/>
    <w:rsid w:val="003B7933"/>
    <w:rsid w:val="003F171C"/>
    <w:rsid w:val="003F4299"/>
    <w:rsid w:val="00405F48"/>
    <w:rsid w:val="0041071D"/>
    <w:rsid w:val="00412FC5"/>
    <w:rsid w:val="00415B63"/>
    <w:rsid w:val="00422276"/>
    <w:rsid w:val="004242F1"/>
    <w:rsid w:val="004245F4"/>
    <w:rsid w:val="0043318C"/>
    <w:rsid w:val="004365EB"/>
    <w:rsid w:val="00445A00"/>
    <w:rsid w:val="00451B0F"/>
    <w:rsid w:val="00477C91"/>
    <w:rsid w:val="004928BA"/>
    <w:rsid w:val="004B103F"/>
    <w:rsid w:val="004B57E8"/>
    <w:rsid w:val="004C2EE3"/>
    <w:rsid w:val="004C4830"/>
    <w:rsid w:val="004E424E"/>
    <w:rsid w:val="004E4A22"/>
    <w:rsid w:val="004E777D"/>
    <w:rsid w:val="004E7EC7"/>
    <w:rsid w:val="004F2364"/>
    <w:rsid w:val="004F5197"/>
    <w:rsid w:val="004F6F13"/>
    <w:rsid w:val="0050056A"/>
    <w:rsid w:val="005043CD"/>
    <w:rsid w:val="005047DF"/>
    <w:rsid w:val="00511836"/>
    <w:rsid w:val="00511968"/>
    <w:rsid w:val="00511EC1"/>
    <w:rsid w:val="0051778A"/>
    <w:rsid w:val="00527FF6"/>
    <w:rsid w:val="00537B1B"/>
    <w:rsid w:val="00547BE0"/>
    <w:rsid w:val="00553994"/>
    <w:rsid w:val="0055614C"/>
    <w:rsid w:val="0056318B"/>
    <w:rsid w:val="00571D66"/>
    <w:rsid w:val="00571EFC"/>
    <w:rsid w:val="00576AE5"/>
    <w:rsid w:val="005772BD"/>
    <w:rsid w:val="00587E0B"/>
    <w:rsid w:val="00590154"/>
    <w:rsid w:val="005D2035"/>
    <w:rsid w:val="005E14C2"/>
    <w:rsid w:val="00607BA5"/>
    <w:rsid w:val="00610C99"/>
    <w:rsid w:val="0061180A"/>
    <w:rsid w:val="00617618"/>
    <w:rsid w:val="006249A7"/>
    <w:rsid w:val="00626EB6"/>
    <w:rsid w:val="0063040E"/>
    <w:rsid w:val="00655D03"/>
    <w:rsid w:val="00665008"/>
    <w:rsid w:val="00667A51"/>
    <w:rsid w:val="006805EF"/>
    <w:rsid w:val="0068197D"/>
    <w:rsid w:val="00683388"/>
    <w:rsid w:val="006833DA"/>
    <w:rsid w:val="00683F84"/>
    <w:rsid w:val="0069682A"/>
    <w:rsid w:val="006A1F49"/>
    <w:rsid w:val="006A673B"/>
    <w:rsid w:val="006A6A81"/>
    <w:rsid w:val="006B1456"/>
    <w:rsid w:val="006B1F15"/>
    <w:rsid w:val="006D45D0"/>
    <w:rsid w:val="006F1D35"/>
    <w:rsid w:val="006F4953"/>
    <w:rsid w:val="006F7393"/>
    <w:rsid w:val="0070224F"/>
    <w:rsid w:val="00704386"/>
    <w:rsid w:val="007115F7"/>
    <w:rsid w:val="00717C1F"/>
    <w:rsid w:val="00721ADB"/>
    <w:rsid w:val="00722CD8"/>
    <w:rsid w:val="00732DDA"/>
    <w:rsid w:val="007352E6"/>
    <w:rsid w:val="00755199"/>
    <w:rsid w:val="007643DD"/>
    <w:rsid w:val="007710B5"/>
    <w:rsid w:val="0077393D"/>
    <w:rsid w:val="00773961"/>
    <w:rsid w:val="00785689"/>
    <w:rsid w:val="0079754B"/>
    <w:rsid w:val="007A1E6D"/>
    <w:rsid w:val="007A5641"/>
    <w:rsid w:val="007A76D8"/>
    <w:rsid w:val="007B0EB2"/>
    <w:rsid w:val="007B4A74"/>
    <w:rsid w:val="007C5E8D"/>
    <w:rsid w:val="007D1C9A"/>
    <w:rsid w:val="007D4E75"/>
    <w:rsid w:val="007E2E67"/>
    <w:rsid w:val="007F11CD"/>
    <w:rsid w:val="007F413A"/>
    <w:rsid w:val="007F4FE1"/>
    <w:rsid w:val="00810A23"/>
    <w:rsid w:val="00810B6F"/>
    <w:rsid w:val="008150BD"/>
    <w:rsid w:val="00822CE0"/>
    <w:rsid w:val="00825077"/>
    <w:rsid w:val="00832C6A"/>
    <w:rsid w:val="00841AB1"/>
    <w:rsid w:val="00847C8D"/>
    <w:rsid w:val="008B5FC0"/>
    <w:rsid w:val="008B738B"/>
    <w:rsid w:val="008C007E"/>
    <w:rsid w:val="008C08AC"/>
    <w:rsid w:val="008C43D3"/>
    <w:rsid w:val="008C4A15"/>
    <w:rsid w:val="008C68F1"/>
    <w:rsid w:val="008E388B"/>
    <w:rsid w:val="008F5C4E"/>
    <w:rsid w:val="008F7355"/>
    <w:rsid w:val="00906406"/>
    <w:rsid w:val="009158C9"/>
    <w:rsid w:val="00921162"/>
    <w:rsid w:val="00921803"/>
    <w:rsid w:val="00926503"/>
    <w:rsid w:val="00930240"/>
    <w:rsid w:val="00933809"/>
    <w:rsid w:val="00937593"/>
    <w:rsid w:val="00960832"/>
    <w:rsid w:val="009632F4"/>
    <w:rsid w:val="009726D8"/>
    <w:rsid w:val="009834F3"/>
    <w:rsid w:val="0098377A"/>
    <w:rsid w:val="009860B1"/>
    <w:rsid w:val="00991F85"/>
    <w:rsid w:val="009928F5"/>
    <w:rsid w:val="0099494F"/>
    <w:rsid w:val="009A50CB"/>
    <w:rsid w:val="009C0148"/>
    <w:rsid w:val="009D4372"/>
    <w:rsid w:val="009F76DB"/>
    <w:rsid w:val="00A0663F"/>
    <w:rsid w:val="00A1223A"/>
    <w:rsid w:val="00A13700"/>
    <w:rsid w:val="00A32C3B"/>
    <w:rsid w:val="00A33DEF"/>
    <w:rsid w:val="00A36E41"/>
    <w:rsid w:val="00A41A63"/>
    <w:rsid w:val="00A45F4F"/>
    <w:rsid w:val="00A600A9"/>
    <w:rsid w:val="00A60DE1"/>
    <w:rsid w:val="00A77623"/>
    <w:rsid w:val="00A87AD7"/>
    <w:rsid w:val="00AA55B7"/>
    <w:rsid w:val="00AA5B9E"/>
    <w:rsid w:val="00AB1D96"/>
    <w:rsid w:val="00AB2407"/>
    <w:rsid w:val="00AB53DF"/>
    <w:rsid w:val="00AC424B"/>
    <w:rsid w:val="00AE4913"/>
    <w:rsid w:val="00AE6479"/>
    <w:rsid w:val="00AF2C00"/>
    <w:rsid w:val="00AF46DC"/>
    <w:rsid w:val="00B07E5C"/>
    <w:rsid w:val="00B20363"/>
    <w:rsid w:val="00B32E1C"/>
    <w:rsid w:val="00B338A9"/>
    <w:rsid w:val="00B410C9"/>
    <w:rsid w:val="00B4743E"/>
    <w:rsid w:val="00B556F2"/>
    <w:rsid w:val="00B679AB"/>
    <w:rsid w:val="00B76DB8"/>
    <w:rsid w:val="00B805FE"/>
    <w:rsid w:val="00B80BF4"/>
    <w:rsid w:val="00B811F7"/>
    <w:rsid w:val="00B97445"/>
    <w:rsid w:val="00BA0BD4"/>
    <w:rsid w:val="00BA5DC6"/>
    <w:rsid w:val="00BA6196"/>
    <w:rsid w:val="00BB52A3"/>
    <w:rsid w:val="00BB5E54"/>
    <w:rsid w:val="00BC0498"/>
    <w:rsid w:val="00BC1657"/>
    <w:rsid w:val="00BC451F"/>
    <w:rsid w:val="00BC5A9B"/>
    <w:rsid w:val="00BC6D8C"/>
    <w:rsid w:val="00BE1640"/>
    <w:rsid w:val="00C076CB"/>
    <w:rsid w:val="00C217DD"/>
    <w:rsid w:val="00C31A4F"/>
    <w:rsid w:val="00C34006"/>
    <w:rsid w:val="00C426B1"/>
    <w:rsid w:val="00C44D42"/>
    <w:rsid w:val="00C66160"/>
    <w:rsid w:val="00C70B6B"/>
    <w:rsid w:val="00C721AC"/>
    <w:rsid w:val="00C80048"/>
    <w:rsid w:val="00C87714"/>
    <w:rsid w:val="00C90D6A"/>
    <w:rsid w:val="00C932D7"/>
    <w:rsid w:val="00C973FD"/>
    <w:rsid w:val="00CA247E"/>
    <w:rsid w:val="00CB4ECB"/>
    <w:rsid w:val="00CC72B6"/>
    <w:rsid w:val="00CC776F"/>
    <w:rsid w:val="00CE1563"/>
    <w:rsid w:val="00CE236E"/>
    <w:rsid w:val="00CE2F74"/>
    <w:rsid w:val="00CE60C0"/>
    <w:rsid w:val="00D00294"/>
    <w:rsid w:val="00D0218D"/>
    <w:rsid w:val="00D12020"/>
    <w:rsid w:val="00D2010E"/>
    <w:rsid w:val="00D22272"/>
    <w:rsid w:val="00D2312C"/>
    <w:rsid w:val="00D25FB5"/>
    <w:rsid w:val="00D26D2D"/>
    <w:rsid w:val="00D30386"/>
    <w:rsid w:val="00D364CA"/>
    <w:rsid w:val="00D44223"/>
    <w:rsid w:val="00D47505"/>
    <w:rsid w:val="00D60A4A"/>
    <w:rsid w:val="00D66A77"/>
    <w:rsid w:val="00D82B41"/>
    <w:rsid w:val="00D9650A"/>
    <w:rsid w:val="00D96D70"/>
    <w:rsid w:val="00DA2529"/>
    <w:rsid w:val="00DB06A8"/>
    <w:rsid w:val="00DB130A"/>
    <w:rsid w:val="00DB1D41"/>
    <w:rsid w:val="00DB2EBB"/>
    <w:rsid w:val="00DC02DE"/>
    <w:rsid w:val="00DC10A1"/>
    <w:rsid w:val="00DC2D85"/>
    <w:rsid w:val="00DC655F"/>
    <w:rsid w:val="00DD0B59"/>
    <w:rsid w:val="00DD7EBD"/>
    <w:rsid w:val="00DE4C8D"/>
    <w:rsid w:val="00DE5A40"/>
    <w:rsid w:val="00DF0810"/>
    <w:rsid w:val="00DF0AC6"/>
    <w:rsid w:val="00DF1A07"/>
    <w:rsid w:val="00DF62B6"/>
    <w:rsid w:val="00E07225"/>
    <w:rsid w:val="00E16722"/>
    <w:rsid w:val="00E34FC3"/>
    <w:rsid w:val="00E468F7"/>
    <w:rsid w:val="00E5409F"/>
    <w:rsid w:val="00E624C8"/>
    <w:rsid w:val="00E64211"/>
    <w:rsid w:val="00E8561A"/>
    <w:rsid w:val="00E8718F"/>
    <w:rsid w:val="00E931ED"/>
    <w:rsid w:val="00EA7D9C"/>
    <w:rsid w:val="00EB4ACC"/>
    <w:rsid w:val="00EC6DEA"/>
    <w:rsid w:val="00ED284D"/>
    <w:rsid w:val="00EE0F46"/>
    <w:rsid w:val="00EE6488"/>
    <w:rsid w:val="00F012DF"/>
    <w:rsid w:val="00F021FA"/>
    <w:rsid w:val="00F1447A"/>
    <w:rsid w:val="00F15D87"/>
    <w:rsid w:val="00F17051"/>
    <w:rsid w:val="00F17A3B"/>
    <w:rsid w:val="00F22715"/>
    <w:rsid w:val="00F23DCB"/>
    <w:rsid w:val="00F34E50"/>
    <w:rsid w:val="00F40EA1"/>
    <w:rsid w:val="00F40FFF"/>
    <w:rsid w:val="00F417F6"/>
    <w:rsid w:val="00F507F9"/>
    <w:rsid w:val="00F62E97"/>
    <w:rsid w:val="00F64209"/>
    <w:rsid w:val="00F70D45"/>
    <w:rsid w:val="00F72538"/>
    <w:rsid w:val="00F8591E"/>
    <w:rsid w:val="00F93BF5"/>
    <w:rsid w:val="00F944A0"/>
    <w:rsid w:val="00FB0AEA"/>
    <w:rsid w:val="00FC317D"/>
    <w:rsid w:val="00FC4E6F"/>
    <w:rsid w:val="00FD2534"/>
    <w:rsid w:val="00FD6A51"/>
    <w:rsid w:val="00FD71EE"/>
    <w:rsid w:val="00FE1B3B"/>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1E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71D66"/>
    <w:pPr>
      <w:spacing w:before="40"/>
      <w:ind w:left="117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CommentReference">
    <w:name w:val="annotation reference"/>
    <w:basedOn w:val="DefaultParagraphFont"/>
    <w:semiHidden/>
    <w:unhideWhenUsed/>
    <w:rsid w:val="007F4FE1"/>
    <w:rPr>
      <w:sz w:val="16"/>
      <w:szCs w:val="16"/>
    </w:rPr>
  </w:style>
  <w:style w:type="paragraph" w:styleId="CommentText">
    <w:name w:val="annotation text"/>
    <w:basedOn w:val="Normal"/>
    <w:link w:val="CommentTextChar"/>
    <w:uiPriority w:val="99"/>
    <w:semiHidden/>
    <w:unhideWhenUsed/>
    <w:rsid w:val="007F4FE1"/>
    <w:rPr>
      <w:sz w:val="20"/>
    </w:rPr>
  </w:style>
  <w:style w:type="character" w:customStyle="1" w:styleId="CommentTextChar">
    <w:name w:val="Comment Text Char"/>
    <w:basedOn w:val="DefaultParagraphFont"/>
    <w:link w:val="CommentText"/>
    <w:uiPriority w:val="99"/>
    <w:semiHidden/>
    <w:rsid w:val="007F4FE1"/>
    <w:rPr>
      <w:snapToGrid w:val="0"/>
      <w:kern w:val="28"/>
    </w:rPr>
  </w:style>
  <w:style w:type="paragraph" w:styleId="CommentSubject">
    <w:name w:val="annotation subject"/>
    <w:basedOn w:val="CommentText"/>
    <w:next w:val="CommentText"/>
    <w:link w:val="CommentSubjectChar"/>
    <w:semiHidden/>
    <w:unhideWhenUsed/>
    <w:rsid w:val="007F4FE1"/>
    <w:rPr>
      <w:b/>
      <w:bCs/>
    </w:rPr>
  </w:style>
  <w:style w:type="character" w:customStyle="1" w:styleId="CommentSubjectChar">
    <w:name w:val="Comment Subject Char"/>
    <w:basedOn w:val="CommentTextChar"/>
    <w:link w:val="CommentSubject"/>
    <w:semiHidden/>
    <w:rsid w:val="007F4FE1"/>
    <w:rPr>
      <w:b/>
      <w:bCs/>
      <w:snapToGrid w:val="0"/>
      <w:kern w:val="28"/>
    </w:rPr>
  </w:style>
  <w:style w:type="paragraph" w:styleId="Revision">
    <w:name w:val="Revision"/>
    <w:hidden/>
    <w:uiPriority w:val="99"/>
    <w:semiHidden/>
    <w:rsid w:val="00F70D45"/>
    <w:rPr>
      <w:snapToGrid w:val="0"/>
      <w:kern w:val="28"/>
      <w:sz w:val="22"/>
    </w:rPr>
  </w:style>
  <w:style w:type="table" w:styleId="TableGrid">
    <w:name w:val="Table Grid"/>
    <w:basedOn w:val="TableNormal"/>
    <w:rsid w:val="00DB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260A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71D66"/>
    <w:pPr>
      <w:spacing w:before="40"/>
      <w:ind w:left="117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CommentReference">
    <w:name w:val="annotation reference"/>
    <w:basedOn w:val="DefaultParagraphFont"/>
    <w:semiHidden/>
    <w:unhideWhenUsed/>
    <w:rsid w:val="007F4FE1"/>
    <w:rPr>
      <w:sz w:val="16"/>
      <w:szCs w:val="16"/>
    </w:rPr>
  </w:style>
  <w:style w:type="paragraph" w:styleId="CommentText">
    <w:name w:val="annotation text"/>
    <w:basedOn w:val="Normal"/>
    <w:link w:val="CommentTextChar"/>
    <w:uiPriority w:val="99"/>
    <w:semiHidden/>
    <w:unhideWhenUsed/>
    <w:rsid w:val="007F4FE1"/>
    <w:rPr>
      <w:sz w:val="20"/>
    </w:rPr>
  </w:style>
  <w:style w:type="character" w:customStyle="1" w:styleId="CommentTextChar">
    <w:name w:val="Comment Text Char"/>
    <w:basedOn w:val="DefaultParagraphFont"/>
    <w:link w:val="CommentText"/>
    <w:uiPriority w:val="99"/>
    <w:semiHidden/>
    <w:rsid w:val="007F4FE1"/>
    <w:rPr>
      <w:snapToGrid w:val="0"/>
      <w:kern w:val="28"/>
    </w:rPr>
  </w:style>
  <w:style w:type="paragraph" w:styleId="CommentSubject">
    <w:name w:val="annotation subject"/>
    <w:basedOn w:val="CommentText"/>
    <w:next w:val="CommentText"/>
    <w:link w:val="CommentSubjectChar"/>
    <w:semiHidden/>
    <w:unhideWhenUsed/>
    <w:rsid w:val="007F4FE1"/>
    <w:rPr>
      <w:b/>
      <w:bCs/>
    </w:rPr>
  </w:style>
  <w:style w:type="character" w:customStyle="1" w:styleId="CommentSubjectChar">
    <w:name w:val="Comment Subject Char"/>
    <w:basedOn w:val="CommentTextChar"/>
    <w:link w:val="CommentSubject"/>
    <w:semiHidden/>
    <w:rsid w:val="007F4FE1"/>
    <w:rPr>
      <w:b/>
      <w:bCs/>
      <w:snapToGrid w:val="0"/>
      <w:kern w:val="28"/>
    </w:rPr>
  </w:style>
  <w:style w:type="paragraph" w:styleId="Revision">
    <w:name w:val="Revision"/>
    <w:hidden/>
    <w:uiPriority w:val="99"/>
    <w:semiHidden/>
    <w:rsid w:val="00F70D45"/>
    <w:rPr>
      <w:snapToGrid w:val="0"/>
      <w:kern w:val="28"/>
      <w:sz w:val="22"/>
    </w:rPr>
  </w:style>
  <w:style w:type="table" w:styleId="TableGrid">
    <w:name w:val="Table Grid"/>
    <w:basedOn w:val="TableNormal"/>
    <w:rsid w:val="00DB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260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3329">
      <w:bodyDiv w:val="1"/>
      <w:marLeft w:val="0"/>
      <w:marRight w:val="0"/>
      <w:marTop w:val="0"/>
      <w:marBottom w:val="0"/>
      <w:divBdr>
        <w:top w:val="none" w:sz="0" w:space="0" w:color="auto"/>
        <w:left w:val="none" w:sz="0" w:space="0" w:color="auto"/>
        <w:bottom w:val="none" w:sz="0" w:space="0" w:color="auto"/>
        <w:right w:val="none" w:sz="0" w:space="0" w:color="auto"/>
      </w:divBdr>
    </w:div>
    <w:div w:id="1001734032">
      <w:bodyDiv w:val="1"/>
      <w:marLeft w:val="0"/>
      <w:marRight w:val="0"/>
      <w:marTop w:val="0"/>
      <w:marBottom w:val="0"/>
      <w:divBdr>
        <w:top w:val="none" w:sz="0" w:space="0" w:color="auto"/>
        <w:left w:val="none" w:sz="0" w:space="0" w:color="auto"/>
        <w:bottom w:val="none" w:sz="0" w:space="0" w:color="auto"/>
        <w:right w:val="none" w:sz="0" w:space="0" w:color="auto"/>
      </w:divBdr>
    </w:div>
    <w:div w:id="1212762645">
      <w:bodyDiv w:val="1"/>
      <w:marLeft w:val="0"/>
      <w:marRight w:val="0"/>
      <w:marTop w:val="0"/>
      <w:marBottom w:val="0"/>
      <w:divBdr>
        <w:top w:val="none" w:sz="0" w:space="0" w:color="auto"/>
        <w:left w:val="none" w:sz="0" w:space="0" w:color="auto"/>
        <w:bottom w:val="none" w:sz="0" w:space="0" w:color="auto"/>
        <w:right w:val="none" w:sz="0" w:space="0" w:color="auto"/>
      </w:divBdr>
    </w:div>
    <w:div w:id="19463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urban-rate-survey-data-resourc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alaskacommunications.com/Residential" TargetMode="External"/><Relationship Id="rId1" Type="http://schemas.openxmlformats.org/officeDocument/2006/relationships/hyperlink" Target="https://www.fcc.gov/general/urban-rate-survey-data-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1084</Words>
  <Characters>6244</Characters>
  <Application>Microsoft Office Word</Application>
  <DocSecurity>0</DocSecurity>
  <Lines>128</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2016-03-25T17:40:00Z</cp:lastPrinted>
  <dcterms:created xsi:type="dcterms:W3CDTF">2017-04-11T17:24:00Z</dcterms:created>
  <dcterms:modified xsi:type="dcterms:W3CDTF">2017-04-11T17:24:00Z</dcterms:modified>
  <cp:category> </cp:category>
  <cp:contentStatus> </cp:contentStatus>
</cp:coreProperties>
</file>