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6B" w:rsidRPr="00D45CB4" w:rsidRDefault="00AA796B">
      <w:pPr>
        <w:rPr>
          <w:sz w:val="24"/>
          <w:szCs w:val="24"/>
        </w:rPr>
        <w:sectPr w:rsidR="00AA796B" w:rsidRPr="00D45CB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AA796B" w:rsidRPr="005F6638" w:rsidRDefault="00AA796B">
      <w:pPr>
        <w:suppressAutoHyphens/>
        <w:jc w:val="right"/>
        <w:rPr>
          <w:szCs w:val="22"/>
        </w:rPr>
      </w:pPr>
      <w:r w:rsidRPr="005F6638">
        <w:rPr>
          <w:szCs w:val="22"/>
        </w:rPr>
        <w:lastRenderedPageBreak/>
        <w:t xml:space="preserve">DA </w:t>
      </w:r>
      <w:r w:rsidR="00B3037D" w:rsidRPr="005F6638">
        <w:rPr>
          <w:szCs w:val="22"/>
        </w:rPr>
        <w:t>1</w:t>
      </w:r>
      <w:r w:rsidR="00986738">
        <w:rPr>
          <w:szCs w:val="22"/>
        </w:rPr>
        <w:t>7-339</w:t>
      </w:r>
    </w:p>
    <w:p w:rsidR="00C03077" w:rsidRDefault="00AA796B" w:rsidP="00BA1A38">
      <w:pPr>
        <w:suppressAutoHyphens/>
        <w:jc w:val="right"/>
        <w:rPr>
          <w:szCs w:val="22"/>
        </w:rPr>
      </w:pPr>
      <w:r w:rsidRPr="005F6638">
        <w:rPr>
          <w:szCs w:val="22"/>
        </w:rPr>
        <w:t xml:space="preserve">Released: </w:t>
      </w:r>
      <w:r w:rsidR="00AB683F">
        <w:rPr>
          <w:szCs w:val="22"/>
        </w:rPr>
        <w:t xml:space="preserve">April </w:t>
      </w:r>
      <w:r w:rsidR="00FE3B63">
        <w:rPr>
          <w:szCs w:val="22"/>
        </w:rPr>
        <w:t>7</w:t>
      </w:r>
      <w:r w:rsidR="00AB683F">
        <w:rPr>
          <w:szCs w:val="22"/>
        </w:rPr>
        <w:t xml:space="preserve">, </w:t>
      </w:r>
      <w:r w:rsidR="00933AE6">
        <w:rPr>
          <w:szCs w:val="22"/>
        </w:rPr>
        <w:t>2017</w:t>
      </w:r>
    </w:p>
    <w:p w:rsidR="00C03077" w:rsidRDefault="00C03077" w:rsidP="00BA1A38">
      <w:pPr>
        <w:suppressAutoHyphens/>
        <w:spacing w:after="240"/>
        <w:jc w:val="right"/>
        <w:rPr>
          <w:szCs w:val="22"/>
        </w:rPr>
      </w:pPr>
      <w:r>
        <w:rPr>
          <w:szCs w:val="22"/>
        </w:rPr>
        <w:t>OMB Control No. 3060-1211</w:t>
      </w:r>
    </w:p>
    <w:p w:rsidR="00AA796B" w:rsidRPr="00D567ED" w:rsidRDefault="00700931" w:rsidP="00BE09E7">
      <w:pPr>
        <w:suppressAutoHyphens/>
        <w:spacing w:after="240"/>
        <w:jc w:val="center"/>
        <w:rPr>
          <w:b/>
          <w:szCs w:val="22"/>
        </w:rPr>
      </w:pPr>
      <w:r w:rsidRPr="007D6A6F">
        <w:rPr>
          <w:b/>
          <w:szCs w:val="22"/>
        </w:rPr>
        <w:t xml:space="preserve">WIRELESS TELECOMMUNICATIONS BUREAU AND OFFICE OF ENGINEERING AND TECHNOLOGY ESTABLISH </w:t>
      </w:r>
      <w:r>
        <w:rPr>
          <w:b/>
          <w:szCs w:val="22"/>
        </w:rPr>
        <w:t xml:space="preserve">“SECOND WAVE” </w:t>
      </w:r>
      <w:r w:rsidRPr="007D6A6F">
        <w:rPr>
          <w:b/>
          <w:szCs w:val="22"/>
        </w:rPr>
        <w:t xml:space="preserve">DEADLINE FOR </w:t>
      </w:r>
      <w:r>
        <w:rPr>
          <w:b/>
          <w:szCs w:val="22"/>
        </w:rPr>
        <w:t xml:space="preserve">PROPOSALS FROM PROSPECTIVE </w:t>
      </w:r>
      <w:r w:rsidRPr="007D6A6F">
        <w:rPr>
          <w:b/>
          <w:szCs w:val="22"/>
        </w:rPr>
        <w:t>SPECTRUM ACCESS SYSTEM (SAS) ADMINISTRATOR(S) AND</w:t>
      </w:r>
      <w:r w:rsidRPr="00D567ED">
        <w:rPr>
          <w:b/>
          <w:szCs w:val="22"/>
        </w:rPr>
        <w:t xml:space="preserve"> ENVIRONMENTAL SENSING CAPABILITY (ESC) OPERATOR(S) </w:t>
      </w:r>
    </w:p>
    <w:p w:rsidR="00AA796B" w:rsidRPr="00D567ED" w:rsidRDefault="00AA796B">
      <w:pPr>
        <w:suppressAutoHyphens/>
        <w:jc w:val="center"/>
        <w:rPr>
          <w:b/>
          <w:szCs w:val="22"/>
        </w:rPr>
      </w:pPr>
    </w:p>
    <w:p w:rsidR="00AA796B" w:rsidRPr="00D567ED" w:rsidRDefault="00B3037D">
      <w:pPr>
        <w:suppressAutoHyphens/>
        <w:jc w:val="center"/>
        <w:rPr>
          <w:b/>
          <w:szCs w:val="22"/>
        </w:rPr>
      </w:pPr>
      <w:r w:rsidRPr="00D567ED">
        <w:rPr>
          <w:b/>
          <w:szCs w:val="22"/>
        </w:rPr>
        <w:t>GN Docket No</w:t>
      </w:r>
      <w:r w:rsidRPr="005F6638">
        <w:rPr>
          <w:b/>
          <w:szCs w:val="22"/>
        </w:rPr>
        <w:t xml:space="preserve">. </w:t>
      </w:r>
      <w:r w:rsidR="003C1FD1" w:rsidRPr="005F6638">
        <w:rPr>
          <w:b/>
          <w:szCs w:val="22"/>
        </w:rPr>
        <w:t>15-</w:t>
      </w:r>
      <w:r w:rsidR="005F6638" w:rsidRPr="005F6638">
        <w:rPr>
          <w:b/>
          <w:szCs w:val="22"/>
        </w:rPr>
        <w:t>319</w:t>
      </w:r>
    </w:p>
    <w:p w:rsidR="00AA796B" w:rsidRPr="00D567ED" w:rsidRDefault="00AA796B">
      <w:pPr>
        <w:suppressAutoHyphens/>
        <w:jc w:val="left"/>
        <w:rPr>
          <w:b/>
          <w:szCs w:val="22"/>
        </w:rPr>
      </w:pPr>
    </w:p>
    <w:p w:rsidR="003B39F8" w:rsidRDefault="003B39F8">
      <w:pPr>
        <w:suppressAutoHyphens/>
        <w:jc w:val="left"/>
        <w:rPr>
          <w:b/>
          <w:szCs w:val="22"/>
        </w:rPr>
      </w:pPr>
      <w:r>
        <w:rPr>
          <w:b/>
          <w:szCs w:val="22"/>
        </w:rPr>
        <w:t xml:space="preserve">Proposals will be accepted </w:t>
      </w:r>
      <w:r w:rsidR="00933AE6">
        <w:rPr>
          <w:b/>
          <w:szCs w:val="22"/>
        </w:rPr>
        <w:t>immediately</w:t>
      </w:r>
    </w:p>
    <w:p w:rsidR="00AA796B" w:rsidRPr="00D567ED" w:rsidRDefault="003B39F8">
      <w:pPr>
        <w:suppressAutoHyphens/>
        <w:jc w:val="left"/>
        <w:rPr>
          <w:b/>
          <w:szCs w:val="22"/>
        </w:rPr>
      </w:pPr>
      <w:r>
        <w:rPr>
          <w:b/>
          <w:szCs w:val="22"/>
        </w:rPr>
        <w:t>“</w:t>
      </w:r>
      <w:r w:rsidR="00933AE6">
        <w:rPr>
          <w:b/>
          <w:szCs w:val="22"/>
        </w:rPr>
        <w:t xml:space="preserve">Second </w:t>
      </w:r>
      <w:r w:rsidR="00B936B0">
        <w:rPr>
          <w:b/>
          <w:szCs w:val="22"/>
        </w:rPr>
        <w:t xml:space="preserve">Wave” proposal deadline: </w:t>
      </w:r>
      <w:r w:rsidR="008B227D">
        <w:rPr>
          <w:b/>
          <w:szCs w:val="22"/>
        </w:rPr>
        <w:t>May 31</w:t>
      </w:r>
      <w:r w:rsidR="00933AE6">
        <w:rPr>
          <w:b/>
          <w:szCs w:val="22"/>
        </w:rPr>
        <w:t>, 2017</w:t>
      </w:r>
      <w:r w:rsidR="00C53961">
        <w:rPr>
          <w:b/>
          <w:szCs w:val="22"/>
        </w:rPr>
        <w:t xml:space="preserve"> </w:t>
      </w:r>
    </w:p>
    <w:p w:rsidR="001135B7" w:rsidRDefault="001135B7" w:rsidP="001135B7">
      <w:pPr>
        <w:suppressAutoHyphens/>
        <w:jc w:val="left"/>
        <w:rPr>
          <w:szCs w:val="22"/>
        </w:rPr>
      </w:pPr>
    </w:p>
    <w:p w:rsidR="002F4209" w:rsidRDefault="001135B7" w:rsidP="002F4209">
      <w:pPr>
        <w:pStyle w:val="ListParagraph"/>
        <w:numPr>
          <w:ilvl w:val="0"/>
          <w:numId w:val="48"/>
        </w:numPr>
        <w:suppressAutoHyphens/>
        <w:jc w:val="left"/>
        <w:rPr>
          <w:b/>
          <w:szCs w:val="22"/>
        </w:rPr>
      </w:pPr>
      <w:r w:rsidRPr="001135B7">
        <w:rPr>
          <w:b/>
          <w:szCs w:val="22"/>
        </w:rPr>
        <w:t>INTRODUCTION</w:t>
      </w:r>
    </w:p>
    <w:p w:rsidR="002F4209" w:rsidRPr="002F4209" w:rsidRDefault="002F4209" w:rsidP="002F4209">
      <w:pPr>
        <w:pStyle w:val="ListParagraph"/>
        <w:suppressAutoHyphens/>
        <w:ind w:left="1080"/>
        <w:jc w:val="left"/>
        <w:rPr>
          <w:b/>
          <w:szCs w:val="22"/>
        </w:rPr>
      </w:pPr>
    </w:p>
    <w:p w:rsidR="002A56C7" w:rsidRPr="002F4209" w:rsidRDefault="00F06A26" w:rsidP="002F4209">
      <w:pPr>
        <w:suppressAutoHyphens/>
        <w:spacing w:after="120"/>
        <w:ind w:firstLine="720"/>
        <w:jc w:val="left"/>
        <w:rPr>
          <w:szCs w:val="22"/>
        </w:rPr>
      </w:pPr>
      <w:r w:rsidRPr="002F4209">
        <w:rPr>
          <w:szCs w:val="22"/>
        </w:rPr>
        <w:t>The Wireless Telecommunications Bureau (WTB) and the Office of Engineering and Technology (OET)</w:t>
      </w:r>
      <w:r w:rsidR="00453723" w:rsidRPr="002F4209">
        <w:rPr>
          <w:szCs w:val="22"/>
        </w:rPr>
        <w:t xml:space="preserve"> </w:t>
      </w:r>
      <w:r w:rsidR="003F2429" w:rsidRPr="002F4209">
        <w:rPr>
          <w:szCs w:val="22"/>
        </w:rPr>
        <w:t xml:space="preserve">(collectively, </w:t>
      </w:r>
      <w:r w:rsidR="00386994" w:rsidRPr="002F4209">
        <w:rPr>
          <w:szCs w:val="22"/>
        </w:rPr>
        <w:t>WTB/OET</w:t>
      </w:r>
      <w:r w:rsidR="003F2429" w:rsidRPr="002F4209">
        <w:rPr>
          <w:szCs w:val="22"/>
        </w:rPr>
        <w:t xml:space="preserve">) </w:t>
      </w:r>
      <w:r w:rsidR="00567F3A" w:rsidRPr="002F4209">
        <w:rPr>
          <w:szCs w:val="22"/>
        </w:rPr>
        <w:t xml:space="preserve">hereby </w:t>
      </w:r>
      <w:r w:rsidR="00933AE6" w:rsidRPr="002F4209">
        <w:rPr>
          <w:szCs w:val="22"/>
        </w:rPr>
        <w:t>e</w:t>
      </w:r>
      <w:r w:rsidR="002F4209">
        <w:rPr>
          <w:szCs w:val="22"/>
        </w:rPr>
        <w:t xml:space="preserve">stablish a “second wave” deadline for proposals from prospective </w:t>
      </w:r>
      <w:r w:rsidR="00453723" w:rsidRPr="002F4209">
        <w:rPr>
          <w:szCs w:val="22"/>
        </w:rPr>
        <w:t xml:space="preserve">Spectrum Access System (SAS) Administrator(s) </w:t>
      </w:r>
      <w:r w:rsidR="004D5203" w:rsidRPr="002F4209">
        <w:rPr>
          <w:szCs w:val="22"/>
        </w:rPr>
        <w:t xml:space="preserve">and </w:t>
      </w:r>
      <w:r w:rsidR="00453723" w:rsidRPr="002F4209">
        <w:rPr>
          <w:szCs w:val="22"/>
        </w:rPr>
        <w:t xml:space="preserve">Environmental Sensing Capability </w:t>
      </w:r>
      <w:r w:rsidR="00C41DEB" w:rsidRPr="002F4209">
        <w:rPr>
          <w:szCs w:val="22"/>
        </w:rPr>
        <w:t xml:space="preserve">(ESC) </w:t>
      </w:r>
      <w:r w:rsidR="00435E25" w:rsidRPr="002F4209">
        <w:rPr>
          <w:szCs w:val="22"/>
        </w:rPr>
        <w:t>o</w:t>
      </w:r>
      <w:r w:rsidR="00453723" w:rsidRPr="002F4209">
        <w:rPr>
          <w:szCs w:val="22"/>
        </w:rPr>
        <w:t>perator</w:t>
      </w:r>
      <w:r w:rsidR="002B393C" w:rsidRPr="002F4209">
        <w:rPr>
          <w:szCs w:val="22"/>
        </w:rPr>
        <w:t>(</w:t>
      </w:r>
      <w:r w:rsidR="00D45CB4" w:rsidRPr="002F4209">
        <w:rPr>
          <w:szCs w:val="22"/>
        </w:rPr>
        <w:t xml:space="preserve">s) </w:t>
      </w:r>
      <w:r w:rsidR="00453723" w:rsidRPr="002F4209">
        <w:rPr>
          <w:szCs w:val="22"/>
        </w:rPr>
        <w:t xml:space="preserve">in the 3550-3700 MHz band </w:t>
      </w:r>
      <w:r w:rsidR="00B0019E" w:rsidRPr="002F4209">
        <w:rPr>
          <w:szCs w:val="22"/>
        </w:rPr>
        <w:t>(3.5 GHz Band)</w:t>
      </w:r>
      <w:r w:rsidR="00F55409">
        <w:rPr>
          <w:szCs w:val="22"/>
        </w:rPr>
        <w:t xml:space="preserve"> as directed by the </w:t>
      </w:r>
      <w:r w:rsidR="00F55409" w:rsidRPr="00D567ED">
        <w:rPr>
          <w:i/>
          <w:szCs w:val="22"/>
        </w:rPr>
        <w:t xml:space="preserve">Report and Order and </w:t>
      </w:r>
      <w:r w:rsidR="00F55409">
        <w:rPr>
          <w:i/>
          <w:szCs w:val="22"/>
        </w:rPr>
        <w:t xml:space="preserve">Second </w:t>
      </w:r>
      <w:r w:rsidR="00F55409" w:rsidRPr="00D567ED">
        <w:rPr>
          <w:i/>
          <w:szCs w:val="22"/>
        </w:rPr>
        <w:t xml:space="preserve">Further Notice of Proposed Rulemaking, </w:t>
      </w:r>
      <w:r w:rsidR="00F55409" w:rsidRPr="00D567ED">
        <w:rPr>
          <w:szCs w:val="22"/>
        </w:rPr>
        <w:t>GN Docket 12-354</w:t>
      </w:r>
      <w:r w:rsidR="00F55409" w:rsidRPr="00D567ED">
        <w:rPr>
          <w:i/>
          <w:szCs w:val="22"/>
        </w:rPr>
        <w:t xml:space="preserve"> </w:t>
      </w:r>
      <w:r w:rsidR="00F55409" w:rsidRPr="00D567ED">
        <w:rPr>
          <w:szCs w:val="22"/>
        </w:rPr>
        <w:t>(</w:t>
      </w:r>
      <w:r w:rsidR="00F55409" w:rsidRPr="00D567ED">
        <w:rPr>
          <w:i/>
          <w:szCs w:val="22"/>
        </w:rPr>
        <w:t xml:space="preserve">3.5 GHz </w:t>
      </w:r>
      <w:r w:rsidR="00F55409">
        <w:rPr>
          <w:i/>
          <w:szCs w:val="22"/>
        </w:rPr>
        <w:t xml:space="preserve">First </w:t>
      </w:r>
      <w:r w:rsidR="00F55409" w:rsidRPr="00D567ED">
        <w:rPr>
          <w:i/>
          <w:szCs w:val="22"/>
        </w:rPr>
        <w:t>Order</w:t>
      </w:r>
      <w:r w:rsidR="00F55409" w:rsidRPr="00D567ED">
        <w:rPr>
          <w:szCs w:val="22"/>
        </w:rPr>
        <w:t>).</w:t>
      </w:r>
      <w:r w:rsidR="00F55409" w:rsidRPr="00933AE6">
        <w:rPr>
          <w:vertAlign w:val="superscript"/>
        </w:rPr>
        <w:footnoteReference w:id="2"/>
      </w:r>
    </w:p>
    <w:p w:rsidR="001135B7" w:rsidRDefault="001135B7" w:rsidP="001135B7">
      <w:pPr>
        <w:pStyle w:val="ListParagraph"/>
        <w:suppressAutoHyphens/>
        <w:spacing w:after="120"/>
        <w:jc w:val="left"/>
        <w:rPr>
          <w:szCs w:val="22"/>
        </w:rPr>
      </w:pPr>
    </w:p>
    <w:p w:rsidR="001135B7" w:rsidRPr="002F4209" w:rsidRDefault="001135B7" w:rsidP="002F4209">
      <w:pPr>
        <w:pStyle w:val="ListParagraph"/>
        <w:numPr>
          <w:ilvl w:val="0"/>
          <w:numId w:val="48"/>
        </w:numPr>
        <w:suppressAutoHyphens/>
        <w:spacing w:after="120"/>
        <w:jc w:val="left"/>
        <w:rPr>
          <w:b/>
          <w:szCs w:val="22"/>
        </w:rPr>
      </w:pPr>
      <w:r w:rsidRPr="001135B7">
        <w:rPr>
          <w:b/>
          <w:szCs w:val="22"/>
        </w:rPr>
        <w:t xml:space="preserve"> BACKGROUND</w:t>
      </w:r>
    </w:p>
    <w:p w:rsidR="002F4209" w:rsidRPr="002F4209" w:rsidRDefault="001135B7" w:rsidP="002F4209">
      <w:pPr>
        <w:pStyle w:val="ParaNum"/>
        <w:numPr>
          <w:ilvl w:val="0"/>
          <w:numId w:val="0"/>
        </w:numPr>
        <w:snapToGrid w:val="0"/>
        <w:spacing w:after="120"/>
        <w:ind w:firstLine="720"/>
        <w:jc w:val="left"/>
        <w:rPr>
          <w:b/>
          <w:snapToGrid/>
        </w:rPr>
      </w:pPr>
      <w:r>
        <w:t xml:space="preserve">On April 17, 2015, the Commission adopted the </w:t>
      </w:r>
      <w:r>
        <w:rPr>
          <w:i/>
        </w:rPr>
        <w:t xml:space="preserve">3.5 GHz </w:t>
      </w:r>
      <w:r w:rsidR="00A75F06">
        <w:rPr>
          <w:i/>
        </w:rPr>
        <w:t xml:space="preserve">First </w:t>
      </w:r>
      <w:r>
        <w:rPr>
          <w:i/>
        </w:rPr>
        <w:t>Order</w:t>
      </w:r>
      <w:r w:rsidR="004A228B">
        <w:rPr>
          <w:i/>
        </w:rPr>
        <w:t xml:space="preserve"> </w:t>
      </w:r>
      <w:r w:rsidR="004A228B">
        <w:t xml:space="preserve">which </w:t>
      </w:r>
      <w:r>
        <w:t>established a new Citizens Broadband Radio Service in the 3.5 GHz Band</w:t>
      </w:r>
      <w:r w:rsidR="00F55409">
        <w:t>.</w:t>
      </w:r>
      <w:r>
        <w:rPr>
          <w:rStyle w:val="FootnoteReference"/>
          <w:szCs w:val="22"/>
        </w:rPr>
        <w:footnoteReference w:id="3"/>
      </w:r>
      <w:r w:rsidR="00F55409">
        <w:rPr>
          <w:szCs w:val="22"/>
        </w:rPr>
        <w:t xml:space="preserve">  </w:t>
      </w:r>
      <w:r w:rsidR="00F55409">
        <w:t xml:space="preserve">In the </w:t>
      </w:r>
      <w:r w:rsidR="00F55409">
        <w:rPr>
          <w:i/>
        </w:rPr>
        <w:t xml:space="preserve">3.5 GHz First </w:t>
      </w:r>
      <w:r w:rsidR="00F55409" w:rsidRPr="00F55409">
        <w:rPr>
          <w:i/>
        </w:rPr>
        <w:t>Order</w:t>
      </w:r>
      <w:r w:rsidR="00F55409">
        <w:t xml:space="preserve">, </w:t>
      </w:r>
      <w:r w:rsidR="00C03077">
        <w:rPr>
          <w:szCs w:val="22"/>
        </w:rPr>
        <w:t>t</w:t>
      </w:r>
      <w:r w:rsidR="00F55409" w:rsidRPr="00F55409">
        <w:rPr>
          <w:szCs w:val="22"/>
        </w:rPr>
        <w:t>he</w:t>
      </w:r>
      <w:r w:rsidR="00F55409" w:rsidRPr="002F4209">
        <w:rPr>
          <w:szCs w:val="22"/>
        </w:rPr>
        <w:t xml:space="preserve"> Commission directed WTB/OET, in coordination with the Department of Defense (DoD) and National Telecommunications and In</w:t>
      </w:r>
      <w:r w:rsidR="00F55409">
        <w:rPr>
          <w:szCs w:val="22"/>
        </w:rPr>
        <w:t>formation Administration (NTIA)</w:t>
      </w:r>
      <w:r w:rsidR="00DB06E5">
        <w:rPr>
          <w:szCs w:val="22"/>
        </w:rPr>
        <w:t>,</w:t>
      </w:r>
      <w:r w:rsidR="00F55409">
        <w:rPr>
          <w:szCs w:val="22"/>
        </w:rPr>
        <w:t xml:space="preserve"> </w:t>
      </w:r>
      <w:r w:rsidR="00F55409" w:rsidRPr="002F4209">
        <w:rPr>
          <w:szCs w:val="22"/>
        </w:rPr>
        <w:t>to oversee a proces</w:t>
      </w:r>
      <w:r w:rsidR="00F55409">
        <w:rPr>
          <w:szCs w:val="22"/>
        </w:rPr>
        <w:t xml:space="preserve">s by which multiple </w:t>
      </w:r>
      <w:r w:rsidR="00F55409">
        <w:rPr>
          <w:szCs w:val="22"/>
        </w:rPr>
        <w:lastRenderedPageBreak/>
        <w:t>entities could</w:t>
      </w:r>
      <w:r w:rsidR="00F55409" w:rsidRPr="002F4209">
        <w:rPr>
          <w:szCs w:val="22"/>
        </w:rPr>
        <w:t xml:space="preserve"> seek approval to operate as SAS Administrators and ESC operators.</w:t>
      </w:r>
      <w:r w:rsidR="00F55409">
        <w:rPr>
          <w:rStyle w:val="FootnoteReference"/>
          <w:szCs w:val="22"/>
        </w:rPr>
        <w:footnoteReference w:id="4"/>
      </w:r>
      <w:r w:rsidR="00F55409" w:rsidRPr="002F4209">
        <w:rPr>
          <w:szCs w:val="22"/>
        </w:rPr>
        <w:t xml:space="preserve">  </w:t>
      </w:r>
    </w:p>
    <w:p w:rsidR="001135B7" w:rsidRPr="002F4209" w:rsidRDefault="00B94AEB" w:rsidP="002F4209">
      <w:pPr>
        <w:pStyle w:val="ParaNum"/>
        <w:numPr>
          <w:ilvl w:val="0"/>
          <w:numId w:val="0"/>
        </w:numPr>
        <w:snapToGrid w:val="0"/>
        <w:spacing w:after="120"/>
        <w:ind w:firstLine="720"/>
        <w:jc w:val="left"/>
        <w:rPr>
          <w:b/>
          <w:snapToGrid/>
        </w:rPr>
      </w:pPr>
      <w:r w:rsidRPr="002F4209">
        <w:rPr>
          <w:szCs w:val="22"/>
        </w:rPr>
        <w:t>Consistent with the Commission’s instructions, o</w:t>
      </w:r>
      <w:r w:rsidR="001135B7" w:rsidRPr="002F4209">
        <w:rPr>
          <w:szCs w:val="22"/>
        </w:rPr>
        <w:t>n December 16, 2015, WTB/OET released a Public Notice describing the application submission process and provided detailed guidance as to how applicants can demonstrate their ability to perform the functions of a SAS Administrator.</w:t>
      </w:r>
      <w:r w:rsidR="001135B7">
        <w:rPr>
          <w:rStyle w:val="FootnoteReference"/>
          <w:szCs w:val="22"/>
        </w:rPr>
        <w:footnoteReference w:id="5"/>
      </w:r>
      <w:r w:rsidR="001135B7" w:rsidRPr="002F4209">
        <w:rPr>
          <w:i/>
          <w:szCs w:val="22"/>
        </w:rPr>
        <w:t xml:space="preserve">  </w:t>
      </w:r>
      <w:r w:rsidR="001135B7" w:rsidRPr="002F4209">
        <w:rPr>
          <w:szCs w:val="22"/>
        </w:rPr>
        <w:t xml:space="preserve">Specifically, the </w:t>
      </w:r>
      <w:r w:rsidR="00C24AEF" w:rsidRPr="002F4209">
        <w:rPr>
          <w:i/>
          <w:szCs w:val="22"/>
        </w:rPr>
        <w:t>SAS/</w:t>
      </w:r>
      <w:r w:rsidR="001135B7" w:rsidRPr="002F4209">
        <w:rPr>
          <w:i/>
          <w:szCs w:val="22"/>
        </w:rPr>
        <w:t xml:space="preserve">ESC Proposal Public Notice </w:t>
      </w:r>
      <w:r w:rsidR="001135B7" w:rsidRPr="002F4209">
        <w:rPr>
          <w:szCs w:val="22"/>
        </w:rPr>
        <w:t>established a two-step review process</w:t>
      </w:r>
      <w:r w:rsidR="00F55409">
        <w:rPr>
          <w:szCs w:val="22"/>
        </w:rPr>
        <w:t xml:space="preserve"> for proposals from prospective SAS Administrators and ESC operators</w:t>
      </w:r>
      <w:r w:rsidR="001135B7" w:rsidRPr="002F4209">
        <w:rPr>
          <w:szCs w:val="22"/>
        </w:rPr>
        <w:t xml:space="preserve">.  </w:t>
      </w:r>
      <w:r w:rsidR="00933AE6" w:rsidRPr="002F4209">
        <w:rPr>
          <w:szCs w:val="22"/>
        </w:rPr>
        <w:t xml:space="preserve">WTB/OET </w:t>
      </w:r>
      <w:r w:rsidR="007D788B" w:rsidRPr="002F4209">
        <w:rPr>
          <w:szCs w:val="22"/>
        </w:rPr>
        <w:t>established a filing window for the “first wave” of proposals, due May 15, 2016,</w:t>
      </w:r>
      <w:r w:rsidR="007D788B">
        <w:rPr>
          <w:rStyle w:val="FootnoteReference"/>
          <w:szCs w:val="22"/>
        </w:rPr>
        <w:footnoteReference w:id="6"/>
      </w:r>
      <w:r w:rsidR="007D788B" w:rsidRPr="002F4209">
        <w:rPr>
          <w:szCs w:val="22"/>
        </w:rPr>
        <w:t xml:space="preserve"> and conditionally approved se</w:t>
      </w:r>
      <w:r w:rsidR="002A56C7" w:rsidRPr="002F4209">
        <w:rPr>
          <w:szCs w:val="22"/>
        </w:rPr>
        <w:t>ven SAS proposals on December 21</w:t>
      </w:r>
      <w:r w:rsidR="007D788B" w:rsidRPr="002F4209">
        <w:rPr>
          <w:szCs w:val="22"/>
        </w:rPr>
        <w:t>, 2016.</w:t>
      </w:r>
      <w:r w:rsidR="002A56C7">
        <w:rPr>
          <w:rStyle w:val="FootnoteReference"/>
          <w:szCs w:val="22"/>
        </w:rPr>
        <w:footnoteReference w:id="7"/>
      </w:r>
      <w:r w:rsidR="007D788B" w:rsidRPr="002F4209">
        <w:rPr>
          <w:szCs w:val="22"/>
        </w:rPr>
        <w:t xml:space="preserve">  </w:t>
      </w:r>
    </w:p>
    <w:p w:rsidR="001135B7" w:rsidRDefault="001135B7" w:rsidP="001135B7">
      <w:pPr>
        <w:pStyle w:val="ListParagraph"/>
        <w:suppressAutoHyphens/>
        <w:spacing w:after="120"/>
        <w:jc w:val="left"/>
        <w:rPr>
          <w:szCs w:val="22"/>
        </w:rPr>
      </w:pPr>
    </w:p>
    <w:p w:rsidR="001135B7" w:rsidRPr="002F4209" w:rsidRDefault="001135B7" w:rsidP="002F4209">
      <w:pPr>
        <w:pStyle w:val="ListParagraph"/>
        <w:numPr>
          <w:ilvl w:val="0"/>
          <w:numId w:val="48"/>
        </w:numPr>
        <w:suppressAutoHyphens/>
        <w:spacing w:after="120"/>
        <w:jc w:val="left"/>
        <w:rPr>
          <w:b/>
          <w:szCs w:val="22"/>
        </w:rPr>
      </w:pPr>
      <w:r>
        <w:rPr>
          <w:b/>
          <w:szCs w:val="22"/>
        </w:rPr>
        <w:t>DISCUSSION</w:t>
      </w:r>
    </w:p>
    <w:p w:rsidR="00F6364A" w:rsidRPr="002F4209" w:rsidRDefault="00553E16" w:rsidP="002F4209">
      <w:pPr>
        <w:suppressAutoHyphens/>
        <w:spacing w:after="120"/>
        <w:ind w:firstLine="720"/>
        <w:jc w:val="left"/>
        <w:rPr>
          <w:szCs w:val="22"/>
        </w:rPr>
      </w:pPr>
      <w:r w:rsidRPr="002F4209">
        <w:rPr>
          <w:szCs w:val="22"/>
        </w:rPr>
        <w:t xml:space="preserve">As stated in the </w:t>
      </w:r>
      <w:r w:rsidRPr="002F4209">
        <w:rPr>
          <w:i/>
          <w:szCs w:val="22"/>
        </w:rPr>
        <w:t>SAS/ESC Proposal Public Notice</w:t>
      </w:r>
      <w:r w:rsidRPr="002F4209">
        <w:rPr>
          <w:szCs w:val="22"/>
        </w:rPr>
        <w:t>, while WTB/OET</w:t>
      </w:r>
      <w:r w:rsidR="00C24AEF" w:rsidRPr="002F4209">
        <w:rPr>
          <w:szCs w:val="22"/>
        </w:rPr>
        <w:t xml:space="preserve"> will</w:t>
      </w:r>
      <w:r w:rsidRPr="002F4209">
        <w:rPr>
          <w:szCs w:val="22"/>
        </w:rPr>
        <w:t xml:space="preserve"> consider proposal</w:t>
      </w:r>
      <w:r w:rsidR="002B7428">
        <w:rPr>
          <w:szCs w:val="22"/>
        </w:rPr>
        <w:t>s</w:t>
      </w:r>
      <w:r w:rsidRPr="002F4209">
        <w:rPr>
          <w:szCs w:val="22"/>
        </w:rPr>
        <w:t xml:space="preserve"> and amendments submitted after the “first wave” deadline, they may not be considered concurrently with “first wave” proposals.</w:t>
      </w:r>
      <w:r>
        <w:rPr>
          <w:rStyle w:val="FootnoteReference"/>
          <w:szCs w:val="22"/>
        </w:rPr>
        <w:footnoteReference w:id="8"/>
      </w:r>
      <w:r w:rsidR="00CF41EB" w:rsidRPr="002F4209">
        <w:rPr>
          <w:szCs w:val="22"/>
        </w:rPr>
        <w:t xml:space="preserve">  </w:t>
      </w:r>
      <w:r w:rsidR="007D788B" w:rsidRPr="002F4209">
        <w:rPr>
          <w:szCs w:val="22"/>
        </w:rPr>
        <w:t>The opening of the second</w:t>
      </w:r>
      <w:r w:rsidR="00CF41EB" w:rsidRPr="002F4209">
        <w:rPr>
          <w:szCs w:val="22"/>
        </w:rPr>
        <w:t xml:space="preserve"> application window is designed to accommodate </w:t>
      </w:r>
      <w:r w:rsidR="00C24AEF" w:rsidRPr="002F4209">
        <w:rPr>
          <w:szCs w:val="22"/>
        </w:rPr>
        <w:t xml:space="preserve">such </w:t>
      </w:r>
      <w:r w:rsidR="00CF41EB" w:rsidRPr="002F4209">
        <w:rPr>
          <w:szCs w:val="22"/>
        </w:rPr>
        <w:t>additional proposals</w:t>
      </w:r>
      <w:r w:rsidR="00F55409">
        <w:rPr>
          <w:szCs w:val="22"/>
        </w:rPr>
        <w:t xml:space="preserve">.  The review process </w:t>
      </w:r>
      <w:r w:rsidR="007D788B" w:rsidRPr="002F4209">
        <w:rPr>
          <w:szCs w:val="22"/>
        </w:rPr>
        <w:t xml:space="preserve">will involve coordination with all necessary stakeholders and </w:t>
      </w:r>
      <w:r w:rsidR="00F55409">
        <w:rPr>
          <w:szCs w:val="22"/>
        </w:rPr>
        <w:t xml:space="preserve">may include </w:t>
      </w:r>
      <w:r w:rsidR="007D788B" w:rsidRPr="002F4209">
        <w:rPr>
          <w:szCs w:val="22"/>
        </w:rPr>
        <w:t xml:space="preserve">iterative updates to the applications to ensure compliance with all </w:t>
      </w:r>
      <w:r w:rsidR="00F55409">
        <w:rPr>
          <w:szCs w:val="22"/>
        </w:rPr>
        <w:t xml:space="preserve">applicable </w:t>
      </w:r>
      <w:r w:rsidR="007D788B" w:rsidRPr="002F4209">
        <w:rPr>
          <w:szCs w:val="22"/>
        </w:rPr>
        <w:t xml:space="preserve">requirements, </w:t>
      </w:r>
      <w:r w:rsidR="00F55409">
        <w:rPr>
          <w:szCs w:val="22"/>
        </w:rPr>
        <w:t xml:space="preserve">consistent with </w:t>
      </w:r>
      <w:r w:rsidR="00F6364A" w:rsidRPr="002F4209">
        <w:rPr>
          <w:szCs w:val="22"/>
        </w:rPr>
        <w:t>the</w:t>
      </w:r>
      <w:r w:rsidR="00F55409">
        <w:rPr>
          <w:szCs w:val="22"/>
        </w:rPr>
        <w:t xml:space="preserve"> process used to evaluate</w:t>
      </w:r>
      <w:r w:rsidR="00F6364A" w:rsidRPr="002F4209">
        <w:rPr>
          <w:szCs w:val="22"/>
        </w:rPr>
        <w:t xml:space="preserve"> “first wave” proposals.</w:t>
      </w:r>
      <w:r w:rsidR="002B7428">
        <w:rPr>
          <w:szCs w:val="22"/>
        </w:rPr>
        <w:t xml:space="preserve">  </w:t>
      </w:r>
      <w:r w:rsidR="002B7428" w:rsidRPr="002F4209">
        <w:rPr>
          <w:szCs w:val="22"/>
        </w:rPr>
        <w:t xml:space="preserve">As described in detail in the </w:t>
      </w:r>
      <w:r w:rsidR="002B7428" w:rsidRPr="002F4209">
        <w:rPr>
          <w:i/>
          <w:szCs w:val="22"/>
        </w:rPr>
        <w:t xml:space="preserve">3.5 GHz </w:t>
      </w:r>
      <w:r w:rsidR="002B7428">
        <w:rPr>
          <w:i/>
          <w:szCs w:val="22"/>
        </w:rPr>
        <w:t xml:space="preserve">First </w:t>
      </w:r>
      <w:r w:rsidR="002B7428" w:rsidRPr="002F4209">
        <w:rPr>
          <w:i/>
          <w:szCs w:val="22"/>
        </w:rPr>
        <w:t>Order</w:t>
      </w:r>
      <w:r w:rsidR="002B7428" w:rsidRPr="002F4209">
        <w:rPr>
          <w:szCs w:val="22"/>
        </w:rPr>
        <w:t xml:space="preserve">, </w:t>
      </w:r>
      <w:r w:rsidR="002B7428">
        <w:t>through this process, prospective SAS Administrators and ESC operators</w:t>
      </w:r>
      <w:r w:rsidR="002B7428" w:rsidRPr="00072DD2">
        <w:t xml:space="preserve"> will demonstrate their a</w:t>
      </w:r>
      <w:r w:rsidR="002B7428">
        <w:t xml:space="preserve">bility to perform the </w:t>
      </w:r>
      <w:r w:rsidR="002B7428" w:rsidRPr="00072DD2">
        <w:t>functions</w:t>
      </w:r>
      <w:r w:rsidR="002B7428" w:rsidRPr="00471E6B">
        <w:t xml:space="preserve"> </w:t>
      </w:r>
      <w:r w:rsidR="002B7428">
        <w:t>set forth in Part 96 of the Commission’s rules</w:t>
      </w:r>
      <w:r w:rsidR="002B7428" w:rsidRPr="00072DD2">
        <w:t>.</w:t>
      </w:r>
      <w:r w:rsidR="002B7428">
        <w:rPr>
          <w:rStyle w:val="FootnoteReference"/>
        </w:rPr>
        <w:footnoteReference w:id="9"/>
      </w:r>
      <w:r w:rsidR="002B7428">
        <w:t xml:space="preserve">  </w:t>
      </w:r>
    </w:p>
    <w:p w:rsidR="00F6364A" w:rsidRPr="002F4209" w:rsidRDefault="00C41DEB" w:rsidP="002F4209">
      <w:pPr>
        <w:suppressAutoHyphens/>
        <w:spacing w:after="120"/>
        <w:ind w:firstLine="720"/>
        <w:jc w:val="left"/>
        <w:rPr>
          <w:szCs w:val="22"/>
        </w:rPr>
      </w:pPr>
      <w:r w:rsidRPr="002F4209">
        <w:rPr>
          <w:szCs w:val="22"/>
        </w:rPr>
        <w:t>This Public Notice</w:t>
      </w:r>
      <w:r w:rsidRPr="002F4209">
        <w:rPr>
          <w:i/>
          <w:szCs w:val="22"/>
        </w:rPr>
        <w:t xml:space="preserve"> </w:t>
      </w:r>
      <w:r w:rsidR="00E00389" w:rsidRPr="002F4209">
        <w:rPr>
          <w:szCs w:val="22"/>
        </w:rPr>
        <w:t>summarizes the</w:t>
      </w:r>
      <w:r w:rsidR="004D5203" w:rsidRPr="002F4209">
        <w:rPr>
          <w:szCs w:val="22"/>
        </w:rPr>
        <w:t xml:space="preserve"> requirements for both</w:t>
      </w:r>
      <w:r w:rsidRPr="002F4209">
        <w:rPr>
          <w:szCs w:val="22"/>
        </w:rPr>
        <w:t xml:space="preserve"> SAS </w:t>
      </w:r>
      <w:r w:rsidR="004D5203" w:rsidRPr="002F4209">
        <w:rPr>
          <w:szCs w:val="22"/>
        </w:rPr>
        <w:t xml:space="preserve">Administrators </w:t>
      </w:r>
      <w:r w:rsidRPr="002F4209">
        <w:rPr>
          <w:szCs w:val="22"/>
        </w:rPr>
        <w:t>and ESC</w:t>
      </w:r>
      <w:r w:rsidR="004D5203" w:rsidRPr="002F4209">
        <w:rPr>
          <w:szCs w:val="22"/>
        </w:rPr>
        <w:t xml:space="preserve"> </w:t>
      </w:r>
      <w:r w:rsidR="00435E25" w:rsidRPr="002F4209">
        <w:rPr>
          <w:szCs w:val="22"/>
        </w:rPr>
        <w:t>o</w:t>
      </w:r>
      <w:r w:rsidR="004D5203" w:rsidRPr="002F4209">
        <w:rPr>
          <w:szCs w:val="22"/>
        </w:rPr>
        <w:t>perators</w:t>
      </w:r>
      <w:r w:rsidR="00A30D42" w:rsidRPr="002F4209">
        <w:rPr>
          <w:szCs w:val="22"/>
        </w:rPr>
        <w:t xml:space="preserve">, as established in the </w:t>
      </w:r>
      <w:r w:rsidR="00E30BAE" w:rsidRPr="002F4209">
        <w:rPr>
          <w:i/>
          <w:szCs w:val="22"/>
        </w:rPr>
        <w:t>3.5 GHz Order</w:t>
      </w:r>
      <w:r w:rsidR="007D788B" w:rsidRPr="002F4209">
        <w:rPr>
          <w:szCs w:val="22"/>
        </w:rPr>
        <w:t xml:space="preserve"> and further delineated in the </w:t>
      </w:r>
      <w:r w:rsidR="007D788B" w:rsidRPr="002F4209">
        <w:rPr>
          <w:i/>
          <w:szCs w:val="22"/>
        </w:rPr>
        <w:t>SAS/ESC Proposal Public Notice</w:t>
      </w:r>
      <w:r w:rsidR="00A30D42" w:rsidRPr="002F4209">
        <w:rPr>
          <w:i/>
          <w:szCs w:val="22"/>
        </w:rPr>
        <w:t>,</w:t>
      </w:r>
      <w:r w:rsidRPr="002F4209">
        <w:rPr>
          <w:szCs w:val="22"/>
        </w:rPr>
        <w:t xml:space="preserve"> and describes the </w:t>
      </w:r>
      <w:r w:rsidR="003F2429" w:rsidRPr="002F4209">
        <w:rPr>
          <w:szCs w:val="22"/>
        </w:rPr>
        <w:t xml:space="preserve">process for submitting proposals.  It also briefly describes the process that </w:t>
      </w:r>
      <w:r w:rsidR="00386994" w:rsidRPr="002F4209">
        <w:rPr>
          <w:szCs w:val="22"/>
        </w:rPr>
        <w:t>WTB/OET</w:t>
      </w:r>
      <w:r w:rsidR="003F2429" w:rsidRPr="002F4209">
        <w:rPr>
          <w:szCs w:val="22"/>
        </w:rPr>
        <w:t xml:space="preserve"> will use to evaluate prospective SAS Administrators</w:t>
      </w:r>
      <w:r w:rsidR="00435E25" w:rsidRPr="002F4209">
        <w:rPr>
          <w:szCs w:val="22"/>
        </w:rPr>
        <w:t xml:space="preserve"> and ESC operators</w:t>
      </w:r>
      <w:r w:rsidR="003F2429" w:rsidRPr="002F4209">
        <w:rPr>
          <w:szCs w:val="22"/>
        </w:rPr>
        <w:t>.</w:t>
      </w:r>
      <w:r w:rsidR="001135B7" w:rsidRPr="002F4209">
        <w:rPr>
          <w:szCs w:val="22"/>
        </w:rPr>
        <w:t xml:space="preserve">  </w:t>
      </w:r>
    </w:p>
    <w:p w:rsidR="00F06A26" w:rsidRPr="002F4209" w:rsidRDefault="002B7428" w:rsidP="002F4209">
      <w:pPr>
        <w:suppressAutoHyphens/>
        <w:spacing w:after="120"/>
        <w:ind w:firstLine="720"/>
        <w:jc w:val="left"/>
        <w:rPr>
          <w:szCs w:val="22"/>
        </w:rPr>
      </w:pPr>
      <w:r>
        <w:rPr>
          <w:szCs w:val="22"/>
        </w:rPr>
        <w:t xml:space="preserve">Prospective SAS Administrators and ESC operators may submit proposals for consideration in the “second wave” at any time prior to </w:t>
      </w:r>
      <w:r w:rsidRPr="008B227D">
        <w:rPr>
          <w:szCs w:val="22"/>
        </w:rPr>
        <w:t xml:space="preserve">May </w:t>
      </w:r>
      <w:r w:rsidR="008B227D" w:rsidRPr="008B227D">
        <w:rPr>
          <w:szCs w:val="22"/>
        </w:rPr>
        <w:t>31</w:t>
      </w:r>
      <w:r w:rsidRPr="008B227D">
        <w:rPr>
          <w:szCs w:val="22"/>
        </w:rPr>
        <w:t xml:space="preserve">, 2017.  </w:t>
      </w:r>
      <w:r w:rsidR="007D7F7D" w:rsidRPr="008B227D">
        <w:rPr>
          <w:szCs w:val="22"/>
        </w:rPr>
        <w:t xml:space="preserve">WTB/OET </w:t>
      </w:r>
      <w:r w:rsidR="00D40721" w:rsidRPr="008B227D">
        <w:rPr>
          <w:szCs w:val="22"/>
        </w:rPr>
        <w:t xml:space="preserve">will review all </w:t>
      </w:r>
      <w:r w:rsidR="00956602" w:rsidRPr="008B227D">
        <w:rPr>
          <w:szCs w:val="22"/>
        </w:rPr>
        <w:t>“second wave” proposals</w:t>
      </w:r>
      <w:r w:rsidR="007D7F7D" w:rsidRPr="008B227D">
        <w:rPr>
          <w:szCs w:val="22"/>
        </w:rPr>
        <w:t xml:space="preserve"> </w:t>
      </w:r>
      <w:r w:rsidR="00D40721" w:rsidRPr="008B227D">
        <w:rPr>
          <w:szCs w:val="22"/>
        </w:rPr>
        <w:t>concurrently and with equal priority</w:t>
      </w:r>
      <w:r w:rsidR="00CF41EB" w:rsidRPr="008B227D">
        <w:rPr>
          <w:szCs w:val="22"/>
        </w:rPr>
        <w:t xml:space="preserve"> with each other</w:t>
      </w:r>
      <w:r w:rsidR="00D40721" w:rsidRPr="008B227D">
        <w:rPr>
          <w:szCs w:val="22"/>
        </w:rPr>
        <w:t xml:space="preserve">.  </w:t>
      </w:r>
      <w:r w:rsidR="007D7F7D" w:rsidRPr="008B227D">
        <w:rPr>
          <w:szCs w:val="22"/>
        </w:rPr>
        <w:t xml:space="preserve">WTB/OET </w:t>
      </w:r>
      <w:r w:rsidR="006F42AA" w:rsidRPr="008B227D">
        <w:rPr>
          <w:szCs w:val="22"/>
        </w:rPr>
        <w:t xml:space="preserve">will continue to </w:t>
      </w:r>
      <w:r w:rsidR="00E05623" w:rsidRPr="008B227D">
        <w:rPr>
          <w:szCs w:val="22"/>
        </w:rPr>
        <w:t xml:space="preserve">consider proposals </w:t>
      </w:r>
      <w:r w:rsidR="001C46F7" w:rsidRPr="008B227D">
        <w:rPr>
          <w:szCs w:val="22"/>
        </w:rPr>
        <w:t xml:space="preserve">and amendments thereto </w:t>
      </w:r>
      <w:r w:rsidR="00E05623" w:rsidRPr="008B227D">
        <w:rPr>
          <w:szCs w:val="22"/>
        </w:rPr>
        <w:t xml:space="preserve">submitted </w:t>
      </w:r>
      <w:r w:rsidR="006F42AA" w:rsidRPr="008B227D">
        <w:rPr>
          <w:szCs w:val="22"/>
        </w:rPr>
        <w:t xml:space="preserve">after </w:t>
      </w:r>
      <w:r w:rsidR="00956602" w:rsidRPr="008B227D">
        <w:rPr>
          <w:szCs w:val="22"/>
        </w:rPr>
        <w:t xml:space="preserve">May </w:t>
      </w:r>
      <w:r w:rsidR="008B227D" w:rsidRPr="008B227D">
        <w:rPr>
          <w:szCs w:val="22"/>
        </w:rPr>
        <w:t>31</w:t>
      </w:r>
      <w:r w:rsidR="00956602" w:rsidRPr="008B227D">
        <w:rPr>
          <w:szCs w:val="22"/>
        </w:rPr>
        <w:t>, 2017</w:t>
      </w:r>
      <w:r w:rsidR="006F42AA" w:rsidRPr="002F4209">
        <w:rPr>
          <w:szCs w:val="22"/>
        </w:rPr>
        <w:t xml:space="preserve">, but </w:t>
      </w:r>
      <w:r w:rsidR="007E1DFC" w:rsidRPr="002F4209">
        <w:rPr>
          <w:szCs w:val="22"/>
        </w:rPr>
        <w:t xml:space="preserve">they may not be considered concurrently with </w:t>
      </w:r>
      <w:r w:rsidR="00956602" w:rsidRPr="002F4209">
        <w:rPr>
          <w:szCs w:val="22"/>
        </w:rPr>
        <w:t>previously submitted</w:t>
      </w:r>
      <w:r w:rsidR="007E1DFC" w:rsidRPr="002F4209">
        <w:rPr>
          <w:szCs w:val="22"/>
        </w:rPr>
        <w:t xml:space="preserve"> proposals</w:t>
      </w:r>
      <w:r w:rsidR="00A75F06" w:rsidRPr="002F4209">
        <w:rPr>
          <w:szCs w:val="22"/>
        </w:rPr>
        <w:t>.</w:t>
      </w:r>
      <w:r w:rsidR="00DD6040" w:rsidRPr="002F4209">
        <w:rPr>
          <w:szCs w:val="22"/>
        </w:rPr>
        <w:t xml:space="preserve">  </w:t>
      </w:r>
      <w:r w:rsidR="001C46F7" w:rsidRPr="002F4209">
        <w:rPr>
          <w:szCs w:val="22"/>
        </w:rPr>
        <w:t xml:space="preserve">Proposals will not be considered mutually exclusive and </w:t>
      </w:r>
      <w:r w:rsidR="00386994" w:rsidRPr="002F4209">
        <w:rPr>
          <w:szCs w:val="22"/>
        </w:rPr>
        <w:t>WTB/OET</w:t>
      </w:r>
      <w:r w:rsidR="001C46F7" w:rsidRPr="002F4209">
        <w:rPr>
          <w:szCs w:val="22"/>
        </w:rPr>
        <w:t xml:space="preserve"> will conditionally approve as many proposals as are found to satisfy all applicable requirements.  </w:t>
      </w:r>
    </w:p>
    <w:p w:rsidR="000F3894" w:rsidRPr="00D567ED" w:rsidRDefault="000F3894" w:rsidP="00741FE1">
      <w:pPr>
        <w:suppressAutoHyphens/>
        <w:ind w:firstLine="720"/>
        <w:rPr>
          <w:szCs w:val="22"/>
        </w:rPr>
      </w:pPr>
    </w:p>
    <w:p w:rsidR="002C4604" w:rsidRDefault="002C4604" w:rsidP="00967619">
      <w:pPr>
        <w:numPr>
          <w:ilvl w:val="0"/>
          <w:numId w:val="50"/>
        </w:numPr>
        <w:suppressAutoHyphens/>
        <w:ind w:left="360" w:firstLine="0"/>
        <w:jc w:val="left"/>
        <w:rPr>
          <w:b/>
          <w:szCs w:val="22"/>
        </w:rPr>
      </w:pPr>
      <w:r w:rsidRPr="00D567ED">
        <w:rPr>
          <w:b/>
          <w:szCs w:val="22"/>
        </w:rPr>
        <w:t>SAS ADMINISTRATOR AND ESC OP</w:t>
      </w:r>
      <w:r w:rsidR="00E05623">
        <w:rPr>
          <w:b/>
          <w:szCs w:val="22"/>
        </w:rPr>
        <w:t xml:space="preserve">ERATOR </w:t>
      </w:r>
      <w:r w:rsidR="000318AD">
        <w:rPr>
          <w:b/>
          <w:szCs w:val="22"/>
        </w:rPr>
        <w:t xml:space="preserve">PROPOSAL </w:t>
      </w:r>
      <w:r w:rsidR="00E95BDD">
        <w:rPr>
          <w:b/>
          <w:szCs w:val="22"/>
        </w:rPr>
        <w:t xml:space="preserve">AND APPROVAL </w:t>
      </w:r>
      <w:r w:rsidRPr="00D567ED">
        <w:rPr>
          <w:b/>
          <w:szCs w:val="22"/>
        </w:rPr>
        <w:t>PROCESS</w:t>
      </w:r>
    </w:p>
    <w:p w:rsidR="002F4209" w:rsidRDefault="002F4209" w:rsidP="002F4209">
      <w:pPr>
        <w:suppressAutoHyphens/>
        <w:ind w:left="360"/>
        <w:jc w:val="left"/>
        <w:rPr>
          <w:b/>
          <w:szCs w:val="22"/>
        </w:rPr>
      </w:pPr>
    </w:p>
    <w:p w:rsidR="003A741A" w:rsidRPr="002F4209" w:rsidRDefault="004B7A47" w:rsidP="002F4209">
      <w:pPr>
        <w:suppressAutoHyphens/>
        <w:spacing w:after="120"/>
        <w:ind w:firstLine="720"/>
        <w:jc w:val="left"/>
        <w:rPr>
          <w:b/>
          <w:szCs w:val="22"/>
        </w:rPr>
      </w:pPr>
      <w:r>
        <w:t>SAS and/or ESC proposals submitted in the “second wave” are subject to the same requirements</w:t>
      </w:r>
      <w:r w:rsidR="00FD297A">
        <w:t>,</w:t>
      </w:r>
      <w:r>
        <w:t xml:space="preserve"> submission process</w:t>
      </w:r>
      <w:r w:rsidR="00FD297A">
        <w:t>, and review procedures</w:t>
      </w:r>
      <w:r>
        <w:t xml:space="preserve"> that applied to proposals submitted </w:t>
      </w:r>
      <w:r w:rsidR="00621B74">
        <w:t>during</w:t>
      </w:r>
      <w:r>
        <w:t xml:space="preserve"> the “first wave</w:t>
      </w:r>
      <w:r w:rsidR="00621B74">
        <w:t>.</w:t>
      </w:r>
      <w:r>
        <w:t>”</w:t>
      </w:r>
      <w:r>
        <w:rPr>
          <w:rStyle w:val="FootnoteReference"/>
        </w:rPr>
        <w:footnoteReference w:id="10"/>
      </w:r>
      <w:r w:rsidR="00574372" w:rsidRPr="002F4209">
        <w:rPr>
          <w:szCs w:val="22"/>
        </w:rPr>
        <w:t xml:space="preserve">  </w:t>
      </w:r>
      <w:r w:rsidR="00701866" w:rsidRPr="002F4209">
        <w:rPr>
          <w:szCs w:val="22"/>
        </w:rPr>
        <w:t xml:space="preserve">Notably, </w:t>
      </w:r>
      <w:r w:rsidR="00574372" w:rsidRPr="00574372">
        <w:t>SAS Administrator proposals must describe in detail how the prospective SAS Administrator will comply with the requirements and core functions described in Part 96, subpart F of the Commission’s rules.</w:t>
      </w:r>
      <w:r w:rsidR="00574372" w:rsidRPr="00574372">
        <w:rPr>
          <w:vertAlign w:val="superscript"/>
        </w:rPr>
        <w:footnoteReference w:id="11"/>
      </w:r>
      <w:r w:rsidR="00574372" w:rsidRPr="00574372">
        <w:t xml:space="preserve">  ESC operator proposals must describe in detail how the prospective operator will comply with the requirements and core functions described in Part 96, subpart G of the Commission’s rules.</w:t>
      </w:r>
      <w:r w:rsidR="00574372" w:rsidRPr="00574372">
        <w:rPr>
          <w:vertAlign w:val="superscript"/>
        </w:rPr>
        <w:footnoteReference w:id="12"/>
      </w:r>
      <w:r w:rsidR="00574372" w:rsidRPr="00574372">
        <w:t xml:space="preserve">  All prospective SAS Administrators and ESC operators must, at a minimum, demonstrate their intent and ability to comply with Commission rules and demonstrate their technical qualifications.</w:t>
      </w:r>
      <w:r w:rsidR="00574372">
        <w:rPr>
          <w:rStyle w:val="FootnoteReference"/>
        </w:rPr>
        <w:footnoteReference w:id="13"/>
      </w:r>
    </w:p>
    <w:p w:rsidR="00B13C6B" w:rsidRPr="002F4209" w:rsidRDefault="00D40721" w:rsidP="002F4209">
      <w:pPr>
        <w:suppressAutoHyphens/>
        <w:spacing w:after="120"/>
        <w:ind w:firstLine="720"/>
        <w:jc w:val="left"/>
        <w:rPr>
          <w:b/>
          <w:szCs w:val="22"/>
        </w:rPr>
      </w:pPr>
      <w:r w:rsidRPr="002F4209">
        <w:rPr>
          <w:szCs w:val="22"/>
        </w:rPr>
        <w:t xml:space="preserve">After </w:t>
      </w:r>
      <w:r w:rsidR="00967619" w:rsidRPr="008B227D">
        <w:rPr>
          <w:szCs w:val="22"/>
        </w:rPr>
        <w:t xml:space="preserve">May </w:t>
      </w:r>
      <w:r w:rsidR="008B227D" w:rsidRPr="008B227D">
        <w:rPr>
          <w:szCs w:val="22"/>
        </w:rPr>
        <w:t>3</w:t>
      </w:r>
      <w:r w:rsidR="008B227D">
        <w:rPr>
          <w:szCs w:val="22"/>
        </w:rPr>
        <w:t>1,</w:t>
      </w:r>
      <w:r w:rsidR="00967619" w:rsidRPr="002F4209">
        <w:rPr>
          <w:b/>
          <w:szCs w:val="22"/>
        </w:rPr>
        <w:t xml:space="preserve"> </w:t>
      </w:r>
      <w:r w:rsidR="00967619" w:rsidRPr="002F4209">
        <w:rPr>
          <w:szCs w:val="22"/>
        </w:rPr>
        <w:t>2017</w:t>
      </w:r>
      <w:r w:rsidRPr="002F4209">
        <w:rPr>
          <w:szCs w:val="22"/>
        </w:rPr>
        <w:t xml:space="preserve">, </w:t>
      </w:r>
      <w:r w:rsidR="00386994" w:rsidRPr="002F4209">
        <w:rPr>
          <w:szCs w:val="22"/>
        </w:rPr>
        <w:t>WTB/OET</w:t>
      </w:r>
      <w:r w:rsidR="00E415FC" w:rsidRPr="002F4209">
        <w:rPr>
          <w:szCs w:val="22"/>
        </w:rPr>
        <w:t xml:space="preserve"> will </w:t>
      </w:r>
      <w:r w:rsidRPr="002F4209">
        <w:rPr>
          <w:szCs w:val="22"/>
        </w:rPr>
        <w:t xml:space="preserve">evaluate </w:t>
      </w:r>
      <w:r w:rsidR="00E415FC" w:rsidRPr="002F4209">
        <w:rPr>
          <w:szCs w:val="22"/>
        </w:rPr>
        <w:t xml:space="preserve">the </w:t>
      </w:r>
      <w:r w:rsidRPr="002F4209">
        <w:rPr>
          <w:szCs w:val="22"/>
        </w:rPr>
        <w:t>“</w:t>
      </w:r>
      <w:r w:rsidR="00967619" w:rsidRPr="002F4209">
        <w:rPr>
          <w:szCs w:val="22"/>
        </w:rPr>
        <w:t>second</w:t>
      </w:r>
      <w:r w:rsidR="003A741A" w:rsidRPr="002F4209">
        <w:rPr>
          <w:szCs w:val="22"/>
        </w:rPr>
        <w:t xml:space="preserve"> </w:t>
      </w:r>
      <w:r w:rsidRPr="002F4209">
        <w:rPr>
          <w:szCs w:val="22"/>
        </w:rPr>
        <w:t xml:space="preserve">wave” </w:t>
      </w:r>
      <w:r w:rsidR="00404E3A" w:rsidRPr="002F4209">
        <w:rPr>
          <w:szCs w:val="22"/>
        </w:rPr>
        <w:t>p</w:t>
      </w:r>
      <w:r w:rsidR="007A4DAB" w:rsidRPr="002F4209">
        <w:rPr>
          <w:szCs w:val="22"/>
        </w:rPr>
        <w:t>roposals.</w:t>
      </w:r>
      <w:r w:rsidRPr="002F4209">
        <w:rPr>
          <w:szCs w:val="22"/>
        </w:rPr>
        <w:t xml:space="preserve"> </w:t>
      </w:r>
      <w:r w:rsidR="007A4DAB" w:rsidRPr="002F4209">
        <w:rPr>
          <w:szCs w:val="22"/>
        </w:rPr>
        <w:t xml:space="preserve"> </w:t>
      </w:r>
      <w:r w:rsidR="00BA598A" w:rsidRPr="002F4209">
        <w:rPr>
          <w:szCs w:val="22"/>
        </w:rPr>
        <w:t>A complete proposal must</w:t>
      </w:r>
      <w:r w:rsidRPr="002F4209">
        <w:rPr>
          <w:szCs w:val="22"/>
        </w:rPr>
        <w:t xml:space="preserve"> </w:t>
      </w:r>
      <w:r w:rsidR="00BA598A" w:rsidRPr="002F4209">
        <w:rPr>
          <w:szCs w:val="22"/>
        </w:rPr>
        <w:t>include</w:t>
      </w:r>
      <w:r w:rsidR="002B7428">
        <w:rPr>
          <w:szCs w:val="22"/>
        </w:rPr>
        <w:t xml:space="preserve"> all </w:t>
      </w:r>
      <w:r w:rsidR="00BA598A" w:rsidRPr="002F4209">
        <w:rPr>
          <w:szCs w:val="22"/>
        </w:rPr>
        <w:t>information requested by this Public Notice</w:t>
      </w:r>
      <w:r w:rsidR="00D12C27" w:rsidRPr="002F4209">
        <w:rPr>
          <w:szCs w:val="22"/>
        </w:rPr>
        <w:t>.</w:t>
      </w:r>
      <w:r w:rsidR="00BA598A" w:rsidRPr="002F4209">
        <w:rPr>
          <w:szCs w:val="22"/>
        </w:rPr>
        <w:t xml:space="preserve">  </w:t>
      </w:r>
      <w:r w:rsidR="00C501D7" w:rsidRPr="002F4209">
        <w:rPr>
          <w:szCs w:val="22"/>
        </w:rPr>
        <w:t xml:space="preserve">After review of </w:t>
      </w:r>
      <w:r w:rsidR="00B13C6B" w:rsidRPr="002F4209">
        <w:rPr>
          <w:szCs w:val="22"/>
        </w:rPr>
        <w:t>these</w:t>
      </w:r>
      <w:r w:rsidR="00C501D7" w:rsidRPr="002F4209">
        <w:rPr>
          <w:szCs w:val="22"/>
        </w:rPr>
        <w:t xml:space="preserve"> proposals, </w:t>
      </w:r>
      <w:r w:rsidR="00386994" w:rsidRPr="002F4209">
        <w:rPr>
          <w:szCs w:val="22"/>
        </w:rPr>
        <w:t>WTB/OET</w:t>
      </w:r>
      <w:r w:rsidR="00C501D7" w:rsidRPr="002F4209">
        <w:rPr>
          <w:szCs w:val="22"/>
        </w:rPr>
        <w:t xml:space="preserve"> will release </w:t>
      </w:r>
      <w:r w:rsidR="001F5498" w:rsidRPr="002F4209">
        <w:rPr>
          <w:szCs w:val="22"/>
        </w:rPr>
        <w:t xml:space="preserve">a </w:t>
      </w:r>
      <w:r w:rsidR="002C55D1" w:rsidRPr="002F4209">
        <w:rPr>
          <w:szCs w:val="22"/>
        </w:rPr>
        <w:t>list of</w:t>
      </w:r>
      <w:r w:rsidR="00C501D7" w:rsidRPr="002F4209">
        <w:rPr>
          <w:szCs w:val="22"/>
        </w:rPr>
        <w:t xml:space="preserve"> the </w:t>
      </w:r>
      <w:r w:rsidR="00666FB0" w:rsidRPr="002F4209">
        <w:rPr>
          <w:szCs w:val="22"/>
        </w:rPr>
        <w:t xml:space="preserve">conditionally </w:t>
      </w:r>
      <w:r w:rsidR="00C501D7" w:rsidRPr="002F4209">
        <w:rPr>
          <w:szCs w:val="22"/>
        </w:rPr>
        <w:t>approved SAS Administrators</w:t>
      </w:r>
      <w:r w:rsidR="00F21857" w:rsidRPr="002F4209">
        <w:rPr>
          <w:szCs w:val="22"/>
        </w:rPr>
        <w:t xml:space="preserve"> and ESC operators</w:t>
      </w:r>
      <w:r w:rsidR="00750A60" w:rsidRPr="002F4209">
        <w:rPr>
          <w:szCs w:val="22"/>
        </w:rPr>
        <w:t xml:space="preserve"> that submitted proposals </w:t>
      </w:r>
      <w:r w:rsidRPr="002F4209">
        <w:rPr>
          <w:szCs w:val="22"/>
        </w:rPr>
        <w:t>during that time.</w:t>
      </w:r>
      <w:r w:rsidR="00785CB5" w:rsidRPr="002F4209">
        <w:rPr>
          <w:szCs w:val="22"/>
        </w:rPr>
        <w:t xml:space="preserve">  </w:t>
      </w:r>
      <w:r w:rsidR="00386994" w:rsidRPr="002F4209">
        <w:rPr>
          <w:szCs w:val="22"/>
        </w:rPr>
        <w:t>WTB/OET</w:t>
      </w:r>
      <w:r w:rsidR="00C501D7" w:rsidRPr="002F4209">
        <w:rPr>
          <w:szCs w:val="22"/>
        </w:rPr>
        <w:t xml:space="preserve"> </w:t>
      </w:r>
      <w:r w:rsidR="006E65C1" w:rsidRPr="002F4209">
        <w:rPr>
          <w:szCs w:val="22"/>
        </w:rPr>
        <w:t>will also notify the public if any additional proposals are conditionally approved in the future</w:t>
      </w:r>
      <w:r w:rsidR="00C501D7" w:rsidRPr="002F4209">
        <w:rPr>
          <w:szCs w:val="22"/>
        </w:rPr>
        <w:t xml:space="preserve">.  </w:t>
      </w:r>
    </w:p>
    <w:p w:rsidR="002B3BF6" w:rsidRPr="002F4209" w:rsidRDefault="00C501D7" w:rsidP="002F4209">
      <w:pPr>
        <w:suppressAutoHyphens/>
        <w:spacing w:after="120"/>
        <w:ind w:firstLine="720"/>
        <w:jc w:val="left"/>
        <w:rPr>
          <w:b/>
          <w:szCs w:val="22"/>
        </w:rPr>
      </w:pPr>
      <w:r w:rsidRPr="002F4209">
        <w:rPr>
          <w:szCs w:val="22"/>
        </w:rPr>
        <w:t>Once a</w:t>
      </w:r>
      <w:r w:rsidR="00666FB0" w:rsidRPr="002F4209">
        <w:rPr>
          <w:szCs w:val="22"/>
        </w:rPr>
        <w:t xml:space="preserve">n SAS Administrator </w:t>
      </w:r>
      <w:r w:rsidR="00F21857" w:rsidRPr="002F4209">
        <w:rPr>
          <w:szCs w:val="22"/>
        </w:rPr>
        <w:t>or ESC operator</w:t>
      </w:r>
      <w:r w:rsidR="00634C94" w:rsidRPr="002F4209">
        <w:rPr>
          <w:szCs w:val="22"/>
        </w:rPr>
        <w:t xml:space="preserve"> is </w:t>
      </w:r>
      <w:r w:rsidR="008F2969" w:rsidRPr="002F4209">
        <w:rPr>
          <w:szCs w:val="22"/>
        </w:rPr>
        <w:t>conditionally approved</w:t>
      </w:r>
      <w:r w:rsidR="00634C94" w:rsidRPr="002F4209">
        <w:rPr>
          <w:szCs w:val="22"/>
        </w:rPr>
        <w:t xml:space="preserve">, </w:t>
      </w:r>
      <w:r w:rsidR="00386994" w:rsidRPr="002F4209">
        <w:rPr>
          <w:szCs w:val="22"/>
        </w:rPr>
        <w:t>WTB/OET</w:t>
      </w:r>
      <w:r w:rsidR="00634C94" w:rsidRPr="002F4209">
        <w:rPr>
          <w:szCs w:val="22"/>
        </w:rPr>
        <w:t xml:space="preserve"> may seek additional information</w:t>
      </w:r>
      <w:r w:rsidR="00666FB0" w:rsidRPr="002F4209">
        <w:rPr>
          <w:szCs w:val="22"/>
        </w:rPr>
        <w:t xml:space="preserve"> </w:t>
      </w:r>
      <w:r w:rsidR="00F21857" w:rsidRPr="002F4209">
        <w:rPr>
          <w:szCs w:val="22"/>
        </w:rPr>
        <w:t>from prospective SAS Administrators and ESC operators.</w:t>
      </w:r>
      <w:r w:rsidR="00273A0E" w:rsidRPr="002F4209">
        <w:rPr>
          <w:szCs w:val="22"/>
        </w:rPr>
        <w:t xml:space="preserve"> </w:t>
      </w:r>
      <w:r w:rsidR="00A92DD2" w:rsidRPr="002F4209">
        <w:rPr>
          <w:szCs w:val="22"/>
        </w:rPr>
        <w:t xml:space="preserve"> </w:t>
      </w:r>
      <w:r w:rsidR="00666FB0" w:rsidRPr="002F4209">
        <w:rPr>
          <w:szCs w:val="22"/>
        </w:rPr>
        <w:t>A</w:t>
      </w:r>
      <w:r w:rsidR="00634C94" w:rsidRPr="002F4209">
        <w:rPr>
          <w:szCs w:val="22"/>
        </w:rPr>
        <w:t>t a mi</w:t>
      </w:r>
      <w:r w:rsidR="00A06554" w:rsidRPr="002F4209">
        <w:rPr>
          <w:szCs w:val="22"/>
        </w:rPr>
        <w:t>nimum</w:t>
      </w:r>
      <w:r w:rsidR="00F21857" w:rsidRPr="002F4209">
        <w:rPr>
          <w:szCs w:val="22"/>
        </w:rPr>
        <w:t>,</w:t>
      </w:r>
      <w:r w:rsidR="00785CB5" w:rsidRPr="002F4209">
        <w:rPr>
          <w:szCs w:val="22"/>
        </w:rPr>
        <w:t xml:space="preserve"> </w:t>
      </w:r>
      <w:r w:rsidR="00386994" w:rsidRPr="002F4209">
        <w:rPr>
          <w:szCs w:val="22"/>
        </w:rPr>
        <w:t>WTB/OET</w:t>
      </w:r>
      <w:r w:rsidR="00273A0E" w:rsidRPr="002F4209">
        <w:rPr>
          <w:szCs w:val="22"/>
        </w:rPr>
        <w:t xml:space="preserve"> will assess and test each conditionally approved SAS</w:t>
      </w:r>
      <w:r w:rsidR="00F21857" w:rsidRPr="002F4209">
        <w:rPr>
          <w:szCs w:val="22"/>
        </w:rPr>
        <w:t xml:space="preserve"> and ESC</w:t>
      </w:r>
      <w:r w:rsidR="00273A0E" w:rsidRPr="002F4209">
        <w:rPr>
          <w:szCs w:val="22"/>
        </w:rPr>
        <w:t>.</w:t>
      </w:r>
      <w:r w:rsidR="008D21B3" w:rsidRPr="00D567ED">
        <w:rPr>
          <w:rStyle w:val="FootnoteReference"/>
          <w:sz w:val="22"/>
          <w:szCs w:val="22"/>
        </w:rPr>
        <w:footnoteReference w:id="14"/>
      </w:r>
      <w:r w:rsidR="00634C94" w:rsidRPr="002F4209">
        <w:rPr>
          <w:szCs w:val="22"/>
        </w:rPr>
        <w:t xml:space="preserve">  </w:t>
      </w:r>
      <w:r w:rsidR="00273A0E" w:rsidRPr="002F4209">
        <w:rPr>
          <w:szCs w:val="22"/>
        </w:rPr>
        <w:t>These assessment</w:t>
      </w:r>
      <w:r w:rsidR="00F21857" w:rsidRPr="002F4209">
        <w:rPr>
          <w:szCs w:val="22"/>
        </w:rPr>
        <w:t>s</w:t>
      </w:r>
      <w:r w:rsidR="00273A0E" w:rsidRPr="002F4209">
        <w:rPr>
          <w:szCs w:val="22"/>
        </w:rPr>
        <w:t xml:space="preserve"> </w:t>
      </w:r>
      <w:r w:rsidR="00BA598A" w:rsidRPr="002F4209">
        <w:rPr>
          <w:szCs w:val="22"/>
        </w:rPr>
        <w:t xml:space="preserve">will </w:t>
      </w:r>
      <w:r w:rsidR="00883053" w:rsidRPr="002F4209">
        <w:rPr>
          <w:szCs w:val="22"/>
        </w:rPr>
        <w:t xml:space="preserve">also </w:t>
      </w:r>
      <w:r w:rsidR="00273A0E" w:rsidRPr="002F4209">
        <w:rPr>
          <w:szCs w:val="22"/>
        </w:rPr>
        <w:t>include a public testing period</w:t>
      </w:r>
      <w:r w:rsidR="00584DF5" w:rsidRPr="002F4209">
        <w:rPr>
          <w:szCs w:val="22"/>
        </w:rPr>
        <w:t xml:space="preserve">, including assessment of incumbent protection </w:t>
      </w:r>
      <w:r w:rsidR="00085192" w:rsidRPr="002F4209">
        <w:rPr>
          <w:szCs w:val="22"/>
        </w:rPr>
        <w:t>capabilities</w:t>
      </w:r>
      <w:r w:rsidR="00273A0E" w:rsidRPr="002F4209">
        <w:rPr>
          <w:szCs w:val="22"/>
        </w:rPr>
        <w:t xml:space="preserve">.  </w:t>
      </w:r>
      <w:r w:rsidR="00386994" w:rsidRPr="002F4209">
        <w:rPr>
          <w:szCs w:val="22"/>
        </w:rPr>
        <w:t>WTB/OET</w:t>
      </w:r>
      <w:r w:rsidR="00A06554" w:rsidRPr="002F4209">
        <w:rPr>
          <w:szCs w:val="22"/>
        </w:rPr>
        <w:t xml:space="preserve"> </w:t>
      </w:r>
      <w:r w:rsidR="00634C94" w:rsidRPr="002F4209">
        <w:rPr>
          <w:szCs w:val="22"/>
        </w:rPr>
        <w:t xml:space="preserve">may </w:t>
      </w:r>
      <w:r w:rsidR="00273A0E" w:rsidRPr="002F4209">
        <w:rPr>
          <w:szCs w:val="22"/>
        </w:rPr>
        <w:t xml:space="preserve">also </w:t>
      </w:r>
      <w:r w:rsidR="00634C94" w:rsidRPr="002F4209">
        <w:rPr>
          <w:szCs w:val="22"/>
        </w:rPr>
        <w:t xml:space="preserve">require </w:t>
      </w:r>
      <w:r w:rsidR="00273A0E" w:rsidRPr="002F4209">
        <w:rPr>
          <w:szCs w:val="22"/>
        </w:rPr>
        <w:t>prospective SAS Administrators</w:t>
      </w:r>
      <w:r w:rsidR="00F21857" w:rsidRPr="002F4209">
        <w:rPr>
          <w:szCs w:val="22"/>
        </w:rPr>
        <w:t xml:space="preserve"> and ESC operators</w:t>
      </w:r>
      <w:r w:rsidR="00634C94" w:rsidRPr="002F4209">
        <w:rPr>
          <w:szCs w:val="22"/>
        </w:rPr>
        <w:t xml:space="preserve"> to attend workshops and meetings.  </w:t>
      </w:r>
      <w:r w:rsidR="00273A0E" w:rsidRPr="002F4209">
        <w:rPr>
          <w:szCs w:val="22"/>
        </w:rPr>
        <w:t xml:space="preserve">Prospective SAS Administrators </w:t>
      </w:r>
      <w:r w:rsidR="00F21857" w:rsidRPr="002F4209">
        <w:rPr>
          <w:szCs w:val="22"/>
        </w:rPr>
        <w:t xml:space="preserve">and ESC operators </w:t>
      </w:r>
      <w:r w:rsidR="00273A0E" w:rsidRPr="002F4209">
        <w:rPr>
          <w:szCs w:val="22"/>
        </w:rPr>
        <w:t xml:space="preserve">must comply with all instructions from </w:t>
      </w:r>
      <w:r w:rsidR="00386994" w:rsidRPr="002F4209">
        <w:rPr>
          <w:szCs w:val="22"/>
        </w:rPr>
        <w:t>WTB/OET</w:t>
      </w:r>
      <w:r w:rsidR="00273A0E" w:rsidRPr="002F4209">
        <w:rPr>
          <w:szCs w:val="22"/>
        </w:rPr>
        <w:t xml:space="preserve"> and provide any requested information in a timely manner.  </w:t>
      </w:r>
      <w:r w:rsidR="00A06554" w:rsidRPr="002F4209">
        <w:rPr>
          <w:szCs w:val="22"/>
        </w:rPr>
        <w:t>All stages of the process, including review of</w:t>
      </w:r>
      <w:r w:rsidR="00273A0E" w:rsidRPr="002F4209">
        <w:rPr>
          <w:szCs w:val="22"/>
        </w:rPr>
        <w:t xml:space="preserve"> proposals</w:t>
      </w:r>
      <w:r w:rsidR="005E6AF6" w:rsidRPr="002F4209">
        <w:rPr>
          <w:szCs w:val="22"/>
        </w:rPr>
        <w:t xml:space="preserve"> </w:t>
      </w:r>
      <w:r w:rsidR="00A06554" w:rsidRPr="002F4209">
        <w:rPr>
          <w:szCs w:val="22"/>
        </w:rPr>
        <w:t xml:space="preserve">and system compliance testing, will be overseen by </w:t>
      </w:r>
      <w:r w:rsidR="00386994" w:rsidRPr="002F4209">
        <w:rPr>
          <w:szCs w:val="22"/>
        </w:rPr>
        <w:t>WTB/OET</w:t>
      </w:r>
      <w:r w:rsidR="00A06554" w:rsidRPr="002F4209">
        <w:rPr>
          <w:szCs w:val="22"/>
        </w:rPr>
        <w:t>, in close consultation with NTIA and DoD.</w:t>
      </w:r>
      <w:r w:rsidR="00A06554" w:rsidRPr="00D567ED">
        <w:rPr>
          <w:rStyle w:val="FootnoteReference"/>
          <w:sz w:val="22"/>
          <w:szCs w:val="22"/>
        </w:rPr>
        <w:footnoteReference w:id="15"/>
      </w:r>
      <w:r w:rsidR="00A06554" w:rsidRPr="002F4209">
        <w:rPr>
          <w:szCs w:val="22"/>
        </w:rPr>
        <w:t xml:space="preserve">  </w:t>
      </w:r>
    </w:p>
    <w:p w:rsidR="00D40721" w:rsidRPr="002F4209" w:rsidRDefault="002E50FB" w:rsidP="002F4209">
      <w:pPr>
        <w:suppressAutoHyphens/>
        <w:spacing w:after="120"/>
        <w:ind w:firstLine="720"/>
        <w:jc w:val="left"/>
        <w:rPr>
          <w:b/>
          <w:szCs w:val="22"/>
        </w:rPr>
      </w:pPr>
      <w:r w:rsidRPr="002F4209">
        <w:rPr>
          <w:szCs w:val="22"/>
        </w:rPr>
        <w:t>Prospective</w:t>
      </w:r>
      <w:r w:rsidR="00D40721" w:rsidRPr="002F4209">
        <w:rPr>
          <w:szCs w:val="22"/>
        </w:rPr>
        <w:t xml:space="preserve"> SAS Administrator</w:t>
      </w:r>
      <w:r w:rsidR="00B93AC6" w:rsidRPr="002F4209">
        <w:rPr>
          <w:szCs w:val="22"/>
        </w:rPr>
        <w:t>s</w:t>
      </w:r>
      <w:r w:rsidR="00D40721" w:rsidRPr="002F4209">
        <w:rPr>
          <w:szCs w:val="22"/>
        </w:rPr>
        <w:t xml:space="preserve"> </w:t>
      </w:r>
      <w:r w:rsidR="00B93AC6" w:rsidRPr="002F4209">
        <w:rPr>
          <w:szCs w:val="22"/>
        </w:rPr>
        <w:t>and</w:t>
      </w:r>
      <w:r w:rsidR="00D40721" w:rsidRPr="002F4209">
        <w:rPr>
          <w:szCs w:val="22"/>
        </w:rPr>
        <w:t xml:space="preserve"> </w:t>
      </w:r>
      <w:r w:rsidR="00E71239" w:rsidRPr="002F4209">
        <w:rPr>
          <w:szCs w:val="22"/>
        </w:rPr>
        <w:t>ESC operator</w:t>
      </w:r>
      <w:r w:rsidR="00B93AC6" w:rsidRPr="002F4209">
        <w:rPr>
          <w:szCs w:val="22"/>
        </w:rPr>
        <w:t>s must file proposals</w:t>
      </w:r>
      <w:r w:rsidR="00956518" w:rsidRPr="002F4209">
        <w:rPr>
          <w:szCs w:val="22"/>
        </w:rPr>
        <w:t>, and any supplements thereto,</w:t>
      </w:r>
      <w:r w:rsidR="00D40721" w:rsidRPr="002F4209">
        <w:rPr>
          <w:szCs w:val="22"/>
        </w:rPr>
        <w:t xml:space="preserve"> with the Commission using the Commission’s Electronic </w:t>
      </w:r>
      <w:r w:rsidR="002C5EFC">
        <w:rPr>
          <w:szCs w:val="22"/>
        </w:rPr>
        <w:t xml:space="preserve">Comment </w:t>
      </w:r>
      <w:r w:rsidR="00D40721" w:rsidRPr="002F4209">
        <w:rPr>
          <w:szCs w:val="22"/>
        </w:rPr>
        <w:t>Filing System (ECFS).</w:t>
      </w:r>
      <w:r w:rsidR="00D40721">
        <w:rPr>
          <w:rStyle w:val="FootnoteReference"/>
          <w:szCs w:val="22"/>
        </w:rPr>
        <w:footnoteReference w:id="16"/>
      </w:r>
      <w:r w:rsidR="00D40721" w:rsidRPr="002F4209">
        <w:rPr>
          <w:szCs w:val="22"/>
        </w:rPr>
        <w:t xml:space="preserve"> </w:t>
      </w:r>
      <w:r w:rsidR="00D40721" w:rsidRPr="002F4209">
        <w:rPr>
          <w:i/>
          <w:snapToGrid/>
          <w:szCs w:val="22"/>
        </w:rPr>
        <w:t xml:space="preserve"> See Electronic Filing of Documents in Rulemaking Proceedings</w:t>
      </w:r>
      <w:r w:rsidR="00D40721" w:rsidRPr="002F4209">
        <w:rPr>
          <w:snapToGrid/>
          <w:szCs w:val="22"/>
        </w:rPr>
        <w:t xml:space="preserve">, 63 FR 24121 (1998).  In order to be considered in the </w:t>
      </w:r>
      <w:r w:rsidR="00BA598A" w:rsidRPr="002F4209">
        <w:rPr>
          <w:snapToGrid/>
          <w:szCs w:val="22"/>
        </w:rPr>
        <w:t>“</w:t>
      </w:r>
      <w:r w:rsidR="002B3BF6" w:rsidRPr="002F4209">
        <w:rPr>
          <w:snapToGrid/>
          <w:szCs w:val="22"/>
        </w:rPr>
        <w:t>second</w:t>
      </w:r>
      <w:r w:rsidR="00D40721" w:rsidRPr="002F4209">
        <w:rPr>
          <w:snapToGrid/>
          <w:szCs w:val="22"/>
        </w:rPr>
        <w:t xml:space="preserve"> wave,</w:t>
      </w:r>
      <w:r w:rsidR="00BA598A" w:rsidRPr="002F4209">
        <w:rPr>
          <w:snapToGrid/>
          <w:szCs w:val="22"/>
        </w:rPr>
        <w:t>”</w:t>
      </w:r>
      <w:r w:rsidR="00D40721" w:rsidRPr="002F4209">
        <w:rPr>
          <w:snapToGrid/>
          <w:szCs w:val="22"/>
        </w:rPr>
        <w:t xml:space="preserve"> proposals </w:t>
      </w:r>
      <w:r w:rsidR="00B93AC6" w:rsidRPr="002F4209">
        <w:rPr>
          <w:snapToGrid/>
          <w:szCs w:val="22"/>
        </w:rPr>
        <w:t xml:space="preserve">must be filed </w:t>
      </w:r>
      <w:r w:rsidR="00D40721" w:rsidRPr="002F4209">
        <w:rPr>
          <w:snapToGrid/>
          <w:szCs w:val="22"/>
        </w:rPr>
        <w:t>on or before the date indicated on the first page of this</w:t>
      </w:r>
      <w:r w:rsidR="00956518" w:rsidRPr="002F4209">
        <w:rPr>
          <w:snapToGrid/>
          <w:szCs w:val="22"/>
        </w:rPr>
        <w:t xml:space="preserve"> </w:t>
      </w:r>
      <w:r w:rsidR="00956518" w:rsidRPr="002F4209">
        <w:rPr>
          <w:i/>
          <w:snapToGrid/>
          <w:szCs w:val="22"/>
        </w:rPr>
        <w:t>Public Notice</w:t>
      </w:r>
      <w:r w:rsidR="00956518" w:rsidRPr="002F4209">
        <w:rPr>
          <w:snapToGrid/>
          <w:szCs w:val="22"/>
        </w:rPr>
        <w:t xml:space="preserve">.  </w:t>
      </w:r>
      <w:r w:rsidR="00754B06" w:rsidRPr="002F4209">
        <w:rPr>
          <w:snapToGrid/>
          <w:szCs w:val="22"/>
        </w:rPr>
        <w:t xml:space="preserve">As established for the “first wave” proposals, this proceeding remains “permit-but-disclose” in accordance with the Commission’s </w:t>
      </w:r>
      <w:r w:rsidR="00754B06" w:rsidRPr="002F4209">
        <w:rPr>
          <w:i/>
          <w:snapToGrid/>
          <w:szCs w:val="22"/>
        </w:rPr>
        <w:t xml:space="preserve">ex parte </w:t>
      </w:r>
      <w:r w:rsidR="00754B06" w:rsidRPr="002F4209">
        <w:rPr>
          <w:snapToGrid/>
          <w:szCs w:val="22"/>
        </w:rPr>
        <w:t>rules.</w:t>
      </w:r>
      <w:r w:rsidR="00754B06">
        <w:rPr>
          <w:rStyle w:val="FootnoteReference"/>
          <w:snapToGrid/>
          <w:szCs w:val="22"/>
        </w:rPr>
        <w:footnoteReference w:id="17"/>
      </w:r>
      <w:r w:rsidR="00754B06" w:rsidRPr="002F4209">
        <w:rPr>
          <w:snapToGrid/>
          <w:szCs w:val="22"/>
        </w:rPr>
        <w:t xml:space="preserve">  </w:t>
      </w:r>
      <w:r w:rsidR="00B93AC6" w:rsidRPr="002F4209">
        <w:rPr>
          <w:snapToGrid/>
          <w:szCs w:val="22"/>
        </w:rPr>
        <w:t>Prospective SAS Administrators and ESC operators</w:t>
      </w:r>
      <w:r w:rsidR="00D40721" w:rsidRPr="002F4209">
        <w:rPr>
          <w:szCs w:val="22"/>
        </w:rPr>
        <w:t xml:space="preserve"> may request confidential treatment of information contained in their proposals consistent with section 0.459 of the Commission’s rules.</w:t>
      </w:r>
      <w:r w:rsidR="00D40721">
        <w:rPr>
          <w:rStyle w:val="FootnoteReference"/>
          <w:szCs w:val="22"/>
        </w:rPr>
        <w:footnoteReference w:id="18"/>
      </w:r>
      <w:r w:rsidR="00D40721" w:rsidRPr="002F4209">
        <w:rPr>
          <w:szCs w:val="22"/>
        </w:rPr>
        <w:t xml:space="preserve">  </w:t>
      </w:r>
      <w:r w:rsidR="00754B06">
        <w:t>Consistent with the Commission’s rules, such confidential information may be shared with federal agencies, including NTIA and the Department of Defense.</w:t>
      </w:r>
      <w:r w:rsidR="00754B06">
        <w:rPr>
          <w:rStyle w:val="FootnoteReference"/>
        </w:rPr>
        <w:footnoteReference w:id="19"/>
      </w:r>
      <w:r w:rsidR="00754B06">
        <w:t xml:space="preserve">  </w:t>
      </w:r>
      <w:r w:rsidR="00D40721" w:rsidRPr="002F4209">
        <w:rPr>
          <w:szCs w:val="22"/>
        </w:rPr>
        <w:t xml:space="preserve">All such filings should refer to </w:t>
      </w:r>
      <w:r w:rsidR="00D40721" w:rsidRPr="002F4209">
        <w:rPr>
          <w:b/>
          <w:szCs w:val="22"/>
        </w:rPr>
        <w:t>GN Docket 15-</w:t>
      </w:r>
      <w:r w:rsidR="005F6638" w:rsidRPr="002F4209">
        <w:rPr>
          <w:b/>
          <w:szCs w:val="22"/>
        </w:rPr>
        <w:t>319</w:t>
      </w:r>
      <w:r w:rsidR="00D40721" w:rsidRPr="002F4209">
        <w:rPr>
          <w:szCs w:val="22"/>
        </w:rPr>
        <w:t xml:space="preserve">.  </w:t>
      </w:r>
    </w:p>
    <w:p w:rsidR="00AA796B" w:rsidRPr="00D567ED" w:rsidRDefault="00AA796B" w:rsidP="002F4209">
      <w:pPr>
        <w:suppressAutoHyphens/>
        <w:spacing w:after="120"/>
        <w:ind w:firstLine="720"/>
        <w:jc w:val="left"/>
        <w:rPr>
          <w:szCs w:val="22"/>
        </w:rPr>
      </w:pPr>
      <w:r w:rsidRPr="00D567ED">
        <w:rPr>
          <w:szCs w:val="22"/>
        </w:rPr>
        <w:t xml:space="preserve">Questions regarding this </w:t>
      </w:r>
      <w:r w:rsidRPr="00711271">
        <w:rPr>
          <w:i/>
          <w:szCs w:val="22"/>
        </w:rPr>
        <w:t>Public Notice</w:t>
      </w:r>
      <w:r w:rsidRPr="00D567ED">
        <w:rPr>
          <w:szCs w:val="22"/>
        </w:rPr>
        <w:t xml:space="preserve"> may be directed to </w:t>
      </w:r>
      <w:r w:rsidR="007B7DB7" w:rsidRPr="00D567ED">
        <w:rPr>
          <w:szCs w:val="22"/>
        </w:rPr>
        <w:t>Paul Powell</w:t>
      </w:r>
      <w:r w:rsidR="006535DC">
        <w:rPr>
          <w:szCs w:val="22"/>
        </w:rPr>
        <w:t xml:space="preserve">, </w:t>
      </w:r>
      <w:r w:rsidR="002B3BF6">
        <w:rPr>
          <w:szCs w:val="22"/>
        </w:rPr>
        <w:t>Assistant Chief</w:t>
      </w:r>
      <w:r w:rsidR="006535DC">
        <w:rPr>
          <w:szCs w:val="22"/>
        </w:rPr>
        <w:t>, Wireless Telecommunications Bureau, Mobility Division</w:t>
      </w:r>
      <w:r w:rsidRPr="00D567ED">
        <w:rPr>
          <w:szCs w:val="22"/>
        </w:rPr>
        <w:t xml:space="preserve"> at (202) 418-</w:t>
      </w:r>
      <w:r w:rsidR="00D45CB4" w:rsidRPr="00D567ED">
        <w:rPr>
          <w:szCs w:val="22"/>
        </w:rPr>
        <w:t>1613</w:t>
      </w:r>
      <w:r w:rsidR="009C1B38">
        <w:rPr>
          <w:szCs w:val="22"/>
        </w:rPr>
        <w:t xml:space="preserve"> or</w:t>
      </w:r>
      <w:r w:rsidR="00D45CB4" w:rsidRPr="00D567ED">
        <w:rPr>
          <w:szCs w:val="22"/>
        </w:rPr>
        <w:t xml:space="preserve"> paul.powell@fcc.gov,</w:t>
      </w:r>
      <w:r w:rsidRPr="00D567ED">
        <w:rPr>
          <w:szCs w:val="22"/>
        </w:rPr>
        <w:t xml:space="preserve"> or</w:t>
      </w:r>
      <w:r w:rsidR="000C16C7">
        <w:rPr>
          <w:szCs w:val="22"/>
        </w:rPr>
        <w:t xml:space="preserve"> Navid Golshahi, Electronics Engineer, Office of Engineering and Technology, Policy and Rules Division at (202) 418-2422 or navid.golshahi@fcc.gov</w:t>
      </w:r>
      <w:r w:rsidRPr="00711271">
        <w:rPr>
          <w:szCs w:val="22"/>
        </w:rPr>
        <w:t>.</w:t>
      </w:r>
    </w:p>
    <w:p w:rsidR="00AA796B" w:rsidRPr="00D567ED" w:rsidRDefault="00AA796B" w:rsidP="002F4209">
      <w:pPr>
        <w:suppressAutoHyphens/>
        <w:spacing w:after="120"/>
        <w:ind w:firstLine="720"/>
        <w:jc w:val="left"/>
        <w:rPr>
          <w:szCs w:val="22"/>
        </w:rPr>
      </w:pPr>
      <w:r w:rsidRPr="00D567ED">
        <w:rPr>
          <w:szCs w:val="22"/>
        </w:rPr>
        <w:t xml:space="preserve">By the </w:t>
      </w:r>
      <w:r w:rsidR="007B7DB7" w:rsidRPr="00D567ED">
        <w:rPr>
          <w:szCs w:val="22"/>
        </w:rPr>
        <w:t xml:space="preserve">Chief, Wireless Telecommunications Bureau, and the </w:t>
      </w:r>
      <w:r w:rsidRPr="00D567ED">
        <w:rPr>
          <w:szCs w:val="22"/>
        </w:rPr>
        <w:t>Chief, Office of Engineering and Technology.</w:t>
      </w:r>
    </w:p>
    <w:p w:rsidR="00AA796B" w:rsidRPr="00D45CB4" w:rsidRDefault="00AA796B">
      <w:pPr>
        <w:suppressAutoHyphens/>
        <w:ind w:firstLine="720"/>
        <w:rPr>
          <w:sz w:val="24"/>
          <w:szCs w:val="24"/>
        </w:rPr>
      </w:pPr>
    </w:p>
    <w:p w:rsidR="00AA796B" w:rsidRPr="00D45CB4" w:rsidRDefault="00AA796B">
      <w:pPr>
        <w:suppressAutoHyphens/>
        <w:ind w:firstLine="720"/>
        <w:jc w:val="center"/>
        <w:rPr>
          <w:sz w:val="24"/>
          <w:szCs w:val="24"/>
        </w:rPr>
      </w:pPr>
      <w:r w:rsidRPr="00D45CB4">
        <w:rPr>
          <w:sz w:val="24"/>
          <w:szCs w:val="24"/>
        </w:rPr>
        <w:t>-FCC-</w:t>
      </w:r>
    </w:p>
    <w:sectPr w:rsidR="00AA796B" w:rsidRPr="00D45CB4">
      <w:endnotePr>
        <w:numFmt w:val="decimal"/>
      </w:endnotePr>
      <w:type w:val="continuous"/>
      <w:pgSz w:w="12240" w:h="15840"/>
      <w:pgMar w:top="1440" w:right="1440" w:bottom="72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69" w:rsidRDefault="00895D69">
      <w:pPr>
        <w:spacing w:line="20" w:lineRule="exact"/>
      </w:pPr>
    </w:p>
  </w:endnote>
  <w:endnote w:type="continuationSeparator" w:id="0">
    <w:p w:rsidR="00895D69" w:rsidRDefault="00895D69">
      <w:r>
        <w:t xml:space="preserve"> </w:t>
      </w:r>
    </w:p>
  </w:endnote>
  <w:endnote w:type="continuationNotice" w:id="1">
    <w:p w:rsidR="00895D69" w:rsidRDefault="00895D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6B" w:rsidRDefault="00AA79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96B" w:rsidRDefault="00AA7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738783"/>
      <w:docPartObj>
        <w:docPartGallery w:val="Page Numbers (Bottom of Page)"/>
        <w:docPartUnique/>
      </w:docPartObj>
    </w:sdtPr>
    <w:sdtEndPr>
      <w:rPr>
        <w:noProof/>
      </w:rPr>
    </w:sdtEndPr>
    <w:sdtContent>
      <w:p w:rsidR="008B227D" w:rsidRDefault="008B227D">
        <w:pPr>
          <w:pStyle w:val="Footer"/>
          <w:jc w:val="center"/>
        </w:pPr>
        <w:r>
          <w:fldChar w:fldCharType="begin"/>
        </w:r>
        <w:r>
          <w:instrText xml:space="preserve"> PAGE   \* MERGEFORMAT </w:instrText>
        </w:r>
        <w:r>
          <w:fldChar w:fldCharType="separate"/>
        </w:r>
        <w:r w:rsidR="004C173C">
          <w:rPr>
            <w:noProof/>
          </w:rPr>
          <w:t>2</w:t>
        </w:r>
        <w:r>
          <w:rPr>
            <w:noProof/>
          </w:rPr>
          <w:fldChar w:fldCharType="end"/>
        </w:r>
      </w:p>
    </w:sdtContent>
  </w:sdt>
  <w:p w:rsidR="00110F16" w:rsidRPr="00110F16" w:rsidRDefault="00110F16" w:rsidP="005F6638">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A5" w:rsidRDefault="00670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69" w:rsidRDefault="00895D69">
      <w:r>
        <w:separator/>
      </w:r>
    </w:p>
  </w:footnote>
  <w:footnote w:type="continuationSeparator" w:id="0">
    <w:p w:rsidR="00895D69" w:rsidRDefault="00895D69">
      <w:r>
        <w:continuationSeparator/>
      </w:r>
    </w:p>
  </w:footnote>
  <w:footnote w:type="continuationNotice" w:id="1">
    <w:p w:rsidR="00895D69" w:rsidRDefault="00895D69"/>
  </w:footnote>
  <w:footnote w:id="2">
    <w:p w:rsidR="00F55409" w:rsidRPr="00F55409" w:rsidRDefault="00F55409" w:rsidP="00F55409">
      <w:pPr>
        <w:pStyle w:val="FootnoteText"/>
      </w:pPr>
      <w:r w:rsidRPr="00F55409">
        <w:rPr>
          <w:rStyle w:val="FootnoteReference"/>
        </w:rPr>
        <w:footnoteRef/>
      </w:r>
      <w:r w:rsidRPr="00F55409">
        <w:t xml:space="preserve"> </w:t>
      </w:r>
      <w:r w:rsidRPr="00F55409">
        <w:rPr>
          <w:i/>
        </w:rPr>
        <w:t>Amendment of the Commission's Rules with Regard to Commercial Operations in the 3550-3650 MHz Band</w:t>
      </w:r>
      <w:r w:rsidRPr="00F55409">
        <w:t xml:space="preserve">, GN </w:t>
      </w:r>
      <w:r w:rsidR="00C03077">
        <w:t xml:space="preserve">Docket 12-354, </w:t>
      </w:r>
      <w:r w:rsidRPr="00F55409">
        <w:t>Report and Order and Second Further Notice of Proposed Rulemaking, 30 FCC Rcd 3959 (2015) (</w:t>
      </w:r>
      <w:r w:rsidRPr="00F55409">
        <w:rPr>
          <w:i/>
        </w:rPr>
        <w:t>3.5 GHz First Order</w:t>
      </w:r>
      <w:r w:rsidRPr="00F55409">
        <w:t>).</w:t>
      </w:r>
      <w:r w:rsidRPr="00F55409">
        <w:rPr>
          <w:i/>
        </w:rPr>
        <w:t xml:space="preserve">  See 3.5 GHz First Order, </w:t>
      </w:r>
      <w:r w:rsidRPr="00F55409">
        <w:t xml:space="preserve">30 FCC Rcd 3959, 4067, 4070-4071, paras. 372, 386; 47 C.F.R. §§ 96.1 </w:t>
      </w:r>
      <w:r w:rsidRPr="00F55409">
        <w:rPr>
          <w:i/>
        </w:rPr>
        <w:t>et seq.</w:t>
      </w:r>
      <w:r w:rsidRPr="00F55409">
        <w:rPr>
          <w:i/>
          <w:snapToGrid w:val="0"/>
          <w:kern w:val="28"/>
        </w:rPr>
        <w:t xml:space="preserve"> </w:t>
      </w:r>
    </w:p>
  </w:footnote>
  <w:footnote w:id="3">
    <w:p w:rsidR="001135B7" w:rsidRPr="00F55409" w:rsidRDefault="001135B7" w:rsidP="001135B7">
      <w:pPr>
        <w:autoSpaceDE w:val="0"/>
        <w:autoSpaceDN w:val="0"/>
        <w:adjustRightInd w:val="0"/>
        <w:rPr>
          <w:sz w:val="20"/>
        </w:rPr>
      </w:pPr>
      <w:r w:rsidRPr="00F55409">
        <w:rPr>
          <w:rStyle w:val="FootnoteReference"/>
        </w:rPr>
        <w:footnoteRef/>
      </w:r>
      <w:r w:rsidRPr="00F55409">
        <w:rPr>
          <w:sz w:val="20"/>
        </w:rPr>
        <w:t xml:space="preserve"> </w:t>
      </w:r>
      <w:r w:rsidRPr="00F55409">
        <w:rPr>
          <w:i/>
          <w:sz w:val="20"/>
        </w:rPr>
        <w:t xml:space="preserve">See </w:t>
      </w:r>
      <w:r w:rsidR="00B13C6B" w:rsidRPr="00F55409">
        <w:rPr>
          <w:i/>
          <w:sz w:val="20"/>
        </w:rPr>
        <w:t>generally 3.5 GHz First Order</w:t>
      </w:r>
      <w:r w:rsidR="00B13C6B" w:rsidRPr="00F55409">
        <w:rPr>
          <w:sz w:val="20"/>
        </w:rPr>
        <w:t>,</w:t>
      </w:r>
      <w:r w:rsidRPr="00F55409">
        <w:rPr>
          <w:i/>
          <w:sz w:val="20"/>
        </w:rPr>
        <w:t xml:space="preserve"> </w:t>
      </w:r>
      <w:r w:rsidRPr="00F55409">
        <w:rPr>
          <w:sz w:val="20"/>
        </w:rPr>
        <w:t>30 FCC Rcd 3959.</w:t>
      </w:r>
      <w:r w:rsidR="00F55409" w:rsidRPr="00F55409">
        <w:rPr>
          <w:sz w:val="20"/>
        </w:rPr>
        <w:t xml:space="preserve"> </w:t>
      </w:r>
      <w:r w:rsidR="008B227D">
        <w:rPr>
          <w:sz w:val="20"/>
        </w:rPr>
        <w:t xml:space="preserve"> </w:t>
      </w:r>
      <w:r w:rsidR="00F55409" w:rsidRPr="00F55409">
        <w:rPr>
          <w:sz w:val="20"/>
        </w:rPr>
        <w:t xml:space="preserve">The Commission later adopted an </w:t>
      </w:r>
      <w:r w:rsidR="00F55409" w:rsidRPr="00F55409">
        <w:rPr>
          <w:i/>
          <w:sz w:val="20"/>
        </w:rPr>
        <w:t xml:space="preserve">Order on Reconsideration and Second Report and Order </w:t>
      </w:r>
      <w:r w:rsidR="00F55409" w:rsidRPr="00F55409">
        <w:rPr>
          <w:sz w:val="20"/>
        </w:rPr>
        <w:t xml:space="preserve">that addressed petitions for reconsideration filed in response to the </w:t>
      </w:r>
      <w:r w:rsidR="00F55409" w:rsidRPr="00F55409">
        <w:rPr>
          <w:i/>
          <w:sz w:val="20"/>
        </w:rPr>
        <w:t xml:space="preserve">3.5 GHz First Order </w:t>
      </w:r>
      <w:r w:rsidR="00F55409" w:rsidRPr="00F55409">
        <w:rPr>
          <w:sz w:val="20"/>
        </w:rPr>
        <w:t xml:space="preserve">as well as certain </w:t>
      </w:r>
      <w:r w:rsidR="004A228B" w:rsidRPr="00F55409">
        <w:rPr>
          <w:sz w:val="20"/>
        </w:rPr>
        <w:t>outstanding</w:t>
      </w:r>
      <w:r w:rsidR="00F55409" w:rsidRPr="00F55409">
        <w:rPr>
          <w:sz w:val="20"/>
        </w:rPr>
        <w:t xml:space="preserve"> issues raised in the</w:t>
      </w:r>
      <w:r w:rsidR="00F55409" w:rsidRPr="00F55409">
        <w:rPr>
          <w:i/>
          <w:sz w:val="20"/>
        </w:rPr>
        <w:t xml:space="preserve"> Second FNPRM.</w:t>
      </w:r>
      <w:r w:rsidR="008B227D">
        <w:rPr>
          <w:i/>
          <w:sz w:val="20"/>
        </w:rPr>
        <w:t xml:space="preserve"> </w:t>
      </w:r>
      <w:r w:rsidR="00F55409" w:rsidRPr="00F55409">
        <w:rPr>
          <w:sz w:val="20"/>
        </w:rPr>
        <w:t xml:space="preserve"> </w:t>
      </w:r>
      <w:r w:rsidR="00F55409" w:rsidRPr="00F55409">
        <w:rPr>
          <w:i/>
          <w:sz w:val="20"/>
        </w:rPr>
        <w:t>See</w:t>
      </w:r>
      <w:r w:rsidR="00F55409" w:rsidRPr="00F55409">
        <w:rPr>
          <w:sz w:val="20"/>
        </w:rPr>
        <w:t xml:space="preserve"> </w:t>
      </w:r>
      <w:r w:rsidR="00F55409" w:rsidRPr="00F55409">
        <w:rPr>
          <w:i/>
          <w:sz w:val="20"/>
        </w:rPr>
        <w:t xml:space="preserve">Amendment of the Commission’s Rules with Regard to Commercial Operations in the 3550-3650 MHz Band, </w:t>
      </w:r>
      <w:r w:rsidR="00F55409" w:rsidRPr="00F55409">
        <w:rPr>
          <w:sz w:val="20"/>
        </w:rPr>
        <w:t>GN Docket No. 12-354, Order on Reconsideration and Second Report and Order, 31 FCC Rcd 5011 (2016) (</w:t>
      </w:r>
      <w:r w:rsidR="00F55409" w:rsidRPr="00F55409">
        <w:rPr>
          <w:i/>
          <w:sz w:val="20"/>
        </w:rPr>
        <w:t xml:space="preserve">3.5 GHz Second </w:t>
      </w:r>
      <w:r w:rsidR="00C03077">
        <w:rPr>
          <w:i/>
          <w:sz w:val="20"/>
        </w:rPr>
        <w:t>Order</w:t>
      </w:r>
      <w:r w:rsidR="00F55409" w:rsidRPr="00F55409">
        <w:rPr>
          <w:sz w:val="20"/>
        </w:rPr>
        <w:t>).</w:t>
      </w:r>
    </w:p>
    <w:p w:rsidR="001135B7" w:rsidRPr="00F55409" w:rsidRDefault="001135B7" w:rsidP="001135B7">
      <w:pPr>
        <w:autoSpaceDE w:val="0"/>
        <w:autoSpaceDN w:val="0"/>
        <w:adjustRightInd w:val="0"/>
        <w:rPr>
          <w:sz w:val="20"/>
        </w:rPr>
      </w:pPr>
    </w:p>
  </w:footnote>
  <w:footnote w:id="4">
    <w:p w:rsidR="00F55409" w:rsidRPr="00F55409" w:rsidRDefault="00F55409" w:rsidP="00F55409">
      <w:pPr>
        <w:pStyle w:val="FootnoteText"/>
      </w:pPr>
      <w:r w:rsidRPr="00F55409">
        <w:rPr>
          <w:rStyle w:val="FootnoteReference"/>
        </w:rPr>
        <w:footnoteRef/>
      </w:r>
      <w:r w:rsidRPr="00F55409">
        <w:t xml:space="preserve"> </w:t>
      </w:r>
      <w:r w:rsidRPr="00F55409">
        <w:rPr>
          <w:i/>
          <w:snapToGrid w:val="0"/>
        </w:rPr>
        <w:t>See 3.5 GHz First Order,</w:t>
      </w:r>
      <w:r w:rsidRPr="00F55409">
        <w:rPr>
          <w:snapToGrid w:val="0"/>
        </w:rPr>
        <w:t xml:space="preserve"> 30 FCC Rcd at 4051-54, paras. 359-366, 369-373.  </w:t>
      </w:r>
      <w:r w:rsidRPr="00F55409">
        <w:rPr>
          <w:i/>
          <w:snapToGrid w:val="0"/>
        </w:rPr>
        <w:t xml:space="preserve">See </w:t>
      </w:r>
      <w:r w:rsidRPr="00F55409">
        <w:rPr>
          <w:snapToGrid w:val="0"/>
        </w:rPr>
        <w:t>47 C</w:t>
      </w:r>
      <w:r w:rsidR="00C03077">
        <w:rPr>
          <w:snapToGrid w:val="0"/>
        </w:rPr>
        <w:t>.</w:t>
      </w:r>
      <w:r w:rsidRPr="00F55409">
        <w:rPr>
          <w:snapToGrid w:val="0"/>
        </w:rPr>
        <w:t>F</w:t>
      </w:r>
      <w:r w:rsidR="00C03077">
        <w:rPr>
          <w:snapToGrid w:val="0"/>
        </w:rPr>
        <w:t>.</w:t>
      </w:r>
      <w:r w:rsidRPr="00F55409">
        <w:rPr>
          <w:snapToGrid w:val="0"/>
        </w:rPr>
        <w:t>R</w:t>
      </w:r>
      <w:r w:rsidR="00C03077">
        <w:rPr>
          <w:snapToGrid w:val="0"/>
        </w:rPr>
        <w:t>.</w:t>
      </w:r>
      <w:r w:rsidRPr="00F55409">
        <w:rPr>
          <w:snapToGrid w:val="0"/>
        </w:rPr>
        <w:t xml:space="preserve"> §§ 0.241(j) and 0.331(f).</w:t>
      </w:r>
    </w:p>
  </w:footnote>
  <w:footnote w:id="5">
    <w:p w:rsidR="001135B7" w:rsidRPr="00F55409" w:rsidRDefault="001135B7" w:rsidP="001135B7">
      <w:pPr>
        <w:pStyle w:val="FootnoteText"/>
      </w:pPr>
      <w:r w:rsidRPr="00F55409">
        <w:rPr>
          <w:rStyle w:val="FootnoteReference"/>
        </w:rPr>
        <w:footnoteRef/>
      </w:r>
      <w:r w:rsidRPr="00F55409">
        <w:t xml:space="preserve"> </w:t>
      </w:r>
      <w:r w:rsidRPr="00F55409">
        <w:rPr>
          <w:i/>
        </w:rPr>
        <w:t>Wireless Telecommunications Bureau and Office of Engineering and Technology Establish Procedure and Deadline for Filing Spectrum Access System (SAS) Administrators(s) and Environmental Sensing Capability (ESC) Operator(s) Applications,</w:t>
      </w:r>
      <w:r w:rsidRPr="00F55409">
        <w:t xml:space="preserve"> GN Docket No. 15-319, Public Notice, 30 FCC Rcd 14170 (WTB/OET Dec. 2015) </w:t>
      </w:r>
      <w:r w:rsidRPr="00F55409">
        <w:rPr>
          <w:i/>
        </w:rPr>
        <w:t>(SAS/ESC Proposal Public Notice).</w:t>
      </w:r>
    </w:p>
  </w:footnote>
  <w:footnote w:id="6">
    <w:p w:rsidR="007D788B" w:rsidRPr="00F55409" w:rsidRDefault="007D788B">
      <w:pPr>
        <w:pStyle w:val="FootnoteText"/>
      </w:pPr>
      <w:r w:rsidRPr="00F55409">
        <w:rPr>
          <w:rStyle w:val="FootnoteReference"/>
        </w:rPr>
        <w:footnoteRef/>
      </w:r>
      <w:r w:rsidRPr="00F55409">
        <w:t xml:space="preserve"> </w:t>
      </w:r>
      <w:r w:rsidRPr="00F55409">
        <w:rPr>
          <w:i/>
          <w:snapToGrid w:val="0"/>
        </w:rPr>
        <w:t xml:space="preserve">See </w:t>
      </w:r>
      <w:r w:rsidR="00C03077">
        <w:rPr>
          <w:i/>
          <w:snapToGrid w:val="0"/>
        </w:rPr>
        <w:t>id.</w:t>
      </w:r>
    </w:p>
  </w:footnote>
  <w:footnote w:id="7">
    <w:p w:rsidR="002A56C7" w:rsidRPr="00F55409" w:rsidRDefault="002A56C7">
      <w:pPr>
        <w:pStyle w:val="FootnoteText"/>
      </w:pPr>
      <w:r w:rsidRPr="00F55409">
        <w:rPr>
          <w:rStyle w:val="FootnoteReference"/>
        </w:rPr>
        <w:footnoteRef/>
      </w:r>
      <w:r w:rsidRPr="00F55409">
        <w:t xml:space="preserve"> </w:t>
      </w:r>
      <w:r w:rsidRPr="00F55409">
        <w:rPr>
          <w:i/>
        </w:rPr>
        <w:t xml:space="preserve">Wireless Telecommunications Bureau and Office of Engineering and Technology Conditionally Approve Seven Spectrum Access System Administrators for the 3.5 GHz Band, </w:t>
      </w:r>
      <w:r w:rsidRPr="00F55409">
        <w:t>GN Docket No. 15-319, Public Notice, 2016 WL 7390990 (WTB/OET Dec. 2016).</w:t>
      </w:r>
    </w:p>
  </w:footnote>
  <w:footnote w:id="8">
    <w:p w:rsidR="00553E16" w:rsidRPr="00F55409" w:rsidRDefault="00553E16">
      <w:pPr>
        <w:pStyle w:val="FootnoteText"/>
      </w:pPr>
      <w:r w:rsidRPr="00F55409">
        <w:rPr>
          <w:rStyle w:val="FootnoteReference"/>
        </w:rPr>
        <w:footnoteRef/>
      </w:r>
      <w:r w:rsidRPr="00F55409">
        <w:t xml:space="preserve"> </w:t>
      </w:r>
      <w:r w:rsidRPr="00F55409">
        <w:rPr>
          <w:i/>
          <w:snapToGrid w:val="0"/>
        </w:rPr>
        <w:t xml:space="preserve">See SAS/ESC Proposal Public Notice, </w:t>
      </w:r>
      <w:r w:rsidRPr="00F55409">
        <w:rPr>
          <w:snapToGrid w:val="0"/>
        </w:rPr>
        <w:t>30 FCC Rcd at 14174-14176, n.7.</w:t>
      </w:r>
    </w:p>
  </w:footnote>
  <w:footnote w:id="9">
    <w:p w:rsidR="002B7428" w:rsidRPr="002B7428" w:rsidRDefault="002B7428">
      <w:pPr>
        <w:pStyle w:val="FootnoteText"/>
        <w:rPr>
          <w:i/>
        </w:rPr>
      </w:pPr>
      <w:r>
        <w:rPr>
          <w:rStyle w:val="FootnoteReference"/>
        </w:rPr>
        <w:footnoteRef/>
      </w:r>
      <w:r>
        <w:t xml:space="preserve"> </w:t>
      </w:r>
      <w:r>
        <w:rPr>
          <w:i/>
        </w:rPr>
        <w:t xml:space="preserve">See </w:t>
      </w:r>
      <w:r>
        <w:t xml:space="preserve">47 CFR §§ 96.1, </w:t>
      </w:r>
      <w:r>
        <w:rPr>
          <w:i/>
        </w:rPr>
        <w:t>et seq.</w:t>
      </w:r>
    </w:p>
  </w:footnote>
  <w:footnote w:id="10">
    <w:p w:rsidR="004B7A47" w:rsidRPr="00F55409" w:rsidRDefault="004B7A47">
      <w:pPr>
        <w:pStyle w:val="FootnoteText"/>
        <w:rPr>
          <w:b/>
        </w:rPr>
      </w:pPr>
      <w:r w:rsidRPr="00F55409">
        <w:rPr>
          <w:rStyle w:val="FootnoteReference"/>
        </w:rPr>
        <w:footnoteRef/>
      </w:r>
      <w:r w:rsidRPr="00F55409">
        <w:t xml:space="preserve"> </w:t>
      </w:r>
      <w:r w:rsidR="00621B74" w:rsidRPr="00F55409">
        <w:rPr>
          <w:i/>
        </w:rPr>
        <w:t>See SAS/ESC Proposal Public Notice</w:t>
      </w:r>
      <w:r w:rsidR="00621B74" w:rsidRPr="00F55409">
        <w:t>.</w:t>
      </w:r>
      <w:r w:rsidR="00621B74" w:rsidRPr="00F55409">
        <w:rPr>
          <w:i/>
        </w:rPr>
        <w:t xml:space="preserve"> </w:t>
      </w:r>
    </w:p>
  </w:footnote>
  <w:footnote w:id="11">
    <w:p w:rsidR="00574372" w:rsidRPr="00F55409" w:rsidRDefault="00574372" w:rsidP="00574372">
      <w:pPr>
        <w:pStyle w:val="FootnoteText"/>
      </w:pPr>
      <w:r w:rsidRPr="00F55409">
        <w:rPr>
          <w:rStyle w:val="FootnoteReference"/>
        </w:rPr>
        <w:footnoteRef/>
      </w:r>
      <w:r w:rsidR="002B7428">
        <w:t xml:space="preserve"> 47 CFR</w:t>
      </w:r>
      <w:r w:rsidRPr="00F55409">
        <w:t xml:space="preserve"> §§ 96.53-96.65.</w:t>
      </w:r>
    </w:p>
  </w:footnote>
  <w:footnote w:id="12">
    <w:p w:rsidR="00574372" w:rsidRPr="00F55409" w:rsidRDefault="00574372" w:rsidP="00574372">
      <w:pPr>
        <w:pStyle w:val="FootnoteText"/>
      </w:pPr>
      <w:r w:rsidRPr="00F55409">
        <w:rPr>
          <w:rStyle w:val="FootnoteReference"/>
        </w:rPr>
        <w:footnoteRef/>
      </w:r>
      <w:r w:rsidRPr="00F55409">
        <w:t xml:space="preserve"> </w:t>
      </w:r>
      <w:r w:rsidR="00C03077">
        <w:rPr>
          <w:i/>
        </w:rPr>
        <w:t xml:space="preserve">Id. </w:t>
      </w:r>
      <w:r w:rsidRPr="00F55409">
        <w:t>§ 96.67.</w:t>
      </w:r>
    </w:p>
  </w:footnote>
  <w:footnote w:id="13">
    <w:p w:rsidR="00574372" w:rsidRPr="009E7E8F" w:rsidRDefault="00574372">
      <w:pPr>
        <w:pStyle w:val="FootnoteText"/>
      </w:pPr>
      <w:r w:rsidRPr="00F55409">
        <w:rPr>
          <w:rStyle w:val="FootnoteReference"/>
        </w:rPr>
        <w:footnoteRef/>
      </w:r>
      <w:r w:rsidRPr="00F55409">
        <w:t xml:space="preserve"> Parties may submit one filing for both SAS Administrator and ESC operator but the filing must clearly delineate how the system will comply with the requirements for each separate role, and how to address any potential conflicts of interest between the two functions.</w:t>
      </w:r>
      <w:r w:rsidR="00621B74" w:rsidRPr="00F55409">
        <w:t xml:space="preserve"> </w:t>
      </w:r>
      <w:r w:rsidR="00C03077">
        <w:t xml:space="preserve"> </w:t>
      </w:r>
      <w:r w:rsidR="00C03077">
        <w:rPr>
          <w:i/>
        </w:rPr>
        <w:t xml:space="preserve">SAS/ESC Proposal Public Notice, </w:t>
      </w:r>
      <w:r w:rsidR="00C03077">
        <w:t>30 FCC Rcd 14174.</w:t>
      </w:r>
    </w:p>
  </w:footnote>
  <w:footnote w:id="14">
    <w:p w:rsidR="008D21B3" w:rsidRPr="00F55409" w:rsidRDefault="008D21B3">
      <w:pPr>
        <w:pStyle w:val="FootnoteText"/>
      </w:pPr>
      <w:r w:rsidRPr="00F55409">
        <w:rPr>
          <w:rStyle w:val="FootnoteReference"/>
        </w:rPr>
        <w:footnoteRef/>
      </w:r>
      <w:r w:rsidRPr="00F55409">
        <w:t xml:space="preserve"> </w:t>
      </w:r>
      <w:r w:rsidRPr="00F55409">
        <w:rPr>
          <w:i/>
        </w:rPr>
        <w:t xml:space="preserve">See </w:t>
      </w:r>
      <w:r w:rsidR="002B72C7" w:rsidRPr="00F55409">
        <w:rPr>
          <w:i/>
        </w:rPr>
        <w:t>id.,</w:t>
      </w:r>
      <w:r w:rsidRPr="00F55409">
        <w:rPr>
          <w:i/>
        </w:rPr>
        <w:t xml:space="preserve"> </w:t>
      </w:r>
      <w:r w:rsidRPr="00F55409">
        <w:t xml:space="preserve">30 FCC Rcd 3959, 4067, </w:t>
      </w:r>
      <w:r w:rsidR="00C03077">
        <w:t>para</w:t>
      </w:r>
      <w:r w:rsidRPr="00F55409">
        <w:t xml:space="preserve"> 372.</w:t>
      </w:r>
    </w:p>
  </w:footnote>
  <w:footnote w:id="15">
    <w:p w:rsidR="00C03077" w:rsidRPr="00F55409" w:rsidRDefault="00A06554" w:rsidP="00A06554">
      <w:pPr>
        <w:pStyle w:val="FootnoteText"/>
        <w:rPr>
          <w:i/>
        </w:rPr>
      </w:pPr>
      <w:r w:rsidRPr="00F55409">
        <w:rPr>
          <w:rStyle w:val="FootnoteReference"/>
        </w:rPr>
        <w:footnoteRef/>
      </w:r>
      <w:r w:rsidRPr="00F55409">
        <w:t xml:space="preserve"> </w:t>
      </w:r>
      <w:r w:rsidR="008D21B3" w:rsidRPr="00F55409">
        <w:rPr>
          <w:i/>
        </w:rPr>
        <w:t xml:space="preserve">See </w:t>
      </w:r>
      <w:r w:rsidR="008A6B7A" w:rsidRPr="00F55409">
        <w:rPr>
          <w:i/>
        </w:rPr>
        <w:t>id.</w:t>
      </w:r>
    </w:p>
  </w:footnote>
  <w:footnote w:id="16">
    <w:p w:rsidR="00D40721" w:rsidRPr="00F55409" w:rsidRDefault="00D40721" w:rsidP="00D40721">
      <w:pPr>
        <w:pStyle w:val="FootnoteText"/>
      </w:pPr>
      <w:r w:rsidRPr="00F55409">
        <w:rPr>
          <w:rStyle w:val="FootnoteReference"/>
        </w:rPr>
        <w:footnoteRef/>
      </w:r>
      <w:r w:rsidRPr="00F55409">
        <w:t xml:space="preserve"> While we will accept proposals via ECFS, we are not requesting public comment on the proposals at this time.</w:t>
      </w:r>
    </w:p>
  </w:footnote>
  <w:footnote w:id="17">
    <w:p w:rsidR="00754B06" w:rsidRPr="00F55409" w:rsidRDefault="00754B06" w:rsidP="00754B06">
      <w:pPr>
        <w:pStyle w:val="FootnoteText"/>
      </w:pPr>
      <w:r w:rsidRPr="00F55409">
        <w:rPr>
          <w:rStyle w:val="FootnoteReference"/>
        </w:rPr>
        <w:footnoteRef/>
      </w:r>
      <w:r w:rsidRPr="00F55409">
        <w:t xml:space="preserve"> </w:t>
      </w:r>
      <w:r w:rsidRPr="00F55409">
        <w:rPr>
          <w:i/>
        </w:rPr>
        <w:t>See Wireless Telecommunications Bureau and Office of Engineering and Technology Announce Ex Parte Status and Inter-Agency Confidentiality Procedures for Submissions in GN Docket No. 15-319</w:t>
      </w:r>
      <w:r w:rsidRPr="00F55409">
        <w:t>, Public Notice, 31 FCC Rcd 5312, (WTB/OET May 19, 2016) (</w:t>
      </w:r>
      <w:r w:rsidRPr="00F55409">
        <w:rPr>
          <w:i/>
        </w:rPr>
        <w:t>SAS/ESC Ex Parte Procedures Public Notice</w:t>
      </w:r>
      <w:r w:rsidRPr="00F55409">
        <w:t xml:space="preserve">); 47 CFR §§ 1.1200 </w:t>
      </w:r>
      <w:r w:rsidRPr="00F55409">
        <w:rPr>
          <w:i/>
        </w:rPr>
        <w:t>et seq.</w:t>
      </w:r>
    </w:p>
  </w:footnote>
  <w:footnote w:id="18">
    <w:p w:rsidR="00D40721" w:rsidRPr="00F55409" w:rsidRDefault="00D40721" w:rsidP="00D40721">
      <w:pPr>
        <w:pStyle w:val="FootnoteText"/>
      </w:pPr>
      <w:r w:rsidRPr="00F55409">
        <w:rPr>
          <w:rStyle w:val="FootnoteReference"/>
        </w:rPr>
        <w:footnoteRef/>
      </w:r>
      <w:r w:rsidRPr="00F55409">
        <w:t xml:space="preserve"> </w:t>
      </w:r>
      <w:r w:rsidRPr="00F55409">
        <w:rPr>
          <w:i/>
        </w:rPr>
        <w:t xml:space="preserve">See </w:t>
      </w:r>
      <w:r w:rsidRPr="00F55409">
        <w:t>47 C.F.R. § 0.459.</w:t>
      </w:r>
    </w:p>
  </w:footnote>
  <w:footnote w:id="19">
    <w:p w:rsidR="00754B06" w:rsidRPr="00F55409" w:rsidRDefault="00754B06" w:rsidP="00754B06">
      <w:pPr>
        <w:pStyle w:val="HTMLPreformatted"/>
        <w:rPr>
          <w:i/>
          <w:color w:val="000000"/>
        </w:rPr>
      </w:pPr>
      <w:r w:rsidRPr="00F55409">
        <w:rPr>
          <w:rStyle w:val="FootnoteReference"/>
        </w:rPr>
        <w:footnoteRef/>
      </w:r>
      <w:r w:rsidRPr="00F55409">
        <w:t xml:space="preserve"> </w:t>
      </w:r>
      <w:r w:rsidRPr="00F55409">
        <w:rPr>
          <w:rFonts w:ascii="Times New Roman" w:hAnsi="Times New Roman" w:cs="Times New Roman"/>
          <w:color w:val="000000"/>
        </w:rPr>
        <w:t xml:space="preserve">Any party that opposes the sharing of this information with other agencies has ten days from the date of the confidential filing to oppose such sharing. </w:t>
      </w:r>
      <w:r w:rsidR="00C03077">
        <w:rPr>
          <w:rFonts w:ascii="Times New Roman" w:hAnsi="Times New Roman" w:cs="Times New Roman"/>
          <w:color w:val="000000"/>
        </w:rPr>
        <w:t xml:space="preserve"> </w:t>
      </w:r>
      <w:r w:rsidRPr="00F55409">
        <w:rPr>
          <w:rFonts w:ascii="Times New Roman" w:hAnsi="Times New Roman" w:cs="Times New Roman"/>
          <w:i/>
          <w:color w:val="000000"/>
        </w:rPr>
        <w:t>See</w:t>
      </w:r>
      <w:r w:rsidRPr="00F55409">
        <w:rPr>
          <w:rFonts w:ascii="Times New Roman" w:hAnsi="Times New Roman" w:cs="Times New Roman"/>
          <w:color w:val="000000"/>
        </w:rPr>
        <w:t xml:space="preserve"> 47 C</w:t>
      </w:r>
      <w:r w:rsidR="00C03077">
        <w:rPr>
          <w:rFonts w:ascii="Times New Roman" w:hAnsi="Times New Roman" w:cs="Times New Roman"/>
          <w:color w:val="000000"/>
        </w:rPr>
        <w:t>.</w:t>
      </w:r>
      <w:r w:rsidRPr="00F55409">
        <w:rPr>
          <w:rFonts w:ascii="Times New Roman" w:hAnsi="Times New Roman" w:cs="Times New Roman"/>
          <w:color w:val="000000"/>
        </w:rPr>
        <w:t>F</w:t>
      </w:r>
      <w:r w:rsidR="00C03077">
        <w:rPr>
          <w:rFonts w:ascii="Times New Roman" w:hAnsi="Times New Roman" w:cs="Times New Roman"/>
          <w:color w:val="000000"/>
        </w:rPr>
        <w:t>.</w:t>
      </w:r>
      <w:r w:rsidRPr="00F55409">
        <w:rPr>
          <w:rFonts w:ascii="Times New Roman" w:hAnsi="Times New Roman" w:cs="Times New Roman"/>
          <w:color w:val="000000"/>
        </w:rPr>
        <w:t>R</w:t>
      </w:r>
      <w:r w:rsidR="00C03077">
        <w:rPr>
          <w:rFonts w:ascii="Times New Roman" w:hAnsi="Times New Roman" w:cs="Times New Roman"/>
          <w:color w:val="000000"/>
        </w:rPr>
        <w:t>.</w:t>
      </w:r>
      <w:r w:rsidRPr="00F55409">
        <w:rPr>
          <w:rFonts w:ascii="Times New Roman" w:hAnsi="Times New Roman" w:cs="Times New Roman"/>
          <w:color w:val="000000"/>
        </w:rPr>
        <w:t xml:space="preserve"> § 0.459;</w:t>
      </w:r>
      <w:r w:rsidRPr="00F55409">
        <w:rPr>
          <w:rFonts w:ascii="Times New Roman" w:hAnsi="Times New Roman" w:cs="Times New Roman"/>
          <w:i/>
          <w:snapToGrid w:val="0"/>
          <w:kern w:val="28"/>
        </w:rPr>
        <w:t xml:space="preserve"> </w:t>
      </w:r>
      <w:r w:rsidRPr="00F55409">
        <w:rPr>
          <w:rFonts w:ascii="Times New Roman" w:hAnsi="Times New Roman" w:cs="Times New Roman"/>
          <w:i/>
          <w:color w:val="000000"/>
        </w:rPr>
        <w:t>SAS/ESC Ex Parte Procedures Public Notice</w:t>
      </w:r>
      <w:r w:rsidRPr="00F55409">
        <w:rPr>
          <w:rFonts w:ascii="Times New Roman" w:hAnsi="Times New Roman" w:cs="Times New Roman"/>
          <w:color w:val="000000"/>
        </w:rPr>
        <w:t xml:space="preserve"> at 5313.</w:t>
      </w:r>
      <w:r w:rsidRPr="00F55409">
        <w:rPr>
          <w:rFonts w:ascii="Times New Roman" w:hAnsi="Times New Roman" w:cs="Times New Roman"/>
          <w:i/>
          <w:color w:val="000000"/>
        </w:rPr>
        <w:t xml:space="preserve">  </w:t>
      </w:r>
      <w:r w:rsidRPr="00F55409">
        <w:rPr>
          <w:rFonts w:ascii="Times New Roman" w:hAnsi="Times New Roman" w:cs="Times New Roman"/>
          <w:color w:val="000000"/>
        </w:rPr>
        <w:t xml:space="preserve">However, if the party consents to the sharing of such information, we request that applicants explicitly state this in their filing. </w:t>
      </w:r>
      <w:r w:rsidR="00A75F06" w:rsidRPr="00F55409">
        <w:rPr>
          <w:rFonts w:ascii="Times New Roman" w:hAnsi="Times New Roman" w:cs="Times New Roman"/>
          <w:color w:val="000000"/>
        </w:rPr>
        <w:t xml:space="preserve"> </w:t>
      </w:r>
      <w:r w:rsidRPr="00F55409">
        <w:rPr>
          <w:rFonts w:ascii="Times New Roman" w:hAnsi="Times New Roman" w:cs="Times New Roman"/>
          <w:color w:val="000000"/>
        </w:rPr>
        <w:t>This will waive the ten day period and allow us to share the confidential filings with NTIA and DoD immediately, expediting the review process, a goal shared by the Commission and applicants</w:t>
      </w:r>
      <w:r w:rsidR="00A75F06" w:rsidRPr="00F5540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A5" w:rsidRDefault="00670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A5" w:rsidRDefault="00670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6B" w:rsidRDefault="003A3DF8">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14:anchorId="32F39A29" wp14:editId="466DF022">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A796B" w:rsidRDefault="00AA796B">
    <w:pPr>
      <w:suppressAutoHyphens/>
      <w:ind w:firstLine="1080"/>
      <w:rPr>
        <w:rFonts w:ascii="Arial Narrow" w:hAnsi="Arial Narrow"/>
      </w:rPr>
    </w:pPr>
    <w:r>
      <w:rPr>
        <w:rFonts w:ascii="News Gothic MT" w:hAnsi="News Gothic MT"/>
        <w:b/>
        <w:sz w:val="96"/>
      </w:rPr>
      <w:t>PUBLIC NOTICE</w:t>
    </w:r>
  </w:p>
  <w:p w:rsidR="00AA796B" w:rsidRDefault="00AA796B">
    <w:pPr>
      <w:suppressAutoHyphens/>
      <w:rPr>
        <w:rFonts w:ascii="Arial Narrow" w:hAnsi="Arial Narrow"/>
      </w:rPr>
    </w:pPr>
  </w:p>
  <w:p w:rsidR="00AA796B" w:rsidRDefault="003A3D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216" behindDoc="0" locked="0" layoutInCell="0" allowOverlap="1" wp14:anchorId="02A22F02" wp14:editId="22F20D5C">
              <wp:simplePos x="0" y="0"/>
              <wp:positionH relativeFrom="column">
                <wp:posOffset>4663440</wp:posOffset>
              </wp:positionH>
              <wp:positionV relativeFrom="paragraph">
                <wp:posOffset>12065</wp:posOffset>
              </wp:positionV>
              <wp:extent cx="2194560" cy="731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A796B" w:rsidRDefault="00AA7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A22F02"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kf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" o:allowincell="f" filled="f" stroked="f">
              <v:textbox>
                <w:txbxContent>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A796B" w:rsidRDefault="00AA796B"/>
                </w:txbxContent>
              </v:textbox>
            </v:shape>
          </w:pict>
        </mc:Fallback>
      </mc:AlternateContent>
    </w:r>
    <w:r w:rsidR="00AA796B">
      <w:rPr>
        <w:rFonts w:ascii="Arial Narrow" w:hAnsi="Arial Narrow"/>
        <w:b/>
      </w:rPr>
      <w:tab/>
    </w:r>
    <w:r w:rsidR="00AA796B">
      <w:rPr>
        <w:rFonts w:ascii="Arial Narrow" w:hAnsi="Arial Narrow"/>
        <w:b/>
      </w:rPr>
      <w:tab/>
      <w:t>Federal Communications Commission</w:t>
    </w:r>
  </w:p>
  <w:p w:rsidR="00AA796B" w:rsidRDefault="00AA79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AA796B" w:rsidRDefault="00AA79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AA796B" w:rsidRDefault="003A3DF8">
    <w:pPr>
      <w:pStyle w:val="Header"/>
    </w:pPr>
    <w:r>
      <w:rPr>
        <w:noProof/>
        <w:snapToGrid/>
      </w:rPr>
      <mc:AlternateContent>
        <mc:Choice Requires="wps">
          <w:drawing>
            <wp:anchor distT="0" distB="0" distL="114300" distR="114300" simplePos="0" relativeHeight="251658240" behindDoc="0" locked="0" layoutInCell="0" allowOverlap="1" wp14:anchorId="3AF74DA7" wp14:editId="3C6AD83C">
              <wp:simplePos x="0" y="0"/>
              <wp:positionH relativeFrom="column">
                <wp:posOffset>0</wp:posOffset>
              </wp:positionH>
              <wp:positionV relativeFrom="paragraph">
                <wp:posOffset>170815</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93EE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C20D28"/>
    <w:multiLevelType w:val="singleLevel"/>
    <w:tmpl w:val="C5BA192A"/>
    <w:lvl w:ilvl="0">
      <w:start w:val="1"/>
      <w:numFmt w:val="decimal"/>
      <w:lvlText w:val="(%1)"/>
      <w:lvlJc w:val="left"/>
      <w:pPr>
        <w:tabs>
          <w:tab w:val="num" w:pos="1095"/>
        </w:tabs>
        <w:ind w:left="1095" w:hanging="375"/>
      </w:pPr>
      <w:rPr>
        <w:rFonts w:hint="default"/>
      </w:rPr>
    </w:lvl>
  </w:abstractNum>
  <w:abstractNum w:abstractNumId="2">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8B44FA"/>
    <w:multiLevelType w:val="hybridMultilevel"/>
    <w:tmpl w:val="D7402A2C"/>
    <w:lvl w:ilvl="0" w:tplc="CAA81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31CB"/>
    <w:multiLevelType w:val="hybridMultilevel"/>
    <w:tmpl w:val="CEF2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6">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CE61C9"/>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3447A"/>
    <w:multiLevelType w:val="hybridMultilevel"/>
    <w:tmpl w:val="543881DC"/>
    <w:lvl w:ilvl="0" w:tplc="537E7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C2B5F"/>
    <w:multiLevelType w:val="hybridMultilevel"/>
    <w:tmpl w:val="13B4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F6229F"/>
    <w:multiLevelType w:val="hybridMultilevel"/>
    <w:tmpl w:val="AE0C8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51A908BB"/>
    <w:multiLevelType w:val="hybridMultilevel"/>
    <w:tmpl w:val="38F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86D37"/>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64C3F"/>
    <w:multiLevelType w:val="hybridMultilevel"/>
    <w:tmpl w:val="DC960098"/>
    <w:lvl w:ilvl="0" w:tplc="E10C1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585ADB4E"/>
    <w:lvl w:ilvl="0">
      <w:start w:val="1"/>
      <w:numFmt w:val="decimal"/>
      <w:lvlText w:val="%1."/>
      <w:lvlJc w:val="left"/>
      <w:pPr>
        <w:tabs>
          <w:tab w:val="num" w:pos="1080"/>
        </w:tabs>
        <w:ind w:left="0" w:firstLine="720"/>
      </w:pPr>
      <w:rPr>
        <w:b w:val="0"/>
        <w:i w:val="0"/>
      </w:rPr>
    </w:lvl>
  </w:abstractNum>
  <w:abstractNum w:abstractNumId="17">
    <w:nsid w:val="64903074"/>
    <w:multiLevelType w:val="hybridMultilevel"/>
    <w:tmpl w:val="1902C142"/>
    <w:lvl w:ilvl="0" w:tplc="FFFFFFFF">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2164"/>
        </w:tabs>
        <w:ind w:left="2164" w:hanging="360"/>
      </w:pPr>
    </w:lvl>
    <w:lvl w:ilvl="2" w:tplc="0409001B" w:tentative="1">
      <w:start w:val="1"/>
      <w:numFmt w:val="lowerRoman"/>
      <w:lvlText w:val="%3."/>
      <w:lvlJc w:val="right"/>
      <w:pPr>
        <w:tabs>
          <w:tab w:val="num" w:pos="2884"/>
        </w:tabs>
        <w:ind w:left="2884" w:hanging="180"/>
      </w:pPr>
    </w:lvl>
    <w:lvl w:ilvl="3" w:tplc="0409000F" w:tentative="1">
      <w:start w:val="1"/>
      <w:numFmt w:val="decimal"/>
      <w:lvlText w:val="%4."/>
      <w:lvlJc w:val="left"/>
      <w:pPr>
        <w:tabs>
          <w:tab w:val="num" w:pos="3604"/>
        </w:tabs>
        <w:ind w:left="3604" w:hanging="360"/>
      </w:pPr>
    </w:lvl>
    <w:lvl w:ilvl="4" w:tplc="04090019" w:tentative="1">
      <w:start w:val="1"/>
      <w:numFmt w:val="lowerLetter"/>
      <w:lvlText w:val="%5."/>
      <w:lvlJc w:val="left"/>
      <w:pPr>
        <w:tabs>
          <w:tab w:val="num" w:pos="4324"/>
        </w:tabs>
        <w:ind w:left="4324" w:hanging="360"/>
      </w:pPr>
    </w:lvl>
    <w:lvl w:ilvl="5" w:tplc="0409001B" w:tentative="1">
      <w:start w:val="1"/>
      <w:numFmt w:val="lowerRoman"/>
      <w:lvlText w:val="%6."/>
      <w:lvlJc w:val="right"/>
      <w:pPr>
        <w:tabs>
          <w:tab w:val="num" w:pos="5044"/>
        </w:tabs>
        <w:ind w:left="5044" w:hanging="180"/>
      </w:pPr>
    </w:lvl>
    <w:lvl w:ilvl="6" w:tplc="0409000F" w:tentative="1">
      <w:start w:val="1"/>
      <w:numFmt w:val="decimal"/>
      <w:lvlText w:val="%7."/>
      <w:lvlJc w:val="left"/>
      <w:pPr>
        <w:tabs>
          <w:tab w:val="num" w:pos="5764"/>
        </w:tabs>
        <w:ind w:left="5764" w:hanging="360"/>
      </w:pPr>
    </w:lvl>
    <w:lvl w:ilvl="7" w:tplc="04090019" w:tentative="1">
      <w:start w:val="1"/>
      <w:numFmt w:val="lowerLetter"/>
      <w:lvlText w:val="%8."/>
      <w:lvlJc w:val="left"/>
      <w:pPr>
        <w:tabs>
          <w:tab w:val="num" w:pos="6484"/>
        </w:tabs>
        <w:ind w:left="6484" w:hanging="360"/>
      </w:pPr>
    </w:lvl>
    <w:lvl w:ilvl="8" w:tplc="0409001B" w:tentative="1">
      <w:start w:val="1"/>
      <w:numFmt w:val="lowerRoman"/>
      <w:lvlText w:val="%9."/>
      <w:lvlJc w:val="right"/>
      <w:pPr>
        <w:tabs>
          <w:tab w:val="num" w:pos="7204"/>
        </w:tabs>
        <w:ind w:left="7204" w:hanging="180"/>
      </w:pPr>
    </w:lvl>
  </w:abstractNum>
  <w:abstractNum w:abstractNumId="18">
    <w:nsid w:val="6A034D44"/>
    <w:multiLevelType w:val="hybridMultilevel"/>
    <w:tmpl w:val="CEC4C5D4"/>
    <w:lvl w:ilvl="0" w:tplc="6A048356">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895C6D"/>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C7C19"/>
    <w:multiLevelType w:val="hybridMultilevel"/>
    <w:tmpl w:val="6270E9D2"/>
    <w:lvl w:ilvl="0" w:tplc="532057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7F1A554A"/>
    <w:multiLevelType w:val="hybridMultilevel"/>
    <w:tmpl w:val="0D4687C6"/>
    <w:lvl w:ilvl="0" w:tplc="6A0483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5"/>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1"/>
  </w:num>
  <w:num w:numId="31">
    <w:abstractNumId w:val="17"/>
  </w:num>
  <w:num w:numId="32">
    <w:abstractNumId w:val="12"/>
  </w:num>
  <w:num w:numId="33">
    <w:abstractNumId w:val="2"/>
  </w:num>
  <w:num w:numId="34">
    <w:abstractNumId w:val="21"/>
  </w:num>
  <w:num w:numId="35">
    <w:abstractNumId w:val="15"/>
  </w:num>
  <w:num w:numId="36">
    <w:abstractNumId w:val="22"/>
  </w:num>
  <w:num w:numId="37">
    <w:abstractNumId w:val="18"/>
  </w:num>
  <w:num w:numId="38">
    <w:abstractNumId w:val="13"/>
  </w:num>
  <w:num w:numId="39">
    <w:abstractNumId w:val="16"/>
  </w:num>
  <w:num w:numId="40">
    <w:abstractNumId w:val="9"/>
  </w:num>
  <w:num w:numId="41">
    <w:abstractNumId w:val="11"/>
  </w:num>
  <w:num w:numId="42">
    <w:abstractNumId w:val="7"/>
  </w:num>
  <w:num w:numId="43">
    <w:abstractNumId w:val="19"/>
  </w:num>
  <w:num w:numId="44">
    <w:abstractNumId w:val="4"/>
  </w:num>
  <w:num w:numId="45">
    <w:abstractNumId w:val="14"/>
  </w:num>
  <w:num w:numId="46">
    <w:abstractNumId w:val="10"/>
  </w:num>
  <w:num w:numId="47">
    <w:abstractNumId w:val="8"/>
  </w:num>
  <w:num w:numId="48">
    <w:abstractNumId w:val="3"/>
  </w:num>
  <w:num w:numId="49">
    <w:abstractNumId w:val="16"/>
    <w:lvlOverride w:ilvl="0">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7D"/>
    <w:rsid w:val="000044CE"/>
    <w:rsid w:val="00007408"/>
    <w:rsid w:val="00011BD3"/>
    <w:rsid w:val="00021390"/>
    <w:rsid w:val="000318AD"/>
    <w:rsid w:val="00034E58"/>
    <w:rsid w:val="00042D92"/>
    <w:rsid w:val="00047F21"/>
    <w:rsid w:val="00052CF0"/>
    <w:rsid w:val="000670A0"/>
    <w:rsid w:val="00067ADE"/>
    <w:rsid w:val="00073791"/>
    <w:rsid w:val="00080C13"/>
    <w:rsid w:val="00082372"/>
    <w:rsid w:val="00082DE5"/>
    <w:rsid w:val="00085192"/>
    <w:rsid w:val="000971DB"/>
    <w:rsid w:val="000C16C7"/>
    <w:rsid w:val="000C4767"/>
    <w:rsid w:val="000C68FA"/>
    <w:rsid w:val="000D7F4C"/>
    <w:rsid w:val="000F3894"/>
    <w:rsid w:val="00110F16"/>
    <w:rsid w:val="00110F71"/>
    <w:rsid w:val="001135B7"/>
    <w:rsid w:val="00124C80"/>
    <w:rsid w:val="0015469F"/>
    <w:rsid w:val="0015717F"/>
    <w:rsid w:val="001847AE"/>
    <w:rsid w:val="00184C24"/>
    <w:rsid w:val="00185B0D"/>
    <w:rsid w:val="001B1B45"/>
    <w:rsid w:val="001B6ACF"/>
    <w:rsid w:val="001C1053"/>
    <w:rsid w:val="001C46F7"/>
    <w:rsid w:val="001D2959"/>
    <w:rsid w:val="001D49BD"/>
    <w:rsid w:val="001F5498"/>
    <w:rsid w:val="00204222"/>
    <w:rsid w:val="00204225"/>
    <w:rsid w:val="00206744"/>
    <w:rsid w:val="00235690"/>
    <w:rsid w:val="00240A42"/>
    <w:rsid w:val="00251D8E"/>
    <w:rsid w:val="00255187"/>
    <w:rsid w:val="00260312"/>
    <w:rsid w:val="00273A0E"/>
    <w:rsid w:val="002744DF"/>
    <w:rsid w:val="002825C2"/>
    <w:rsid w:val="002902C5"/>
    <w:rsid w:val="00292C06"/>
    <w:rsid w:val="002A56C7"/>
    <w:rsid w:val="002B09C2"/>
    <w:rsid w:val="002B393C"/>
    <w:rsid w:val="002B3BF6"/>
    <w:rsid w:val="002B5449"/>
    <w:rsid w:val="002B72C7"/>
    <w:rsid w:val="002B7428"/>
    <w:rsid w:val="002C0831"/>
    <w:rsid w:val="002C2FE3"/>
    <w:rsid w:val="002C4604"/>
    <w:rsid w:val="002C55D1"/>
    <w:rsid w:val="002C5EFC"/>
    <w:rsid w:val="002C7445"/>
    <w:rsid w:val="002D30A5"/>
    <w:rsid w:val="002D3DAA"/>
    <w:rsid w:val="002D657D"/>
    <w:rsid w:val="002D7FC3"/>
    <w:rsid w:val="002E50FB"/>
    <w:rsid w:val="002E7D9C"/>
    <w:rsid w:val="002E7DE4"/>
    <w:rsid w:val="002F1135"/>
    <w:rsid w:val="002F4209"/>
    <w:rsid w:val="002F7989"/>
    <w:rsid w:val="0032634A"/>
    <w:rsid w:val="003301A9"/>
    <w:rsid w:val="0033671B"/>
    <w:rsid w:val="0034674E"/>
    <w:rsid w:val="00353A84"/>
    <w:rsid w:val="0036158F"/>
    <w:rsid w:val="00366240"/>
    <w:rsid w:val="003834BE"/>
    <w:rsid w:val="00386994"/>
    <w:rsid w:val="003900A2"/>
    <w:rsid w:val="0039697B"/>
    <w:rsid w:val="003A3DF8"/>
    <w:rsid w:val="003A741A"/>
    <w:rsid w:val="003A7EB2"/>
    <w:rsid w:val="003B39F8"/>
    <w:rsid w:val="003C1FD1"/>
    <w:rsid w:val="003C2BAA"/>
    <w:rsid w:val="003D3E53"/>
    <w:rsid w:val="003D6690"/>
    <w:rsid w:val="003D7DCE"/>
    <w:rsid w:val="003E46C7"/>
    <w:rsid w:val="003F0BD8"/>
    <w:rsid w:val="003F2429"/>
    <w:rsid w:val="00404E3A"/>
    <w:rsid w:val="00410008"/>
    <w:rsid w:val="00425FDC"/>
    <w:rsid w:val="00427912"/>
    <w:rsid w:val="00427BB2"/>
    <w:rsid w:val="00427C57"/>
    <w:rsid w:val="0043144A"/>
    <w:rsid w:val="00435E25"/>
    <w:rsid w:val="0044157D"/>
    <w:rsid w:val="00453723"/>
    <w:rsid w:val="0046204D"/>
    <w:rsid w:val="00471E6B"/>
    <w:rsid w:val="00472107"/>
    <w:rsid w:val="00472763"/>
    <w:rsid w:val="00484B76"/>
    <w:rsid w:val="004A228B"/>
    <w:rsid w:val="004A4B9A"/>
    <w:rsid w:val="004A56BF"/>
    <w:rsid w:val="004A612C"/>
    <w:rsid w:val="004B081F"/>
    <w:rsid w:val="004B0D11"/>
    <w:rsid w:val="004B7A47"/>
    <w:rsid w:val="004C173C"/>
    <w:rsid w:val="004D2D82"/>
    <w:rsid w:val="004D5203"/>
    <w:rsid w:val="004E5F1F"/>
    <w:rsid w:val="004F2032"/>
    <w:rsid w:val="004F4654"/>
    <w:rsid w:val="00505029"/>
    <w:rsid w:val="00513CBE"/>
    <w:rsid w:val="005215B0"/>
    <w:rsid w:val="005227FF"/>
    <w:rsid w:val="00534F68"/>
    <w:rsid w:val="005400A2"/>
    <w:rsid w:val="0054344A"/>
    <w:rsid w:val="00553E16"/>
    <w:rsid w:val="00567F3A"/>
    <w:rsid w:val="00574372"/>
    <w:rsid w:val="005750FC"/>
    <w:rsid w:val="00580264"/>
    <w:rsid w:val="00584DF5"/>
    <w:rsid w:val="00594065"/>
    <w:rsid w:val="00594AB5"/>
    <w:rsid w:val="005A7266"/>
    <w:rsid w:val="005C0FD5"/>
    <w:rsid w:val="005D07FC"/>
    <w:rsid w:val="005D6624"/>
    <w:rsid w:val="005E6AF6"/>
    <w:rsid w:val="005F6638"/>
    <w:rsid w:val="005F7578"/>
    <w:rsid w:val="0061340A"/>
    <w:rsid w:val="00616C88"/>
    <w:rsid w:val="00617921"/>
    <w:rsid w:val="00621B74"/>
    <w:rsid w:val="00625466"/>
    <w:rsid w:val="00627628"/>
    <w:rsid w:val="006307C1"/>
    <w:rsid w:val="00631CBB"/>
    <w:rsid w:val="00634C94"/>
    <w:rsid w:val="006535DC"/>
    <w:rsid w:val="00666FB0"/>
    <w:rsid w:val="006707A5"/>
    <w:rsid w:val="00670B63"/>
    <w:rsid w:val="006979A5"/>
    <w:rsid w:val="006B130C"/>
    <w:rsid w:val="006B7A59"/>
    <w:rsid w:val="006C75B5"/>
    <w:rsid w:val="006D0B43"/>
    <w:rsid w:val="006D3850"/>
    <w:rsid w:val="006E65C1"/>
    <w:rsid w:val="006F42AA"/>
    <w:rsid w:val="006F42BB"/>
    <w:rsid w:val="00700931"/>
    <w:rsid w:val="00701866"/>
    <w:rsid w:val="0070211F"/>
    <w:rsid w:val="00703A77"/>
    <w:rsid w:val="00711271"/>
    <w:rsid w:val="00730AE9"/>
    <w:rsid w:val="00735DC5"/>
    <w:rsid w:val="00741FE1"/>
    <w:rsid w:val="007447AA"/>
    <w:rsid w:val="00750A60"/>
    <w:rsid w:val="00754B06"/>
    <w:rsid w:val="00777F3A"/>
    <w:rsid w:val="00785CB5"/>
    <w:rsid w:val="00794538"/>
    <w:rsid w:val="00796234"/>
    <w:rsid w:val="007A4DAB"/>
    <w:rsid w:val="007B5AE7"/>
    <w:rsid w:val="007B7DB7"/>
    <w:rsid w:val="007D45D1"/>
    <w:rsid w:val="007D6A6F"/>
    <w:rsid w:val="007D788B"/>
    <w:rsid w:val="007D7F7D"/>
    <w:rsid w:val="007E1DFC"/>
    <w:rsid w:val="007F2A7C"/>
    <w:rsid w:val="008065B9"/>
    <w:rsid w:val="0083016D"/>
    <w:rsid w:val="008556CE"/>
    <w:rsid w:val="00883053"/>
    <w:rsid w:val="0088371C"/>
    <w:rsid w:val="0088413F"/>
    <w:rsid w:val="00884140"/>
    <w:rsid w:val="00895D69"/>
    <w:rsid w:val="008A6B7A"/>
    <w:rsid w:val="008B227D"/>
    <w:rsid w:val="008D21B3"/>
    <w:rsid w:val="008F2969"/>
    <w:rsid w:val="008F3DD9"/>
    <w:rsid w:val="008F5902"/>
    <w:rsid w:val="008F7CC0"/>
    <w:rsid w:val="00917D76"/>
    <w:rsid w:val="00925682"/>
    <w:rsid w:val="00933AE6"/>
    <w:rsid w:val="00935AE2"/>
    <w:rsid w:val="00936860"/>
    <w:rsid w:val="00942352"/>
    <w:rsid w:val="00956518"/>
    <w:rsid w:val="00956602"/>
    <w:rsid w:val="00964DF5"/>
    <w:rsid w:val="00967619"/>
    <w:rsid w:val="009817EB"/>
    <w:rsid w:val="009818DA"/>
    <w:rsid w:val="00981963"/>
    <w:rsid w:val="00986738"/>
    <w:rsid w:val="009A55A3"/>
    <w:rsid w:val="009B5F0E"/>
    <w:rsid w:val="009C1B38"/>
    <w:rsid w:val="009C65F3"/>
    <w:rsid w:val="009C73DB"/>
    <w:rsid w:val="009D41B3"/>
    <w:rsid w:val="009D604B"/>
    <w:rsid w:val="009E2EA5"/>
    <w:rsid w:val="009E7D89"/>
    <w:rsid w:val="009E7E8F"/>
    <w:rsid w:val="009F06A2"/>
    <w:rsid w:val="009F1DB1"/>
    <w:rsid w:val="009F3535"/>
    <w:rsid w:val="00A06554"/>
    <w:rsid w:val="00A06D68"/>
    <w:rsid w:val="00A10F8A"/>
    <w:rsid w:val="00A11A76"/>
    <w:rsid w:val="00A1218F"/>
    <w:rsid w:val="00A30D42"/>
    <w:rsid w:val="00A42065"/>
    <w:rsid w:val="00A4269E"/>
    <w:rsid w:val="00A47D0E"/>
    <w:rsid w:val="00A66585"/>
    <w:rsid w:val="00A66CF3"/>
    <w:rsid w:val="00A75F06"/>
    <w:rsid w:val="00A80727"/>
    <w:rsid w:val="00A91557"/>
    <w:rsid w:val="00A92DD2"/>
    <w:rsid w:val="00A9401B"/>
    <w:rsid w:val="00AA504A"/>
    <w:rsid w:val="00AA796B"/>
    <w:rsid w:val="00AB19CC"/>
    <w:rsid w:val="00AB683F"/>
    <w:rsid w:val="00AC39B6"/>
    <w:rsid w:val="00AC7F3B"/>
    <w:rsid w:val="00AD79CA"/>
    <w:rsid w:val="00AE7AAF"/>
    <w:rsid w:val="00AE7C94"/>
    <w:rsid w:val="00AF7252"/>
    <w:rsid w:val="00B0019E"/>
    <w:rsid w:val="00B025B3"/>
    <w:rsid w:val="00B05280"/>
    <w:rsid w:val="00B05BBB"/>
    <w:rsid w:val="00B13C6B"/>
    <w:rsid w:val="00B23FA9"/>
    <w:rsid w:val="00B266A0"/>
    <w:rsid w:val="00B3037D"/>
    <w:rsid w:val="00B33AF1"/>
    <w:rsid w:val="00B50F41"/>
    <w:rsid w:val="00B532CB"/>
    <w:rsid w:val="00B54E7E"/>
    <w:rsid w:val="00B60BCF"/>
    <w:rsid w:val="00B71F32"/>
    <w:rsid w:val="00B741B0"/>
    <w:rsid w:val="00B841B3"/>
    <w:rsid w:val="00B872BE"/>
    <w:rsid w:val="00B936B0"/>
    <w:rsid w:val="00B936DB"/>
    <w:rsid w:val="00B93AC6"/>
    <w:rsid w:val="00B94AEB"/>
    <w:rsid w:val="00BA1A38"/>
    <w:rsid w:val="00BA598A"/>
    <w:rsid w:val="00BB33D3"/>
    <w:rsid w:val="00BB35CA"/>
    <w:rsid w:val="00BE0198"/>
    <w:rsid w:val="00BE09E7"/>
    <w:rsid w:val="00BE4631"/>
    <w:rsid w:val="00BE56C8"/>
    <w:rsid w:val="00C03077"/>
    <w:rsid w:val="00C1032D"/>
    <w:rsid w:val="00C24604"/>
    <w:rsid w:val="00C24AEF"/>
    <w:rsid w:val="00C30C7B"/>
    <w:rsid w:val="00C33A56"/>
    <w:rsid w:val="00C37137"/>
    <w:rsid w:val="00C376DF"/>
    <w:rsid w:val="00C41DEB"/>
    <w:rsid w:val="00C501D7"/>
    <w:rsid w:val="00C53961"/>
    <w:rsid w:val="00C57190"/>
    <w:rsid w:val="00CA2D10"/>
    <w:rsid w:val="00CD5368"/>
    <w:rsid w:val="00CE3B5B"/>
    <w:rsid w:val="00CF0FF4"/>
    <w:rsid w:val="00CF41EB"/>
    <w:rsid w:val="00CF57B5"/>
    <w:rsid w:val="00D12C27"/>
    <w:rsid w:val="00D21082"/>
    <w:rsid w:val="00D22DF6"/>
    <w:rsid w:val="00D40721"/>
    <w:rsid w:val="00D45BC3"/>
    <w:rsid w:val="00D45CB4"/>
    <w:rsid w:val="00D567ED"/>
    <w:rsid w:val="00D62400"/>
    <w:rsid w:val="00D62DF9"/>
    <w:rsid w:val="00D74ABD"/>
    <w:rsid w:val="00D7789B"/>
    <w:rsid w:val="00D834EF"/>
    <w:rsid w:val="00D8715A"/>
    <w:rsid w:val="00D9049C"/>
    <w:rsid w:val="00D92B85"/>
    <w:rsid w:val="00DB06E5"/>
    <w:rsid w:val="00DC748E"/>
    <w:rsid w:val="00DD6040"/>
    <w:rsid w:val="00DE281A"/>
    <w:rsid w:val="00DF08DD"/>
    <w:rsid w:val="00DF0CC3"/>
    <w:rsid w:val="00DF6608"/>
    <w:rsid w:val="00E00389"/>
    <w:rsid w:val="00E05623"/>
    <w:rsid w:val="00E163BA"/>
    <w:rsid w:val="00E27802"/>
    <w:rsid w:val="00E30191"/>
    <w:rsid w:val="00E30BAE"/>
    <w:rsid w:val="00E31FCE"/>
    <w:rsid w:val="00E4002D"/>
    <w:rsid w:val="00E415FC"/>
    <w:rsid w:val="00E41779"/>
    <w:rsid w:val="00E66352"/>
    <w:rsid w:val="00E67243"/>
    <w:rsid w:val="00E71239"/>
    <w:rsid w:val="00E716D8"/>
    <w:rsid w:val="00E71B6D"/>
    <w:rsid w:val="00E83216"/>
    <w:rsid w:val="00E8721F"/>
    <w:rsid w:val="00E95BDD"/>
    <w:rsid w:val="00E9714A"/>
    <w:rsid w:val="00EA582D"/>
    <w:rsid w:val="00EA7002"/>
    <w:rsid w:val="00EB1BEC"/>
    <w:rsid w:val="00EC65A1"/>
    <w:rsid w:val="00EE7941"/>
    <w:rsid w:val="00F06A26"/>
    <w:rsid w:val="00F21857"/>
    <w:rsid w:val="00F55409"/>
    <w:rsid w:val="00F56AD8"/>
    <w:rsid w:val="00F6364A"/>
    <w:rsid w:val="00F65B5B"/>
    <w:rsid w:val="00F730B5"/>
    <w:rsid w:val="00F90182"/>
    <w:rsid w:val="00FA5226"/>
    <w:rsid w:val="00FA7D5A"/>
    <w:rsid w:val="00FB5EB8"/>
    <w:rsid w:val="00FC681D"/>
    <w:rsid w:val="00FC7BB7"/>
    <w:rsid w:val="00FD297A"/>
    <w:rsid w:val="00FE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pPr>
      <w:tabs>
        <w:tab w:val="left" w:pos="720"/>
        <w:tab w:val="left" w:pos="1440"/>
      </w:tabs>
      <w:spacing w:after="200"/>
      <w:ind w:right="144"/>
    </w:pPr>
  </w:style>
  <w:style w:type="character" w:styleId="FootnoteReference">
    <w:name w:val="footnote reference"/>
    <w:aliases w:val="Style 13,Appel note de bas de p,Style 12,(NECG) Footnote Reference,Style 124,o,fr,Style 3,Style 4,Footnote Reference1"/>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Pr>
      <w:lang w:val="en-US" w:eastAsia="en-US" w:bidi="ar-SA"/>
    </w:rPr>
  </w:style>
  <w:style w:type="character" w:customStyle="1" w:styleId="CommentTextChar">
    <w:name w:val="Comment Text Char"/>
    <w:link w:val="CommentText"/>
    <w:uiPriority w:val="99"/>
    <w:semiHidden/>
    <w:rsid w:val="00B50F41"/>
    <w:rPr>
      <w:snapToGrid w:val="0"/>
      <w:kern w:val="28"/>
    </w:rPr>
  </w:style>
  <w:style w:type="character" w:customStyle="1" w:styleId="FooterChar">
    <w:name w:val="Footer Char"/>
    <w:link w:val="Footer"/>
    <w:uiPriority w:val="99"/>
    <w:rsid w:val="002C4604"/>
    <w:rPr>
      <w:snapToGrid w:val="0"/>
      <w:kern w:val="28"/>
      <w:sz w:val="22"/>
    </w:rPr>
  </w:style>
  <w:style w:type="character" w:customStyle="1" w:styleId="ParaNumChar">
    <w:name w:val="ParaNum Char"/>
    <w:link w:val="ParaNum"/>
    <w:locked/>
    <w:rsid w:val="00D45CB4"/>
    <w:rPr>
      <w:snapToGrid w:val="0"/>
      <w:kern w:val="28"/>
      <w:sz w:val="22"/>
    </w:rPr>
  </w:style>
  <w:style w:type="paragraph" w:styleId="Revision">
    <w:name w:val="Revision"/>
    <w:hidden/>
    <w:uiPriority w:val="99"/>
    <w:semiHidden/>
    <w:rsid w:val="00D567ED"/>
    <w:rPr>
      <w:snapToGrid w:val="0"/>
      <w:kern w:val="28"/>
      <w:sz w:val="22"/>
    </w:rPr>
  </w:style>
  <w:style w:type="paragraph" w:customStyle="1" w:styleId="Default">
    <w:name w:val="Default"/>
    <w:rsid w:val="00353A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90182"/>
    <w:pPr>
      <w:widowControl/>
      <w:jc w:val="left"/>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F90182"/>
    <w:rPr>
      <w:rFonts w:ascii="Calibri" w:eastAsiaTheme="minorHAnsi" w:hAnsi="Calibri" w:cstheme="minorBidi"/>
      <w:sz w:val="22"/>
      <w:szCs w:val="21"/>
    </w:rPr>
  </w:style>
  <w:style w:type="paragraph" w:styleId="ListParagraph">
    <w:name w:val="List Paragraph"/>
    <w:basedOn w:val="Normal"/>
    <w:uiPriority w:val="34"/>
    <w:qFormat/>
    <w:rsid w:val="001135B7"/>
    <w:pPr>
      <w:ind w:left="720"/>
      <w:contextualSpacing/>
    </w:pPr>
  </w:style>
  <w:style w:type="paragraph" w:styleId="HTMLPreformatted">
    <w:name w:val="HTML Preformatted"/>
    <w:basedOn w:val="Normal"/>
    <w:link w:val="HTMLPreformattedChar"/>
    <w:uiPriority w:val="99"/>
    <w:unhideWhenUsed/>
    <w:rsid w:val="00754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754B0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pPr>
      <w:tabs>
        <w:tab w:val="left" w:pos="720"/>
        <w:tab w:val="left" w:pos="1440"/>
      </w:tabs>
      <w:spacing w:after="200"/>
      <w:ind w:right="144"/>
    </w:pPr>
  </w:style>
  <w:style w:type="character" w:styleId="FootnoteReference">
    <w:name w:val="footnote reference"/>
    <w:aliases w:val="Style 13,Appel note de bas de p,Style 12,(NECG) Footnote Reference,Style 124,o,fr,Style 3,Style 4,Footnote Reference1"/>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Pr>
      <w:lang w:val="en-US" w:eastAsia="en-US" w:bidi="ar-SA"/>
    </w:rPr>
  </w:style>
  <w:style w:type="character" w:customStyle="1" w:styleId="CommentTextChar">
    <w:name w:val="Comment Text Char"/>
    <w:link w:val="CommentText"/>
    <w:uiPriority w:val="99"/>
    <w:semiHidden/>
    <w:rsid w:val="00B50F41"/>
    <w:rPr>
      <w:snapToGrid w:val="0"/>
      <w:kern w:val="28"/>
    </w:rPr>
  </w:style>
  <w:style w:type="character" w:customStyle="1" w:styleId="FooterChar">
    <w:name w:val="Footer Char"/>
    <w:link w:val="Footer"/>
    <w:uiPriority w:val="99"/>
    <w:rsid w:val="002C4604"/>
    <w:rPr>
      <w:snapToGrid w:val="0"/>
      <w:kern w:val="28"/>
      <w:sz w:val="22"/>
    </w:rPr>
  </w:style>
  <w:style w:type="character" w:customStyle="1" w:styleId="ParaNumChar">
    <w:name w:val="ParaNum Char"/>
    <w:link w:val="ParaNum"/>
    <w:locked/>
    <w:rsid w:val="00D45CB4"/>
    <w:rPr>
      <w:snapToGrid w:val="0"/>
      <w:kern w:val="28"/>
      <w:sz w:val="22"/>
    </w:rPr>
  </w:style>
  <w:style w:type="paragraph" w:styleId="Revision">
    <w:name w:val="Revision"/>
    <w:hidden/>
    <w:uiPriority w:val="99"/>
    <w:semiHidden/>
    <w:rsid w:val="00D567ED"/>
    <w:rPr>
      <w:snapToGrid w:val="0"/>
      <w:kern w:val="28"/>
      <w:sz w:val="22"/>
    </w:rPr>
  </w:style>
  <w:style w:type="paragraph" w:customStyle="1" w:styleId="Default">
    <w:name w:val="Default"/>
    <w:rsid w:val="00353A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90182"/>
    <w:pPr>
      <w:widowControl/>
      <w:jc w:val="left"/>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F90182"/>
    <w:rPr>
      <w:rFonts w:ascii="Calibri" w:eastAsiaTheme="minorHAnsi" w:hAnsi="Calibri" w:cstheme="minorBidi"/>
      <w:sz w:val="22"/>
      <w:szCs w:val="21"/>
    </w:rPr>
  </w:style>
  <w:style w:type="paragraph" w:styleId="ListParagraph">
    <w:name w:val="List Paragraph"/>
    <w:basedOn w:val="Normal"/>
    <w:uiPriority w:val="34"/>
    <w:qFormat/>
    <w:rsid w:val="001135B7"/>
    <w:pPr>
      <w:ind w:left="720"/>
      <w:contextualSpacing/>
    </w:pPr>
  </w:style>
  <w:style w:type="paragraph" w:styleId="HTMLPreformatted">
    <w:name w:val="HTML Preformatted"/>
    <w:basedOn w:val="Normal"/>
    <w:link w:val="HTMLPreformattedChar"/>
    <w:uiPriority w:val="99"/>
    <w:unhideWhenUsed/>
    <w:rsid w:val="00754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754B0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47">
      <w:bodyDiv w:val="1"/>
      <w:marLeft w:val="0"/>
      <w:marRight w:val="0"/>
      <w:marTop w:val="0"/>
      <w:marBottom w:val="0"/>
      <w:divBdr>
        <w:top w:val="none" w:sz="0" w:space="0" w:color="auto"/>
        <w:left w:val="none" w:sz="0" w:space="0" w:color="auto"/>
        <w:bottom w:val="none" w:sz="0" w:space="0" w:color="auto"/>
        <w:right w:val="none" w:sz="0" w:space="0" w:color="auto"/>
      </w:divBdr>
    </w:div>
    <w:div w:id="414399910">
      <w:bodyDiv w:val="1"/>
      <w:marLeft w:val="0"/>
      <w:marRight w:val="0"/>
      <w:marTop w:val="0"/>
      <w:marBottom w:val="0"/>
      <w:divBdr>
        <w:top w:val="none" w:sz="0" w:space="0" w:color="auto"/>
        <w:left w:val="none" w:sz="0" w:space="0" w:color="auto"/>
        <w:bottom w:val="none" w:sz="0" w:space="0" w:color="auto"/>
        <w:right w:val="none" w:sz="0" w:space="0" w:color="auto"/>
      </w:divBdr>
    </w:div>
    <w:div w:id="1116175737">
      <w:bodyDiv w:val="1"/>
      <w:marLeft w:val="0"/>
      <w:marRight w:val="0"/>
      <w:marTop w:val="0"/>
      <w:marBottom w:val="0"/>
      <w:divBdr>
        <w:top w:val="none" w:sz="0" w:space="0" w:color="auto"/>
        <w:left w:val="none" w:sz="0" w:space="0" w:color="auto"/>
        <w:bottom w:val="none" w:sz="0" w:space="0" w:color="auto"/>
        <w:right w:val="none" w:sz="0" w:space="0" w:color="auto"/>
      </w:divBdr>
    </w:div>
    <w:div w:id="1348754406">
      <w:bodyDiv w:val="1"/>
      <w:marLeft w:val="0"/>
      <w:marRight w:val="0"/>
      <w:marTop w:val="0"/>
      <w:marBottom w:val="0"/>
      <w:divBdr>
        <w:top w:val="none" w:sz="0" w:space="0" w:color="auto"/>
        <w:left w:val="none" w:sz="0" w:space="0" w:color="auto"/>
        <w:bottom w:val="none" w:sz="0" w:space="0" w:color="auto"/>
        <w:right w:val="none" w:sz="0" w:space="0" w:color="auto"/>
      </w:divBdr>
    </w:div>
    <w:div w:id="16551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6152</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2017-04-07T15:54:00Z</dcterms:created>
  <dcterms:modified xsi:type="dcterms:W3CDTF">2017-04-07T15:54:00Z</dcterms:modified>
  <cp:category> </cp:category>
  <cp:contentStatus> </cp:contentStatus>
</cp:coreProperties>
</file>