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244E" w14:textId="77777777" w:rsidR="00C77271" w:rsidRDefault="00C77271">
      <w:pPr>
        <w:jc w:val="center"/>
        <w:rPr>
          <w:b/>
          <w:kern w:val="0"/>
          <w:szCs w:val="22"/>
        </w:rPr>
      </w:pPr>
      <w:bookmarkStart w:id="0" w:name="_GoBack"/>
      <w:bookmarkEnd w:id="0"/>
    </w:p>
    <w:p w14:paraId="57B7A298" w14:textId="77777777" w:rsidR="004C2EE3" w:rsidRPr="007F4805" w:rsidRDefault="004C2EE3">
      <w:pPr>
        <w:jc w:val="center"/>
        <w:rPr>
          <w:b/>
          <w:szCs w:val="22"/>
        </w:rPr>
      </w:pPr>
      <w:r w:rsidRPr="007F4805">
        <w:rPr>
          <w:b/>
          <w:kern w:val="0"/>
          <w:szCs w:val="22"/>
        </w:rPr>
        <w:t>Before</w:t>
      </w:r>
      <w:r w:rsidRPr="007F4805">
        <w:rPr>
          <w:b/>
          <w:szCs w:val="22"/>
        </w:rPr>
        <w:t xml:space="preserve"> the</w:t>
      </w:r>
    </w:p>
    <w:p w14:paraId="3AE58E8A" w14:textId="77777777" w:rsidR="00921803" w:rsidRPr="007F4805" w:rsidRDefault="00921803" w:rsidP="00921803">
      <w:pPr>
        <w:pStyle w:val="StyleBoldCentered"/>
        <w:rPr>
          <w:rFonts w:ascii="Times New Roman" w:hAnsi="Times New Roman"/>
        </w:rPr>
      </w:pPr>
      <w:r w:rsidRPr="007F4805">
        <w:rPr>
          <w:rFonts w:ascii="Times New Roman" w:hAnsi="Times New Roman"/>
        </w:rPr>
        <w:t>F</w:t>
      </w:r>
      <w:r w:rsidRPr="007F4805">
        <w:rPr>
          <w:rFonts w:ascii="Times New Roman" w:hAnsi="Times New Roman"/>
          <w:caps w:val="0"/>
        </w:rPr>
        <w:t>ederal Communications Commission</w:t>
      </w:r>
    </w:p>
    <w:p w14:paraId="139A1E80" w14:textId="77777777" w:rsidR="004C2EE3" w:rsidRPr="007F4805" w:rsidRDefault="00810B6F" w:rsidP="00096D8C">
      <w:pPr>
        <w:pStyle w:val="StyleBoldCentered"/>
        <w:rPr>
          <w:rFonts w:ascii="Times New Roman" w:hAnsi="Times New Roman"/>
        </w:rPr>
      </w:pPr>
      <w:r w:rsidRPr="007F4805">
        <w:rPr>
          <w:rFonts w:ascii="Times New Roman" w:hAnsi="Times New Roman"/>
          <w:caps w:val="0"/>
        </w:rPr>
        <w:t>Washington, D.C. 20554</w:t>
      </w:r>
    </w:p>
    <w:p w14:paraId="1A90CA3A" w14:textId="77777777" w:rsidR="004C2EE3" w:rsidRPr="007F4805" w:rsidRDefault="004C2EE3" w:rsidP="0070224F">
      <w:pPr>
        <w:rPr>
          <w:szCs w:val="22"/>
        </w:rPr>
      </w:pPr>
    </w:p>
    <w:p w14:paraId="3FAACF9D" w14:textId="77777777" w:rsidR="004C2EE3" w:rsidRPr="007F4805" w:rsidRDefault="004C2EE3" w:rsidP="0070224F">
      <w:pPr>
        <w:rPr>
          <w:szCs w:val="22"/>
        </w:rPr>
      </w:pPr>
    </w:p>
    <w:tbl>
      <w:tblPr>
        <w:tblW w:w="9576" w:type="dxa"/>
        <w:tblLayout w:type="fixed"/>
        <w:tblLook w:val="0000" w:firstRow="0" w:lastRow="0" w:firstColumn="0" w:lastColumn="0" w:noHBand="0" w:noVBand="0"/>
      </w:tblPr>
      <w:tblGrid>
        <w:gridCol w:w="4698"/>
        <w:gridCol w:w="630"/>
        <w:gridCol w:w="4248"/>
      </w:tblGrid>
      <w:tr w:rsidR="00D507E8" w:rsidRPr="007F4805" w14:paraId="4BBAB378" w14:textId="77777777" w:rsidTr="00163D48">
        <w:tc>
          <w:tcPr>
            <w:tcW w:w="4698" w:type="dxa"/>
          </w:tcPr>
          <w:p w14:paraId="16EB8AE3" w14:textId="77777777" w:rsidR="00D507E8" w:rsidRPr="003D600E" w:rsidRDefault="00D507E8" w:rsidP="00D507E8">
            <w:pPr>
              <w:tabs>
                <w:tab w:val="center" w:pos="4680"/>
              </w:tabs>
              <w:suppressAutoHyphens/>
              <w:rPr>
                <w:spacing w:val="-2"/>
                <w:szCs w:val="22"/>
              </w:rPr>
            </w:pPr>
            <w:r w:rsidRPr="003D600E">
              <w:rPr>
                <w:spacing w:val="-2"/>
                <w:szCs w:val="22"/>
              </w:rPr>
              <w:t>In the Matter of</w:t>
            </w:r>
          </w:p>
          <w:p w14:paraId="653BD990" w14:textId="77777777" w:rsidR="00D507E8" w:rsidRPr="003D600E" w:rsidRDefault="00D507E8" w:rsidP="00D507E8">
            <w:pPr>
              <w:tabs>
                <w:tab w:val="center" w:pos="4680"/>
              </w:tabs>
              <w:suppressAutoHyphens/>
              <w:rPr>
                <w:spacing w:val="-2"/>
                <w:szCs w:val="22"/>
              </w:rPr>
            </w:pPr>
          </w:p>
          <w:p w14:paraId="441664DF" w14:textId="77777777" w:rsidR="00D507E8" w:rsidRPr="003D600E" w:rsidRDefault="00D507E8" w:rsidP="00D507E8">
            <w:pPr>
              <w:ind w:right="-108"/>
              <w:rPr>
                <w:szCs w:val="22"/>
              </w:rPr>
            </w:pPr>
            <w:r w:rsidRPr="003D600E">
              <w:rPr>
                <w:szCs w:val="22"/>
              </w:rPr>
              <w:t>PTC-220, LLC</w:t>
            </w:r>
          </w:p>
          <w:p w14:paraId="2A2886A5" w14:textId="77777777" w:rsidR="00D507E8" w:rsidRPr="003D600E" w:rsidRDefault="00D507E8" w:rsidP="00D507E8">
            <w:pPr>
              <w:tabs>
                <w:tab w:val="center" w:pos="4680"/>
              </w:tabs>
              <w:suppressAutoHyphens/>
              <w:rPr>
                <w:spacing w:val="-2"/>
                <w:szCs w:val="22"/>
              </w:rPr>
            </w:pPr>
          </w:p>
          <w:p w14:paraId="6FC2344A" w14:textId="77777777" w:rsidR="00D507E8" w:rsidRPr="003D600E" w:rsidRDefault="00D507E8" w:rsidP="00D507E8">
            <w:pPr>
              <w:tabs>
                <w:tab w:val="center" w:pos="4680"/>
              </w:tabs>
              <w:suppressAutoHyphens/>
              <w:rPr>
                <w:spacing w:val="-2"/>
                <w:szCs w:val="22"/>
              </w:rPr>
            </w:pPr>
            <w:r w:rsidRPr="003D600E">
              <w:rPr>
                <w:spacing w:val="-2"/>
                <w:szCs w:val="22"/>
              </w:rPr>
              <w:t xml:space="preserve">Request for Modification of Station KIVD0007 and Waivers to Implement Positive Train Control </w:t>
            </w:r>
          </w:p>
          <w:p w14:paraId="085CFE9C" w14:textId="77777777" w:rsidR="00D507E8" w:rsidRPr="003D600E" w:rsidRDefault="00D507E8" w:rsidP="00D507E8">
            <w:pPr>
              <w:tabs>
                <w:tab w:val="center" w:pos="4680"/>
              </w:tabs>
              <w:suppressAutoHyphens/>
              <w:rPr>
                <w:spacing w:val="-2"/>
                <w:szCs w:val="22"/>
              </w:rPr>
            </w:pPr>
          </w:p>
          <w:p w14:paraId="72A066BC" w14:textId="77777777" w:rsidR="00D507E8" w:rsidRPr="007F4805" w:rsidRDefault="00D507E8" w:rsidP="00D507E8">
            <w:pPr>
              <w:tabs>
                <w:tab w:val="center" w:pos="4680"/>
              </w:tabs>
              <w:suppressAutoHyphens/>
              <w:rPr>
                <w:spacing w:val="-2"/>
                <w:szCs w:val="22"/>
              </w:rPr>
            </w:pPr>
          </w:p>
        </w:tc>
        <w:tc>
          <w:tcPr>
            <w:tcW w:w="630" w:type="dxa"/>
          </w:tcPr>
          <w:p w14:paraId="0E921FC1" w14:textId="77777777" w:rsidR="00D507E8" w:rsidRPr="007F4805" w:rsidRDefault="00D507E8" w:rsidP="00D507E8">
            <w:pPr>
              <w:tabs>
                <w:tab w:val="center" w:pos="4680"/>
              </w:tabs>
              <w:suppressAutoHyphens/>
              <w:rPr>
                <w:b/>
                <w:spacing w:val="-2"/>
                <w:szCs w:val="22"/>
              </w:rPr>
            </w:pPr>
            <w:r w:rsidRPr="007F4805">
              <w:rPr>
                <w:b/>
                <w:spacing w:val="-2"/>
                <w:szCs w:val="22"/>
              </w:rPr>
              <w:t>)</w:t>
            </w:r>
          </w:p>
          <w:p w14:paraId="16D8E07E" w14:textId="77777777" w:rsidR="00D507E8" w:rsidRPr="007F4805" w:rsidRDefault="00D507E8" w:rsidP="00D507E8">
            <w:pPr>
              <w:tabs>
                <w:tab w:val="center" w:pos="4680"/>
              </w:tabs>
              <w:suppressAutoHyphens/>
              <w:rPr>
                <w:b/>
                <w:spacing w:val="-2"/>
                <w:szCs w:val="22"/>
              </w:rPr>
            </w:pPr>
            <w:r w:rsidRPr="007F4805">
              <w:rPr>
                <w:b/>
                <w:spacing w:val="-2"/>
                <w:szCs w:val="22"/>
              </w:rPr>
              <w:t>)</w:t>
            </w:r>
          </w:p>
          <w:p w14:paraId="19291027" w14:textId="77777777" w:rsidR="00D507E8" w:rsidRPr="007F4805" w:rsidRDefault="00D507E8" w:rsidP="00D507E8">
            <w:pPr>
              <w:tabs>
                <w:tab w:val="center" w:pos="4680"/>
              </w:tabs>
              <w:suppressAutoHyphens/>
              <w:rPr>
                <w:b/>
                <w:spacing w:val="-2"/>
                <w:szCs w:val="22"/>
              </w:rPr>
            </w:pPr>
            <w:r w:rsidRPr="007F4805">
              <w:rPr>
                <w:b/>
                <w:spacing w:val="-2"/>
                <w:szCs w:val="22"/>
              </w:rPr>
              <w:t>)</w:t>
            </w:r>
          </w:p>
          <w:p w14:paraId="575D5B7E" w14:textId="77777777" w:rsidR="00D507E8" w:rsidRPr="007F4805" w:rsidRDefault="00D507E8" w:rsidP="00D507E8">
            <w:pPr>
              <w:tabs>
                <w:tab w:val="center" w:pos="4680"/>
              </w:tabs>
              <w:suppressAutoHyphens/>
              <w:rPr>
                <w:b/>
                <w:spacing w:val="-2"/>
                <w:szCs w:val="22"/>
              </w:rPr>
            </w:pPr>
            <w:r w:rsidRPr="007F4805">
              <w:rPr>
                <w:b/>
                <w:spacing w:val="-2"/>
                <w:szCs w:val="22"/>
              </w:rPr>
              <w:t>)</w:t>
            </w:r>
          </w:p>
          <w:p w14:paraId="338BDADF" w14:textId="77777777" w:rsidR="00D507E8" w:rsidRDefault="00D507E8" w:rsidP="00D507E8">
            <w:pPr>
              <w:tabs>
                <w:tab w:val="center" w:pos="4680"/>
              </w:tabs>
              <w:suppressAutoHyphens/>
              <w:rPr>
                <w:b/>
                <w:spacing w:val="-2"/>
                <w:szCs w:val="22"/>
              </w:rPr>
            </w:pPr>
            <w:r w:rsidRPr="007F4805">
              <w:rPr>
                <w:b/>
                <w:spacing w:val="-2"/>
                <w:szCs w:val="22"/>
              </w:rPr>
              <w:t>)</w:t>
            </w:r>
          </w:p>
          <w:p w14:paraId="17587EA5" w14:textId="77777777" w:rsidR="0013647E" w:rsidRPr="007F4805" w:rsidRDefault="0013647E" w:rsidP="00D507E8">
            <w:pPr>
              <w:tabs>
                <w:tab w:val="center" w:pos="4680"/>
              </w:tabs>
              <w:suppressAutoHyphens/>
              <w:rPr>
                <w:b/>
                <w:spacing w:val="-2"/>
                <w:szCs w:val="22"/>
              </w:rPr>
            </w:pPr>
            <w:r>
              <w:rPr>
                <w:b/>
                <w:spacing w:val="-2"/>
                <w:szCs w:val="22"/>
              </w:rPr>
              <w:t>)</w:t>
            </w:r>
          </w:p>
        </w:tc>
        <w:tc>
          <w:tcPr>
            <w:tcW w:w="4248" w:type="dxa"/>
          </w:tcPr>
          <w:p w14:paraId="38FF4D6B" w14:textId="77777777" w:rsidR="00D507E8" w:rsidRPr="007F4805" w:rsidRDefault="00D507E8" w:rsidP="00D507E8">
            <w:pPr>
              <w:tabs>
                <w:tab w:val="center" w:pos="4680"/>
              </w:tabs>
              <w:suppressAutoHyphens/>
              <w:rPr>
                <w:spacing w:val="-2"/>
                <w:szCs w:val="22"/>
              </w:rPr>
            </w:pPr>
          </w:p>
          <w:p w14:paraId="3549D4AB" w14:textId="77777777" w:rsidR="00D507E8" w:rsidRPr="007F4805" w:rsidRDefault="00D507E8" w:rsidP="00D507E8">
            <w:pPr>
              <w:pStyle w:val="TOAHeading"/>
              <w:widowControl/>
              <w:tabs>
                <w:tab w:val="clear" w:pos="9360"/>
                <w:tab w:val="center" w:pos="4680"/>
              </w:tabs>
              <w:rPr>
                <w:spacing w:val="-2"/>
                <w:szCs w:val="22"/>
              </w:rPr>
            </w:pPr>
          </w:p>
          <w:p w14:paraId="6C7072F1" w14:textId="77777777" w:rsidR="00D507E8" w:rsidRPr="007F4805" w:rsidRDefault="00D507E8" w:rsidP="00D507E8">
            <w:pPr>
              <w:tabs>
                <w:tab w:val="center" w:pos="4680"/>
              </w:tabs>
              <w:suppressAutoHyphens/>
              <w:rPr>
                <w:spacing w:val="-2"/>
                <w:szCs w:val="22"/>
              </w:rPr>
            </w:pPr>
          </w:p>
          <w:p w14:paraId="30F68B0D" w14:textId="77777777" w:rsidR="00D507E8" w:rsidRPr="007F4805" w:rsidRDefault="00D507E8" w:rsidP="00D507E8">
            <w:pPr>
              <w:tabs>
                <w:tab w:val="center" w:pos="4680"/>
              </w:tabs>
              <w:suppressAutoHyphens/>
              <w:rPr>
                <w:spacing w:val="-2"/>
                <w:szCs w:val="22"/>
              </w:rPr>
            </w:pPr>
          </w:p>
          <w:p w14:paraId="7D41432B" w14:textId="77777777" w:rsidR="00D507E8" w:rsidRPr="007F4805" w:rsidRDefault="00D507E8" w:rsidP="00D507E8">
            <w:pPr>
              <w:tabs>
                <w:tab w:val="center" w:pos="4680"/>
              </w:tabs>
              <w:suppressAutoHyphens/>
              <w:rPr>
                <w:spacing w:val="-2"/>
                <w:szCs w:val="22"/>
              </w:rPr>
            </w:pPr>
            <w:r w:rsidRPr="007F4805">
              <w:rPr>
                <w:spacing w:val="-2"/>
                <w:szCs w:val="22"/>
              </w:rPr>
              <w:t xml:space="preserve">File No. </w:t>
            </w:r>
            <w:r w:rsidRPr="00D507E8">
              <w:rPr>
                <w:spacing w:val="-2"/>
                <w:szCs w:val="22"/>
              </w:rPr>
              <w:t>0007202625</w:t>
            </w:r>
          </w:p>
        </w:tc>
      </w:tr>
    </w:tbl>
    <w:p w14:paraId="5483DD55" w14:textId="77777777" w:rsidR="006C2A4D" w:rsidRPr="007F4805" w:rsidRDefault="006C2A4D" w:rsidP="0070224F">
      <w:pPr>
        <w:rPr>
          <w:szCs w:val="22"/>
        </w:rPr>
      </w:pPr>
    </w:p>
    <w:p w14:paraId="61CEDE71" w14:textId="77777777" w:rsidR="00841AB1" w:rsidRPr="007F4805" w:rsidRDefault="002B6474" w:rsidP="00F021FA">
      <w:pPr>
        <w:pStyle w:val="StyleBoldCentered"/>
        <w:rPr>
          <w:rFonts w:ascii="Times New Roman" w:hAnsi="Times New Roman"/>
        </w:rPr>
      </w:pPr>
      <w:r w:rsidRPr="007F4805">
        <w:rPr>
          <w:rFonts w:ascii="Times New Roman" w:hAnsi="Times New Roman"/>
        </w:rPr>
        <w:t>ORDER OF MODIFICATION</w:t>
      </w:r>
    </w:p>
    <w:p w14:paraId="583889B7" w14:textId="77777777" w:rsidR="004C2EE3" w:rsidRPr="007F4805" w:rsidRDefault="004C2EE3">
      <w:pPr>
        <w:tabs>
          <w:tab w:val="left" w:pos="-720"/>
        </w:tabs>
        <w:suppressAutoHyphens/>
        <w:spacing w:line="227" w:lineRule="auto"/>
        <w:rPr>
          <w:spacing w:val="-2"/>
          <w:szCs w:val="22"/>
        </w:rPr>
      </w:pPr>
    </w:p>
    <w:p w14:paraId="0C080434" w14:textId="30563A56" w:rsidR="004C2EE3" w:rsidRPr="007F4805" w:rsidRDefault="004C2EE3" w:rsidP="00133F79">
      <w:pPr>
        <w:tabs>
          <w:tab w:val="left" w:pos="720"/>
          <w:tab w:val="right" w:pos="9360"/>
        </w:tabs>
        <w:suppressAutoHyphens/>
        <w:spacing w:line="227" w:lineRule="auto"/>
        <w:rPr>
          <w:spacing w:val="-2"/>
          <w:szCs w:val="22"/>
        </w:rPr>
      </w:pPr>
      <w:r w:rsidRPr="007F4805">
        <w:rPr>
          <w:b/>
          <w:spacing w:val="-2"/>
          <w:szCs w:val="22"/>
        </w:rPr>
        <w:t xml:space="preserve">Adopted:  </w:t>
      </w:r>
      <w:r w:rsidR="00700CBD">
        <w:rPr>
          <w:b/>
          <w:spacing w:val="-2"/>
          <w:szCs w:val="22"/>
        </w:rPr>
        <w:t xml:space="preserve">March </w:t>
      </w:r>
      <w:r w:rsidR="009D2F6B">
        <w:rPr>
          <w:b/>
          <w:spacing w:val="-2"/>
          <w:szCs w:val="22"/>
        </w:rPr>
        <w:t>9</w:t>
      </w:r>
      <w:r w:rsidR="002B6474" w:rsidRPr="008A75A0">
        <w:rPr>
          <w:b/>
          <w:spacing w:val="-2"/>
          <w:szCs w:val="22"/>
        </w:rPr>
        <w:t>, 201</w:t>
      </w:r>
      <w:r w:rsidR="00D507E8" w:rsidRPr="008A75A0">
        <w:rPr>
          <w:b/>
          <w:spacing w:val="-2"/>
          <w:szCs w:val="22"/>
        </w:rPr>
        <w:t>7</w:t>
      </w:r>
      <w:r w:rsidRPr="007F4805">
        <w:rPr>
          <w:b/>
          <w:spacing w:val="-2"/>
          <w:szCs w:val="22"/>
        </w:rPr>
        <w:tab/>
      </w:r>
      <w:r w:rsidR="00822CE0" w:rsidRPr="007F4805">
        <w:rPr>
          <w:b/>
          <w:spacing w:val="-2"/>
          <w:szCs w:val="22"/>
        </w:rPr>
        <w:t>Released</w:t>
      </w:r>
      <w:r w:rsidRPr="007F4805">
        <w:rPr>
          <w:b/>
          <w:spacing w:val="-2"/>
          <w:szCs w:val="22"/>
        </w:rPr>
        <w:t>:</w:t>
      </w:r>
      <w:r w:rsidR="00822CE0" w:rsidRPr="007F4805">
        <w:rPr>
          <w:b/>
          <w:spacing w:val="-2"/>
          <w:szCs w:val="22"/>
        </w:rPr>
        <w:t xml:space="preserve"> </w:t>
      </w:r>
      <w:r w:rsidRPr="007F4805">
        <w:rPr>
          <w:b/>
          <w:spacing w:val="-2"/>
          <w:szCs w:val="22"/>
        </w:rPr>
        <w:t xml:space="preserve"> </w:t>
      </w:r>
      <w:r w:rsidR="00700CBD">
        <w:rPr>
          <w:b/>
          <w:spacing w:val="-2"/>
          <w:szCs w:val="22"/>
        </w:rPr>
        <w:t xml:space="preserve">March </w:t>
      </w:r>
      <w:r w:rsidR="009D2F6B">
        <w:rPr>
          <w:b/>
          <w:spacing w:val="-2"/>
          <w:szCs w:val="22"/>
        </w:rPr>
        <w:t>9</w:t>
      </w:r>
      <w:r w:rsidR="00D507E8" w:rsidRPr="008A75A0">
        <w:rPr>
          <w:b/>
          <w:spacing w:val="-2"/>
          <w:szCs w:val="22"/>
        </w:rPr>
        <w:t>, 2017</w:t>
      </w:r>
    </w:p>
    <w:p w14:paraId="2A9606C0" w14:textId="77777777" w:rsidR="00822CE0" w:rsidRPr="007F4805" w:rsidRDefault="00822CE0">
      <w:pPr>
        <w:rPr>
          <w:szCs w:val="22"/>
        </w:rPr>
      </w:pPr>
    </w:p>
    <w:p w14:paraId="588DAEA4" w14:textId="77777777" w:rsidR="00822CE0" w:rsidRPr="007F4805" w:rsidRDefault="002B6474">
      <w:pPr>
        <w:rPr>
          <w:spacing w:val="-2"/>
          <w:szCs w:val="22"/>
        </w:rPr>
      </w:pPr>
      <w:r w:rsidRPr="007F4805">
        <w:rPr>
          <w:szCs w:val="22"/>
        </w:rPr>
        <w:t>By the Chief, Mobility Division, Wireless Telecommunications Bureau:</w:t>
      </w:r>
    </w:p>
    <w:p w14:paraId="4E71C0F0" w14:textId="77777777" w:rsidR="00412FC5" w:rsidRPr="007F4805" w:rsidRDefault="00412FC5" w:rsidP="00412FC5">
      <w:pPr>
        <w:rPr>
          <w:szCs w:val="22"/>
        </w:rPr>
      </w:pPr>
    </w:p>
    <w:p w14:paraId="7D039E96" w14:textId="77777777" w:rsidR="002B6474" w:rsidRPr="007F4805" w:rsidRDefault="002B6474" w:rsidP="002B6474">
      <w:pPr>
        <w:pStyle w:val="Heading1"/>
        <w:rPr>
          <w:rFonts w:ascii="Times New Roman" w:hAnsi="Times New Roman"/>
          <w:szCs w:val="22"/>
        </w:rPr>
      </w:pPr>
      <w:r w:rsidRPr="007F4805">
        <w:rPr>
          <w:rFonts w:ascii="Times New Roman" w:hAnsi="Times New Roman"/>
          <w:szCs w:val="22"/>
        </w:rPr>
        <w:t>INTRODUCTION</w:t>
      </w:r>
    </w:p>
    <w:p w14:paraId="0EE7D3CF" w14:textId="069D9941" w:rsidR="0069531F" w:rsidRPr="00546856" w:rsidRDefault="0069531F" w:rsidP="00D507E8">
      <w:pPr>
        <w:pStyle w:val="ParaNum"/>
      </w:pPr>
      <w:r w:rsidRPr="007F4805">
        <w:t xml:space="preserve">In this Order of </w:t>
      </w:r>
      <w:r w:rsidRPr="00546856">
        <w:t>Modification</w:t>
      </w:r>
      <w:r w:rsidR="00AF6025">
        <w:t xml:space="preserve"> (Order)</w:t>
      </w:r>
      <w:r w:rsidR="00D13AEF">
        <w:t>,</w:t>
      </w:r>
      <w:r w:rsidRPr="00546856">
        <w:t xml:space="preserve"> </w:t>
      </w:r>
      <w:r w:rsidR="007A5E5B">
        <w:t xml:space="preserve">the Mobility Division (Division) of the </w:t>
      </w:r>
      <w:r w:rsidR="007A5E5B" w:rsidRPr="007F4805">
        <w:rPr>
          <w:szCs w:val="22"/>
        </w:rPr>
        <w:t>Wireless Telecommunications Bureau</w:t>
      </w:r>
      <w:r w:rsidR="007A5E5B">
        <w:t xml:space="preserve"> </w:t>
      </w:r>
      <w:r w:rsidR="00FC13D0" w:rsidRPr="00546856">
        <w:t>modif</w:t>
      </w:r>
      <w:r w:rsidR="007A5E5B">
        <w:t>ies</w:t>
      </w:r>
      <w:r w:rsidR="00FC13D0" w:rsidRPr="00546856">
        <w:t xml:space="preserve"> </w:t>
      </w:r>
      <w:r w:rsidR="00D507E8" w:rsidRPr="00546856">
        <w:rPr>
          <w:szCs w:val="22"/>
        </w:rPr>
        <w:t>218-219 MHz Service Station license KIVD0007</w:t>
      </w:r>
      <w:r w:rsidR="00A45533" w:rsidRPr="00546856">
        <w:rPr>
          <w:szCs w:val="22"/>
        </w:rPr>
        <w:t xml:space="preserve">, </w:t>
      </w:r>
      <w:r w:rsidR="00553DF4">
        <w:rPr>
          <w:szCs w:val="22"/>
        </w:rPr>
        <w:t xml:space="preserve">licensed to </w:t>
      </w:r>
      <w:r w:rsidR="00A45533" w:rsidRPr="00546856">
        <w:rPr>
          <w:szCs w:val="22"/>
        </w:rPr>
        <w:t>PTC-220, LLC (PTC-220),</w:t>
      </w:r>
      <w:r w:rsidR="00A45533" w:rsidRPr="00546856">
        <w:rPr>
          <w:rStyle w:val="FootnoteReference"/>
          <w:szCs w:val="22"/>
        </w:rPr>
        <w:footnoteReference w:id="2"/>
      </w:r>
      <w:r w:rsidR="00D507E8" w:rsidRPr="00546856">
        <w:rPr>
          <w:szCs w:val="22"/>
        </w:rPr>
        <w:t xml:space="preserve"> to facilitate </w:t>
      </w:r>
      <w:r w:rsidR="00A45533" w:rsidRPr="00546856">
        <w:rPr>
          <w:szCs w:val="22"/>
        </w:rPr>
        <w:t>p</w:t>
      </w:r>
      <w:r w:rsidR="00D507E8" w:rsidRPr="00546856">
        <w:rPr>
          <w:szCs w:val="22"/>
        </w:rPr>
        <w:t xml:space="preserve">ositive </w:t>
      </w:r>
      <w:r w:rsidR="00A45533" w:rsidRPr="00546856">
        <w:rPr>
          <w:szCs w:val="22"/>
        </w:rPr>
        <w:t>t</w:t>
      </w:r>
      <w:r w:rsidR="00D507E8" w:rsidRPr="00546856">
        <w:rPr>
          <w:szCs w:val="22"/>
        </w:rPr>
        <w:t xml:space="preserve">rain </w:t>
      </w:r>
      <w:r w:rsidR="00A45533" w:rsidRPr="00546856">
        <w:rPr>
          <w:szCs w:val="22"/>
        </w:rPr>
        <w:t>c</w:t>
      </w:r>
      <w:r w:rsidR="00D507E8" w:rsidRPr="00546856">
        <w:rPr>
          <w:szCs w:val="22"/>
        </w:rPr>
        <w:t>ontrol (PTC) implementation</w:t>
      </w:r>
      <w:r w:rsidRPr="00546856">
        <w:t xml:space="preserve"> by </w:t>
      </w:r>
      <w:r w:rsidR="00D507E8" w:rsidRPr="00546856">
        <w:t xml:space="preserve">New Jersey Transit (NJ Transit), the Southeastern Pennsylvania Transportation Authority (SEPTA), and certain </w:t>
      </w:r>
      <w:r w:rsidR="00553DF4">
        <w:t xml:space="preserve">PTC-220 </w:t>
      </w:r>
      <w:r w:rsidR="00D507E8" w:rsidRPr="00546856">
        <w:t>freight</w:t>
      </w:r>
      <w:r w:rsidR="00553DF4">
        <w:t xml:space="preserve"> member </w:t>
      </w:r>
      <w:r w:rsidR="00D507E8" w:rsidRPr="00546856">
        <w:t>railroads</w:t>
      </w:r>
      <w:r w:rsidRPr="00546856">
        <w:t>.</w:t>
      </w:r>
      <w:r w:rsidR="00C57CFF" w:rsidRPr="00546856">
        <w:rPr>
          <w:rStyle w:val="FootnoteReference"/>
          <w:sz w:val="22"/>
          <w:szCs w:val="22"/>
        </w:rPr>
        <w:footnoteReference w:id="3"/>
      </w:r>
    </w:p>
    <w:p w14:paraId="6EB574A7" w14:textId="77777777" w:rsidR="0069531F" w:rsidRPr="00546856" w:rsidRDefault="0069531F" w:rsidP="0069531F">
      <w:pPr>
        <w:pStyle w:val="Heading1"/>
        <w:rPr>
          <w:rFonts w:ascii="Times New Roman" w:hAnsi="Times New Roman"/>
          <w:szCs w:val="22"/>
        </w:rPr>
      </w:pPr>
      <w:r w:rsidRPr="00546856">
        <w:rPr>
          <w:rFonts w:ascii="Times New Roman" w:hAnsi="Times New Roman"/>
          <w:szCs w:val="22"/>
        </w:rPr>
        <w:t>BACKGROUND</w:t>
      </w:r>
    </w:p>
    <w:p w14:paraId="42491D4F" w14:textId="77777777" w:rsidR="00312248" w:rsidRPr="00163D48" w:rsidRDefault="004A0B13" w:rsidP="00D12597">
      <w:pPr>
        <w:pStyle w:val="ParaNum"/>
      </w:pPr>
      <w:r w:rsidRPr="004A0B13">
        <w:rPr>
          <w:i/>
        </w:rPr>
        <w:t>PTC Mandate</w:t>
      </w:r>
      <w:r>
        <w:t xml:space="preserve">.  </w:t>
      </w:r>
      <w:r w:rsidR="006C2A4D" w:rsidRPr="007F4805">
        <w:t>Pursuant to the Rail Safety Improvement Act of 2008, as amended by the Positive Train Control Enforcement and Implementation Act of 2015,</w:t>
      </w:r>
      <w:r w:rsidR="006C2A4D" w:rsidRPr="007F4805">
        <w:rPr>
          <w:rStyle w:val="FootnoteReference"/>
          <w:sz w:val="22"/>
          <w:szCs w:val="22"/>
        </w:rPr>
        <w:footnoteReference w:id="4"/>
      </w:r>
      <w:r w:rsidR="006C2A4D" w:rsidRPr="007F4805">
        <w:t xml:space="preserve"> Congress has required all trains providing passenger service and freight trains operating on lines carrying toxic and poisonous-by-inhalation hazardous materials to implement interoperable</w:t>
      </w:r>
      <w:r w:rsidR="006C2A4D" w:rsidRPr="007F4805">
        <w:rPr>
          <w:rStyle w:val="FootnoteReference"/>
          <w:sz w:val="22"/>
          <w:szCs w:val="22"/>
        </w:rPr>
        <w:footnoteReference w:id="5"/>
      </w:r>
      <w:r w:rsidR="006C2A4D" w:rsidRPr="007F4805">
        <w:t xml:space="preserve"> PTC systems by December 31, 2018.</w:t>
      </w:r>
      <w:r w:rsidR="006C2A4D" w:rsidRPr="007F4805">
        <w:rPr>
          <w:rStyle w:val="FootnoteReference"/>
          <w:sz w:val="22"/>
          <w:szCs w:val="22"/>
        </w:rPr>
        <w:footnoteReference w:id="6"/>
      </w:r>
      <w:r w:rsidR="006C2A4D" w:rsidRPr="007F4805">
        <w:t xml:space="preserve">  The </w:t>
      </w:r>
      <w:r w:rsidR="006C2A4D" w:rsidRPr="007F4805">
        <w:lastRenderedPageBreak/>
        <w:t xml:space="preserve">American rail industry has chosen to implement PTC using radio spectrum that creates wireless networks with the capacity to enable real-time information sharing between trains, rail wayside devices, and “back office” applications, regarding train movement authorities, speed restrictions, train position and speed, and the state of signal and switch devices.  </w:t>
      </w:r>
    </w:p>
    <w:p w14:paraId="09F6363F" w14:textId="6C6C2B58" w:rsidR="00BE5FE5" w:rsidRPr="00BE5FE5" w:rsidRDefault="00D12597" w:rsidP="00D12597">
      <w:pPr>
        <w:pStyle w:val="ParaNum"/>
        <w:tabs>
          <w:tab w:val="clear" w:pos="1440"/>
        </w:tabs>
      </w:pPr>
      <w:r w:rsidRPr="00BE5FE5">
        <w:rPr>
          <w:i/>
          <w:szCs w:val="22"/>
        </w:rPr>
        <w:t>NJ Transit</w:t>
      </w:r>
      <w:r w:rsidRPr="00BE5FE5">
        <w:rPr>
          <w:szCs w:val="22"/>
        </w:rPr>
        <w:t xml:space="preserve">.  </w:t>
      </w:r>
      <w:r w:rsidRPr="00BA77BF">
        <w:t>NJ Transit operates one of the nation’s busiest commuter rail systems, providing more than 300,000 passenger trips on an average weekday.</w:t>
      </w:r>
      <w:r w:rsidRPr="00BA77BF">
        <w:rPr>
          <w:sz w:val="20"/>
          <w:szCs w:val="22"/>
          <w:vertAlign w:val="superscript"/>
        </w:rPr>
        <w:footnoteReference w:id="7"/>
      </w:r>
      <w:r w:rsidRPr="00BA77BF">
        <w:t xml:space="preserve">  It must deploy PTC on 11 commuter rail lines, serving 116 municipalities.</w:t>
      </w:r>
      <w:r w:rsidRPr="00BA77BF">
        <w:rPr>
          <w:sz w:val="20"/>
          <w:szCs w:val="22"/>
          <w:vertAlign w:val="superscript"/>
        </w:rPr>
        <w:footnoteReference w:id="8"/>
      </w:r>
      <w:r w:rsidR="00BE5FE5">
        <w:t xml:space="preserve">  </w:t>
      </w:r>
      <w:r w:rsidR="007F12EA">
        <w:t xml:space="preserve">NJ Transit is leasing spectrum </w:t>
      </w:r>
      <w:r w:rsidR="003D606E">
        <w:t xml:space="preserve">in the 218-219 MHz band </w:t>
      </w:r>
      <w:r w:rsidR="007F12EA">
        <w:t xml:space="preserve">from the </w:t>
      </w:r>
      <w:r w:rsidR="00BE5FE5" w:rsidRPr="00BE5FE5">
        <w:rPr>
          <w:szCs w:val="22"/>
        </w:rPr>
        <w:t xml:space="preserve">Metropolitan Transportation Authority of New York </w:t>
      </w:r>
      <w:r w:rsidR="007F12EA">
        <w:t xml:space="preserve">to </w:t>
      </w:r>
      <w:r w:rsidRPr="00BA77BF">
        <w:t xml:space="preserve">deploy PTC in </w:t>
      </w:r>
      <w:r w:rsidR="00BE5FE5" w:rsidRPr="00163D48">
        <w:t>seven northern New Jersey counties</w:t>
      </w:r>
      <w:r w:rsidR="00BE5FE5">
        <w:t>.</w:t>
      </w:r>
      <w:r w:rsidR="00BE5FE5" w:rsidRPr="00702226">
        <w:rPr>
          <w:sz w:val="20"/>
          <w:vertAlign w:val="superscript"/>
        </w:rPr>
        <w:footnoteReference w:id="9"/>
      </w:r>
      <w:r w:rsidR="00BE5FE5" w:rsidRPr="00BE5FE5">
        <w:rPr>
          <w:szCs w:val="22"/>
        </w:rPr>
        <w:t xml:space="preserve"> </w:t>
      </w:r>
      <w:r w:rsidR="00C57CFF">
        <w:rPr>
          <w:szCs w:val="22"/>
        </w:rPr>
        <w:t xml:space="preserve"> It requires spectrum in several adjoining counties to complete its PTC spectrum footprint.</w:t>
      </w:r>
      <w:r w:rsidR="00C57CFF">
        <w:rPr>
          <w:rStyle w:val="FootnoteReference"/>
          <w:szCs w:val="22"/>
        </w:rPr>
        <w:footnoteReference w:id="10"/>
      </w:r>
      <w:r w:rsidR="00C57CFF">
        <w:rPr>
          <w:szCs w:val="22"/>
        </w:rPr>
        <w:t xml:space="preserve"> </w:t>
      </w:r>
    </w:p>
    <w:p w14:paraId="458BBA7F" w14:textId="057B419E" w:rsidR="00D12597" w:rsidRPr="00A147DF" w:rsidRDefault="00BE5FE5" w:rsidP="00D12597">
      <w:pPr>
        <w:pStyle w:val="ParaNum"/>
        <w:tabs>
          <w:tab w:val="clear" w:pos="1440"/>
        </w:tabs>
      </w:pPr>
      <w:r w:rsidRPr="00BE5FE5">
        <w:rPr>
          <w:i/>
          <w:szCs w:val="22"/>
        </w:rPr>
        <w:t>SEPTA</w:t>
      </w:r>
      <w:r>
        <w:rPr>
          <w:szCs w:val="22"/>
        </w:rPr>
        <w:t xml:space="preserve">.  </w:t>
      </w:r>
      <w:r w:rsidR="004514B3" w:rsidRPr="004B60F0">
        <w:rPr>
          <w:szCs w:val="22"/>
        </w:rPr>
        <w:t>SEPTA</w:t>
      </w:r>
      <w:r w:rsidR="004514B3">
        <w:rPr>
          <w:szCs w:val="22"/>
        </w:rPr>
        <w:t xml:space="preserve"> also</w:t>
      </w:r>
      <w:r w:rsidR="004514B3" w:rsidRPr="004B60F0">
        <w:rPr>
          <w:szCs w:val="22"/>
        </w:rPr>
        <w:t xml:space="preserve"> provides </w:t>
      </w:r>
      <w:r w:rsidR="00E978D8">
        <w:rPr>
          <w:szCs w:val="22"/>
        </w:rPr>
        <w:t xml:space="preserve">vital </w:t>
      </w:r>
      <w:r w:rsidR="004514B3" w:rsidRPr="004B60F0">
        <w:rPr>
          <w:szCs w:val="22"/>
        </w:rPr>
        <w:t>commuter rail service</w:t>
      </w:r>
      <w:r w:rsidR="00E978D8">
        <w:rPr>
          <w:szCs w:val="22"/>
        </w:rPr>
        <w:t xml:space="preserve">, </w:t>
      </w:r>
      <w:r w:rsidR="004514B3">
        <w:rPr>
          <w:szCs w:val="22"/>
        </w:rPr>
        <w:t>serv</w:t>
      </w:r>
      <w:r w:rsidR="00E978D8">
        <w:rPr>
          <w:szCs w:val="22"/>
        </w:rPr>
        <w:t xml:space="preserve">ing </w:t>
      </w:r>
      <w:r w:rsidR="004514B3" w:rsidRPr="004B60F0">
        <w:rPr>
          <w:szCs w:val="22"/>
        </w:rPr>
        <w:t>approximately 130,000 passengers on an average weekday in greater Philadelphia over 13 rail lines.</w:t>
      </w:r>
      <w:r w:rsidR="004514B3" w:rsidRPr="00BA77BF">
        <w:rPr>
          <w:sz w:val="20"/>
          <w:vertAlign w:val="superscript"/>
        </w:rPr>
        <w:footnoteReference w:id="11"/>
      </w:r>
      <w:r w:rsidR="004514B3" w:rsidRPr="004B60F0">
        <w:rPr>
          <w:szCs w:val="22"/>
        </w:rPr>
        <w:t xml:space="preserve">  SEPTA has begun to implement PTC in earnest using a 220-222 MHz band license it acquired in 2010.</w:t>
      </w:r>
      <w:r w:rsidR="004514B3" w:rsidRPr="00BA77BF">
        <w:rPr>
          <w:sz w:val="20"/>
          <w:vertAlign w:val="superscript"/>
        </w:rPr>
        <w:footnoteReference w:id="12"/>
      </w:r>
      <w:r w:rsidR="0075220B">
        <w:rPr>
          <w:szCs w:val="22"/>
        </w:rPr>
        <w:t xml:space="preserve">  However, because its PTC system could experience interference from nearby freight rail PTC operations </w:t>
      </w:r>
      <w:r w:rsidR="003D606E">
        <w:rPr>
          <w:szCs w:val="22"/>
        </w:rPr>
        <w:t xml:space="preserve">also </w:t>
      </w:r>
      <w:r w:rsidR="00D4735A">
        <w:rPr>
          <w:szCs w:val="22"/>
        </w:rPr>
        <w:t xml:space="preserve">being </w:t>
      </w:r>
      <w:r w:rsidR="003D606E">
        <w:rPr>
          <w:szCs w:val="22"/>
        </w:rPr>
        <w:t xml:space="preserve">deployed </w:t>
      </w:r>
      <w:r w:rsidR="0075220B">
        <w:rPr>
          <w:szCs w:val="22"/>
        </w:rPr>
        <w:t xml:space="preserve">in the </w:t>
      </w:r>
      <w:r w:rsidR="003D606E">
        <w:rPr>
          <w:szCs w:val="22"/>
        </w:rPr>
        <w:t xml:space="preserve">220-222 MHz </w:t>
      </w:r>
      <w:r w:rsidR="0075220B">
        <w:rPr>
          <w:szCs w:val="22"/>
        </w:rPr>
        <w:t xml:space="preserve">band, SEPTA is prepared to transition its </w:t>
      </w:r>
      <w:r w:rsidR="003D606E">
        <w:rPr>
          <w:szCs w:val="22"/>
        </w:rPr>
        <w:t xml:space="preserve">PTC </w:t>
      </w:r>
      <w:r w:rsidR="0075220B">
        <w:rPr>
          <w:szCs w:val="22"/>
        </w:rPr>
        <w:t xml:space="preserve">system to the 218-219 MHz band. </w:t>
      </w:r>
    </w:p>
    <w:p w14:paraId="1C7E690A" w14:textId="16F2E5DF" w:rsidR="00A147DF" w:rsidRPr="00BE5FE5" w:rsidRDefault="00A147DF" w:rsidP="00D12597">
      <w:pPr>
        <w:pStyle w:val="ParaNum"/>
        <w:tabs>
          <w:tab w:val="clear" w:pos="1440"/>
        </w:tabs>
      </w:pPr>
      <w:r>
        <w:rPr>
          <w:i/>
        </w:rPr>
        <w:t xml:space="preserve">Intersystem Interference.  </w:t>
      </w:r>
      <w:r w:rsidRPr="007F4805">
        <w:t>Like Amtrak and other commuter railroads serving the</w:t>
      </w:r>
      <w:r>
        <w:t xml:space="preserve"> Northeast Corridor</w:t>
      </w:r>
      <w:r w:rsidRPr="007F4805">
        <w:t xml:space="preserve">, </w:t>
      </w:r>
      <w:r>
        <w:t>NJ Transit</w:t>
      </w:r>
      <w:r w:rsidRPr="007F4805">
        <w:t xml:space="preserve"> and </w:t>
      </w:r>
      <w:r>
        <w:t>SEPTA</w:t>
      </w:r>
      <w:r w:rsidRPr="007F4805">
        <w:t xml:space="preserve"> are deploying a PTC radio technology called an Advanced Civil Speed Enforcement System </w:t>
      </w:r>
      <w:r w:rsidRPr="007F12EA">
        <w:t>(ACSES</w:t>
      </w:r>
      <w:r w:rsidRPr="007F4805">
        <w:t>).</w:t>
      </w:r>
      <w:r w:rsidRPr="007F4805">
        <w:rPr>
          <w:rStyle w:val="FootnoteReference"/>
          <w:sz w:val="22"/>
          <w:szCs w:val="22"/>
        </w:rPr>
        <w:footnoteReference w:id="13"/>
      </w:r>
      <w:r w:rsidRPr="007F4805">
        <w:t xml:space="preserve">  ACSES radios are designed to operate in the 216-222 MHz frequency range.</w:t>
      </w:r>
      <w:r w:rsidRPr="007F4805">
        <w:rPr>
          <w:rStyle w:val="FootnoteReference"/>
          <w:sz w:val="22"/>
          <w:szCs w:val="22"/>
        </w:rPr>
        <w:footnoteReference w:id="14"/>
      </w:r>
      <w:r w:rsidRPr="007F4805">
        <w:t xml:space="preserve">  </w:t>
      </w:r>
      <w:r>
        <w:rPr>
          <w:szCs w:val="22"/>
        </w:rPr>
        <w:t>However, t</w:t>
      </w:r>
      <w:r w:rsidRPr="004514B3">
        <w:rPr>
          <w:szCs w:val="22"/>
        </w:rPr>
        <w:t xml:space="preserve">he nation’s freight rails, including PTC-220 members, have chosen to deploy a PTC radio technology called an Interoperable Electronic Train Management </w:t>
      </w:r>
      <w:r w:rsidRPr="007F12EA">
        <w:rPr>
          <w:szCs w:val="22"/>
        </w:rPr>
        <w:t>System (I-ETMS)</w:t>
      </w:r>
      <w:r w:rsidR="00341D83">
        <w:rPr>
          <w:szCs w:val="22"/>
        </w:rPr>
        <w:t>,</w:t>
      </w:r>
      <w:r w:rsidRPr="004514B3">
        <w:rPr>
          <w:szCs w:val="22"/>
        </w:rPr>
        <w:t xml:space="preserve"> and have acquired 220-222 MHz band spectrum throughout the United States to implement </w:t>
      </w:r>
      <w:r w:rsidR="00C57CFF" w:rsidRPr="007F12EA">
        <w:rPr>
          <w:szCs w:val="22"/>
        </w:rPr>
        <w:t>I-ETMS</w:t>
      </w:r>
      <w:r w:rsidRPr="004514B3">
        <w:rPr>
          <w:szCs w:val="22"/>
        </w:rPr>
        <w:t>.</w:t>
      </w:r>
      <w:r>
        <w:rPr>
          <w:rStyle w:val="FootnoteReference"/>
          <w:szCs w:val="22"/>
        </w:rPr>
        <w:footnoteReference w:id="15"/>
      </w:r>
      <w:r w:rsidRPr="004514B3">
        <w:rPr>
          <w:szCs w:val="22"/>
        </w:rPr>
        <w:t xml:space="preserve">  </w:t>
      </w:r>
      <w:r w:rsidRPr="00163D48">
        <w:rPr>
          <w:szCs w:val="22"/>
        </w:rPr>
        <w:t>Several of PTC-220’s member railroads operate over, or nearby, track where NJ Transit and SEPTA operate commuter rail trains.</w:t>
      </w:r>
      <w:r w:rsidRPr="003D600E">
        <w:rPr>
          <w:rStyle w:val="FootnoteReference"/>
          <w:sz w:val="22"/>
          <w:szCs w:val="22"/>
        </w:rPr>
        <w:footnoteReference w:id="16"/>
      </w:r>
      <w:r w:rsidRPr="00163D48">
        <w:rPr>
          <w:szCs w:val="22"/>
        </w:rPr>
        <w:t xml:space="preserve">  When in close geographic proximity, the freight rails’ and commuter rails’ respective PTC radio technologies can experience intersystem interference absent adequate spectral </w:t>
      </w:r>
      <w:r w:rsidRPr="00163D48">
        <w:rPr>
          <w:szCs w:val="22"/>
        </w:rPr>
        <w:lastRenderedPageBreak/>
        <w:t>separation and filtering.</w:t>
      </w:r>
      <w:r w:rsidRPr="003D600E">
        <w:rPr>
          <w:rStyle w:val="FootnoteReference"/>
          <w:sz w:val="22"/>
          <w:szCs w:val="22"/>
        </w:rPr>
        <w:footnoteReference w:id="17"/>
      </w:r>
      <w:r w:rsidRPr="00163D48">
        <w:rPr>
          <w:szCs w:val="22"/>
        </w:rPr>
        <w:t xml:space="preserve">  </w:t>
      </w:r>
      <w:r>
        <w:t xml:space="preserve">  </w:t>
      </w:r>
    </w:p>
    <w:p w14:paraId="38906260" w14:textId="3A5B5FB5" w:rsidR="009E260E" w:rsidRPr="009E260E" w:rsidRDefault="00976C58" w:rsidP="00312248">
      <w:pPr>
        <w:pStyle w:val="ParaNum"/>
        <w:tabs>
          <w:tab w:val="clear" w:pos="1440"/>
        </w:tabs>
      </w:pPr>
      <w:r w:rsidRPr="00A147DF">
        <w:rPr>
          <w:i/>
          <w:szCs w:val="22"/>
        </w:rPr>
        <w:t>Station KIVD0007</w:t>
      </w:r>
      <w:r w:rsidRPr="00A147DF">
        <w:rPr>
          <w:szCs w:val="22"/>
        </w:rPr>
        <w:t xml:space="preserve">.  </w:t>
      </w:r>
      <w:r w:rsidR="00A147DF" w:rsidRPr="00CE7505">
        <w:t xml:space="preserve">PTC-220 </w:t>
      </w:r>
      <w:r w:rsidR="00341D83">
        <w:t xml:space="preserve">specifically </w:t>
      </w:r>
      <w:r w:rsidR="00A147DF" w:rsidRPr="00CE7505">
        <w:t xml:space="preserve">acquired Station KIVD0007 to provide NJ Transit and SEPTA </w:t>
      </w:r>
      <w:r w:rsidR="00BB0434">
        <w:t xml:space="preserve">access to spectrum that would provide </w:t>
      </w:r>
      <w:r w:rsidR="00A147DF" w:rsidRPr="00CE7505">
        <w:t xml:space="preserve">necessary spectral separation </w:t>
      </w:r>
      <w:r w:rsidR="00A147DF">
        <w:t xml:space="preserve">so that </w:t>
      </w:r>
      <w:r w:rsidR="00A147DF" w:rsidRPr="00CE7505">
        <w:t>filters</w:t>
      </w:r>
      <w:r w:rsidR="00A147DF">
        <w:t xml:space="preserve"> could be deployed to mitigate potential intersystem interference</w:t>
      </w:r>
      <w:r w:rsidR="00C57CFF">
        <w:t xml:space="preserve"> between their ACSES PTC systems and the freight rails’ I-ETMS PTC systems</w:t>
      </w:r>
      <w:r w:rsidR="005A63A8">
        <w:t xml:space="preserve"> in the 220-222 MHz band</w:t>
      </w:r>
      <w:r w:rsidR="00A147DF" w:rsidRPr="00CE7505">
        <w:t>.</w:t>
      </w:r>
      <w:r w:rsidR="00A147DF" w:rsidRPr="003D600E">
        <w:rPr>
          <w:rStyle w:val="FootnoteReference"/>
          <w:sz w:val="22"/>
          <w:szCs w:val="22"/>
        </w:rPr>
        <w:footnoteReference w:id="18"/>
      </w:r>
      <w:r w:rsidR="00A147DF">
        <w:t xml:space="preserve">  </w:t>
      </w:r>
      <w:r w:rsidR="00BE5FE5" w:rsidRPr="00A147DF">
        <w:rPr>
          <w:szCs w:val="22"/>
        </w:rPr>
        <w:t xml:space="preserve">Station KIVD0007 currently includes 500 kilohertz of spectrum (218.000 to 218.500 </w:t>
      </w:r>
      <w:r w:rsidR="00562F16">
        <w:rPr>
          <w:szCs w:val="22"/>
        </w:rPr>
        <w:t>MHz</w:t>
      </w:r>
      <w:r w:rsidR="00BE5FE5" w:rsidRPr="00A147DF">
        <w:rPr>
          <w:szCs w:val="22"/>
        </w:rPr>
        <w:t xml:space="preserve">) </w:t>
      </w:r>
      <w:r w:rsidR="009E260E">
        <w:rPr>
          <w:szCs w:val="22"/>
        </w:rPr>
        <w:t xml:space="preserve">in </w:t>
      </w:r>
      <w:r w:rsidR="00341D83">
        <w:rPr>
          <w:szCs w:val="22"/>
        </w:rPr>
        <w:t xml:space="preserve">eight counties </w:t>
      </w:r>
      <w:r w:rsidR="00BE5FE5" w:rsidRPr="00A147DF">
        <w:rPr>
          <w:szCs w:val="22"/>
        </w:rPr>
        <w:t xml:space="preserve">where NJ Transit and SEPTA </w:t>
      </w:r>
      <w:r w:rsidR="009E260E">
        <w:rPr>
          <w:szCs w:val="22"/>
        </w:rPr>
        <w:t xml:space="preserve">will </w:t>
      </w:r>
      <w:r w:rsidR="00BE5FE5" w:rsidRPr="00A147DF">
        <w:rPr>
          <w:szCs w:val="22"/>
        </w:rPr>
        <w:t>deploy PTC.</w:t>
      </w:r>
      <w:r w:rsidR="00BE5FE5">
        <w:rPr>
          <w:rStyle w:val="FootnoteReference"/>
          <w:szCs w:val="22"/>
        </w:rPr>
        <w:footnoteReference w:id="19"/>
      </w:r>
      <w:r w:rsidR="00BE5FE5" w:rsidRPr="00A147DF">
        <w:rPr>
          <w:szCs w:val="22"/>
        </w:rPr>
        <w:t xml:space="preserve">  </w:t>
      </w:r>
      <w:r w:rsidR="009E260E" w:rsidRPr="00A147DF">
        <w:rPr>
          <w:szCs w:val="22"/>
        </w:rPr>
        <w:t>PTC-220 requested that we modify Station KIVD0007 to return 250 kilohertz of spectrum (218.250 to 21</w:t>
      </w:r>
      <w:r w:rsidR="00562F16">
        <w:rPr>
          <w:szCs w:val="22"/>
        </w:rPr>
        <w:t>8.500 MHz</w:t>
      </w:r>
      <w:r w:rsidR="009E260E" w:rsidRPr="00A147DF">
        <w:rPr>
          <w:szCs w:val="22"/>
        </w:rPr>
        <w:t xml:space="preserve">) from the eight counties </w:t>
      </w:r>
      <w:r w:rsidR="009E260E">
        <w:rPr>
          <w:szCs w:val="22"/>
        </w:rPr>
        <w:t xml:space="preserve">now </w:t>
      </w:r>
      <w:r w:rsidR="009E260E" w:rsidRPr="00A147DF">
        <w:rPr>
          <w:szCs w:val="22"/>
        </w:rPr>
        <w:t xml:space="preserve">comprising </w:t>
      </w:r>
      <w:r w:rsidR="009E260E">
        <w:rPr>
          <w:szCs w:val="22"/>
        </w:rPr>
        <w:t xml:space="preserve">the </w:t>
      </w:r>
      <w:r w:rsidR="009E260E" w:rsidRPr="00A147DF">
        <w:rPr>
          <w:szCs w:val="22"/>
        </w:rPr>
        <w:t>license area to the Commission.</w:t>
      </w:r>
      <w:r w:rsidR="009E260E">
        <w:rPr>
          <w:rStyle w:val="FootnoteReference"/>
          <w:szCs w:val="22"/>
        </w:rPr>
        <w:footnoteReference w:id="20"/>
      </w:r>
    </w:p>
    <w:p w14:paraId="161ACA21" w14:textId="0671EB0C" w:rsidR="00312248" w:rsidRPr="00A45533" w:rsidRDefault="00BE5FE5" w:rsidP="00312248">
      <w:pPr>
        <w:pStyle w:val="ParaNum"/>
        <w:tabs>
          <w:tab w:val="clear" w:pos="1440"/>
        </w:tabs>
      </w:pPr>
      <w:r w:rsidRPr="00A147DF">
        <w:rPr>
          <w:szCs w:val="22"/>
        </w:rPr>
        <w:t xml:space="preserve">NJ Transit and SEPTA also </w:t>
      </w:r>
      <w:r w:rsidR="00341D83">
        <w:rPr>
          <w:szCs w:val="22"/>
        </w:rPr>
        <w:t xml:space="preserve">require spectrum to </w:t>
      </w:r>
      <w:r w:rsidRPr="00A147DF">
        <w:rPr>
          <w:szCs w:val="22"/>
        </w:rPr>
        <w:t xml:space="preserve">deploy PTC in eight </w:t>
      </w:r>
      <w:r w:rsidR="009E260E">
        <w:rPr>
          <w:szCs w:val="22"/>
        </w:rPr>
        <w:t xml:space="preserve">additional </w:t>
      </w:r>
      <w:r w:rsidRPr="00A147DF">
        <w:rPr>
          <w:szCs w:val="22"/>
        </w:rPr>
        <w:t>counties</w:t>
      </w:r>
      <w:r w:rsidR="00C57CFF">
        <w:rPr>
          <w:szCs w:val="22"/>
        </w:rPr>
        <w:t xml:space="preserve"> that </w:t>
      </w:r>
      <w:r w:rsidR="00341D83">
        <w:rPr>
          <w:szCs w:val="22"/>
        </w:rPr>
        <w:t xml:space="preserve">adjoin </w:t>
      </w:r>
      <w:r w:rsidR="00A147DF" w:rsidRPr="00A147DF">
        <w:rPr>
          <w:szCs w:val="22"/>
        </w:rPr>
        <w:t>Station KIVD0007</w:t>
      </w:r>
      <w:r w:rsidR="00D13AEF">
        <w:rPr>
          <w:szCs w:val="22"/>
        </w:rPr>
        <w:t>’</w:t>
      </w:r>
      <w:r w:rsidR="00A147DF" w:rsidRPr="00A147DF">
        <w:rPr>
          <w:szCs w:val="22"/>
        </w:rPr>
        <w:t xml:space="preserve">s </w:t>
      </w:r>
      <w:r w:rsidRPr="00A147DF">
        <w:rPr>
          <w:szCs w:val="22"/>
        </w:rPr>
        <w:t>current license area.</w:t>
      </w:r>
      <w:r>
        <w:rPr>
          <w:rStyle w:val="FootnoteReference"/>
          <w:szCs w:val="22"/>
        </w:rPr>
        <w:footnoteReference w:id="21"/>
      </w:r>
      <w:r w:rsidR="00A147DF">
        <w:t xml:space="preserve">  </w:t>
      </w:r>
      <w:r w:rsidRPr="00A147DF">
        <w:rPr>
          <w:szCs w:val="22"/>
        </w:rPr>
        <w:t>PTC-220</w:t>
      </w:r>
      <w:r w:rsidR="009E260E">
        <w:rPr>
          <w:szCs w:val="22"/>
        </w:rPr>
        <w:t xml:space="preserve"> has</w:t>
      </w:r>
      <w:r w:rsidRPr="00A147DF">
        <w:rPr>
          <w:szCs w:val="22"/>
        </w:rPr>
        <w:t xml:space="preserve"> requested that we modify Station KIVD0007 by authorizing the use of 250 kilohertz of spectrum (218.000 to 218.250 </w:t>
      </w:r>
      <w:r w:rsidR="00562F16">
        <w:rPr>
          <w:szCs w:val="22"/>
        </w:rPr>
        <w:t>MHz</w:t>
      </w:r>
      <w:r w:rsidRPr="00A147DF">
        <w:rPr>
          <w:szCs w:val="22"/>
        </w:rPr>
        <w:t xml:space="preserve">) from the Commission’s 218-219 MHz band inventory in the eight </w:t>
      </w:r>
      <w:r w:rsidR="00341D83">
        <w:rPr>
          <w:szCs w:val="22"/>
        </w:rPr>
        <w:t xml:space="preserve">adjoining </w:t>
      </w:r>
      <w:r w:rsidRPr="00A147DF">
        <w:rPr>
          <w:szCs w:val="22"/>
        </w:rPr>
        <w:t>counties.</w:t>
      </w:r>
      <w:r>
        <w:rPr>
          <w:rStyle w:val="FootnoteReference"/>
          <w:szCs w:val="22"/>
        </w:rPr>
        <w:footnoteReference w:id="22"/>
      </w:r>
      <w:r w:rsidRPr="00A147DF">
        <w:rPr>
          <w:szCs w:val="22"/>
        </w:rPr>
        <w:t xml:space="preserve">  </w:t>
      </w:r>
      <w:r w:rsidR="005A63A8">
        <w:rPr>
          <w:szCs w:val="22"/>
        </w:rPr>
        <w:t>Collectively, t</w:t>
      </w:r>
      <w:r w:rsidRPr="00A147DF">
        <w:rPr>
          <w:szCs w:val="22"/>
        </w:rPr>
        <w:t xml:space="preserve">he </w:t>
      </w:r>
      <w:r w:rsidR="00C57CFF">
        <w:rPr>
          <w:szCs w:val="22"/>
        </w:rPr>
        <w:t xml:space="preserve">requested </w:t>
      </w:r>
      <w:r w:rsidR="00630EA9">
        <w:rPr>
          <w:szCs w:val="22"/>
        </w:rPr>
        <w:t xml:space="preserve">license </w:t>
      </w:r>
      <w:r w:rsidRPr="00A147DF">
        <w:rPr>
          <w:szCs w:val="22"/>
        </w:rPr>
        <w:t>modifications w</w:t>
      </w:r>
      <w:r w:rsidR="005A63A8">
        <w:rPr>
          <w:szCs w:val="22"/>
        </w:rPr>
        <w:t xml:space="preserve">ill </w:t>
      </w:r>
      <w:r w:rsidRPr="00A147DF">
        <w:rPr>
          <w:szCs w:val="22"/>
        </w:rPr>
        <w:t>result in a 16-county, 250 kilohertz spectrum license, which PTC-220 has committed to partition between NJ Transit and SEPTA to enable their respective PTC implementations.</w:t>
      </w:r>
      <w:r>
        <w:rPr>
          <w:rStyle w:val="FootnoteReference"/>
          <w:szCs w:val="22"/>
        </w:rPr>
        <w:footnoteReference w:id="23"/>
      </w:r>
    </w:p>
    <w:p w14:paraId="1CC911E2" w14:textId="5B52D9AA" w:rsidR="00616B10" w:rsidRDefault="005B09F9" w:rsidP="00163D48">
      <w:pPr>
        <w:pStyle w:val="ParaNum"/>
      </w:pPr>
      <w:r w:rsidRPr="00163D48">
        <w:rPr>
          <w:i/>
        </w:rPr>
        <w:t>Proposed Order of Modification</w:t>
      </w:r>
      <w:r w:rsidRPr="007F4805">
        <w:t xml:space="preserve">.  On </w:t>
      </w:r>
      <w:r w:rsidR="00492384">
        <w:t>December 19</w:t>
      </w:r>
      <w:r w:rsidRPr="007F4805">
        <w:t xml:space="preserve">, 2016, the </w:t>
      </w:r>
      <w:r w:rsidR="00A147DF">
        <w:t xml:space="preserve">Division </w:t>
      </w:r>
      <w:r w:rsidRPr="007F4805">
        <w:t xml:space="preserve">adopted the </w:t>
      </w:r>
      <w:r w:rsidRPr="00163D48">
        <w:rPr>
          <w:i/>
        </w:rPr>
        <w:t>Proposed Order of Modification</w:t>
      </w:r>
      <w:r w:rsidRPr="007F4805">
        <w:t>.</w:t>
      </w:r>
      <w:r w:rsidRPr="007F4805">
        <w:rPr>
          <w:rStyle w:val="FootnoteReference"/>
          <w:sz w:val="22"/>
          <w:szCs w:val="22"/>
        </w:rPr>
        <w:footnoteReference w:id="24"/>
      </w:r>
      <w:r w:rsidRPr="007F4805">
        <w:t xml:space="preserve">  The</w:t>
      </w:r>
      <w:r w:rsidR="00A147DF">
        <w:t xml:space="preserve"> Division</w:t>
      </w:r>
      <w:r w:rsidR="003E5575" w:rsidRPr="007F4805">
        <w:t xml:space="preserve"> </w:t>
      </w:r>
      <w:r w:rsidRPr="007F4805">
        <w:t xml:space="preserve">found that Section 316(a)(1) of the Communications Act of 1934, as amended, provides it authority to </w:t>
      </w:r>
      <w:r w:rsidR="00562F16">
        <w:t xml:space="preserve">propose </w:t>
      </w:r>
      <w:r w:rsidRPr="007F4805">
        <w:t>modif</w:t>
      </w:r>
      <w:r w:rsidR="00562F16">
        <w:t>ication of</w:t>
      </w:r>
      <w:r w:rsidRPr="007F4805">
        <w:t xml:space="preserve"> Station </w:t>
      </w:r>
      <w:r w:rsidR="006B1AC2" w:rsidRPr="00163D48">
        <w:rPr>
          <w:szCs w:val="22"/>
        </w:rPr>
        <w:t xml:space="preserve">KIVD0007 </w:t>
      </w:r>
      <w:r w:rsidRPr="007F4805">
        <w:t xml:space="preserve">as requested by </w:t>
      </w:r>
      <w:r w:rsidR="006B1AC2">
        <w:t>PTC-220</w:t>
      </w:r>
      <w:r w:rsidRPr="007F4805">
        <w:t>.</w:t>
      </w:r>
      <w:r w:rsidRPr="007F4805">
        <w:rPr>
          <w:rStyle w:val="FootnoteReference"/>
          <w:sz w:val="22"/>
          <w:szCs w:val="22"/>
        </w:rPr>
        <w:footnoteReference w:id="25"/>
      </w:r>
      <w:r w:rsidRPr="007F4805">
        <w:t xml:space="preserve">  </w:t>
      </w:r>
      <w:r w:rsidR="00616B10">
        <w:t xml:space="preserve">It </w:t>
      </w:r>
      <w:r w:rsidRPr="007F4805">
        <w:t xml:space="preserve">found that the proposed license modification will promote the vital public interest in rail safety </w:t>
      </w:r>
      <w:r w:rsidR="005828C0">
        <w:t xml:space="preserve">by facilitating the implementation of PTC by NJ Transit, SEPTA, </w:t>
      </w:r>
      <w:r w:rsidR="005828C0" w:rsidRPr="005828C0">
        <w:t>and by freight rails as required by Congress in the Rail Safety Improvement Act of 2008.</w:t>
      </w:r>
      <w:r w:rsidR="005828C0">
        <w:rPr>
          <w:rStyle w:val="FootnoteReference"/>
        </w:rPr>
        <w:footnoteReference w:id="26"/>
      </w:r>
      <w:r w:rsidR="005828C0" w:rsidRPr="005828C0">
        <w:t xml:space="preserve">  </w:t>
      </w:r>
    </w:p>
    <w:p w14:paraId="68BFBFED" w14:textId="526D50FB" w:rsidR="0069531F" w:rsidRPr="007F4805" w:rsidRDefault="00F41051" w:rsidP="003E5575">
      <w:pPr>
        <w:pStyle w:val="ParaNum"/>
        <w:rPr>
          <w:szCs w:val="22"/>
        </w:rPr>
      </w:pPr>
      <w:r>
        <w:t xml:space="preserve">The </w:t>
      </w:r>
      <w:r w:rsidR="00A147DF">
        <w:t xml:space="preserve">Division </w:t>
      </w:r>
      <w:r>
        <w:t xml:space="preserve">also addressed </w:t>
      </w:r>
      <w:r w:rsidR="005828C0">
        <w:t>PTC-220’s</w:t>
      </w:r>
      <w:r w:rsidR="005828C0" w:rsidRPr="007F4805">
        <w:t xml:space="preserve"> </w:t>
      </w:r>
      <w:r>
        <w:t xml:space="preserve">related </w:t>
      </w:r>
      <w:r w:rsidR="005B09F9" w:rsidRPr="007F4805">
        <w:t>request</w:t>
      </w:r>
      <w:r w:rsidR="005828C0">
        <w:t>s</w:t>
      </w:r>
      <w:r w:rsidR="005B09F9" w:rsidRPr="007F4805">
        <w:t xml:space="preserve"> for additional power to </w:t>
      </w:r>
      <w:r w:rsidR="008A3998">
        <w:t xml:space="preserve">enable </w:t>
      </w:r>
      <w:r w:rsidR="00A147DF">
        <w:t xml:space="preserve">the </w:t>
      </w:r>
      <w:r w:rsidR="005B09F9" w:rsidRPr="007F4805">
        <w:t>deploy</w:t>
      </w:r>
      <w:r w:rsidR="008A3998">
        <w:t>ment of</w:t>
      </w:r>
      <w:r w:rsidR="005B09F9" w:rsidRPr="007F4805">
        <w:t xml:space="preserve"> PTC</w:t>
      </w:r>
      <w:r w:rsidR="00137625">
        <w:t xml:space="preserve"> </w:t>
      </w:r>
      <w:r w:rsidR="00A147DF">
        <w:t xml:space="preserve">by NJ Transit and SEPTA, </w:t>
      </w:r>
      <w:r w:rsidR="00137625">
        <w:t>and</w:t>
      </w:r>
      <w:r w:rsidR="005828C0">
        <w:t xml:space="preserve"> </w:t>
      </w:r>
      <w:r>
        <w:t xml:space="preserve">for </w:t>
      </w:r>
      <w:r w:rsidR="005828C0">
        <w:t xml:space="preserve">relief from </w:t>
      </w:r>
      <w:r>
        <w:t xml:space="preserve">certain </w:t>
      </w:r>
      <w:r w:rsidR="005828C0">
        <w:t>reporting requirement</w:t>
      </w:r>
      <w:r>
        <w:t>s</w:t>
      </w:r>
      <w:r w:rsidR="006F44BE">
        <w:t>.</w:t>
      </w:r>
      <w:r w:rsidR="007845B5">
        <w:rPr>
          <w:rStyle w:val="FootnoteReference"/>
        </w:rPr>
        <w:footnoteReference w:id="27"/>
      </w:r>
      <w:r w:rsidR="006F44BE">
        <w:t xml:space="preserve"> </w:t>
      </w:r>
      <w:r w:rsidR="00E158FB">
        <w:t xml:space="preserve"> </w:t>
      </w:r>
      <w:r w:rsidR="006F44BE">
        <w:t>T</w:t>
      </w:r>
      <w:r w:rsidR="00137625">
        <w:t>he</w:t>
      </w:r>
      <w:r w:rsidR="00137625" w:rsidRPr="007F4805">
        <w:t xml:space="preserve"> </w:t>
      </w:r>
      <w:r w:rsidR="00A147DF">
        <w:t xml:space="preserve">Division </w:t>
      </w:r>
      <w:r w:rsidR="00562F16">
        <w:t>proposed grant of a waiver, finding</w:t>
      </w:r>
      <w:r w:rsidR="00562F16" w:rsidRPr="007F4805">
        <w:t xml:space="preserve"> </w:t>
      </w:r>
      <w:r w:rsidR="005B09F9" w:rsidRPr="007F4805">
        <w:t>that strict application of Section 95.855’s power limits</w:t>
      </w:r>
      <w:r w:rsidR="00DB135A">
        <w:t xml:space="preserve"> and Section 95.815(b)’s reporting </w:t>
      </w:r>
      <w:r w:rsidR="003E5575">
        <w:t>requirement</w:t>
      </w:r>
      <w:r w:rsidR="006F44BE">
        <w:t>s</w:t>
      </w:r>
      <w:r w:rsidR="003E5575" w:rsidRPr="007F4805">
        <w:t xml:space="preserve"> would</w:t>
      </w:r>
      <w:r w:rsidR="005B09F9" w:rsidRPr="007F4805">
        <w:t xml:space="preserve"> not serve the public interest.</w:t>
      </w:r>
      <w:r w:rsidR="005B09F9" w:rsidRPr="007F4805">
        <w:rPr>
          <w:rStyle w:val="FootnoteReference"/>
          <w:sz w:val="22"/>
          <w:szCs w:val="22"/>
        </w:rPr>
        <w:footnoteReference w:id="28"/>
      </w:r>
      <w:r w:rsidR="005B09F9" w:rsidRPr="007F4805">
        <w:t xml:space="preserve">  </w:t>
      </w:r>
      <w:r w:rsidR="00562F16">
        <w:t xml:space="preserve">In proposing a limited waiver of rule </w:t>
      </w:r>
      <w:r w:rsidR="00905F19">
        <w:t xml:space="preserve">1.955(a)(3) </w:t>
      </w:r>
      <w:r w:rsidR="00562F16">
        <w:t>until the December 31, 2018 PTC implementation deadline,</w:t>
      </w:r>
      <w:r w:rsidR="00562F16">
        <w:rPr>
          <w:rStyle w:val="FootnoteReference"/>
        </w:rPr>
        <w:footnoteReference w:id="29"/>
      </w:r>
      <w:r w:rsidR="00562F16">
        <w:t xml:space="preserve"> the Division</w:t>
      </w:r>
      <w:r w:rsidR="003E5575">
        <w:t xml:space="preserve"> found that strict application of </w:t>
      </w:r>
      <w:r w:rsidR="003E5575" w:rsidRPr="003E5575">
        <w:rPr>
          <w:szCs w:val="22"/>
        </w:rPr>
        <w:t>Section 1.955(a)(3),</w:t>
      </w:r>
      <w:r w:rsidR="003E5575" w:rsidRPr="003E5575">
        <w:rPr>
          <w:sz w:val="20"/>
          <w:szCs w:val="22"/>
          <w:vertAlign w:val="superscript"/>
        </w:rPr>
        <w:footnoteReference w:id="30"/>
      </w:r>
      <w:r w:rsidR="003E5575" w:rsidRPr="003E5575">
        <w:rPr>
          <w:szCs w:val="22"/>
        </w:rPr>
        <w:t xml:space="preserve"> which provides that “[a]uthorizations automatically terminate, without specific Commission action, if serv</w:t>
      </w:r>
      <w:r w:rsidR="003E5575">
        <w:rPr>
          <w:szCs w:val="22"/>
        </w:rPr>
        <w:t>ice is permanently discontinued,</w:t>
      </w:r>
      <w:r w:rsidR="003E5575" w:rsidRPr="003E5575">
        <w:rPr>
          <w:szCs w:val="22"/>
        </w:rPr>
        <w:t>”</w:t>
      </w:r>
      <w:r w:rsidR="003E5575">
        <w:rPr>
          <w:szCs w:val="22"/>
        </w:rPr>
        <w:t xml:space="preserve"> would be contrary to the public interest in rail safety</w:t>
      </w:r>
      <w:r w:rsidR="00562F16">
        <w:rPr>
          <w:szCs w:val="22"/>
        </w:rPr>
        <w:t>.</w:t>
      </w:r>
      <w:r w:rsidR="003E5575">
        <w:t xml:space="preserve"> </w:t>
      </w:r>
      <w:r w:rsidR="003E5575">
        <w:rPr>
          <w:szCs w:val="22"/>
        </w:rPr>
        <w:t xml:space="preserve"> </w:t>
      </w:r>
      <w:r w:rsidR="005B09F9" w:rsidRPr="007F4805">
        <w:rPr>
          <w:szCs w:val="22"/>
        </w:rPr>
        <w:t xml:space="preserve">The </w:t>
      </w:r>
      <w:r w:rsidR="006F44BE">
        <w:rPr>
          <w:szCs w:val="22"/>
        </w:rPr>
        <w:t xml:space="preserve">30-day </w:t>
      </w:r>
      <w:r w:rsidR="005B09F9" w:rsidRPr="007F4805">
        <w:rPr>
          <w:szCs w:val="22"/>
        </w:rPr>
        <w:t xml:space="preserve">period for filing protests of the </w:t>
      </w:r>
      <w:r w:rsidR="005B09F9" w:rsidRPr="00163D48">
        <w:rPr>
          <w:i/>
          <w:szCs w:val="22"/>
        </w:rPr>
        <w:t>Proposed Order of Modification</w:t>
      </w:r>
      <w:r w:rsidR="005B09F9" w:rsidRPr="007F4805">
        <w:rPr>
          <w:szCs w:val="22"/>
        </w:rPr>
        <w:t xml:space="preserve"> ended </w:t>
      </w:r>
      <w:r w:rsidR="006F44BE">
        <w:rPr>
          <w:szCs w:val="22"/>
        </w:rPr>
        <w:t xml:space="preserve">on January 18, 2017, </w:t>
      </w:r>
      <w:r w:rsidR="005B09F9" w:rsidRPr="007F4805">
        <w:rPr>
          <w:szCs w:val="22"/>
        </w:rPr>
        <w:t xml:space="preserve">and </w:t>
      </w:r>
      <w:r w:rsidR="005B09F9" w:rsidRPr="007F12EA">
        <w:rPr>
          <w:szCs w:val="22"/>
        </w:rPr>
        <w:t>no party filed a protest</w:t>
      </w:r>
      <w:r w:rsidR="005B09F9" w:rsidRPr="007F4805">
        <w:rPr>
          <w:szCs w:val="22"/>
        </w:rPr>
        <w:t>.</w:t>
      </w:r>
      <w:r w:rsidR="005B09F9" w:rsidRPr="007F4805">
        <w:rPr>
          <w:rStyle w:val="FootnoteReference"/>
          <w:sz w:val="22"/>
          <w:szCs w:val="22"/>
        </w:rPr>
        <w:footnoteReference w:id="31"/>
      </w:r>
      <w:r w:rsidR="005B09F9" w:rsidRPr="007F4805">
        <w:rPr>
          <w:szCs w:val="22"/>
        </w:rPr>
        <w:t xml:space="preserve">  </w:t>
      </w:r>
    </w:p>
    <w:p w14:paraId="1F32C31D" w14:textId="77777777" w:rsidR="0069531F" w:rsidRPr="007F4805" w:rsidRDefault="0069531F" w:rsidP="0069531F">
      <w:pPr>
        <w:pStyle w:val="Heading1"/>
        <w:rPr>
          <w:rFonts w:ascii="Times New Roman" w:hAnsi="Times New Roman"/>
          <w:szCs w:val="22"/>
        </w:rPr>
      </w:pPr>
      <w:r w:rsidRPr="007F4805">
        <w:rPr>
          <w:rFonts w:ascii="Times New Roman" w:hAnsi="Times New Roman"/>
          <w:szCs w:val="22"/>
        </w:rPr>
        <w:t>DISCUSSION</w:t>
      </w:r>
    </w:p>
    <w:p w14:paraId="7973E51B" w14:textId="77777777" w:rsidR="00EC2AA7" w:rsidRPr="007F4805" w:rsidRDefault="00EC2AA7" w:rsidP="00EC2AA7">
      <w:pPr>
        <w:pStyle w:val="ParaNum"/>
        <w:rPr>
          <w:szCs w:val="22"/>
        </w:rPr>
      </w:pPr>
      <w:r w:rsidRPr="007F4805">
        <w:rPr>
          <w:szCs w:val="22"/>
        </w:rPr>
        <w:t xml:space="preserve">For the reasons stated above and in light of the </w:t>
      </w:r>
      <w:r w:rsidR="009F63D5">
        <w:rPr>
          <w:szCs w:val="22"/>
        </w:rPr>
        <w:t xml:space="preserve">overriding </w:t>
      </w:r>
      <w:r w:rsidRPr="007F4805">
        <w:rPr>
          <w:szCs w:val="22"/>
        </w:rPr>
        <w:t>public interest in rail safety embodied in the Congressional mandate to implement PTC, we find it in the public interest to modify</w:t>
      </w:r>
      <w:r w:rsidR="006F44BE">
        <w:rPr>
          <w:szCs w:val="22"/>
        </w:rPr>
        <w:t xml:space="preserve"> PTC-220’s</w:t>
      </w:r>
      <w:r w:rsidRPr="007F4805">
        <w:rPr>
          <w:szCs w:val="22"/>
        </w:rPr>
        <w:t xml:space="preserve"> authorization consistent with the </w:t>
      </w:r>
      <w:r w:rsidRPr="007F4805">
        <w:rPr>
          <w:i/>
          <w:szCs w:val="22"/>
        </w:rPr>
        <w:t>Proposed Order of Modification</w:t>
      </w:r>
      <w:r w:rsidRPr="007F4805">
        <w:rPr>
          <w:szCs w:val="22"/>
        </w:rPr>
        <w:t xml:space="preserve">.  Accordingly, we hereby modify Station </w:t>
      </w:r>
      <w:r w:rsidR="003D502F" w:rsidRPr="003D502F">
        <w:rPr>
          <w:szCs w:val="22"/>
        </w:rPr>
        <w:t xml:space="preserve">KIVD0007 </w:t>
      </w:r>
      <w:r w:rsidRPr="007F4805">
        <w:rPr>
          <w:szCs w:val="22"/>
        </w:rPr>
        <w:t>as follows:</w:t>
      </w:r>
    </w:p>
    <w:p w14:paraId="6E293823" w14:textId="5038B577" w:rsidR="00EC2AA7" w:rsidRPr="007F4805" w:rsidRDefault="00EC2AA7" w:rsidP="003D502F">
      <w:pPr>
        <w:numPr>
          <w:ilvl w:val="0"/>
          <w:numId w:val="7"/>
        </w:numPr>
        <w:spacing w:after="120"/>
        <w:rPr>
          <w:szCs w:val="22"/>
        </w:rPr>
      </w:pPr>
      <w:r w:rsidRPr="007F4805">
        <w:rPr>
          <w:szCs w:val="22"/>
        </w:rPr>
        <w:t xml:space="preserve">We authorize the use of an additional 250 </w:t>
      </w:r>
      <w:r w:rsidR="00D13AEF">
        <w:rPr>
          <w:szCs w:val="22"/>
        </w:rPr>
        <w:t>kilohertz</w:t>
      </w:r>
      <w:r w:rsidR="00D13AEF" w:rsidRPr="007F4805">
        <w:rPr>
          <w:szCs w:val="22"/>
        </w:rPr>
        <w:t xml:space="preserve"> </w:t>
      </w:r>
      <w:r w:rsidRPr="007F4805">
        <w:rPr>
          <w:szCs w:val="22"/>
        </w:rPr>
        <w:t xml:space="preserve">of spectrum, </w:t>
      </w:r>
      <w:r w:rsidR="003D502F">
        <w:rPr>
          <w:szCs w:val="22"/>
        </w:rPr>
        <w:t>218.000-218.250</w:t>
      </w:r>
      <w:r w:rsidRPr="007F4805">
        <w:rPr>
          <w:szCs w:val="22"/>
        </w:rPr>
        <w:t xml:space="preserve"> </w:t>
      </w:r>
      <w:r w:rsidR="004F1045">
        <w:rPr>
          <w:szCs w:val="22"/>
        </w:rPr>
        <w:t>MHz</w:t>
      </w:r>
      <w:r w:rsidRPr="007F4805">
        <w:rPr>
          <w:szCs w:val="22"/>
        </w:rPr>
        <w:t>,</w:t>
      </w:r>
      <w:r w:rsidRPr="007F4805">
        <w:rPr>
          <w:rStyle w:val="FootnoteReference"/>
          <w:sz w:val="22"/>
          <w:szCs w:val="22"/>
        </w:rPr>
        <w:footnoteReference w:id="32"/>
      </w:r>
      <w:r w:rsidRPr="007F4805">
        <w:rPr>
          <w:szCs w:val="22"/>
        </w:rPr>
        <w:t xml:space="preserve"> </w:t>
      </w:r>
      <w:r w:rsidR="003D502F" w:rsidRPr="003D502F">
        <w:rPr>
          <w:szCs w:val="22"/>
        </w:rPr>
        <w:t>in the following New Jersey counties:  Atlantic (IVM134); Hunterdon (IVM550); Mercer (IVM121); Middlesex (IVM062); Monmouth (IVM070); Ocean (IVM551); Sussex (IVM552); and Warren (IVM058)</w:t>
      </w:r>
      <w:r w:rsidR="003D502F">
        <w:rPr>
          <w:szCs w:val="22"/>
        </w:rPr>
        <w:t>.</w:t>
      </w:r>
    </w:p>
    <w:p w14:paraId="3E5B9651" w14:textId="1B3E9BB3" w:rsidR="003D502F" w:rsidRPr="00A45533" w:rsidRDefault="00EC2AA7" w:rsidP="00A45533">
      <w:pPr>
        <w:numPr>
          <w:ilvl w:val="0"/>
          <w:numId w:val="7"/>
        </w:numPr>
        <w:spacing w:after="120"/>
        <w:rPr>
          <w:szCs w:val="22"/>
        </w:rPr>
      </w:pPr>
      <w:r w:rsidRPr="007F4805">
        <w:rPr>
          <w:szCs w:val="22"/>
        </w:rPr>
        <w:t xml:space="preserve">We delete the authorization to use 250 </w:t>
      </w:r>
      <w:r w:rsidR="00D13AEF">
        <w:rPr>
          <w:szCs w:val="22"/>
        </w:rPr>
        <w:t>kilohertz</w:t>
      </w:r>
      <w:r w:rsidR="00D13AEF" w:rsidRPr="007F4805">
        <w:rPr>
          <w:szCs w:val="22"/>
        </w:rPr>
        <w:t xml:space="preserve"> </w:t>
      </w:r>
      <w:r w:rsidRPr="007F4805">
        <w:rPr>
          <w:szCs w:val="22"/>
        </w:rPr>
        <w:t xml:space="preserve">of spectrum, </w:t>
      </w:r>
      <w:r w:rsidR="003D502F" w:rsidRPr="003D502F">
        <w:rPr>
          <w:szCs w:val="22"/>
        </w:rPr>
        <w:t xml:space="preserve">218.250-218.500 </w:t>
      </w:r>
      <w:r w:rsidR="00E158FB">
        <w:rPr>
          <w:szCs w:val="22"/>
        </w:rPr>
        <w:t>MHz</w:t>
      </w:r>
      <w:r w:rsidR="003D502F" w:rsidRPr="003D502F">
        <w:rPr>
          <w:szCs w:val="22"/>
        </w:rPr>
        <w:t xml:space="preserve">, now licensed under Station KIVD0007 from Burlington, Camden, and Gloucester counties, New Jersey, and from Bucks, Chester, Delaware, Montgomery, </w:t>
      </w:r>
      <w:r w:rsidR="007845B5">
        <w:rPr>
          <w:szCs w:val="22"/>
        </w:rPr>
        <w:t xml:space="preserve">and </w:t>
      </w:r>
      <w:r w:rsidR="003D502F" w:rsidRPr="003D502F">
        <w:rPr>
          <w:szCs w:val="22"/>
        </w:rPr>
        <w:t>Philadelphia counties, Pennsylvania</w:t>
      </w:r>
      <w:r w:rsidR="00700CBD">
        <w:rPr>
          <w:szCs w:val="22"/>
        </w:rPr>
        <w:t xml:space="preserve"> </w:t>
      </w:r>
      <w:r w:rsidR="00700CBD" w:rsidRPr="003D502F">
        <w:rPr>
          <w:szCs w:val="22"/>
        </w:rPr>
        <w:t>(</w:t>
      </w:r>
      <w:r w:rsidR="00700CBD">
        <w:rPr>
          <w:szCs w:val="22"/>
        </w:rPr>
        <w:t xml:space="preserve">all in </w:t>
      </w:r>
      <w:r w:rsidR="00700CBD" w:rsidRPr="003D502F">
        <w:rPr>
          <w:szCs w:val="22"/>
        </w:rPr>
        <w:t>IVM004)</w:t>
      </w:r>
      <w:r w:rsidR="003D502F" w:rsidRPr="003D502F">
        <w:rPr>
          <w:szCs w:val="22"/>
        </w:rPr>
        <w:t>—which spectrum will become unassigned and available for future disposition as determined by the Commission</w:t>
      </w:r>
      <w:r w:rsidR="007845B5">
        <w:rPr>
          <w:szCs w:val="22"/>
        </w:rPr>
        <w:t>.</w:t>
      </w:r>
      <w:r w:rsidRPr="007F4805">
        <w:rPr>
          <w:szCs w:val="22"/>
        </w:rPr>
        <w:t xml:space="preserve">  </w:t>
      </w:r>
    </w:p>
    <w:p w14:paraId="5AA28827" w14:textId="248B709A" w:rsidR="00EC2AA7" w:rsidRPr="007F4805" w:rsidRDefault="00A147DF" w:rsidP="00EC2AA7">
      <w:pPr>
        <w:pStyle w:val="ParaNum"/>
        <w:rPr>
          <w:szCs w:val="22"/>
        </w:rPr>
      </w:pPr>
      <w:r>
        <w:rPr>
          <w:szCs w:val="22"/>
        </w:rPr>
        <w:t xml:space="preserve">Today’s modification of </w:t>
      </w:r>
      <w:r w:rsidR="00EC2AA7" w:rsidRPr="007F4805">
        <w:rPr>
          <w:szCs w:val="22"/>
        </w:rPr>
        <w:t xml:space="preserve">Station </w:t>
      </w:r>
      <w:r w:rsidR="003D502F" w:rsidRPr="003D502F">
        <w:rPr>
          <w:szCs w:val="22"/>
        </w:rPr>
        <w:t xml:space="preserve">KIVD0007 </w:t>
      </w:r>
      <w:r>
        <w:rPr>
          <w:szCs w:val="22"/>
        </w:rPr>
        <w:t xml:space="preserve">ultimately will enable </w:t>
      </w:r>
      <w:r w:rsidR="00A138A8" w:rsidRPr="007F4805">
        <w:t xml:space="preserve">NJ Transit to </w:t>
      </w:r>
      <w:r>
        <w:t xml:space="preserve">deploy </w:t>
      </w:r>
      <w:r w:rsidR="00A138A8" w:rsidRPr="007F4805">
        <w:t xml:space="preserve">PTC in </w:t>
      </w:r>
      <w:r w:rsidR="00A138A8">
        <w:t>nine</w:t>
      </w:r>
      <w:r w:rsidR="00A138A8" w:rsidRPr="007F4805">
        <w:t xml:space="preserve"> New Jersey counties (</w:t>
      </w:r>
      <w:r w:rsidR="00A138A8" w:rsidRPr="003D502F">
        <w:rPr>
          <w:szCs w:val="22"/>
        </w:rPr>
        <w:t>Atlantic, Burlington, Camden, Hunterdon, Middlesex, Monmouth, Ocean, Sussex, and Warren</w:t>
      </w:r>
      <w:r w:rsidR="00A138A8" w:rsidRPr="007F4805">
        <w:t>; collectively, the “</w:t>
      </w:r>
      <w:r w:rsidR="00DB3288">
        <w:t>NJ Transit</w:t>
      </w:r>
      <w:r w:rsidR="00A138A8" w:rsidRPr="007F4805">
        <w:t xml:space="preserve"> Counties”</w:t>
      </w:r>
      <w:r w:rsidR="00A138A8">
        <w:t>)</w:t>
      </w:r>
      <w:r w:rsidR="00DB3288">
        <w:rPr>
          <w:szCs w:val="22"/>
        </w:rPr>
        <w:t xml:space="preserve"> and </w:t>
      </w:r>
      <w:r>
        <w:rPr>
          <w:szCs w:val="22"/>
        </w:rPr>
        <w:t xml:space="preserve">will enable </w:t>
      </w:r>
      <w:r w:rsidR="00DB3288">
        <w:rPr>
          <w:szCs w:val="22"/>
        </w:rPr>
        <w:t>SEPTA</w:t>
      </w:r>
      <w:r w:rsidR="00EC2AA7" w:rsidRPr="007F4805">
        <w:rPr>
          <w:szCs w:val="22"/>
        </w:rPr>
        <w:t xml:space="preserve"> </w:t>
      </w:r>
      <w:r w:rsidR="00DB3288" w:rsidRPr="007F4805">
        <w:t xml:space="preserve">to </w:t>
      </w:r>
      <w:r>
        <w:t xml:space="preserve">deploy </w:t>
      </w:r>
      <w:r w:rsidR="00DB3288" w:rsidRPr="007F4805">
        <w:t xml:space="preserve">PTC in </w:t>
      </w:r>
      <w:r w:rsidR="00DB3288">
        <w:t>seven</w:t>
      </w:r>
      <w:r w:rsidR="00DB3288" w:rsidRPr="007F4805">
        <w:t xml:space="preserve"> counties (</w:t>
      </w:r>
      <w:r w:rsidR="00DB3288" w:rsidRPr="0037155E">
        <w:t xml:space="preserve">Bucks, Chester, Delaware, Montgomery, and Philadelphia counties, </w:t>
      </w:r>
      <w:r w:rsidR="00DB3288">
        <w:t>Pennsylvania, and in Gloucester</w:t>
      </w:r>
      <w:r w:rsidR="00DB3288" w:rsidRPr="0037155E">
        <w:rPr>
          <w:szCs w:val="22"/>
        </w:rPr>
        <w:t xml:space="preserve"> </w:t>
      </w:r>
      <w:r w:rsidR="00DB3288" w:rsidRPr="0037155E">
        <w:t>and Mercer counties, New Jersey</w:t>
      </w:r>
      <w:r w:rsidR="00DB3288" w:rsidRPr="007F4805">
        <w:t>; collectively, the “</w:t>
      </w:r>
      <w:r w:rsidR="00DB3288">
        <w:t>SEPTA</w:t>
      </w:r>
      <w:r w:rsidR="00DB3288" w:rsidRPr="007F4805">
        <w:t xml:space="preserve"> Counties”)</w:t>
      </w:r>
      <w:r w:rsidR="007845B5">
        <w:t xml:space="preserve">.  </w:t>
      </w:r>
      <w:r w:rsidR="000E072B">
        <w:t xml:space="preserve">We </w:t>
      </w:r>
      <w:r w:rsidR="007845B5">
        <w:t xml:space="preserve">also </w:t>
      </w:r>
      <w:r w:rsidR="002B3AFF">
        <w:t xml:space="preserve">grant PTC-220 a waiver </w:t>
      </w:r>
      <w:r w:rsidR="007425BE">
        <w:t xml:space="preserve">of Section </w:t>
      </w:r>
      <w:r w:rsidR="000051C9">
        <w:t>95</w:t>
      </w:r>
      <w:r w:rsidR="007425BE">
        <w:t>.</w:t>
      </w:r>
      <w:r w:rsidR="000051C9">
        <w:t>855</w:t>
      </w:r>
      <w:r w:rsidR="000051C9">
        <w:rPr>
          <w:rStyle w:val="FootnoteReference"/>
        </w:rPr>
        <w:footnoteReference w:id="33"/>
      </w:r>
      <w:r w:rsidR="007425BE">
        <w:t xml:space="preserve"> </w:t>
      </w:r>
      <w:r w:rsidR="002B3AFF">
        <w:t xml:space="preserve">so that </w:t>
      </w:r>
      <w:r w:rsidR="004F1045">
        <w:t>NJ Transit and SEPTA</w:t>
      </w:r>
      <w:r w:rsidR="007845B5">
        <w:t xml:space="preserve"> </w:t>
      </w:r>
      <w:r w:rsidR="002B3AFF">
        <w:t xml:space="preserve">can </w:t>
      </w:r>
      <w:r w:rsidR="007845B5">
        <w:t>deploy</w:t>
      </w:r>
      <w:r w:rsidR="00DB3288" w:rsidRPr="007F4805">
        <w:t xml:space="preserve"> </w:t>
      </w:r>
      <w:r w:rsidR="007845B5">
        <w:t xml:space="preserve">PTC </w:t>
      </w:r>
      <w:r w:rsidR="00EC2AA7" w:rsidRPr="007F4805">
        <w:rPr>
          <w:szCs w:val="22"/>
        </w:rPr>
        <w:t xml:space="preserve">at </w:t>
      </w:r>
      <w:r w:rsidR="0004328A">
        <w:rPr>
          <w:szCs w:val="22"/>
        </w:rPr>
        <w:t xml:space="preserve">the </w:t>
      </w:r>
      <w:r w:rsidR="00EC2AA7" w:rsidRPr="007F4805">
        <w:rPr>
          <w:szCs w:val="22"/>
        </w:rPr>
        <w:t xml:space="preserve">increased power levels </w:t>
      </w:r>
      <w:r w:rsidR="000E072B">
        <w:rPr>
          <w:szCs w:val="22"/>
        </w:rPr>
        <w:t xml:space="preserve">specified </w:t>
      </w:r>
      <w:r w:rsidR="0004328A">
        <w:rPr>
          <w:szCs w:val="22"/>
        </w:rPr>
        <w:t>in</w:t>
      </w:r>
      <w:r w:rsidR="0004328A" w:rsidRPr="007F4805">
        <w:rPr>
          <w:szCs w:val="22"/>
        </w:rPr>
        <w:t xml:space="preserve"> </w:t>
      </w:r>
      <w:r w:rsidR="00EC2AA7" w:rsidRPr="007F4805">
        <w:rPr>
          <w:szCs w:val="22"/>
        </w:rPr>
        <w:t xml:space="preserve">the </w:t>
      </w:r>
      <w:r w:rsidR="00EC2AA7" w:rsidRPr="007F4805">
        <w:rPr>
          <w:i/>
          <w:szCs w:val="22"/>
        </w:rPr>
        <w:t>Proposed Order of Modification</w:t>
      </w:r>
      <w:r w:rsidR="00EC2AA7" w:rsidRPr="007F4805">
        <w:rPr>
          <w:szCs w:val="22"/>
        </w:rPr>
        <w:t xml:space="preserve">, from 4 to 8 watts </w:t>
      </w:r>
      <w:r>
        <w:rPr>
          <w:szCs w:val="22"/>
        </w:rPr>
        <w:t xml:space="preserve">ERP </w:t>
      </w:r>
      <w:r w:rsidR="00EC2AA7" w:rsidRPr="007F4805">
        <w:rPr>
          <w:szCs w:val="22"/>
        </w:rPr>
        <w:t xml:space="preserve">for mobile PTC operations, and from 20 to 30 watts </w:t>
      </w:r>
      <w:r>
        <w:rPr>
          <w:szCs w:val="22"/>
        </w:rPr>
        <w:t xml:space="preserve">ERP </w:t>
      </w:r>
      <w:r w:rsidR="00EC2AA7" w:rsidRPr="007F4805">
        <w:rPr>
          <w:szCs w:val="22"/>
        </w:rPr>
        <w:t>for base and fixed station PTC operations.</w:t>
      </w:r>
      <w:r w:rsidR="00EC2AA7" w:rsidRPr="007F4805">
        <w:rPr>
          <w:rStyle w:val="FootnoteReference"/>
          <w:sz w:val="22"/>
          <w:szCs w:val="22"/>
        </w:rPr>
        <w:footnoteReference w:id="34"/>
      </w:r>
      <w:r w:rsidR="00EC2AA7" w:rsidRPr="007F4805">
        <w:rPr>
          <w:szCs w:val="22"/>
        </w:rPr>
        <w:t xml:space="preserve">  </w:t>
      </w:r>
      <w:r>
        <w:rPr>
          <w:szCs w:val="22"/>
        </w:rPr>
        <w:t>C</w:t>
      </w:r>
      <w:r w:rsidRPr="007F4805">
        <w:rPr>
          <w:szCs w:val="22"/>
        </w:rPr>
        <w:t xml:space="preserve">onsistent with the </w:t>
      </w:r>
      <w:r w:rsidRPr="007F4805">
        <w:rPr>
          <w:i/>
          <w:szCs w:val="22"/>
        </w:rPr>
        <w:t>Proposed Order of Modification</w:t>
      </w:r>
      <w:r>
        <w:rPr>
          <w:i/>
          <w:szCs w:val="22"/>
        </w:rPr>
        <w:t>,</w:t>
      </w:r>
      <w:r w:rsidRPr="00A147DF">
        <w:rPr>
          <w:i/>
          <w:szCs w:val="22"/>
        </w:rPr>
        <w:t xml:space="preserve"> </w:t>
      </w:r>
      <w:r w:rsidR="001160FF" w:rsidRPr="001160FF">
        <w:rPr>
          <w:szCs w:val="22"/>
        </w:rPr>
        <w:t>t</w:t>
      </w:r>
      <w:r w:rsidR="00EC2AA7" w:rsidRPr="007F4805">
        <w:rPr>
          <w:szCs w:val="22"/>
        </w:rPr>
        <w:t xml:space="preserve">he following additional attenuation requirements </w:t>
      </w:r>
      <w:r w:rsidR="001160FF">
        <w:rPr>
          <w:szCs w:val="22"/>
        </w:rPr>
        <w:t xml:space="preserve">will apply when </w:t>
      </w:r>
      <w:r w:rsidR="000E072B">
        <w:rPr>
          <w:szCs w:val="22"/>
        </w:rPr>
        <w:t xml:space="preserve">either commuter rail </w:t>
      </w:r>
      <w:r w:rsidR="001160FF">
        <w:rPr>
          <w:szCs w:val="22"/>
        </w:rPr>
        <w:t>us</w:t>
      </w:r>
      <w:r w:rsidR="000E072B">
        <w:rPr>
          <w:szCs w:val="22"/>
        </w:rPr>
        <w:t>es</w:t>
      </w:r>
      <w:r w:rsidR="001160FF">
        <w:rPr>
          <w:szCs w:val="22"/>
        </w:rPr>
        <w:t xml:space="preserve"> increased power</w:t>
      </w:r>
      <w:r w:rsidR="00EC2AA7" w:rsidRPr="007F4805">
        <w:rPr>
          <w:szCs w:val="22"/>
        </w:rPr>
        <w:t xml:space="preserve">:  </w:t>
      </w:r>
    </w:p>
    <w:p w14:paraId="284E1B22" w14:textId="77777777" w:rsidR="00EC2AA7" w:rsidRPr="007F4805" w:rsidRDefault="000E072B" w:rsidP="00EC2AA7">
      <w:pPr>
        <w:numPr>
          <w:ilvl w:val="0"/>
          <w:numId w:val="7"/>
        </w:numPr>
        <w:spacing w:after="120"/>
        <w:rPr>
          <w:szCs w:val="22"/>
        </w:rPr>
      </w:pPr>
      <w:r>
        <w:rPr>
          <w:szCs w:val="22"/>
        </w:rPr>
        <w:t>O</w:t>
      </w:r>
      <w:r w:rsidR="00EC2AA7" w:rsidRPr="007F4805">
        <w:rPr>
          <w:szCs w:val="22"/>
        </w:rPr>
        <w:t xml:space="preserve">ut-of-band emissions (OOBE) of fixed and base PTC stations </w:t>
      </w:r>
      <w:r>
        <w:rPr>
          <w:szCs w:val="22"/>
        </w:rPr>
        <w:t xml:space="preserve">must be attenuated </w:t>
      </w:r>
      <w:r w:rsidR="00EC2AA7" w:rsidRPr="007F4805">
        <w:rPr>
          <w:szCs w:val="22"/>
        </w:rPr>
        <w:t>by an additional 1.77 dB when using increased ERP under the waiver.</w:t>
      </w:r>
      <w:r w:rsidR="00EC2AA7" w:rsidRPr="007F4805">
        <w:rPr>
          <w:rStyle w:val="FootnoteReference"/>
          <w:sz w:val="22"/>
          <w:szCs w:val="22"/>
        </w:rPr>
        <w:footnoteReference w:id="35"/>
      </w:r>
      <w:r w:rsidR="00EC2AA7" w:rsidRPr="007F4805">
        <w:rPr>
          <w:szCs w:val="22"/>
        </w:rPr>
        <w:t xml:space="preserve">  </w:t>
      </w:r>
    </w:p>
    <w:p w14:paraId="5773AE75" w14:textId="77777777" w:rsidR="00EC2AA7" w:rsidRDefault="00EC2AA7" w:rsidP="00EC2AA7">
      <w:pPr>
        <w:numPr>
          <w:ilvl w:val="0"/>
          <w:numId w:val="7"/>
        </w:numPr>
        <w:spacing w:after="120"/>
        <w:rPr>
          <w:szCs w:val="22"/>
        </w:rPr>
      </w:pPr>
      <w:r w:rsidRPr="007F4805">
        <w:rPr>
          <w:szCs w:val="22"/>
        </w:rPr>
        <w:t xml:space="preserve">OOBE of mobile PTC stations </w:t>
      </w:r>
      <w:r w:rsidR="000E072B">
        <w:rPr>
          <w:szCs w:val="22"/>
        </w:rPr>
        <w:t xml:space="preserve">must be attenuated </w:t>
      </w:r>
      <w:r w:rsidRPr="007F4805">
        <w:rPr>
          <w:szCs w:val="22"/>
        </w:rPr>
        <w:t>by an additional 3 dB when using increased ERP under the waiver.</w:t>
      </w:r>
      <w:r w:rsidR="0087320C" w:rsidRPr="007F4805">
        <w:rPr>
          <w:rStyle w:val="FootnoteReference"/>
          <w:sz w:val="22"/>
          <w:szCs w:val="22"/>
        </w:rPr>
        <w:footnoteReference w:id="36"/>
      </w:r>
      <w:r w:rsidRPr="007F4805">
        <w:rPr>
          <w:szCs w:val="22"/>
        </w:rPr>
        <w:t xml:space="preserve">  </w:t>
      </w:r>
    </w:p>
    <w:p w14:paraId="0BF8A6CF" w14:textId="5EB81D5E" w:rsidR="00DB3288" w:rsidRPr="007F4805" w:rsidRDefault="00DB3288" w:rsidP="00163D48">
      <w:pPr>
        <w:pStyle w:val="ParaNum"/>
        <w:numPr>
          <w:ilvl w:val="0"/>
          <w:numId w:val="0"/>
        </w:numPr>
        <w:rPr>
          <w:szCs w:val="22"/>
        </w:rPr>
      </w:pPr>
      <w:r w:rsidRPr="009353A3">
        <w:rPr>
          <w:szCs w:val="22"/>
        </w:rPr>
        <w:t>We emphasize that under Section 95.861(</w:t>
      </w:r>
      <w:r w:rsidR="009E260E" w:rsidRPr="000051C9">
        <w:rPr>
          <w:szCs w:val="22"/>
        </w:rPr>
        <w:t>d</w:t>
      </w:r>
      <w:r w:rsidRPr="009353A3">
        <w:rPr>
          <w:szCs w:val="22"/>
        </w:rPr>
        <w:t>),</w:t>
      </w:r>
      <w:r w:rsidRPr="00466048">
        <w:rPr>
          <w:rStyle w:val="FootnoteReference"/>
          <w:sz w:val="22"/>
          <w:szCs w:val="22"/>
        </w:rPr>
        <w:footnoteReference w:id="37"/>
      </w:r>
      <w:r w:rsidRPr="009353A3">
        <w:rPr>
          <w:szCs w:val="22"/>
        </w:rPr>
        <w:t xml:space="preserve"> NJ Transit and SEPTA </w:t>
      </w:r>
      <w:r w:rsidR="007425BE">
        <w:rPr>
          <w:szCs w:val="22"/>
        </w:rPr>
        <w:t xml:space="preserve">“must provide </w:t>
      </w:r>
      <w:r w:rsidRPr="009353A3">
        <w:rPr>
          <w:szCs w:val="22"/>
        </w:rPr>
        <w:t>upon request</w:t>
      </w:r>
      <w:r w:rsidR="007425BE">
        <w:rPr>
          <w:szCs w:val="22"/>
        </w:rPr>
        <w:t xml:space="preserve">, and </w:t>
      </w:r>
      <w:r w:rsidRPr="009353A3">
        <w:rPr>
          <w:szCs w:val="22"/>
        </w:rPr>
        <w:t>install free of charge, an interference reduction device</w:t>
      </w:r>
      <w:r w:rsidR="007425BE">
        <w:rPr>
          <w:szCs w:val="22"/>
        </w:rPr>
        <w:t>,”</w:t>
      </w:r>
      <w:r w:rsidRPr="009353A3">
        <w:rPr>
          <w:szCs w:val="22"/>
        </w:rPr>
        <w:t xml:space="preserve"> </w:t>
      </w:r>
      <w:r w:rsidR="007425BE">
        <w:rPr>
          <w:szCs w:val="22"/>
        </w:rPr>
        <w:t>(</w:t>
      </w:r>
      <w:r w:rsidRPr="009353A3">
        <w:rPr>
          <w:szCs w:val="22"/>
        </w:rPr>
        <w:t>here, a notch filter</w:t>
      </w:r>
      <w:r w:rsidR="007425BE">
        <w:rPr>
          <w:szCs w:val="22"/>
        </w:rPr>
        <w:t>)</w:t>
      </w:r>
      <w:r w:rsidR="009E260E">
        <w:rPr>
          <w:rStyle w:val="FootnoteReference"/>
          <w:szCs w:val="22"/>
        </w:rPr>
        <w:footnoteReference w:id="38"/>
      </w:r>
      <w:r w:rsidRPr="009353A3">
        <w:rPr>
          <w:szCs w:val="22"/>
        </w:rPr>
        <w:t xml:space="preserve"> </w:t>
      </w:r>
      <w:r w:rsidRPr="00DF1766">
        <w:rPr>
          <w:szCs w:val="22"/>
        </w:rPr>
        <w:t xml:space="preserve">for any television of an </w:t>
      </w:r>
      <w:r w:rsidR="0053136F" w:rsidRPr="00DF1766">
        <w:rPr>
          <w:szCs w:val="22"/>
        </w:rPr>
        <w:t>over-the-air</w:t>
      </w:r>
      <w:r w:rsidRPr="00DF1766">
        <w:rPr>
          <w:szCs w:val="22"/>
        </w:rPr>
        <w:t xml:space="preserve"> </w:t>
      </w:r>
      <w:r w:rsidR="007425BE">
        <w:rPr>
          <w:szCs w:val="22"/>
        </w:rPr>
        <w:t xml:space="preserve">Channel 13 </w:t>
      </w:r>
      <w:r w:rsidRPr="00DF1766">
        <w:rPr>
          <w:szCs w:val="22"/>
        </w:rPr>
        <w:t>viewer that is impacted by their PTC operations.</w:t>
      </w:r>
      <w:r w:rsidR="003F2077">
        <w:rPr>
          <w:rStyle w:val="FootnoteReference"/>
          <w:szCs w:val="22"/>
        </w:rPr>
        <w:footnoteReference w:id="39"/>
      </w:r>
      <w:r w:rsidRPr="009353A3">
        <w:rPr>
          <w:szCs w:val="22"/>
        </w:rPr>
        <w:t xml:space="preserve">  </w:t>
      </w:r>
      <w:r w:rsidR="003F2077">
        <w:rPr>
          <w:szCs w:val="22"/>
        </w:rPr>
        <w:t xml:space="preserve">Where </w:t>
      </w:r>
      <w:r w:rsidR="007425BE">
        <w:rPr>
          <w:szCs w:val="22"/>
        </w:rPr>
        <w:t>a notch filter is not adequate</w:t>
      </w:r>
      <w:r w:rsidR="003F2077" w:rsidRPr="009353A3">
        <w:rPr>
          <w:szCs w:val="22"/>
        </w:rPr>
        <w:t>, NJ Transit and SEPTA have additional options at their disposal to eliminate the interference.</w:t>
      </w:r>
      <w:r w:rsidR="003F2077" w:rsidRPr="00466048">
        <w:rPr>
          <w:rStyle w:val="FootnoteReference"/>
          <w:sz w:val="22"/>
          <w:szCs w:val="22"/>
        </w:rPr>
        <w:footnoteReference w:id="40"/>
      </w:r>
      <w:r w:rsidR="003F2077" w:rsidRPr="009353A3">
        <w:rPr>
          <w:szCs w:val="22"/>
        </w:rPr>
        <w:t xml:space="preserve">  </w:t>
      </w:r>
      <w:r w:rsidRPr="009353A3">
        <w:rPr>
          <w:szCs w:val="22"/>
        </w:rPr>
        <w:t xml:space="preserve">If NJ Transit or SEPTA, as applicable, cannot abate interference with a notch filter or other measure, Section 95.861(e) </w:t>
      </w:r>
      <w:r w:rsidR="006F44BE">
        <w:rPr>
          <w:szCs w:val="22"/>
        </w:rPr>
        <w:t>would require</w:t>
      </w:r>
      <w:r w:rsidRPr="009353A3">
        <w:rPr>
          <w:szCs w:val="22"/>
        </w:rPr>
        <w:t xml:space="preserve"> it</w:t>
      </w:r>
      <w:r w:rsidR="006F44BE">
        <w:rPr>
          <w:szCs w:val="22"/>
        </w:rPr>
        <w:t xml:space="preserve"> to </w:t>
      </w:r>
      <w:r w:rsidRPr="009353A3">
        <w:rPr>
          <w:szCs w:val="22"/>
        </w:rPr>
        <w:t>cease operation of an offending transmitter within 30 days of the time it is notified in writing</w:t>
      </w:r>
      <w:r w:rsidR="00912829">
        <w:rPr>
          <w:szCs w:val="22"/>
        </w:rPr>
        <w:t xml:space="preserve"> of an interference complaint</w:t>
      </w:r>
      <w:r w:rsidRPr="009353A3">
        <w:rPr>
          <w:szCs w:val="22"/>
        </w:rPr>
        <w:t>.</w:t>
      </w:r>
      <w:r w:rsidRPr="00466048">
        <w:rPr>
          <w:rStyle w:val="FootnoteReference"/>
          <w:sz w:val="22"/>
          <w:szCs w:val="22"/>
        </w:rPr>
        <w:footnoteReference w:id="41"/>
      </w:r>
      <w:r w:rsidRPr="009353A3">
        <w:rPr>
          <w:szCs w:val="22"/>
        </w:rPr>
        <w:t xml:space="preserve">  </w:t>
      </w:r>
    </w:p>
    <w:p w14:paraId="5D2400AE" w14:textId="0E5FCEF9" w:rsidR="00DB3288" w:rsidRDefault="007425BE" w:rsidP="002B3AFF">
      <w:pPr>
        <w:pStyle w:val="ParaNum"/>
      </w:pPr>
      <w:r>
        <w:t xml:space="preserve">Pursuant to </w:t>
      </w:r>
      <w:r w:rsidRPr="007F4805">
        <w:t xml:space="preserve">the </w:t>
      </w:r>
      <w:r w:rsidRPr="007F4805">
        <w:rPr>
          <w:i/>
        </w:rPr>
        <w:t>Proposed Order of Modification</w:t>
      </w:r>
      <w:r>
        <w:t>, w</w:t>
      </w:r>
      <w:r w:rsidR="00DB3288" w:rsidRPr="007F4805">
        <w:t>e</w:t>
      </w:r>
      <w:r w:rsidR="002B3AFF">
        <w:t xml:space="preserve"> grant PTC-220 a waiver</w:t>
      </w:r>
      <w:r w:rsidR="00D4735A">
        <w:t>—</w:t>
      </w:r>
      <w:r w:rsidR="002B3AFF">
        <w:t xml:space="preserve">for the benefit of </w:t>
      </w:r>
      <w:r w:rsidR="00DB3288">
        <w:t>NJ Transit and SEPTA</w:t>
      </w:r>
      <w:r w:rsidR="00D4735A">
        <w:t>—</w:t>
      </w:r>
      <w:r w:rsidR="00D72C58">
        <w:t xml:space="preserve">of </w:t>
      </w:r>
      <w:r w:rsidR="00912829">
        <w:t xml:space="preserve">Section 95.815(b)’s </w:t>
      </w:r>
      <w:r w:rsidR="002B3AFF">
        <w:t xml:space="preserve">requirement </w:t>
      </w:r>
      <w:r w:rsidR="00D72C58">
        <w:t xml:space="preserve">to </w:t>
      </w:r>
      <w:r w:rsidR="00D72C58" w:rsidRPr="00D72C58">
        <w:t xml:space="preserve">provide certain information </w:t>
      </w:r>
      <w:r w:rsidR="00D72C58">
        <w:t>specified in Section 95.811(b)</w:t>
      </w:r>
      <w:r w:rsidR="009E1EFC">
        <w:t>,</w:t>
      </w:r>
      <w:r w:rsidR="00D72C58">
        <w:t xml:space="preserve"> </w:t>
      </w:r>
      <w:r w:rsidR="00D72C58" w:rsidRPr="00D72C58">
        <w:t>when modifying an individually-licensed base station</w:t>
      </w:r>
      <w:r w:rsidR="00D72C58">
        <w:t>.</w:t>
      </w:r>
      <w:r w:rsidR="00D72C58">
        <w:rPr>
          <w:rStyle w:val="FootnoteReference"/>
          <w:szCs w:val="22"/>
        </w:rPr>
        <w:footnoteReference w:id="42"/>
      </w:r>
      <w:r w:rsidR="00D72C58">
        <w:t xml:space="preserve">  </w:t>
      </w:r>
      <w:r w:rsidR="00D72C58" w:rsidRPr="00D72C58">
        <w:rPr>
          <w:szCs w:val="22"/>
        </w:rPr>
        <w:t xml:space="preserve">We emphasize that NJ Transit and SEPTA </w:t>
      </w:r>
      <w:r w:rsidR="002B3AFF">
        <w:rPr>
          <w:szCs w:val="22"/>
        </w:rPr>
        <w:t xml:space="preserve">will </w:t>
      </w:r>
      <w:r w:rsidR="00D72C58">
        <w:rPr>
          <w:szCs w:val="22"/>
        </w:rPr>
        <w:t>still</w:t>
      </w:r>
      <w:r w:rsidR="00D72C58" w:rsidRPr="00D72C58">
        <w:rPr>
          <w:szCs w:val="22"/>
        </w:rPr>
        <w:t xml:space="preserve"> </w:t>
      </w:r>
      <w:r w:rsidR="002B3AFF">
        <w:rPr>
          <w:szCs w:val="22"/>
        </w:rPr>
        <w:t xml:space="preserve">be </w:t>
      </w:r>
      <w:r w:rsidR="00D72C58" w:rsidRPr="00D72C58">
        <w:rPr>
          <w:szCs w:val="22"/>
        </w:rPr>
        <w:t xml:space="preserve">required by Section 95.815(b) to file an appropriate application each time they add, delete, or modify an individually-licensed base station.  </w:t>
      </w:r>
      <w:r w:rsidR="002B3AFF">
        <w:rPr>
          <w:szCs w:val="22"/>
        </w:rPr>
        <w:t>F</w:t>
      </w:r>
      <w:r w:rsidR="00DB3288" w:rsidRPr="00163D48">
        <w:rPr>
          <w:szCs w:val="22"/>
        </w:rPr>
        <w:t>urther</w:t>
      </w:r>
      <w:r w:rsidR="002B3AFF">
        <w:rPr>
          <w:szCs w:val="22"/>
        </w:rPr>
        <w:t xml:space="preserve">, </w:t>
      </w:r>
      <w:r w:rsidR="002B3AFF">
        <w:t>w</w:t>
      </w:r>
      <w:r w:rsidR="002B3AFF" w:rsidRPr="007F4805">
        <w:t>e</w:t>
      </w:r>
      <w:r w:rsidR="002B3AFF">
        <w:t xml:space="preserve"> grant PTC-220 a waiver</w:t>
      </w:r>
      <w:r w:rsidR="00D4735A">
        <w:t>—</w:t>
      </w:r>
      <w:r w:rsidR="002B3AFF">
        <w:t xml:space="preserve">also for the benefit of </w:t>
      </w:r>
      <w:r w:rsidR="0053136F">
        <w:rPr>
          <w:szCs w:val="22"/>
        </w:rPr>
        <w:t>NJ Transit and SEPTA</w:t>
      </w:r>
      <w:r w:rsidR="00D4735A">
        <w:rPr>
          <w:szCs w:val="22"/>
        </w:rPr>
        <w:t>—</w:t>
      </w:r>
      <w:r w:rsidR="002B3AFF">
        <w:rPr>
          <w:szCs w:val="22"/>
        </w:rPr>
        <w:t xml:space="preserve">of </w:t>
      </w:r>
      <w:r w:rsidR="00D72C58" w:rsidRPr="00163D48">
        <w:rPr>
          <w:szCs w:val="22"/>
        </w:rPr>
        <w:t>Section 1.955(a)(3)</w:t>
      </w:r>
      <w:r w:rsidR="0053136F" w:rsidRPr="00BD76CC">
        <w:rPr>
          <w:szCs w:val="22"/>
        </w:rPr>
        <w:t xml:space="preserve"> </w:t>
      </w:r>
      <w:r w:rsidR="00D72C58" w:rsidRPr="00163D48">
        <w:rPr>
          <w:szCs w:val="22"/>
        </w:rPr>
        <w:t>until the December 31, 2018 PTC implementation deadline</w:t>
      </w:r>
      <w:r w:rsidR="004A3677">
        <w:rPr>
          <w:szCs w:val="22"/>
        </w:rPr>
        <w:t>, c</w:t>
      </w:r>
      <w:r w:rsidR="004A3677" w:rsidRPr="007F4805">
        <w:rPr>
          <w:szCs w:val="22"/>
        </w:rPr>
        <w:t xml:space="preserve">onsistent with the </w:t>
      </w:r>
      <w:r w:rsidR="004A3677" w:rsidRPr="007F4805">
        <w:rPr>
          <w:i/>
          <w:szCs w:val="22"/>
        </w:rPr>
        <w:t>Proposed Order of Modification</w:t>
      </w:r>
      <w:r w:rsidR="00D72C58" w:rsidRPr="00163D48">
        <w:rPr>
          <w:szCs w:val="22"/>
        </w:rPr>
        <w:t>.</w:t>
      </w:r>
      <w:r w:rsidR="002B3AFF" w:rsidRPr="00D72C58">
        <w:rPr>
          <w:sz w:val="20"/>
          <w:szCs w:val="22"/>
          <w:vertAlign w:val="superscript"/>
        </w:rPr>
        <w:footnoteReference w:id="43"/>
      </w:r>
      <w:r w:rsidR="00D72C58" w:rsidRPr="00163D48">
        <w:rPr>
          <w:szCs w:val="22"/>
        </w:rPr>
        <w:t xml:space="preserve">  </w:t>
      </w:r>
    </w:p>
    <w:p w14:paraId="4DBEDD02" w14:textId="1E0E1DED" w:rsidR="00912829" w:rsidRDefault="00912829" w:rsidP="00912829">
      <w:pPr>
        <w:pStyle w:val="ParaNum"/>
      </w:pPr>
      <w:r w:rsidRPr="00912829">
        <w:t>We emphasize that the waivers of Sections 1.9</w:t>
      </w:r>
      <w:r>
        <w:t>55(a)(3), 95.815(b), and 95.855</w:t>
      </w:r>
      <w:r>
        <w:rPr>
          <w:rStyle w:val="FootnoteReference"/>
        </w:rPr>
        <w:footnoteReference w:id="44"/>
      </w:r>
      <w:r w:rsidRPr="00912829">
        <w:t xml:space="preserve"> we grant today may be applied by NJ Transit and SEPTA in furtherance of PTC deployment only, and may not be applied for unrelated purposes.</w:t>
      </w:r>
    </w:p>
    <w:p w14:paraId="493AF6DE" w14:textId="363B7F86" w:rsidR="00EC2AA7" w:rsidRPr="007F4805" w:rsidRDefault="007425BE" w:rsidP="003D502F">
      <w:pPr>
        <w:pStyle w:val="ParaNum"/>
      </w:pPr>
      <w:r>
        <w:t xml:space="preserve">Pursuant to </w:t>
      </w:r>
      <w:r w:rsidR="00EC2AA7" w:rsidRPr="007F4805">
        <w:t xml:space="preserve">the </w:t>
      </w:r>
      <w:r w:rsidR="00EC2AA7" w:rsidRPr="007F4805">
        <w:rPr>
          <w:i/>
        </w:rPr>
        <w:t>Proposed Order of Modification</w:t>
      </w:r>
      <w:r w:rsidR="00EC2AA7" w:rsidRPr="007F4805">
        <w:t xml:space="preserve">, we </w:t>
      </w:r>
      <w:r w:rsidR="00912829">
        <w:t xml:space="preserve">also </w:t>
      </w:r>
      <w:r w:rsidR="00EC2AA7" w:rsidRPr="007F4805">
        <w:t xml:space="preserve">require </w:t>
      </w:r>
      <w:r w:rsidR="003D502F" w:rsidRPr="003D502F">
        <w:rPr>
          <w:szCs w:val="22"/>
        </w:rPr>
        <w:t>PTC-220</w:t>
      </w:r>
      <w:r w:rsidR="00EC2AA7" w:rsidRPr="007F4805">
        <w:t xml:space="preserve">, as a condition of our modification of Station </w:t>
      </w:r>
      <w:r w:rsidR="003D502F" w:rsidRPr="003D502F">
        <w:rPr>
          <w:szCs w:val="22"/>
        </w:rPr>
        <w:t>KIVD0007</w:t>
      </w:r>
      <w:r w:rsidR="00EC2AA7" w:rsidRPr="007F4805">
        <w:t xml:space="preserve">, </w:t>
      </w:r>
      <w:r w:rsidR="0037155E" w:rsidRPr="003D600E">
        <w:rPr>
          <w:szCs w:val="22"/>
        </w:rPr>
        <w:t xml:space="preserve">to </w:t>
      </w:r>
      <w:r w:rsidR="0037155E">
        <w:rPr>
          <w:szCs w:val="22"/>
        </w:rPr>
        <w:t>assign</w:t>
      </w:r>
      <w:r w:rsidR="0037155E" w:rsidRPr="003D600E">
        <w:rPr>
          <w:szCs w:val="22"/>
        </w:rPr>
        <w:t xml:space="preserve"> on commercially reasonable terms 250 </w:t>
      </w:r>
      <w:r w:rsidR="0037155E">
        <w:rPr>
          <w:szCs w:val="22"/>
        </w:rPr>
        <w:t xml:space="preserve">kilohertz of spectrum </w:t>
      </w:r>
      <w:r w:rsidR="00EC2AA7" w:rsidRPr="007F4805">
        <w:t xml:space="preserve">under Station </w:t>
      </w:r>
      <w:r w:rsidR="003D502F" w:rsidRPr="003D502F">
        <w:rPr>
          <w:szCs w:val="22"/>
        </w:rPr>
        <w:t xml:space="preserve">KIVD0007 </w:t>
      </w:r>
      <w:r w:rsidR="0037155E">
        <w:rPr>
          <w:szCs w:val="22"/>
        </w:rPr>
        <w:t xml:space="preserve">(as modified) </w:t>
      </w:r>
      <w:r w:rsidR="00EC2AA7" w:rsidRPr="007F4805">
        <w:t xml:space="preserve">to NJ Transit to enable its PTC implementation in </w:t>
      </w:r>
      <w:r w:rsidR="0053136F">
        <w:t>the NJ Transit Counties</w:t>
      </w:r>
      <w:r w:rsidR="00E30EDC">
        <w:rPr>
          <w:rStyle w:val="FootnoteReference"/>
        </w:rPr>
        <w:footnoteReference w:id="45"/>
      </w:r>
      <w:r w:rsidR="00EC2AA7" w:rsidRPr="007F4805">
        <w:t xml:space="preserve"> as follows:</w:t>
      </w:r>
    </w:p>
    <w:p w14:paraId="761D6C73" w14:textId="3EEC6757" w:rsidR="0087320C" w:rsidRPr="007F4805" w:rsidRDefault="0087320C" w:rsidP="0037155E">
      <w:pPr>
        <w:numPr>
          <w:ilvl w:val="0"/>
          <w:numId w:val="8"/>
        </w:numPr>
        <w:spacing w:after="120"/>
        <w:rPr>
          <w:szCs w:val="22"/>
        </w:rPr>
      </w:pPr>
      <w:r w:rsidRPr="007F4805">
        <w:rPr>
          <w:szCs w:val="22"/>
        </w:rPr>
        <w:t xml:space="preserve">Within </w:t>
      </w:r>
      <w:r w:rsidR="003D502F">
        <w:rPr>
          <w:szCs w:val="22"/>
        </w:rPr>
        <w:t>45</w:t>
      </w:r>
      <w:r w:rsidR="003D502F" w:rsidRPr="007F4805">
        <w:rPr>
          <w:szCs w:val="22"/>
        </w:rPr>
        <w:t xml:space="preserve"> </w:t>
      </w:r>
      <w:r w:rsidRPr="007F4805">
        <w:rPr>
          <w:szCs w:val="22"/>
        </w:rPr>
        <w:t xml:space="preserve">days of the release date of this </w:t>
      </w:r>
      <w:r w:rsidR="00972751">
        <w:rPr>
          <w:szCs w:val="22"/>
        </w:rPr>
        <w:t>O</w:t>
      </w:r>
      <w:r w:rsidR="00972751" w:rsidRPr="007F4805">
        <w:rPr>
          <w:szCs w:val="22"/>
        </w:rPr>
        <w:t>rder</w:t>
      </w:r>
      <w:r w:rsidRPr="007F4805">
        <w:rPr>
          <w:szCs w:val="22"/>
        </w:rPr>
        <w:t xml:space="preserve">, </w:t>
      </w:r>
      <w:r w:rsidR="003D502F" w:rsidRPr="003D502F">
        <w:rPr>
          <w:szCs w:val="22"/>
        </w:rPr>
        <w:t xml:space="preserve">PTC-220 </w:t>
      </w:r>
      <w:r w:rsidRPr="007F4805">
        <w:rPr>
          <w:szCs w:val="22"/>
        </w:rPr>
        <w:t xml:space="preserve">must </w:t>
      </w:r>
      <w:r w:rsidR="003D502F" w:rsidRPr="003D502F">
        <w:rPr>
          <w:szCs w:val="22"/>
        </w:rPr>
        <w:t>file an application</w:t>
      </w:r>
      <w:r w:rsidRPr="007F4805">
        <w:rPr>
          <w:szCs w:val="22"/>
        </w:rPr>
        <w:t xml:space="preserve"> </w:t>
      </w:r>
      <w:r w:rsidR="003D502F" w:rsidRPr="003D502F">
        <w:rPr>
          <w:szCs w:val="22"/>
        </w:rPr>
        <w:t>under Station KIVD0007 (as modified)</w:t>
      </w:r>
      <w:r w:rsidRPr="007F4805">
        <w:rPr>
          <w:szCs w:val="22"/>
        </w:rPr>
        <w:t xml:space="preserve"> </w:t>
      </w:r>
      <w:r w:rsidR="0037155E" w:rsidRPr="0037155E">
        <w:rPr>
          <w:szCs w:val="22"/>
        </w:rPr>
        <w:t>to assign on commercially reasonable terms 250 kilohertz of spectrum</w:t>
      </w:r>
      <w:r w:rsidRPr="007F4805">
        <w:rPr>
          <w:szCs w:val="22"/>
        </w:rPr>
        <w:t xml:space="preserve"> to NJ Transit </w:t>
      </w:r>
      <w:r w:rsidR="00A85163" w:rsidRPr="007F4805">
        <w:rPr>
          <w:szCs w:val="22"/>
        </w:rPr>
        <w:t xml:space="preserve">to enable PTC implementation in the </w:t>
      </w:r>
      <w:r w:rsidR="0053136F">
        <w:rPr>
          <w:szCs w:val="22"/>
        </w:rPr>
        <w:t>NJ Transit</w:t>
      </w:r>
      <w:r w:rsidR="003D502F" w:rsidRPr="007F4805">
        <w:rPr>
          <w:szCs w:val="22"/>
        </w:rPr>
        <w:t xml:space="preserve"> </w:t>
      </w:r>
      <w:r w:rsidR="00A85163" w:rsidRPr="007F4805">
        <w:rPr>
          <w:szCs w:val="22"/>
        </w:rPr>
        <w:t>Counties</w:t>
      </w:r>
      <w:r w:rsidRPr="007F4805">
        <w:rPr>
          <w:szCs w:val="22"/>
        </w:rPr>
        <w:t xml:space="preserve">.  </w:t>
      </w:r>
    </w:p>
    <w:p w14:paraId="61D674C2" w14:textId="0E455D6F" w:rsidR="0037155E" w:rsidRPr="00A45533" w:rsidRDefault="0087320C" w:rsidP="00A45533">
      <w:pPr>
        <w:numPr>
          <w:ilvl w:val="0"/>
          <w:numId w:val="8"/>
        </w:numPr>
        <w:spacing w:after="120"/>
        <w:rPr>
          <w:szCs w:val="22"/>
        </w:rPr>
      </w:pPr>
      <w:r w:rsidRPr="007F4805">
        <w:rPr>
          <w:szCs w:val="22"/>
        </w:rPr>
        <w:t xml:space="preserve">Within 180 days of the release date of this </w:t>
      </w:r>
      <w:r w:rsidR="00972751">
        <w:rPr>
          <w:szCs w:val="22"/>
        </w:rPr>
        <w:t>O</w:t>
      </w:r>
      <w:r w:rsidR="00972751" w:rsidRPr="007F4805">
        <w:rPr>
          <w:szCs w:val="22"/>
        </w:rPr>
        <w:t>rder</w:t>
      </w:r>
      <w:r w:rsidRPr="007F4805">
        <w:rPr>
          <w:szCs w:val="22"/>
        </w:rPr>
        <w:t xml:space="preserve">, </w:t>
      </w:r>
      <w:r w:rsidR="00A138A8">
        <w:rPr>
          <w:szCs w:val="22"/>
        </w:rPr>
        <w:t>PTC-220 must consummate the assignment</w:t>
      </w:r>
      <w:r w:rsidR="00A138A8" w:rsidRPr="00A138A8">
        <w:rPr>
          <w:szCs w:val="22"/>
        </w:rPr>
        <w:t xml:space="preserve"> of spectrum to NJ Transit </w:t>
      </w:r>
      <w:r w:rsidR="00A138A8">
        <w:rPr>
          <w:szCs w:val="22"/>
        </w:rPr>
        <w:t>as specified above.</w:t>
      </w:r>
    </w:p>
    <w:p w14:paraId="7B4A0F6A" w14:textId="2096EC80" w:rsidR="0037155E" w:rsidRPr="007F4805" w:rsidRDefault="00294AD3" w:rsidP="0037155E">
      <w:pPr>
        <w:pStyle w:val="ParaNum"/>
      </w:pPr>
      <w:r>
        <w:t xml:space="preserve">Pursuant to </w:t>
      </w:r>
      <w:r w:rsidR="0037155E" w:rsidRPr="007F4805">
        <w:t xml:space="preserve">the </w:t>
      </w:r>
      <w:r w:rsidR="0037155E" w:rsidRPr="007F4805">
        <w:rPr>
          <w:i/>
        </w:rPr>
        <w:t>Proposed Order of Modification</w:t>
      </w:r>
      <w:r w:rsidR="0037155E" w:rsidRPr="007F4805">
        <w:t xml:space="preserve">, we require </w:t>
      </w:r>
      <w:r w:rsidR="0037155E" w:rsidRPr="003D502F">
        <w:rPr>
          <w:szCs w:val="22"/>
        </w:rPr>
        <w:t>PTC-220</w:t>
      </w:r>
      <w:r w:rsidR="0037155E" w:rsidRPr="007F4805">
        <w:t xml:space="preserve">, as a condition of our modification of Station </w:t>
      </w:r>
      <w:r w:rsidR="0037155E" w:rsidRPr="003D502F">
        <w:rPr>
          <w:szCs w:val="22"/>
        </w:rPr>
        <w:t>KIVD0007</w:t>
      </w:r>
      <w:r w:rsidR="0037155E" w:rsidRPr="007F4805">
        <w:t xml:space="preserve">, to </w:t>
      </w:r>
      <w:r w:rsidR="0037155E" w:rsidRPr="0037155E">
        <w:t xml:space="preserve">assign on commercially reasonable terms 250 kilohertz of spectrum under Station KIVD0007 (as modified) to SEPTA </w:t>
      </w:r>
      <w:r w:rsidR="0037155E" w:rsidRPr="007F4805">
        <w:t xml:space="preserve">to enable its PTC implementation in </w:t>
      </w:r>
      <w:r w:rsidR="0053136F">
        <w:t>the SEPTA Counties</w:t>
      </w:r>
      <w:r w:rsidR="00E30EDC">
        <w:rPr>
          <w:rStyle w:val="FootnoteReference"/>
        </w:rPr>
        <w:footnoteReference w:id="46"/>
      </w:r>
      <w:r w:rsidR="0053136F">
        <w:t xml:space="preserve"> </w:t>
      </w:r>
      <w:r w:rsidR="0037155E" w:rsidRPr="007F4805">
        <w:t>as follows:</w:t>
      </w:r>
    </w:p>
    <w:p w14:paraId="633E46A6" w14:textId="161E2339" w:rsidR="0037155E" w:rsidRDefault="0037155E" w:rsidP="00163D48">
      <w:pPr>
        <w:numPr>
          <w:ilvl w:val="0"/>
          <w:numId w:val="8"/>
        </w:numPr>
        <w:spacing w:after="120"/>
        <w:rPr>
          <w:szCs w:val="22"/>
        </w:rPr>
      </w:pPr>
      <w:r w:rsidRPr="007F4805">
        <w:rPr>
          <w:szCs w:val="22"/>
        </w:rPr>
        <w:t xml:space="preserve">Within </w:t>
      </w:r>
      <w:r>
        <w:rPr>
          <w:szCs w:val="22"/>
        </w:rPr>
        <w:t>45</w:t>
      </w:r>
      <w:r w:rsidRPr="007F4805">
        <w:rPr>
          <w:szCs w:val="22"/>
        </w:rPr>
        <w:t xml:space="preserve"> days of the release date of this </w:t>
      </w:r>
      <w:r w:rsidR="00972751">
        <w:rPr>
          <w:szCs w:val="22"/>
        </w:rPr>
        <w:t>O</w:t>
      </w:r>
      <w:r w:rsidR="00972751" w:rsidRPr="007F4805">
        <w:rPr>
          <w:szCs w:val="22"/>
        </w:rPr>
        <w:t>rder</w:t>
      </w:r>
      <w:r w:rsidRPr="007F4805">
        <w:rPr>
          <w:szCs w:val="22"/>
        </w:rPr>
        <w:t xml:space="preserve">, </w:t>
      </w:r>
      <w:r w:rsidRPr="003D502F">
        <w:rPr>
          <w:szCs w:val="22"/>
        </w:rPr>
        <w:t xml:space="preserve">PTC-220 </w:t>
      </w:r>
      <w:r w:rsidRPr="007F4805">
        <w:rPr>
          <w:szCs w:val="22"/>
        </w:rPr>
        <w:t xml:space="preserve">must </w:t>
      </w:r>
      <w:r w:rsidRPr="003D502F">
        <w:rPr>
          <w:szCs w:val="22"/>
        </w:rPr>
        <w:t>file an application</w:t>
      </w:r>
      <w:r w:rsidRPr="007F4805">
        <w:rPr>
          <w:szCs w:val="22"/>
        </w:rPr>
        <w:t xml:space="preserve"> </w:t>
      </w:r>
      <w:r w:rsidRPr="003D502F">
        <w:rPr>
          <w:szCs w:val="22"/>
        </w:rPr>
        <w:t>under Station KIVD0007 (as modified)</w:t>
      </w:r>
      <w:r w:rsidRPr="007F4805">
        <w:rPr>
          <w:szCs w:val="22"/>
        </w:rPr>
        <w:t xml:space="preserve"> </w:t>
      </w:r>
      <w:r w:rsidRPr="0037155E">
        <w:rPr>
          <w:szCs w:val="22"/>
        </w:rPr>
        <w:t>to assign on commercially reasonable terms 250 kilohertz of spectrum</w:t>
      </w:r>
      <w:r w:rsidRPr="007F4805">
        <w:rPr>
          <w:szCs w:val="22"/>
        </w:rPr>
        <w:t xml:space="preserve"> to </w:t>
      </w:r>
      <w:r w:rsidRPr="0037155E">
        <w:t xml:space="preserve">SEPTA </w:t>
      </w:r>
      <w:r w:rsidRPr="007F4805">
        <w:rPr>
          <w:szCs w:val="22"/>
        </w:rPr>
        <w:t xml:space="preserve">to enable PTC implementation in the </w:t>
      </w:r>
      <w:r w:rsidR="00881164">
        <w:rPr>
          <w:szCs w:val="22"/>
        </w:rPr>
        <w:t>SEPTA</w:t>
      </w:r>
      <w:r w:rsidRPr="007F4805">
        <w:rPr>
          <w:szCs w:val="22"/>
        </w:rPr>
        <w:t xml:space="preserve"> Counties.</w:t>
      </w:r>
      <w:r w:rsidR="003B14C7">
        <w:rPr>
          <w:rStyle w:val="FootnoteReference"/>
          <w:szCs w:val="22"/>
        </w:rPr>
        <w:footnoteReference w:id="47"/>
      </w:r>
      <w:r w:rsidRPr="007F4805">
        <w:rPr>
          <w:szCs w:val="22"/>
        </w:rPr>
        <w:t xml:space="preserve">  </w:t>
      </w:r>
    </w:p>
    <w:p w14:paraId="672932EE" w14:textId="1D3A0884" w:rsidR="0037155E" w:rsidRPr="00A45533" w:rsidRDefault="0037155E" w:rsidP="00163D48">
      <w:pPr>
        <w:numPr>
          <w:ilvl w:val="0"/>
          <w:numId w:val="8"/>
        </w:numPr>
        <w:spacing w:after="120"/>
        <w:rPr>
          <w:szCs w:val="22"/>
        </w:rPr>
      </w:pPr>
      <w:r w:rsidRPr="00A45533">
        <w:rPr>
          <w:szCs w:val="22"/>
        </w:rPr>
        <w:t xml:space="preserve">Within 180 days of the release date of this </w:t>
      </w:r>
      <w:r w:rsidR="00972751">
        <w:rPr>
          <w:szCs w:val="22"/>
        </w:rPr>
        <w:t>O</w:t>
      </w:r>
      <w:r w:rsidR="00972751" w:rsidRPr="00A45533">
        <w:rPr>
          <w:szCs w:val="22"/>
        </w:rPr>
        <w:t>rder</w:t>
      </w:r>
      <w:r w:rsidRPr="00A45533">
        <w:rPr>
          <w:szCs w:val="22"/>
        </w:rPr>
        <w:t xml:space="preserve">, </w:t>
      </w:r>
      <w:r w:rsidR="00A138A8">
        <w:rPr>
          <w:szCs w:val="22"/>
        </w:rPr>
        <w:t>PTC-220 must consummate the assignment</w:t>
      </w:r>
      <w:r w:rsidR="00A138A8" w:rsidRPr="00A138A8">
        <w:rPr>
          <w:szCs w:val="22"/>
        </w:rPr>
        <w:t xml:space="preserve"> of spectrum to </w:t>
      </w:r>
      <w:r w:rsidR="00A138A8">
        <w:rPr>
          <w:szCs w:val="22"/>
        </w:rPr>
        <w:t>SEPTA</w:t>
      </w:r>
      <w:r w:rsidR="00A138A8" w:rsidRPr="00A138A8">
        <w:rPr>
          <w:szCs w:val="22"/>
        </w:rPr>
        <w:t xml:space="preserve"> </w:t>
      </w:r>
      <w:r w:rsidR="00A138A8">
        <w:rPr>
          <w:szCs w:val="22"/>
        </w:rPr>
        <w:t>as specified above.</w:t>
      </w:r>
    </w:p>
    <w:p w14:paraId="3293D27E" w14:textId="56657C61" w:rsidR="00A138A8" w:rsidRDefault="00A138A8" w:rsidP="00A138A8">
      <w:pPr>
        <w:pStyle w:val="ParaNum"/>
        <w:rPr>
          <w:szCs w:val="22"/>
        </w:rPr>
      </w:pPr>
      <w:r>
        <w:rPr>
          <w:szCs w:val="22"/>
        </w:rPr>
        <w:t xml:space="preserve">Should </w:t>
      </w:r>
      <w:r w:rsidRPr="00A138A8">
        <w:rPr>
          <w:szCs w:val="22"/>
        </w:rPr>
        <w:t xml:space="preserve">PTC-220 not consummate the assignments of spectrum to NJ Transit and SEPTA as specified above within 180 days of the release date of </w:t>
      </w:r>
      <w:r>
        <w:rPr>
          <w:szCs w:val="22"/>
        </w:rPr>
        <w:t xml:space="preserve">this </w:t>
      </w:r>
      <w:r w:rsidR="00972751">
        <w:rPr>
          <w:szCs w:val="22"/>
        </w:rPr>
        <w:t>Order</w:t>
      </w:r>
      <w:r w:rsidRPr="00A138A8">
        <w:rPr>
          <w:szCs w:val="22"/>
        </w:rPr>
        <w:t>, any remaining spectrum authorized by the modification shall return to the Commission without further action and will become unassigned and available for future disposition as determined by the Commission.</w:t>
      </w:r>
      <w:r w:rsidR="00881164" w:rsidRPr="007F4805">
        <w:rPr>
          <w:rStyle w:val="FootnoteReference"/>
          <w:sz w:val="22"/>
          <w:szCs w:val="22"/>
        </w:rPr>
        <w:footnoteReference w:id="48"/>
      </w:r>
    </w:p>
    <w:p w14:paraId="6BFEF32E" w14:textId="77777777" w:rsidR="0069531F" w:rsidRPr="007F4805" w:rsidRDefault="0069531F" w:rsidP="0069531F">
      <w:pPr>
        <w:pStyle w:val="Heading1"/>
        <w:rPr>
          <w:rFonts w:ascii="Times New Roman" w:hAnsi="Times New Roman"/>
          <w:szCs w:val="22"/>
        </w:rPr>
      </w:pPr>
      <w:r w:rsidRPr="007F4805">
        <w:rPr>
          <w:rFonts w:ascii="Times New Roman" w:hAnsi="Times New Roman"/>
          <w:szCs w:val="22"/>
        </w:rPr>
        <w:t>ORDERING CLAUSES</w:t>
      </w:r>
    </w:p>
    <w:p w14:paraId="2EC40986" w14:textId="77777777" w:rsidR="000051C9" w:rsidRDefault="0087320C" w:rsidP="004978EB">
      <w:pPr>
        <w:pStyle w:val="ParaNum"/>
      </w:pPr>
      <w:r w:rsidRPr="007F4805">
        <w:t>Accordingly, IT IS ORDERED that, pursuant to Sections 4(i) and 316(a) of the Communications Act of 1934, as amended, 47 U.S.C. §§ 154(i), 316(a), and Section 1.87</w:t>
      </w:r>
      <w:r w:rsidR="004978EB">
        <w:t xml:space="preserve"> </w:t>
      </w:r>
      <w:r w:rsidRPr="007F4805">
        <w:t>of the Commission's Rules, 47 C.F.R. § 1.87</w:t>
      </w:r>
      <w:r w:rsidR="004978EB">
        <w:t xml:space="preserve">, </w:t>
      </w:r>
      <w:r w:rsidRPr="007F4805">
        <w:t xml:space="preserve">Station </w:t>
      </w:r>
      <w:r w:rsidR="004978EB" w:rsidRPr="000051C9">
        <w:rPr>
          <w:szCs w:val="22"/>
        </w:rPr>
        <w:t>KIVD0007</w:t>
      </w:r>
      <w:r w:rsidRPr="007F4805">
        <w:t xml:space="preserve">, licensed to </w:t>
      </w:r>
      <w:r w:rsidR="004978EB" w:rsidRPr="004978EB">
        <w:t>PTC-220, LLC,</w:t>
      </w:r>
      <w:r w:rsidRPr="007F4805">
        <w:t xml:space="preserve"> IS MODIFIED as specified in Section III of this Order of Modification</w:t>
      </w:r>
      <w:r w:rsidR="000051C9">
        <w:t xml:space="preserve">.  </w:t>
      </w:r>
      <w:r w:rsidRPr="007F4805">
        <w:t xml:space="preserve">Modification of Station </w:t>
      </w:r>
      <w:r w:rsidR="004978EB" w:rsidRPr="000051C9">
        <w:rPr>
          <w:szCs w:val="22"/>
        </w:rPr>
        <w:t>KIVD0007</w:t>
      </w:r>
      <w:r w:rsidR="0004328A" w:rsidRPr="000051C9">
        <w:rPr>
          <w:szCs w:val="22"/>
        </w:rPr>
        <w:t xml:space="preserve"> </w:t>
      </w:r>
      <w:r w:rsidRPr="007F4805">
        <w:t>is effective upon release of this Order of Modification.</w:t>
      </w:r>
    </w:p>
    <w:p w14:paraId="31AE1D0B" w14:textId="4C8191D5" w:rsidR="000051C9" w:rsidRPr="007F4805" w:rsidRDefault="000051C9" w:rsidP="004978EB">
      <w:pPr>
        <w:pStyle w:val="ParaNum"/>
      </w:pPr>
      <w:r>
        <w:t xml:space="preserve">IT IS </w:t>
      </w:r>
      <w:r w:rsidRPr="000051C9">
        <w:rPr>
          <w:szCs w:val="22"/>
        </w:rPr>
        <w:t>FURTHER ORDERED that,</w:t>
      </w:r>
      <w:r w:rsidR="0087320C" w:rsidRPr="007F4805">
        <w:t xml:space="preserve"> </w:t>
      </w:r>
      <w:r w:rsidRPr="007F4805">
        <w:t>pursuant to Section 4(i) of the Communications Act of 1934, as amended, 47 U.S.C. § 154(i),</w:t>
      </w:r>
      <w:r>
        <w:t xml:space="preserve"> and Section 1.925(b)(3)</w:t>
      </w:r>
      <w:r w:rsidRPr="000051C9">
        <w:t xml:space="preserve"> </w:t>
      </w:r>
      <w:r w:rsidRPr="007F4805">
        <w:t>of the Commission's Rules</w:t>
      </w:r>
      <w:r>
        <w:t xml:space="preserve">, </w:t>
      </w:r>
      <w:r w:rsidRPr="007F4805">
        <w:t xml:space="preserve">47 C.F.R. § </w:t>
      </w:r>
      <w:r>
        <w:t>1.925(b)(3), that a waiver of Sections 1.</w:t>
      </w:r>
      <w:r w:rsidRPr="000051C9">
        <w:rPr>
          <w:szCs w:val="22"/>
        </w:rPr>
        <w:t>955(a)(3)</w:t>
      </w:r>
      <w:r>
        <w:t>, 95.</w:t>
      </w:r>
      <w:r w:rsidR="00912829">
        <w:t>815</w:t>
      </w:r>
      <w:r>
        <w:t xml:space="preserve">(b), and 95.855 of the Commission’s Rules, </w:t>
      </w:r>
      <w:r w:rsidRPr="007F4805">
        <w:t xml:space="preserve">47 C.F.R. §§ </w:t>
      </w:r>
      <w:r>
        <w:t>1.</w:t>
      </w:r>
      <w:r w:rsidRPr="000051C9">
        <w:rPr>
          <w:szCs w:val="22"/>
        </w:rPr>
        <w:t>955(a)(3)</w:t>
      </w:r>
      <w:r>
        <w:t>, 95.</w:t>
      </w:r>
      <w:r w:rsidR="00E158FB">
        <w:t>815</w:t>
      </w:r>
      <w:r>
        <w:t xml:space="preserve">(b), 95.855, as specified </w:t>
      </w:r>
      <w:r w:rsidR="008C301C" w:rsidRPr="007F4805">
        <w:t>in Section III of this Order of Modification</w:t>
      </w:r>
      <w:r w:rsidR="008C301C">
        <w:t xml:space="preserve">, </w:t>
      </w:r>
      <w:r>
        <w:t>IS GRANTED.</w:t>
      </w:r>
    </w:p>
    <w:p w14:paraId="7F9CEDC8" w14:textId="77777777" w:rsidR="0087320C" w:rsidRPr="007F4805" w:rsidRDefault="004978EB" w:rsidP="0087320C">
      <w:pPr>
        <w:pStyle w:val="ParaNum"/>
        <w:rPr>
          <w:szCs w:val="22"/>
        </w:rPr>
      </w:pPr>
      <w:r>
        <w:rPr>
          <w:szCs w:val="22"/>
        </w:rPr>
        <w:t xml:space="preserve">AND </w:t>
      </w:r>
      <w:r w:rsidR="0087320C" w:rsidRPr="007F4805">
        <w:rPr>
          <w:szCs w:val="22"/>
        </w:rPr>
        <w:t>IT IS FURTHER ORDERED that</w:t>
      </w:r>
      <w:r w:rsidR="003A5580" w:rsidRPr="007F4805">
        <w:rPr>
          <w:szCs w:val="22"/>
        </w:rPr>
        <w:t>,</w:t>
      </w:r>
      <w:r w:rsidR="0087320C" w:rsidRPr="007F4805">
        <w:rPr>
          <w:szCs w:val="22"/>
        </w:rPr>
        <w:t xml:space="preserve"> pursuant to Section 316(a)(1) of the Communications Act of 1934, as amended, 47 U.S.C. § 316(a)(1), the Wireless Telecommunications Bureau SHALL SEND this Order of Modification by certified mail, return receipt requested, to </w:t>
      </w:r>
      <w:r>
        <w:t>PTC-220, LLC</w:t>
      </w:r>
      <w:r w:rsidR="0087320C" w:rsidRPr="007F4805">
        <w:rPr>
          <w:szCs w:val="22"/>
        </w:rPr>
        <w:t>.</w:t>
      </w:r>
    </w:p>
    <w:p w14:paraId="425B1A1A" w14:textId="77777777" w:rsidR="0087320C" w:rsidRPr="007F4805" w:rsidRDefault="0087320C" w:rsidP="0087320C">
      <w:pPr>
        <w:pStyle w:val="ParaNum"/>
        <w:rPr>
          <w:szCs w:val="22"/>
        </w:rPr>
      </w:pPr>
      <w:r w:rsidRPr="007F4805">
        <w:rPr>
          <w:szCs w:val="22"/>
        </w:rPr>
        <w:t>This action is taken under delegated authority pursuant to Sections 0.131 and 0.331 of the Commission’s rules, 47 C.F.R</w:t>
      </w:r>
      <w:r w:rsidR="003A5580" w:rsidRPr="007F4805">
        <w:rPr>
          <w:szCs w:val="22"/>
        </w:rPr>
        <w:t>.</w:t>
      </w:r>
      <w:r w:rsidRPr="007F4805">
        <w:rPr>
          <w:szCs w:val="22"/>
        </w:rPr>
        <w:t xml:space="preserve"> §§ 0.131, 0.331.</w:t>
      </w:r>
    </w:p>
    <w:p w14:paraId="3C052872" w14:textId="77777777" w:rsidR="0087320C" w:rsidRPr="007F4805" w:rsidRDefault="0087320C" w:rsidP="0087320C">
      <w:pPr>
        <w:pStyle w:val="ParaNum"/>
        <w:numPr>
          <w:ilvl w:val="0"/>
          <w:numId w:val="0"/>
        </w:numPr>
        <w:ind w:left="4320"/>
        <w:rPr>
          <w:szCs w:val="22"/>
        </w:rPr>
      </w:pPr>
    </w:p>
    <w:p w14:paraId="2CED5E74" w14:textId="77777777" w:rsidR="0087320C" w:rsidRPr="007F4805" w:rsidRDefault="0087320C" w:rsidP="0087320C">
      <w:pPr>
        <w:pStyle w:val="ParaNum"/>
        <w:numPr>
          <w:ilvl w:val="0"/>
          <w:numId w:val="0"/>
        </w:numPr>
        <w:ind w:left="4320"/>
        <w:rPr>
          <w:szCs w:val="22"/>
        </w:rPr>
      </w:pPr>
      <w:r w:rsidRPr="007F4805">
        <w:rPr>
          <w:szCs w:val="22"/>
        </w:rPr>
        <w:t>FEDERAL COMMUNICATIONS COMMISSION</w:t>
      </w:r>
    </w:p>
    <w:p w14:paraId="294D5518" w14:textId="77777777" w:rsidR="0087320C" w:rsidRPr="007F4805" w:rsidRDefault="0087320C" w:rsidP="0087320C">
      <w:pPr>
        <w:pStyle w:val="ParaNum"/>
        <w:numPr>
          <w:ilvl w:val="0"/>
          <w:numId w:val="0"/>
        </w:numPr>
        <w:ind w:left="4320"/>
        <w:rPr>
          <w:szCs w:val="22"/>
        </w:rPr>
      </w:pPr>
    </w:p>
    <w:p w14:paraId="16C6421A" w14:textId="77777777" w:rsidR="0087320C" w:rsidRPr="007F4805" w:rsidRDefault="0087320C" w:rsidP="0087320C">
      <w:pPr>
        <w:pStyle w:val="ParaNum"/>
        <w:numPr>
          <w:ilvl w:val="0"/>
          <w:numId w:val="0"/>
        </w:numPr>
        <w:ind w:left="4320"/>
        <w:rPr>
          <w:szCs w:val="22"/>
        </w:rPr>
      </w:pPr>
    </w:p>
    <w:p w14:paraId="4EE2A4C1" w14:textId="77777777" w:rsidR="0087320C" w:rsidRPr="007F4805" w:rsidRDefault="0087320C" w:rsidP="0087320C">
      <w:pPr>
        <w:pStyle w:val="ParaNum"/>
        <w:numPr>
          <w:ilvl w:val="0"/>
          <w:numId w:val="0"/>
        </w:numPr>
        <w:spacing w:after="0"/>
        <w:ind w:left="4320"/>
        <w:rPr>
          <w:szCs w:val="22"/>
        </w:rPr>
      </w:pPr>
      <w:r w:rsidRPr="007F4805">
        <w:rPr>
          <w:szCs w:val="22"/>
        </w:rPr>
        <w:t>Roger S. Noel</w:t>
      </w:r>
    </w:p>
    <w:p w14:paraId="67D75AA0" w14:textId="77777777" w:rsidR="0087320C" w:rsidRPr="007F4805" w:rsidRDefault="0087320C" w:rsidP="0087320C">
      <w:pPr>
        <w:pStyle w:val="ParaNum"/>
        <w:numPr>
          <w:ilvl w:val="0"/>
          <w:numId w:val="0"/>
        </w:numPr>
        <w:spacing w:after="0"/>
        <w:ind w:left="4320"/>
        <w:rPr>
          <w:szCs w:val="22"/>
        </w:rPr>
      </w:pPr>
      <w:r w:rsidRPr="007F4805">
        <w:rPr>
          <w:szCs w:val="22"/>
        </w:rPr>
        <w:t>Chief, Mobility Division</w:t>
      </w:r>
    </w:p>
    <w:p w14:paraId="4BBC9626" w14:textId="77777777" w:rsidR="0087320C" w:rsidRPr="007F4805" w:rsidRDefault="0087320C" w:rsidP="0087320C">
      <w:pPr>
        <w:pStyle w:val="ParaNum"/>
        <w:numPr>
          <w:ilvl w:val="0"/>
          <w:numId w:val="0"/>
        </w:numPr>
        <w:spacing w:after="0"/>
        <w:ind w:left="4320"/>
        <w:rPr>
          <w:szCs w:val="22"/>
        </w:rPr>
      </w:pPr>
      <w:r w:rsidRPr="007F4805">
        <w:rPr>
          <w:szCs w:val="22"/>
        </w:rPr>
        <w:t>Wireless Telecommunications Bureau</w:t>
      </w:r>
    </w:p>
    <w:sectPr w:rsidR="0087320C" w:rsidRPr="007F480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26527" w14:textId="77777777" w:rsidR="00821860" w:rsidRDefault="00821860">
      <w:pPr>
        <w:spacing w:line="20" w:lineRule="exact"/>
      </w:pPr>
    </w:p>
  </w:endnote>
  <w:endnote w:type="continuationSeparator" w:id="0">
    <w:p w14:paraId="09CB8A6D" w14:textId="77777777" w:rsidR="00821860" w:rsidRDefault="00821860">
      <w:r>
        <w:t xml:space="preserve"> </w:t>
      </w:r>
    </w:p>
  </w:endnote>
  <w:endnote w:type="continuationNotice" w:id="1">
    <w:p w14:paraId="2FD14782" w14:textId="77777777" w:rsidR="00821860" w:rsidRDefault="008218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6BC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A0FC8D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B4F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1115C">
      <w:rPr>
        <w:noProof/>
      </w:rPr>
      <w:t>2</w:t>
    </w:r>
    <w:r>
      <w:fldChar w:fldCharType="end"/>
    </w:r>
  </w:p>
  <w:p w14:paraId="4A1EDEF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1F2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3901D" w14:textId="77777777" w:rsidR="00821860" w:rsidRDefault="00821860">
      <w:r>
        <w:separator/>
      </w:r>
    </w:p>
  </w:footnote>
  <w:footnote w:type="continuationSeparator" w:id="0">
    <w:p w14:paraId="683FF019" w14:textId="77777777" w:rsidR="00821860" w:rsidRDefault="00821860" w:rsidP="00C721AC">
      <w:pPr>
        <w:spacing w:before="120"/>
        <w:rPr>
          <w:sz w:val="20"/>
        </w:rPr>
      </w:pPr>
      <w:r>
        <w:rPr>
          <w:sz w:val="20"/>
        </w:rPr>
        <w:t xml:space="preserve">(Continued from previous page)  </w:t>
      </w:r>
      <w:r>
        <w:rPr>
          <w:sz w:val="20"/>
        </w:rPr>
        <w:separator/>
      </w:r>
    </w:p>
  </w:footnote>
  <w:footnote w:type="continuationNotice" w:id="1">
    <w:p w14:paraId="06C8C4CA" w14:textId="77777777" w:rsidR="00821860" w:rsidRDefault="00821860" w:rsidP="00C721AC">
      <w:pPr>
        <w:jc w:val="right"/>
        <w:rPr>
          <w:sz w:val="20"/>
        </w:rPr>
      </w:pPr>
      <w:r>
        <w:rPr>
          <w:sz w:val="20"/>
        </w:rPr>
        <w:t>(continued….)</w:t>
      </w:r>
    </w:p>
  </w:footnote>
  <w:footnote w:id="2">
    <w:p w14:paraId="217E2BCE" w14:textId="77777777" w:rsidR="00A45533" w:rsidRDefault="00A45533">
      <w:pPr>
        <w:pStyle w:val="FootnoteText"/>
      </w:pPr>
      <w:r>
        <w:rPr>
          <w:rStyle w:val="FootnoteReference"/>
        </w:rPr>
        <w:footnoteRef/>
      </w:r>
      <w:r>
        <w:t xml:space="preserve"> </w:t>
      </w:r>
      <w:r w:rsidRPr="00A45533">
        <w:t xml:space="preserve">PTC-220 is a joint venture of the nation’s seven Class I freight railroads.  Its members include BNSF Railway Company, Canadian National, Canadian Pacific, CSX Corporation (CSX), Kansas City Southern, Norfolk Southern Corporation (NS), and Union Pacific Corporation. </w:t>
      </w:r>
      <w:r w:rsidR="00E209A1">
        <w:t xml:space="preserve"> PTC-220 requested modification of its license. </w:t>
      </w:r>
      <w:r w:rsidR="00E209A1">
        <w:rPr>
          <w:i/>
        </w:rPr>
        <w:t xml:space="preserve"> See </w:t>
      </w:r>
      <w:r w:rsidR="00E209A1" w:rsidRPr="00FC13D0">
        <w:t>PTC-220, LLC Request for License Modification and Waivers, ULS File No. 0</w:t>
      </w:r>
      <w:r w:rsidR="00E209A1">
        <w:t>007202625 (filed Mar. 25, 2016), amended October 5, 2016</w:t>
      </w:r>
      <w:r w:rsidR="00E209A1" w:rsidRPr="00FC13D0">
        <w:t>.</w:t>
      </w:r>
      <w:r w:rsidR="00E209A1">
        <w:t xml:space="preserve">  </w:t>
      </w:r>
      <w:r>
        <w:rPr>
          <w:i/>
        </w:rPr>
        <w:t>See</w:t>
      </w:r>
      <w:r w:rsidR="00E209A1">
        <w:rPr>
          <w:i/>
        </w:rPr>
        <w:t xml:space="preserve"> also</w:t>
      </w:r>
      <w:r>
        <w:rPr>
          <w:i/>
        </w:rPr>
        <w:t xml:space="preserve"> </w:t>
      </w:r>
      <w:r w:rsidRPr="00644300">
        <w:rPr>
          <w:i/>
        </w:rPr>
        <w:t>Request for Modification of Station KIVD0007 and Waivers to Implement Positive Train Control</w:t>
      </w:r>
      <w:r>
        <w:rPr>
          <w:i/>
        </w:rPr>
        <w:t xml:space="preserve">, </w:t>
      </w:r>
      <w:r>
        <w:t xml:space="preserve">Proposed Order of Modification, </w:t>
      </w:r>
      <w:r w:rsidR="00CB4271">
        <w:t>31 FCC Rcd 13249</w:t>
      </w:r>
      <w:r w:rsidR="006F49C2">
        <w:t xml:space="preserve">, </w:t>
      </w:r>
      <w:r w:rsidR="00CB4271" w:rsidRPr="00EB7B77">
        <w:t>13249</w:t>
      </w:r>
      <w:r w:rsidR="006F49C2">
        <w:t xml:space="preserve">, </w:t>
      </w:r>
      <w:r>
        <w:t xml:space="preserve">para. </w:t>
      </w:r>
      <w:r w:rsidR="008874A2">
        <w:t xml:space="preserve">1 </w:t>
      </w:r>
      <w:r>
        <w:t>n.</w:t>
      </w:r>
      <w:r w:rsidRPr="00546856">
        <w:t xml:space="preserve">2 </w:t>
      </w:r>
      <w:r w:rsidR="00CB4271">
        <w:t xml:space="preserve">(WTB Mobility Div. 2016) </w:t>
      </w:r>
      <w:r w:rsidRPr="00546856">
        <w:t>(</w:t>
      </w:r>
      <w:r w:rsidRPr="00546856">
        <w:rPr>
          <w:i/>
        </w:rPr>
        <w:t>Proposed Order of Modification</w:t>
      </w:r>
      <w:r w:rsidRPr="00546856">
        <w:t>).</w:t>
      </w:r>
    </w:p>
  </w:footnote>
  <w:footnote w:id="3">
    <w:p w14:paraId="00633FB4" w14:textId="0051177B" w:rsidR="00C57CFF" w:rsidRDefault="00C57CFF" w:rsidP="00C57CFF">
      <w:pPr>
        <w:pStyle w:val="FootnoteText"/>
      </w:pPr>
      <w:r>
        <w:rPr>
          <w:rStyle w:val="FootnoteReference"/>
        </w:rPr>
        <w:footnoteRef/>
      </w:r>
      <w:r>
        <w:t xml:space="preserve"> </w:t>
      </w:r>
      <w:r w:rsidRPr="0069531F">
        <w:t xml:space="preserve">Congress adopted the PTC mandate in the Rail Safety Improvement Act of 2008.  </w:t>
      </w:r>
      <w:r w:rsidRPr="00A85163">
        <w:rPr>
          <w:i/>
        </w:rPr>
        <w:t>See</w:t>
      </w:r>
      <w:r w:rsidRPr="0069531F">
        <w:t xml:space="preserve"> Pub. L. No. 110-432, § 104, 122 Stat. 4848, 4857 (2008), amended by the Positive Train Control Enforcement and Implementation Act of 2015, Pub. L. No. 114-73, § 1302, 129 Stat. 568, 576 (Oct. 29, 2015)</w:t>
      </w:r>
      <w:r w:rsidR="00700CBD">
        <w:t xml:space="preserve"> (PTC Enforcement Act)</w:t>
      </w:r>
      <w:r w:rsidRPr="0069531F">
        <w:t>.  PTC systems are intended to reduce the risk of human-error rail accidents, by “prevent[ing] train-to-train collisions, over-speed derailments, incursions into established work zone limits, and the movement of a train through a switch left in the wrong position.”  49 U.S.C. § 20157(i)(5).</w:t>
      </w:r>
    </w:p>
  </w:footnote>
  <w:footnote w:id="4">
    <w:p w14:paraId="7A8F82E7" w14:textId="77777777" w:rsidR="006C2A4D" w:rsidRDefault="006C2A4D">
      <w:pPr>
        <w:pStyle w:val="FootnoteText"/>
      </w:pPr>
      <w:r>
        <w:rPr>
          <w:rStyle w:val="FootnoteReference"/>
        </w:rPr>
        <w:footnoteRef/>
      </w:r>
      <w:r>
        <w:t xml:space="preserve"> </w:t>
      </w:r>
      <w:r w:rsidRPr="006C2A4D">
        <w:rPr>
          <w:i/>
        </w:rPr>
        <w:t>See supra</w:t>
      </w:r>
      <w:r w:rsidRPr="006C2A4D">
        <w:t xml:space="preserve"> </w:t>
      </w:r>
      <w:r w:rsidRPr="00E85F8C">
        <w:t xml:space="preserve">note </w:t>
      </w:r>
      <w:r w:rsidR="00A45533" w:rsidRPr="00E85F8C">
        <w:t>2</w:t>
      </w:r>
      <w:r w:rsidRPr="00E85F8C">
        <w:t>.</w:t>
      </w:r>
      <w:r w:rsidRPr="006C2A4D">
        <w:t xml:space="preserve">    </w:t>
      </w:r>
    </w:p>
  </w:footnote>
  <w:footnote w:id="5">
    <w:p w14:paraId="6E9DBFB1" w14:textId="77777777" w:rsidR="006C2A4D" w:rsidRDefault="006C2A4D">
      <w:pPr>
        <w:pStyle w:val="FootnoteText"/>
      </w:pPr>
      <w:r>
        <w:rPr>
          <w:rStyle w:val="FootnoteReference"/>
        </w:rPr>
        <w:footnoteRef/>
      </w:r>
      <w:r>
        <w:t xml:space="preserve"> </w:t>
      </w:r>
      <w:r w:rsidRPr="006C2A4D">
        <w:t>Interoperability is defined as “the ability to control locomotives of the host railroad and tenant railroad to communicate with and respond to the positive train control system, including uninterrupted movements over property boundaries.”  49 U.S.C. § 20157(i)(3).</w:t>
      </w:r>
    </w:p>
  </w:footnote>
  <w:footnote w:id="6">
    <w:p w14:paraId="34CFE78E" w14:textId="43F34E17" w:rsidR="006C2A4D" w:rsidRDefault="006C2A4D">
      <w:pPr>
        <w:pStyle w:val="FootnoteText"/>
      </w:pPr>
      <w:r>
        <w:rPr>
          <w:rStyle w:val="FootnoteReference"/>
        </w:rPr>
        <w:footnoteRef/>
      </w:r>
      <w:r>
        <w:t xml:space="preserve"> </w:t>
      </w:r>
      <w:r w:rsidRPr="006C2A4D">
        <w:t>49 U.S.C. § 20157(a)(1).  In October 2015, Congress extended the PTC implementation deadline from December 31, 2015</w:t>
      </w:r>
      <w:r w:rsidR="004618E3">
        <w:t>,</w:t>
      </w:r>
      <w:r w:rsidRPr="006C2A4D">
        <w:t xml:space="preserve"> to December 31, 2018.  </w:t>
      </w:r>
      <w:r w:rsidRPr="006C2A4D">
        <w:rPr>
          <w:i/>
        </w:rPr>
        <w:t>See</w:t>
      </w:r>
      <w:r w:rsidRPr="006C2A4D">
        <w:t xml:space="preserve"> </w:t>
      </w:r>
      <w:r w:rsidR="00700CBD">
        <w:t>PTC Enforcement Act</w:t>
      </w:r>
      <w:r w:rsidRPr="006C2A4D">
        <w:t>.  Railroads may request up to a 24-month extension of the December 31, 2018</w:t>
      </w:r>
      <w:r w:rsidR="00534503">
        <w:t>,</w:t>
      </w:r>
      <w:r w:rsidRPr="006C2A4D">
        <w:t xml:space="preserve"> deadline in limited circumstances.  </w:t>
      </w:r>
      <w:r w:rsidRPr="006C2A4D">
        <w:rPr>
          <w:i/>
        </w:rPr>
        <w:t>See</w:t>
      </w:r>
      <w:r w:rsidRPr="006C2A4D">
        <w:t xml:space="preserve"> 49 U.S.C. § 20157(a)(2)(B).  </w:t>
      </w:r>
    </w:p>
  </w:footnote>
  <w:footnote w:id="7">
    <w:p w14:paraId="26F30EF9" w14:textId="77777777" w:rsidR="00D12597" w:rsidRPr="003D600E" w:rsidRDefault="00D12597" w:rsidP="00D12597">
      <w:pPr>
        <w:pStyle w:val="FootnoteText"/>
      </w:pPr>
      <w:r w:rsidRPr="003D600E">
        <w:rPr>
          <w:rStyle w:val="FootnoteReference"/>
        </w:rPr>
        <w:footnoteRef/>
      </w:r>
      <w:r w:rsidRPr="003D600E">
        <w:t xml:space="preserve"> </w:t>
      </w:r>
      <w:r w:rsidR="00D63AC6" w:rsidRPr="00BD3D94">
        <w:rPr>
          <w:i/>
        </w:rPr>
        <w:t>Proposed Order of Modification</w:t>
      </w:r>
      <w:r w:rsidR="007132E6">
        <w:t>, 31 FCC Rcd</w:t>
      </w:r>
      <w:r w:rsidR="006F49C2">
        <w:t xml:space="preserve"> at </w:t>
      </w:r>
      <w:r w:rsidR="007132E6">
        <w:t>13252</w:t>
      </w:r>
      <w:r w:rsidR="006F49C2">
        <w:t xml:space="preserve">, </w:t>
      </w:r>
      <w:r w:rsidR="00D63AC6">
        <w:t xml:space="preserve">para. 7. </w:t>
      </w:r>
    </w:p>
  </w:footnote>
  <w:footnote w:id="8">
    <w:p w14:paraId="55923EDF" w14:textId="77777777" w:rsidR="00D12597" w:rsidRPr="003D600E" w:rsidRDefault="00D12597" w:rsidP="00D12597">
      <w:pPr>
        <w:pStyle w:val="FootnoteText"/>
      </w:pPr>
      <w:r w:rsidRPr="003D600E">
        <w:rPr>
          <w:rStyle w:val="FootnoteReference"/>
        </w:rPr>
        <w:footnoteRef/>
      </w:r>
      <w:r w:rsidRPr="003D600E">
        <w:t xml:space="preserve"> </w:t>
      </w:r>
      <w:r w:rsidR="008874A2">
        <w:rPr>
          <w:i/>
        </w:rPr>
        <w:t>Id</w:t>
      </w:r>
      <w:r w:rsidRPr="003D600E">
        <w:t xml:space="preserve">.  </w:t>
      </w:r>
    </w:p>
  </w:footnote>
  <w:footnote w:id="9">
    <w:p w14:paraId="6682D7BD" w14:textId="3692EC7F" w:rsidR="00BE5FE5" w:rsidRPr="00163D48" w:rsidRDefault="00BE5FE5" w:rsidP="00BE5FE5">
      <w:pPr>
        <w:pStyle w:val="FootnoteText"/>
        <w:rPr>
          <w:i/>
        </w:rPr>
      </w:pPr>
      <w:r>
        <w:rPr>
          <w:rStyle w:val="FootnoteReference"/>
        </w:rPr>
        <w:footnoteRef/>
      </w:r>
      <w:r>
        <w:t xml:space="preserve"> </w:t>
      </w:r>
      <w:r w:rsidR="00CB4271">
        <w:t xml:space="preserve">Lease ID </w:t>
      </w:r>
      <w:r w:rsidR="00CB4271" w:rsidRPr="00CB4271">
        <w:t>L000023066</w:t>
      </w:r>
      <w:r>
        <w:t xml:space="preserve">.  </w:t>
      </w:r>
      <w:r w:rsidRPr="001E0640">
        <w:rPr>
          <w:i/>
        </w:rPr>
        <w:t>See</w:t>
      </w:r>
      <w:r>
        <w:rPr>
          <w:i/>
        </w:rPr>
        <w:t xml:space="preserve"> also</w:t>
      </w:r>
      <w:r w:rsidRPr="001E0640">
        <w:rPr>
          <w:i/>
        </w:rPr>
        <w:t xml:space="preserve"> Metropolitan Transportation Authority</w:t>
      </w:r>
      <w:r w:rsidRPr="009F0417">
        <w:t>, Order of Modification, 31 FCC Rcd 8862 (WTB Mobility Div. 2016).</w:t>
      </w:r>
      <w:r>
        <w:t xml:space="preserve">  The </w:t>
      </w:r>
      <w:r w:rsidR="008F10AD">
        <w:t xml:space="preserve">Division </w:t>
      </w:r>
      <w:r>
        <w:t xml:space="preserve">acted in accordance with the Commission’s proposal to modify KIVD0002.  </w:t>
      </w:r>
      <w:r w:rsidRPr="001E0640">
        <w:rPr>
          <w:i/>
        </w:rPr>
        <w:t>Metropolitan Transportation Authority</w:t>
      </w:r>
      <w:r w:rsidRPr="00C059D5">
        <w:t>, Proposed Order of Modification and Order on Reconsideration, 31 FCC Rcd 1436 (2016) (</w:t>
      </w:r>
      <w:r w:rsidRPr="00EB7B77">
        <w:rPr>
          <w:i/>
        </w:rPr>
        <w:t>MTA Proposed Order of Modification</w:t>
      </w:r>
      <w:r w:rsidRPr="00C059D5">
        <w:t xml:space="preserve"> and </w:t>
      </w:r>
      <w:r w:rsidRPr="00EB7B77">
        <w:rPr>
          <w:i/>
        </w:rPr>
        <w:t>MTA Order on Reconsideration</w:t>
      </w:r>
      <w:r w:rsidRPr="00C059D5">
        <w:t xml:space="preserve">, respectively).  </w:t>
      </w:r>
      <w:r w:rsidR="00C57CFF" w:rsidRPr="00EB7B77">
        <w:t>Warren Havens</w:t>
      </w:r>
      <w:r w:rsidR="008874A2" w:rsidRPr="00EB7B77">
        <w:t xml:space="preserve"> </w:t>
      </w:r>
      <w:r w:rsidR="00C57CFF">
        <w:t>filed a</w:t>
      </w:r>
      <w:r w:rsidR="007132E6" w:rsidRPr="007132E6">
        <w:t xml:space="preserve"> peti</w:t>
      </w:r>
      <w:r w:rsidR="007132E6">
        <w:t xml:space="preserve">tion </w:t>
      </w:r>
      <w:r w:rsidR="008874A2">
        <w:t xml:space="preserve">on behalf of Skybridge Spectrum Foundation </w:t>
      </w:r>
      <w:r w:rsidR="007132E6">
        <w:t xml:space="preserve">for reconsideration </w:t>
      </w:r>
      <w:r w:rsidR="00A100B9">
        <w:t xml:space="preserve">of the Commission’s action </w:t>
      </w:r>
      <w:r w:rsidR="00A159A6">
        <w:t xml:space="preserve">confirming the renewal of Station KIVD0002 </w:t>
      </w:r>
      <w:r w:rsidR="00C57CFF">
        <w:t xml:space="preserve">in the </w:t>
      </w:r>
      <w:r w:rsidR="00C57CFF" w:rsidRPr="00EB7B77">
        <w:rPr>
          <w:i/>
        </w:rPr>
        <w:t>MTA Order on Reconsideration</w:t>
      </w:r>
      <w:r w:rsidR="00C57CFF">
        <w:t xml:space="preserve"> </w:t>
      </w:r>
      <w:r w:rsidR="007132E6" w:rsidRPr="007132E6">
        <w:t xml:space="preserve">and </w:t>
      </w:r>
      <w:r w:rsidR="00C57CFF">
        <w:t xml:space="preserve">that petition </w:t>
      </w:r>
      <w:r w:rsidR="007132E6" w:rsidRPr="007132E6">
        <w:t xml:space="preserve">remains pending.  </w:t>
      </w:r>
      <w:r w:rsidR="007132E6" w:rsidRPr="00C57CFF">
        <w:rPr>
          <w:i/>
        </w:rPr>
        <w:t>See</w:t>
      </w:r>
      <w:r w:rsidR="007132E6">
        <w:t xml:space="preserve"> Petition for Reconsideration</w:t>
      </w:r>
      <w:r w:rsidR="007132E6" w:rsidRPr="007132E6">
        <w:t>, ULS File No. 0006109691</w:t>
      </w:r>
      <w:r w:rsidR="007132E6">
        <w:t xml:space="preserve"> (filed Mar. 17</w:t>
      </w:r>
      <w:r w:rsidR="007132E6" w:rsidRPr="007132E6">
        <w:t>,</w:t>
      </w:r>
      <w:r w:rsidR="007132E6">
        <w:t xml:space="preserve"> 2016).</w:t>
      </w:r>
      <w:r w:rsidR="007132E6" w:rsidRPr="007132E6">
        <w:t xml:space="preserve"> </w:t>
      </w:r>
    </w:p>
  </w:footnote>
  <w:footnote w:id="10">
    <w:p w14:paraId="449B48A0" w14:textId="3D879941" w:rsidR="00C57CFF" w:rsidRPr="00C02E96" w:rsidRDefault="00C57CFF">
      <w:pPr>
        <w:pStyle w:val="FootnoteText"/>
      </w:pPr>
      <w:r>
        <w:rPr>
          <w:rStyle w:val="FootnoteReference"/>
        </w:rPr>
        <w:footnoteRef/>
      </w:r>
      <w:r>
        <w:t xml:space="preserve"> </w:t>
      </w:r>
      <w:r w:rsidR="009C154F" w:rsidRPr="00C02E96">
        <w:rPr>
          <w:i/>
        </w:rPr>
        <w:t xml:space="preserve">See infra </w:t>
      </w:r>
      <w:r w:rsidR="009C154F" w:rsidRPr="00C02E96">
        <w:t>paragraph</w:t>
      </w:r>
      <w:r w:rsidR="00E85F8C">
        <w:t>s</w:t>
      </w:r>
      <w:r w:rsidR="009C154F" w:rsidRPr="00C02E96">
        <w:t xml:space="preserve"> </w:t>
      </w:r>
      <w:r w:rsidR="00E85F8C">
        <w:t xml:space="preserve">7 and </w:t>
      </w:r>
      <w:r w:rsidR="00E85F8C" w:rsidRPr="00C02E96">
        <w:t>1</w:t>
      </w:r>
      <w:r w:rsidR="00E85F8C">
        <w:t>1</w:t>
      </w:r>
      <w:r w:rsidR="009C154F" w:rsidRPr="00C02E96">
        <w:t>.</w:t>
      </w:r>
    </w:p>
  </w:footnote>
  <w:footnote w:id="11">
    <w:p w14:paraId="143DE93C" w14:textId="77777777" w:rsidR="004514B3" w:rsidRPr="00EB7B77" w:rsidRDefault="004514B3" w:rsidP="004514B3">
      <w:pPr>
        <w:pStyle w:val="FootnoteText"/>
        <w:rPr>
          <w:b/>
          <w:i/>
        </w:rPr>
      </w:pPr>
      <w:r w:rsidRPr="003D600E">
        <w:rPr>
          <w:rStyle w:val="FootnoteReference"/>
        </w:rPr>
        <w:footnoteRef/>
      </w:r>
      <w:r w:rsidRPr="003D600E">
        <w:t xml:space="preserve"> </w:t>
      </w:r>
      <w:r w:rsidR="00D63AC6" w:rsidRPr="00BD3D94">
        <w:rPr>
          <w:i/>
        </w:rPr>
        <w:t>Proposed Order of Modification</w:t>
      </w:r>
      <w:r w:rsidR="007132E6">
        <w:t>, 31 FCC Rcd</w:t>
      </w:r>
      <w:r w:rsidR="006F49C2">
        <w:t xml:space="preserve"> at </w:t>
      </w:r>
      <w:r w:rsidR="007132E6">
        <w:t>13252</w:t>
      </w:r>
      <w:r w:rsidR="006F49C2">
        <w:t xml:space="preserve">, </w:t>
      </w:r>
      <w:r w:rsidR="00D63AC6">
        <w:t xml:space="preserve">para. </w:t>
      </w:r>
      <w:r w:rsidR="00D3211F">
        <w:t>8;</w:t>
      </w:r>
      <w:r w:rsidRPr="003D600E">
        <w:t xml:space="preserve"> SEPTA Annual Report Fiscal Year 2015 at 18 (2015), http://septa.org/strategic-plan/reports/annual-2015.pdf (last visited </w:t>
      </w:r>
      <w:r w:rsidR="00341D83">
        <w:t xml:space="preserve">Feb. </w:t>
      </w:r>
      <w:r w:rsidRPr="003D600E">
        <w:t>2</w:t>
      </w:r>
      <w:r w:rsidR="00341D83">
        <w:t>1</w:t>
      </w:r>
      <w:r w:rsidRPr="003D600E">
        <w:t>, 201</w:t>
      </w:r>
      <w:r w:rsidR="00341D83">
        <w:t>7</w:t>
      </w:r>
      <w:r w:rsidRPr="003D600E">
        <w:t>).</w:t>
      </w:r>
    </w:p>
  </w:footnote>
  <w:footnote w:id="12">
    <w:p w14:paraId="262964BC" w14:textId="77777777" w:rsidR="004514B3" w:rsidRPr="003D600E" w:rsidRDefault="004514B3" w:rsidP="004514B3">
      <w:pPr>
        <w:pStyle w:val="FootnoteText"/>
      </w:pPr>
      <w:r w:rsidRPr="003D600E">
        <w:rPr>
          <w:rStyle w:val="FootnoteReference"/>
        </w:rPr>
        <w:footnoteRef/>
      </w:r>
      <w:r w:rsidRPr="003D600E">
        <w:t xml:space="preserve"> </w:t>
      </w:r>
      <w:r w:rsidR="00D63AC6" w:rsidRPr="00BD3D94">
        <w:rPr>
          <w:i/>
        </w:rPr>
        <w:t>Proposed Order of Modification</w:t>
      </w:r>
      <w:r w:rsidR="007132E6">
        <w:rPr>
          <w:i/>
        </w:rPr>
        <w:t xml:space="preserve">, </w:t>
      </w:r>
      <w:r w:rsidR="007132E6">
        <w:t>31 FCC Rcd</w:t>
      </w:r>
      <w:r w:rsidR="006F49C2">
        <w:t xml:space="preserve"> at </w:t>
      </w:r>
      <w:r w:rsidR="007132E6">
        <w:t>13252</w:t>
      </w:r>
      <w:r w:rsidR="006F49C2">
        <w:t>,</w:t>
      </w:r>
      <w:r w:rsidR="00D63AC6">
        <w:t xml:space="preserve"> para. 8. </w:t>
      </w:r>
    </w:p>
  </w:footnote>
  <w:footnote w:id="13">
    <w:p w14:paraId="1D0A5425" w14:textId="77777777" w:rsidR="00A147DF" w:rsidRDefault="00A147DF" w:rsidP="00A147DF">
      <w:pPr>
        <w:pStyle w:val="FootnoteText"/>
      </w:pPr>
      <w:r>
        <w:rPr>
          <w:rStyle w:val="FootnoteReference"/>
        </w:rPr>
        <w:footnoteRef/>
      </w:r>
      <w:r>
        <w:t xml:space="preserve"> </w:t>
      </w:r>
      <w:r w:rsidR="008E3423">
        <w:rPr>
          <w:i/>
        </w:rPr>
        <w:t>Id.</w:t>
      </w:r>
      <w:r>
        <w:t xml:space="preserve"> at </w:t>
      </w:r>
      <w:r w:rsidR="007132E6">
        <w:t>13254</w:t>
      </w:r>
      <w:r>
        <w:t>, para. 12</w:t>
      </w:r>
      <w:r w:rsidRPr="006C2A4D">
        <w:t>.</w:t>
      </w:r>
      <w:r>
        <w:t xml:space="preserve">  </w:t>
      </w:r>
      <w:r w:rsidRPr="007A57CD">
        <w:t>Although NJ Transit and SEPTA use slightly different versions of ACSES, we use the term “ACSES” to refer to both systems.</w:t>
      </w:r>
    </w:p>
  </w:footnote>
  <w:footnote w:id="14">
    <w:p w14:paraId="304ACCBC" w14:textId="77777777" w:rsidR="00A147DF" w:rsidRDefault="00A147DF" w:rsidP="00A147DF">
      <w:pPr>
        <w:pStyle w:val="FootnoteText"/>
      </w:pPr>
      <w:r>
        <w:rPr>
          <w:rStyle w:val="FootnoteReference"/>
        </w:rPr>
        <w:footnoteRef/>
      </w:r>
      <w:r>
        <w:t xml:space="preserve"> </w:t>
      </w:r>
      <w:r>
        <w:rPr>
          <w:i/>
        </w:rPr>
        <w:t xml:space="preserve">MTA Proposed Order of Modification, </w:t>
      </w:r>
      <w:r>
        <w:t>31 FCC Rcd at 1448, para. 39</w:t>
      </w:r>
      <w:r w:rsidRPr="006C2A4D">
        <w:t>.</w:t>
      </w:r>
    </w:p>
  </w:footnote>
  <w:footnote w:id="15">
    <w:p w14:paraId="409D121A" w14:textId="77777777" w:rsidR="00A147DF" w:rsidRDefault="00A147DF" w:rsidP="00A147DF">
      <w:pPr>
        <w:pStyle w:val="FootnoteText"/>
      </w:pPr>
      <w:r>
        <w:rPr>
          <w:rStyle w:val="FootnoteReference"/>
        </w:rPr>
        <w:footnoteRef/>
      </w:r>
      <w:r>
        <w:t xml:space="preserve"> </w:t>
      </w:r>
      <w:r w:rsidRPr="00BD3D94">
        <w:rPr>
          <w:i/>
        </w:rPr>
        <w:t>Proposed Order of Modification</w:t>
      </w:r>
      <w:r w:rsidR="007132E6">
        <w:t>, 31 FCC Rcd</w:t>
      </w:r>
      <w:r>
        <w:t xml:space="preserve"> at </w:t>
      </w:r>
      <w:r w:rsidR="007132E6">
        <w:t>13254</w:t>
      </w:r>
      <w:r>
        <w:t xml:space="preserve">, para. 12. </w:t>
      </w:r>
    </w:p>
  </w:footnote>
  <w:footnote w:id="16">
    <w:p w14:paraId="64CC460F" w14:textId="77777777" w:rsidR="00A147DF" w:rsidRPr="003D600E" w:rsidRDefault="00A147DF" w:rsidP="00A147DF">
      <w:pPr>
        <w:pStyle w:val="FootnoteText"/>
      </w:pPr>
      <w:r w:rsidRPr="003D600E">
        <w:rPr>
          <w:rStyle w:val="FootnoteReference"/>
        </w:rPr>
        <w:footnoteRef/>
      </w:r>
      <w:r w:rsidRPr="003D600E">
        <w:t xml:space="preserve"> </w:t>
      </w:r>
      <w:r w:rsidR="008E3423">
        <w:rPr>
          <w:i/>
        </w:rPr>
        <w:t>Id.</w:t>
      </w:r>
      <w:r>
        <w:t xml:space="preserve"> at </w:t>
      </w:r>
      <w:r w:rsidR="007132E6">
        <w:t>1325</w:t>
      </w:r>
      <w:r w:rsidR="00D17ACD">
        <w:t>1</w:t>
      </w:r>
      <w:r>
        <w:t xml:space="preserve">, para. 6.  </w:t>
      </w:r>
      <w:r w:rsidRPr="003D600E">
        <w:t>These carriers include CSX, N</w:t>
      </w:r>
      <w:r>
        <w:t>S</w:t>
      </w:r>
      <w:r w:rsidRPr="003D600E">
        <w:t>, and indirectly, Conrail Shared Assets</w:t>
      </w:r>
      <w:r>
        <w:t>, which</w:t>
      </w:r>
      <w:r w:rsidRPr="003D600E">
        <w:t xml:space="preserve"> </w:t>
      </w:r>
      <w:r>
        <w:t>operates trains</w:t>
      </w:r>
      <w:r w:rsidRPr="003D600E">
        <w:t xml:space="preserve"> for CSX and NS.  </w:t>
      </w:r>
      <w:r>
        <w:rPr>
          <w:i/>
        </w:rPr>
        <w:t xml:space="preserve">Id. </w:t>
      </w:r>
      <w:r>
        <w:t xml:space="preserve">at </w:t>
      </w:r>
      <w:r w:rsidR="00F74A0A">
        <w:t xml:space="preserve">13251, para. 6 </w:t>
      </w:r>
      <w:r>
        <w:t>n.25.</w:t>
      </w:r>
      <w:r>
        <w:rPr>
          <w:i/>
        </w:rPr>
        <w:t xml:space="preserve"> </w:t>
      </w:r>
      <w:r w:rsidRPr="003D600E">
        <w:t xml:space="preserve">  </w:t>
      </w:r>
    </w:p>
  </w:footnote>
  <w:footnote w:id="17">
    <w:p w14:paraId="0BA8ACC2" w14:textId="77777777" w:rsidR="00A147DF" w:rsidRPr="003D600E" w:rsidRDefault="00A147DF" w:rsidP="00A147DF">
      <w:pPr>
        <w:pStyle w:val="FootnoteText"/>
      </w:pPr>
      <w:r w:rsidRPr="003D600E">
        <w:rPr>
          <w:rStyle w:val="FootnoteReference"/>
        </w:rPr>
        <w:footnoteRef/>
      </w:r>
      <w:r w:rsidRPr="003D600E">
        <w:t xml:space="preserve"> </w:t>
      </w:r>
      <w:r w:rsidR="008E3423">
        <w:rPr>
          <w:i/>
        </w:rPr>
        <w:t>Id.</w:t>
      </w:r>
      <w:r w:rsidR="00D17ACD">
        <w:t xml:space="preserve"> at 13251-52</w:t>
      </w:r>
      <w:r>
        <w:t xml:space="preserve">, para. 6.  </w:t>
      </w:r>
      <w:r w:rsidRPr="003D600E">
        <w:t xml:space="preserve">  </w:t>
      </w:r>
    </w:p>
  </w:footnote>
  <w:footnote w:id="18">
    <w:p w14:paraId="60F832E4" w14:textId="77777777" w:rsidR="00A147DF" w:rsidRPr="003D600E" w:rsidRDefault="00A147DF" w:rsidP="00A147DF">
      <w:pPr>
        <w:pStyle w:val="FootnoteText"/>
      </w:pPr>
      <w:r w:rsidRPr="003D600E">
        <w:rPr>
          <w:rStyle w:val="FootnoteReference"/>
        </w:rPr>
        <w:footnoteRef/>
      </w:r>
      <w:r w:rsidRPr="003D600E">
        <w:t xml:space="preserve"> </w:t>
      </w:r>
      <w:r w:rsidR="008E3423">
        <w:rPr>
          <w:i/>
        </w:rPr>
        <w:t>Id.</w:t>
      </w:r>
      <w:r w:rsidR="00D17ACD">
        <w:t xml:space="preserve"> at 13252</w:t>
      </w:r>
      <w:r>
        <w:t xml:space="preserve">, para. 6.    </w:t>
      </w:r>
    </w:p>
  </w:footnote>
  <w:footnote w:id="19">
    <w:p w14:paraId="2CC5394F" w14:textId="77777777" w:rsidR="00BE5FE5" w:rsidRDefault="00BE5FE5" w:rsidP="00BE5FE5">
      <w:pPr>
        <w:pStyle w:val="FootnoteText"/>
      </w:pPr>
      <w:r>
        <w:rPr>
          <w:rStyle w:val="FootnoteReference"/>
        </w:rPr>
        <w:footnoteRef/>
      </w:r>
      <w:r>
        <w:t xml:space="preserve"> </w:t>
      </w:r>
      <w:r w:rsidR="008E3423">
        <w:rPr>
          <w:i/>
        </w:rPr>
        <w:t>Id.</w:t>
      </w:r>
      <w:r w:rsidR="00D17ACD">
        <w:t xml:space="preserve"> at 13249</w:t>
      </w:r>
      <w:r>
        <w:t xml:space="preserve">, para. 2. </w:t>
      </w:r>
    </w:p>
  </w:footnote>
  <w:footnote w:id="20">
    <w:p w14:paraId="2534556E" w14:textId="77777777" w:rsidR="009E260E" w:rsidRDefault="009E260E" w:rsidP="009E260E">
      <w:pPr>
        <w:pStyle w:val="FootnoteText"/>
      </w:pPr>
      <w:r>
        <w:rPr>
          <w:rStyle w:val="FootnoteReference"/>
        </w:rPr>
        <w:footnoteRef/>
      </w:r>
      <w:r>
        <w:t xml:space="preserve"> </w:t>
      </w:r>
      <w:r>
        <w:rPr>
          <w:i/>
        </w:rPr>
        <w:t>Id.</w:t>
      </w:r>
      <w:r>
        <w:t xml:space="preserve"> at 13250, para. 2. </w:t>
      </w:r>
    </w:p>
  </w:footnote>
  <w:footnote w:id="21">
    <w:p w14:paraId="63BE2C9C" w14:textId="77777777" w:rsidR="00BE5FE5" w:rsidRDefault="00BE5FE5" w:rsidP="00BE5FE5">
      <w:pPr>
        <w:pStyle w:val="FootnoteText"/>
      </w:pPr>
      <w:r>
        <w:rPr>
          <w:rStyle w:val="FootnoteReference"/>
        </w:rPr>
        <w:footnoteRef/>
      </w:r>
      <w:r>
        <w:t xml:space="preserve"> </w:t>
      </w:r>
      <w:r w:rsidR="008E3423">
        <w:rPr>
          <w:i/>
        </w:rPr>
        <w:t>Id</w:t>
      </w:r>
      <w:r>
        <w:t xml:space="preserve">. </w:t>
      </w:r>
    </w:p>
  </w:footnote>
  <w:footnote w:id="22">
    <w:p w14:paraId="11C239BC" w14:textId="0813E362" w:rsidR="00BE5FE5" w:rsidRDefault="00BE5FE5" w:rsidP="00BE5FE5">
      <w:pPr>
        <w:pStyle w:val="FootnoteText"/>
      </w:pPr>
      <w:r>
        <w:rPr>
          <w:rStyle w:val="FootnoteReference"/>
        </w:rPr>
        <w:footnoteRef/>
      </w:r>
      <w:r>
        <w:t xml:space="preserve"> </w:t>
      </w:r>
      <w:r w:rsidR="008E3423">
        <w:rPr>
          <w:i/>
        </w:rPr>
        <w:t>Id.</w:t>
      </w:r>
      <w:r>
        <w:t xml:space="preserve"> </w:t>
      </w:r>
    </w:p>
  </w:footnote>
  <w:footnote w:id="23">
    <w:p w14:paraId="632DABB3" w14:textId="77777777" w:rsidR="00BE5FE5" w:rsidRDefault="00BE5FE5" w:rsidP="00BE5FE5">
      <w:pPr>
        <w:pStyle w:val="FootnoteText"/>
      </w:pPr>
      <w:r>
        <w:rPr>
          <w:rStyle w:val="FootnoteReference"/>
        </w:rPr>
        <w:footnoteRef/>
      </w:r>
      <w:r>
        <w:t xml:space="preserve"> </w:t>
      </w:r>
      <w:r w:rsidR="008E3423">
        <w:rPr>
          <w:i/>
        </w:rPr>
        <w:t>Id</w:t>
      </w:r>
      <w:r>
        <w:t xml:space="preserve">. </w:t>
      </w:r>
    </w:p>
  </w:footnote>
  <w:footnote w:id="24">
    <w:p w14:paraId="6A20DA07" w14:textId="77777777" w:rsidR="005B09F9" w:rsidRDefault="005B09F9">
      <w:pPr>
        <w:pStyle w:val="FootnoteText"/>
      </w:pPr>
      <w:r>
        <w:rPr>
          <w:rStyle w:val="FootnoteReference"/>
        </w:rPr>
        <w:footnoteRef/>
      </w:r>
      <w:r>
        <w:t xml:space="preserve"> </w:t>
      </w:r>
      <w:r w:rsidRPr="005B09F9">
        <w:rPr>
          <w:i/>
        </w:rPr>
        <w:t>See supra</w:t>
      </w:r>
      <w:r w:rsidRPr="005B09F9">
        <w:t xml:space="preserve"> note </w:t>
      </w:r>
      <w:r w:rsidR="00AB5AA7" w:rsidRPr="006062ED">
        <w:t>1</w:t>
      </w:r>
      <w:r w:rsidRPr="006062ED">
        <w:t>.</w:t>
      </w:r>
    </w:p>
  </w:footnote>
  <w:footnote w:id="25">
    <w:p w14:paraId="09591CE2" w14:textId="77777777" w:rsidR="005B09F9" w:rsidRDefault="005B09F9">
      <w:pPr>
        <w:pStyle w:val="FootnoteText"/>
      </w:pPr>
      <w:r>
        <w:rPr>
          <w:rStyle w:val="FootnoteReference"/>
        </w:rPr>
        <w:footnoteRef/>
      </w:r>
      <w:r>
        <w:t xml:space="preserve"> </w:t>
      </w:r>
      <w:r w:rsidRPr="005B09F9">
        <w:t>Section 316(a) states the Commission may modify any station license “if in the judgment of the Commission such action will promote the public interest, convenience, and necessity . . . .”  47 U</w:t>
      </w:r>
      <w:r w:rsidR="003A5580">
        <w:t>.</w:t>
      </w:r>
      <w:r w:rsidRPr="005B09F9">
        <w:t>S</w:t>
      </w:r>
      <w:r w:rsidR="003A5580">
        <w:t>.</w:t>
      </w:r>
      <w:r w:rsidRPr="005B09F9">
        <w:t>C</w:t>
      </w:r>
      <w:r w:rsidR="003A5580">
        <w:t>.</w:t>
      </w:r>
      <w:r w:rsidRPr="005B09F9">
        <w:t xml:space="preserve"> § 316(a).</w:t>
      </w:r>
    </w:p>
  </w:footnote>
  <w:footnote w:id="26">
    <w:p w14:paraId="3AB5B184" w14:textId="56C8F567" w:rsidR="005828C0" w:rsidRPr="00163D48" w:rsidRDefault="005828C0" w:rsidP="005828C0">
      <w:pPr>
        <w:pStyle w:val="FootnoteText"/>
      </w:pPr>
      <w:r>
        <w:rPr>
          <w:rStyle w:val="FootnoteReference"/>
        </w:rPr>
        <w:footnoteRef/>
      </w:r>
      <w:r>
        <w:t xml:space="preserve"> </w:t>
      </w:r>
      <w:r w:rsidRPr="005B09F9">
        <w:rPr>
          <w:i/>
        </w:rPr>
        <w:t>Proposed Order of Modification</w:t>
      </w:r>
      <w:r w:rsidR="00D17ACD">
        <w:t>, 31 FCC Rcd</w:t>
      </w:r>
      <w:r w:rsidR="006F49C2">
        <w:t xml:space="preserve"> at</w:t>
      </w:r>
      <w:r w:rsidR="00D17ACD">
        <w:t xml:space="preserve"> 13255</w:t>
      </w:r>
      <w:r w:rsidR="006F49C2">
        <w:t xml:space="preserve">, </w:t>
      </w:r>
      <w:r w:rsidRPr="005B09F9">
        <w:t xml:space="preserve">para. </w:t>
      </w:r>
      <w:r>
        <w:t>15</w:t>
      </w:r>
      <w:r w:rsidRPr="005B09F9">
        <w:t>.</w:t>
      </w:r>
      <w:r w:rsidR="00616B10">
        <w:t xml:space="preserve">  Specifically, </w:t>
      </w:r>
      <w:r w:rsidR="00562F16">
        <w:t xml:space="preserve">the </w:t>
      </w:r>
      <w:r w:rsidR="001D67A3">
        <w:t xml:space="preserve">Division found that the </w:t>
      </w:r>
      <w:r w:rsidR="00562F16">
        <w:t xml:space="preserve">proposed </w:t>
      </w:r>
      <w:r w:rsidR="00616B10">
        <w:t xml:space="preserve">modification </w:t>
      </w:r>
      <w:r w:rsidR="007845B5">
        <w:t xml:space="preserve">of the license </w:t>
      </w:r>
      <w:r w:rsidR="0054616D">
        <w:t xml:space="preserve">would </w:t>
      </w:r>
      <w:r w:rsidR="007845B5">
        <w:t xml:space="preserve">enable PTC-220 to assign </w:t>
      </w:r>
      <w:r w:rsidR="00616B10">
        <w:t>spectrum</w:t>
      </w:r>
      <w:r w:rsidR="001D67A3">
        <w:t xml:space="preserve"> </w:t>
      </w:r>
      <w:r w:rsidR="00616B10">
        <w:t>to</w:t>
      </w:r>
      <w:r w:rsidR="001D67A3">
        <w:t>:</w:t>
      </w:r>
      <w:r w:rsidR="00616B10">
        <w:t xml:space="preserve"> </w:t>
      </w:r>
      <w:r w:rsidR="001D67A3">
        <w:t xml:space="preserve">(1) </w:t>
      </w:r>
      <w:r w:rsidR="00616B10" w:rsidRPr="006B1AC2">
        <w:t>NJ Transit</w:t>
      </w:r>
      <w:r w:rsidR="007845B5">
        <w:t xml:space="preserve"> </w:t>
      </w:r>
      <w:r w:rsidR="00616B10">
        <w:t xml:space="preserve">to </w:t>
      </w:r>
      <w:r w:rsidR="007845B5">
        <w:t xml:space="preserve">complete its </w:t>
      </w:r>
      <w:r w:rsidR="00616B10">
        <w:t xml:space="preserve">PTC </w:t>
      </w:r>
      <w:r w:rsidR="007845B5">
        <w:t xml:space="preserve">spectrum footprint </w:t>
      </w:r>
      <w:r w:rsidR="001D67A3">
        <w:t xml:space="preserve">in the 218-219 MHz band; </w:t>
      </w:r>
      <w:r w:rsidR="007240FF" w:rsidRPr="00AF6025">
        <w:t xml:space="preserve">and </w:t>
      </w:r>
      <w:r w:rsidR="001D67A3">
        <w:t xml:space="preserve">(2) SEPTA </w:t>
      </w:r>
      <w:r w:rsidR="007240FF">
        <w:t xml:space="preserve">to </w:t>
      </w:r>
      <w:r w:rsidR="00616B10">
        <w:t xml:space="preserve">transition its PTC operations </w:t>
      </w:r>
      <w:r w:rsidR="001D67A3">
        <w:t xml:space="preserve">now in the 220-222 MHz band </w:t>
      </w:r>
      <w:r w:rsidR="00616B10">
        <w:t>to spectrum</w:t>
      </w:r>
      <w:r w:rsidR="001D67A3">
        <w:t xml:space="preserve"> in</w:t>
      </w:r>
      <w:r w:rsidR="00616B10">
        <w:t xml:space="preserve"> </w:t>
      </w:r>
      <w:r w:rsidR="001D67A3">
        <w:t xml:space="preserve">the 218-219 MHz band, providing </w:t>
      </w:r>
      <w:r w:rsidR="00616B10" w:rsidRPr="009D53D4">
        <w:t xml:space="preserve">more than one </w:t>
      </w:r>
      <w:r w:rsidR="001D67A3">
        <w:t xml:space="preserve">megahertz </w:t>
      </w:r>
      <w:r w:rsidR="00616B10" w:rsidRPr="009D53D4">
        <w:t>of separation from the freight railroads’ PTC ope</w:t>
      </w:r>
      <w:r w:rsidR="00616B10">
        <w:t xml:space="preserve">rations in the 220-222 MHz band.  </w:t>
      </w:r>
      <w:r w:rsidR="00F06A6C">
        <w:rPr>
          <w:i/>
        </w:rPr>
        <w:t xml:space="preserve">See </w:t>
      </w:r>
      <w:r w:rsidR="006062ED">
        <w:rPr>
          <w:i/>
        </w:rPr>
        <w:t>id.</w:t>
      </w:r>
      <w:r w:rsidR="00616B10">
        <w:t xml:space="preserve">  </w:t>
      </w:r>
      <w:r w:rsidR="007845B5">
        <w:t xml:space="preserve">An </w:t>
      </w:r>
      <w:r w:rsidR="00616B10" w:rsidRPr="009D53D4">
        <w:t xml:space="preserve">FRA-funded </w:t>
      </w:r>
      <w:r w:rsidR="00AB5AA7" w:rsidRPr="00AB5AA7">
        <w:t>Transp</w:t>
      </w:r>
      <w:r w:rsidR="00191501">
        <w:t xml:space="preserve">ortation Technology Center, Inc. </w:t>
      </w:r>
      <w:r w:rsidR="00AB5AA7">
        <w:t>engineering study (</w:t>
      </w:r>
      <w:r w:rsidR="00616B10" w:rsidRPr="00EB7B77">
        <w:t>TTCI Study</w:t>
      </w:r>
      <w:r w:rsidR="00AB5AA7">
        <w:t>)</w:t>
      </w:r>
      <w:r w:rsidR="00616B10" w:rsidRPr="009D53D4">
        <w:t xml:space="preserve"> states </w:t>
      </w:r>
      <w:r w:rsidR="00616B10">
        <w:t xml:space="preserve">this separation </w:t>
      </w:r>
      <w:r w:rsidR="00616B10" w:rsidRPr="009D53D4">
        <w:t>is required to mitigate intersystem interference that could cause both systems to fail</w:t>
      </w:r>
      <w:r w:rsidR="00616B10">
        <w:t xml:space="preserve">.  </w:t>
      </w:r>
      <w:r w:rsidR="00616B10">
        <w:rPr>
          <w:i/>
        </w:rPr>
        <w:t xml:space="preserve">See </w:t>
      </w:r>
      <w:r w:rsidR="00AB5AA7">
        <w:rPr>
          <w:i/>
        </w:rPr>
        <w:t xml:space="preserve">MTA Proposed Order of Modification, </w:t>
      </w:r>
      <w:r w:rsidR="00AB5AA7">
        <w:t>31 FCC Rcd at 1449-50, paras. 42-43</w:t>
      </w:r>
      <w:r w:rsidR="006A6EFA">
        <w:t>.</w:t>
      </w:r>
      <w:r w:rsidR="007F12EA">
        <w:t xml:space="preserve">  </w:t>
      </w:r>
      <w:r w:rsidR="001D67A3">
        <w:t>The Division also noted that t</w:t>
      </w:r>
      <w:r w:rsidR="00616B10">
        <w:t>h</w:t>
      </w:r>
      <w:r w:rsidR="001D67A3">
        <w:t>e</w:t>
      </w:r>
      <w:r w:rsidR="00616B10">
        <w:t xml:space="preserve"> </w:t>
      </w:r>
      <w:r w:rsidR="00562F16">
        <w:t xml:space="preserve">proposed </w:t>
      </w:r>
      <w:r w:rsidR="00616B10">
        <w:t xml:space="preserve">modification </w:t>
      </w:r>
      <w:r w:rsidR="00562F16">
        <w:t xml:space="preserve">would </w:t>
      </w:r>
      <w:r w:rsidR="00616B10">
        <w:t xml:space="preserve">provide the Commission with a </w:t>
      </w:r>
      <w:r w:rsidR="00616B10" w:rsidRPr="009D53D4">
        <w:t>return of comparable spectrum from Station KIVD0007 for future disposition.</w:t>
      </w:r>
      <w:r w:rsidR="00616B10">
        <w:t xml:space="preserve">  </w:t>
      </w:r>
      <w:r w:rsidR="00191501" w:rsidRPr="005B09F9">
        <w:rPr>
          <w:i/>
        </w:rPr>
        <w:t>Proposed Order of Modification</w:t>
      </w:r>
      <w:r w:rsidR="00F06A6C">
        <w:t>, 31 FCC Rcd at 13255,</w:t>
      </w:r>
      <w:r w:rsidR="00191501" w:rsidRPr="005B09F9">
        <w:t xml:space="preserve"> </w:t>
      </w:r>
      <w:r w:rsidR="00616B10" w:rsidRPr="005B09F9">
        <w:t xml:space="preserve">para. </w:t>
      </w:r>
      <w:r w:rsidR="00191501">
        <w:t>15</w:t>
      </w:r>
      <w:r w:rsidR="00616B10">
        <w:t>.</w:t>
      </w:r>
    </w:p>
  </w:footnote>
  <w:footnote w:id="27">
    <w:p w14:paraId="6767DD42" w14:textId="77777777" w:rsidR="007845B5" w:rsidRPr="009C3816" w:rsidRDefault="007845B5">
      <w:pPr>
        <w:pStyle w:val="FootnoteText"/>
      </w:pPr>
      <w:r>
        <w:rPr>
          <w:rStyle w:val="FootnoteReference"/>
        </w:rPr>
        <w:footnoteRef/>
      </w:r>
      <w:r>
        <w:t xml:space="preserve"> </w:t>
      </w:r>
      <w:r w:rsidR="008E3423">
        <w:rPr>
          <w:i/>
        </w:rPr>
        <w:t xml:space="preserve">Id. </w:t>
      </w:r>
      <w:r w:rsidR="003209DD">
        <w:t>at 13256-60, paras. 17-29.</w:t>
      </w:r>
    </w:p>
  </w:footnote>
  <w:footnote w:id="28">
    <w:p w14:paraId="16A011AF" w14:textId="1C65F474" w:rsidR="005B09F9" w:rsidRDefault="005B09F9">
      <w:pPr>
        <w:pStyle w:val="FootnoteText"/>
      </w:pPr>
      <w:r>
        <w:rPr>
          <w:rStyle w:val="FootnoteReference"/>
        </w:rPr>
        <w:footnoteRef/>
      </w:r>
      <w:r>
        <w:t xml:space="preserve"> </w:t>
      </w:r>
      <w:r w:rsidR="003209DD">
        <w:rPr>
          <w:i/>
        </w:rPr>
        <w:t xml:space="preserve">Id. </w:t>
      </w:r>
      <w:r w:rsidR="00F06A6C">
        <w:t>at 13259</w:t>
      </w:r>
      <w:r w:rsidR="006F49C2">
        <w:t xml:space="preserve">, </w:t>
      </w:r>
      <w:r w:rsidR="00DB135A" w:rsidRPr="005B09F9">
        <w:t xml:space="preserve">para. </w:t>
      </w:r>
      <w:r w:rsidR="003E5575">
        <w:t>26</w:t>
      </w:r>
      <w:r w:rsidR="00DB135A">
        <w:t xml:space="preserve"> (</w:t>
      </w:r>
      <w:r w:rsidR="00912829">
        <w:t xml:space="preserve">proposed </w:t>
      </w:r>
      <w:r w:rsidR="00DB135A">
        <w:t xml:space="preserve">grant of a limited waiver of 47 CFR </w:t>
      </w:r>
      <w:r w:rsidR="00700CBD">
        <w:t xml:space="preserve">§ </w:t>
      </w:r>
      <w:r w:rsidR="00DB135A">
        <w:t xml:space="preserve">95.855) and </w:t>
      </w:r>
      <w:r w:rsidR="001E7FA0">
        <w:t xml:space="preserve">at </w:t>
      </w:r>
      <w:r w:rsidR="00F06A6C">
        <w:t>13260</w:t>
      </w:r>
      <w:r w:rsidR="001E7FA0">
        <w:t>,</w:t>
      </w:r>
      <w:r w:rsidR="00DB135A">
        <w:t xml:space="preserve"> para. 29 (</w:t>
      </w:r>
      <w:r w:rsidR="00912829">
        <w:t xml:space="preserve">proposed </w:t>
      </w:r>
      <w:r w:rsidR="00DB135A">
        <w:t xml:space="preserve">grant of a limited waiver of 47 CFR </w:t>
      </w:r>
      <w:r w:rsidR="00700CBD">
        <w:t xml:space="preserve">§ </w:t>
      </w:r>
      <w:r w:rsidR="00DB135A">
        <w:t>95.815(b))</w:t>
      </w:r>
      <w:r w:rsidR="00DB135A" w:rsidRPr="005B09F9">
        <w:t>.</w:t>
      </w:r>
    </w:p>
  </w:footnote>
  <w:footnote w:id="29">
    <w:p w14:paraId="1475CFFC" w14:textId="528A6B89" w:rsidR="00562F16" w:rsidRDefault="00562F16" w:rsidP="00562F16">
      <w:pPr>
        <w:pStyle w:val="FootnoteText"/>
      </w:pPr>
      <w:r>
        <w:rPr>
          <w:rStyle w:val="FootnoteReference"/>
        </w:rPr>
        <w:footnoteRef/>
      </w:r>
      <w:r>
        <w:t xml:space="preserve"> </w:t>
      </w:r>
      <w:r>
        <w:rPr>
          <w:i/>
        </w:rPr>
        <w:t>Id.</w:t>
      </w:r>
      <w:r>
        <w:t xml:space="preserve"> at 13261,</w:t>
      </w:r>
      <w:r w:rsidRPr="005B09F9">
        <w:t xml:space="preserve"> para. </w:t>
      </w:r>
      <w:r>
        <w:t xml:space="preserve">31. </w:t>
      </w:r>
    </w:p>
  </w:footnote>
  <w:footnote w:id="30">
    <w:p w14:paraId="15D31ED9" w14:textId="77777777" w:rsidR="003E5575" w:rsidRPr="00BF0642" w:rsidRDefault="003E5575" w:rsidP="003E5575">
      <w:pPr>
        <w:pStyle w:val="FootnoteText"/>
      </w:pPr>
      <w:r w:rsidRPr="00BF0642">
        <w:rPr>
          <w:rStyle w:val="FootnoteReference"/>
        </w:rPr>
        <w:footnoteRef/>
      </w:r>
      <w:r w:rsidRPr="00BF0642">
        <w:t xml:space="preserve"> 47 CFR § 1.955(a)(3).</w:t>
      </w:r>
    </w:p>
  </w:footnote>
  <w:footnote w:id="31">
    <w:p w14:paraId="151D1316" w14:textId="02D3C21C" w:rsidR="005B09F9" w:rsidRDefault="005B09F9">
      <w:pPr>
        <w:pStyle w:val="FootnoteText"/>
      </w:pPr>
      <w:r>
        <w:rPr>
          <w:rStyle w:val="FootnoteReference"/>
        </w:rPr>
        <w:footnoteRef/>
      </w:r>
      <w:r>
        <w:t xml:space="preserve"> </w:t>
      </w:r>
      <w:r w:rsidR="004F1045">
        <w:t>Consistent with Section 316 of the Act and Commission rule section 1.87(a), t</w:t>
      </w:r>
      <w:r w:rsidR="004F1045" w:rsidRPr="005B09F9">
        <w:t xml:space="preserve">he </w:t>
      </w:r>
      <w:r w:rsidR="008F10AD">
        <w:t xml:space="preserve">Division </w:t>
      </w:r>
      <w:r w:rsidR="00191501" w:rsidRPr="005B09F9">
        <w:t>prescribed</w:t>
      </w:r>
      <w:r w:rsidRPr="005B09F9">
        <w:t xml:space="preserve"> a 30-day period to file protests, commencing </w:t>
      </w:r>
      <w:r w:rsidR="008E27BC">
        <w:t>December 19</w:t>
      </w:r>
      <w:r w:rsidRPr="005B09F9">
        <w:t xml:space="preserve">, 2016 (the public release date of the </w:t>
      </w:r>
      <w:r w:rsidRPr="005B09F9">
        <w:rPr>
          <w:i/>
        </w:rPr>
        <w:t>Proposed Order of Modification</w:t>
      </w:r>
      <w:r w:rsidRPr="005B09F9">
        <w:t xml:space="preserve">).  </w:t>
      </w:r>
      <w:r w:rsidR="004F1045" w:rsidRPr="005B09F9">
        <w:rPr>
          <w:i/>
        </w:rPr>
        <w:t xml:space="preserve">Proposed Order of </w:t>
      </w:r>
      <w:r w:rsidR="004F1045" w:rsidRPr="009463F3">
        <w:rPr>
          <w:i/>
        </w:rPr>
        <w:t>Modification</w:t>
      </w:r>
      <w:r w:rsidR="004F1045">
        <w:t>, 31 FCC Rcd</w:t>
      </w:r>
      <w:r w:rsidR="00F06A6C">
        <w:t xml:space="preserve"> at 13261</w:t>
      </w:r>
      <w:r w:rsidR="008E27BC">
        <w:t>, paras. 32-33</w:t>
      </w:r>
      <w:r w:rsidRPr="005B09F9">
        <w:t>.</w:t>
      </w:r>
    </w:p>
  </w:footnote>
  <w:footnote w:id="32">
    <w:p w14:paraId="1771F2D5" w14:textId="329A94AF" w:rsidR="00EC2AA7" w:rsidRDefault="00EC2AA7">
      <w:pPr>
        <w:pStyle w:val="FootnoteText"/>
      </w:pPr>
      <w:r>
        <w:rPr>
          <w:rStyle w:val="FootnoteReference"/>
        </w:rPr>
        <w:footnoteRef/>
      </w:r>
      <w:r>
        <w:t xml:space="preserve"> </w:t>
      </w:r>
      <w:r w:rsidRPr="00EC2AA7">
        <w:t>This spectrum will provide</w:t>
      </w:r>
      <w:r w:rsidR="00191501">
        <w:t xml:space="preserve"> NJ Transit and SEPTA </w:t>
      </w:r>
      <w:r w:rsidRPr="00EC2AA7">
        <w:t>1.</w:t>
      </w:r>
      <w:r w:rsidR="00905F19">
        <w:t>7</w:t>
      </w:r>
      <w:r w:rsidRPr="00EC2AA7">
        <w:t xml:space="preserve">5 </w:t>
      </w:r>
      <w:r w:rsidR="001D67A3">
        <w:t xml:space="preserve">megahertz </w:t>
      </w:r>
      <w:r w:rsidRPr="00EC2AA7">
        <w:t xml:space="preserve">of spectral separation from the freights’ I-ETMS deployment in </w:t>
      </w:r>
      <w:r w:rsidR="00191501">
        <w:t xml:space="preserve">the </w:t>
      </w:r>
      <w:r w:rsidRPr="00EC2AA7">
        <w:t>220-222 MHz Band, thereby mitigating the potential for intersystem interference identified in the FRA-funded TTCI Study</w:t>
      </w:r>
      <w:r w:rsidR="00BD0A93">
        <w:t>.</w:t>
      </w:r>
      <w:r w:rsidRPr="00EC2AA7">
        <w:t xml:space="preserve">  </w:t>
      </w:r>
      <w:r w:rsidR="004F1045" w:rsidRPr="00AC2D00">
        <w:rPr>
          <w:i/>
        </w:rPr>
        <w:t>See</w:t>
      </w:r>
      <w:r w:rsidR="004F1045" w:rsidRPr="004F1045">
        <w:t xml:space="preserve"> TTCI Study at 2 (noting the different modulation, data encoding, and channel access protocols used by ACSES and I-ETMS radios that </w:t>
      </w:r>
      <w:r w:rsidR="007240FF" w:rsidRPr="00AF6025">
        <w:t>may</w:t>
      </w:r>
      <w:r w:rsidR="004F1045" w:rsidRPr="004F1045">
        <w:t xml:space="preserve"> lead to mutual desensitization between the two systems), and 12 (concluding that I-ETMS radios should only operate above 220 MHz and ACSES radios below 219 MHz when in close geographic proximity to mitigate possible ACSES/I-ETMS intersystem interference).</w:t>
      </w:r>
      <w:r w:rsidR="009463F3">
        <w:t xml:space="preserve"> </w:t>
      </w:r>
    </w:p>
  </w:footnote>
  <w:footnote w:id="33">
    <w:p w14:paraId="7C8C2D66" w14:textId="2EF6CB26" w:rsidR="000051C9" w:rsidRDefault="000051C9">
      <w:pPr>
        <w:pStyle w:val="FootnoteText"/>
      </w:pPr>
      <w:r>
        <w:rPr>
          <w:rStyle w:val="FootnoteReference"/>
        </w:rPr>
        <w:footnoteRef/>
      </w:r>
      <w:r>
        <w:t xml:space="preserve"> 47 CFR § 95.855.</w:t>
      </w:r>
    </w:p>
  </w:footnote>
  <w:footnote w:id="34">
    <w:p w14:paraId="28B68E8D" w14:textId="77777777" w:rsidR="00EC2AA7" w:rsidRDefault="00EC2AA7">
      <w:pPr>
        <w:pStyle w:val="FootnoteText"/>
      </w:pPr>
      <w:r w:rsidRPr="00163D48">
        <w:rPr>
          <w:rStyle w:val="FootnoteReference"/>
        </w:rPr>
        <w:footnoteRef/>
      </w:r>
      <w:r w:rsidRPr="00163D48">
        <w:t xml:space="preserve"> </w:t>
      </w:r>
      <w:r w:rsidR="000051C9" w:rsidRPr="005B09F9">
        <w:rPr>
          <w:i/>
        </w:rPr>
        <w:t>Proposed Order of Modification</w:t>
      </w:r>
      <w:r w:rsidR="000051C9">
        <w:t>, 31 FCC Rcd at 1</w:t>
      </w:r>
      <w:r w:rsidR="00F06A6C">
        <w:t>3259</w:t>
      </w:r>
      <w:r w:rsidR="001E7FA0">
        <w:t>,</w:t>
      </w:r>
      <w:r w:rsidR="0004328A" w:rsidRPr="005B09F9">
        <w:t xml:space="preserve"> para. </w:t>
      </w:r>
      <w:r w:rsidR="0004328A">
        <w:t>26</w:t>
      </w:r>
      <w:r w:rsidR="0004328A">
        <w:rPr>
          <w:i/>
        </w:rPr>
        <w:t>.</w:t>
      </w:r>
    </w:p>
  </w:footnote>
  <w:footnote w:id="35">
    <w:p w14:paraId="7E8791A8" w14:textId="77777777" w:rsidR="00EC2AA7" w:rsidRDefault="00EC2AA7">
      <w:pPr>
        <w:pStyle w:val="FootnoteText"/>
      </w:pPr>
      <w:r>
        <w:rPr>
          <w:rStyle w:val="FootnoteReference"/>
        </w:rPr>
        <w:footnoteRef/>
      </w:r>
      <w:r>
        <w:t xml:space="preserve"> </w:t>
      </w:r>
      <w:r w:rsidR="002F30A5">
        <w:rPr>
          <w:i/>
        </w:rPr>
        <w:t>Id.</w:t>
      </w:r>
      <w:r w:rsidR="005617A2">
        <w:t xml:space="preserve"> </w:t>
      </w:r>
      <w:r w:rsidRPr="00EC2AA7">
        <w:t xml:space="preserve">(proposing additional attenuation requirements identical to those adopted in the </w:t>
      </w:r>
      <w:r w:rsidR="005617A2">
        <w:rPr>
          <w:i/>
        </w:rPr>
        <w:t xml:space="preserve">MTA </w:t>
      </w:r>
      <w:r w:rsidRPr="00B76DB5">
        <w:rPr>
          <w:i/>
        </w:rPr>
        <w:t>Order on Reconsideration</w:t>
      </w:r>
      <w:r w:rsidR="00FA7341">
        <w:rPr>
          <w:i/>
        </w:rPr>
        <w:t xml:space="preserve">, </w:t>
      </w:r>
      <w:r w:rsidR="00FA7341" w:rsidRPr="00F54A3A">
        <w:t>31</w:t>
      </w:r>
      <w:r w:rsidR="00FA7341">
        <w:t xml:space="preserve"> FCC Rcd</w:t>
      </w:r>
      <w:r w:rsidRPr="00EC2AA7">
        <w:t xml:space="preserve"> at 1446-47, para. 32).</w:t>
      </w:r>
    </w:p>
  </w:footnote>
  <w:footnote w:id="36">
    <w:p w14:paraId="31EBE373" w14:textId="77777777" w:rsidR="0087320C" w:rsidRDefault="0087320C">
      <w:pPr>
        <w:pStyle w:val="FootnoteText"/>
      </w:pPr>
      <w:r w:rsidRPr="00FA7341">
        <w:rPr>
          <w:rStyle w:val="FootnoteReference"/>
        </w:rPr>
        <w:footnoteRef/>
      </w:r>
      <w:r w:rsidRPr="00FA7341">
        <w:t xml:space="preserve"> </w:t>
      </w:r>
      <w:r w:rsidR="00A159A6">
        <w:rPr>
          <w:i/>
        </w:rPr>
        <w:t>Id</w:t>
      </w:r>
      <w:r w:rsidR="00A159A6" w:rsidRPr="00A159A6">
        <w:t>.</w:t>
      </w:r>
    </w:p>
  </w:footnote>
  <w:footnote w:id="37">
    <w:p w14:paraId="418191B6" w14:textId="77777777" w:rsidR="00DB3288" w:rsidRDefault="00DB3288" w:rsidP="00DB3288">
      <w:pPr>
        <w:pStyle w:val="FootnoteText"/>
      </w:pPr>
      <w:r>
        <w:rPr>
          <w:rStyle w:val="FootnoteReference"/>
        </w:rPr>
        <w:footnoteRef/>
      </w:r>
      <w:r>
        <w:t xml:space="preserve"> </w:t>
      </w:r>
      <w:r w:rsidRPr="009A395F">
        <w:t xml:space="preserve">47 </w:t>
      </w:r>
      <w:r>
        <w:t>CFR</w:t>
      </w:r>
      <w:r w:rsidRPr="009A395F">
        <w:t xml:space="preserve"> § 95.861(</w:t>
      </w:r>
      <w:r w:rsidR="009E260E">
        <w:t>d</w:t>
      </w:r>
      <w:r w:rsidRPr="009A395F">
        <w:t>)</w:t>
      </w:r>
      <w:r>
        <w:t>.</w:t>
      </w:r>
    </w:p>
  </w:footnote>
  <w:footnote w:id="38">
    <w:p w14:paraId="22BFD247" w14:textId="77777777" w:rsidR="009E260E" w:rsidRDefault="009E260E">
      <w:pPr>
        <w:pStyle w:val="FootnoteText"/>
      </w:pPr>
      <w:r>
        <w:rPr>
          <w:rStyle w:val="FootnoteReference"/>
        </w:rPr>
        <w:footnoteRef/>
      </w:r>
      <w:r>
        <w:t xml:space="preserve"> </w:t>
      </w:r>
      <w:r w:rsidRPr="009E260E">
        <w:t>A notch (band reject) filter attenuates one frequency band and passes both a lower and a higher frequency band</w:t>
      </w:r>
      <w:r>
        <w:t>.</w:t>
      </w:r>
    </w:p>
  </w:footnote>
  <w:footnote w:id="39">
    <w:p w14:paraId="33F2BB7F" w14:textId="77777777" w:rsidR="003F2077" w:rsidRDefault="003F2077">
      <w:pPr>
        <w:pStyle w:val="FootnoteText"/>
      </w:pPr>
      <w:r>
        <w:rPr>
          <w:rStyle w:val="FootnoteReference"/>
        </w:rPr>
        <w:footnoteRef/>
      </w:r>
      <w:r>
        <w:t xml:space="preserve"> </w:t>
      </w:r>
      <w:r w:rsidRPr="00A159A6">
        <w:rPr>
          <w:i/>
        </w:rPr>
        <w:t>Proposed Order of Modification</w:t>
      </w:r>
      <w:r w:rsidRPr="003F2077">
        <w:t>, 31 FCC Rcd at 13259</w:t>
      </w:r>
      <w:r>
        <w:t>-60, para. 27.</w:t>
      </w:r>
    </w:p>
  </w:footnote>
  <w:footnote w:id="40">
    <w:p w14:paraId="020FB87A" w14:textId="77777777" w:rsidR="003F2077" w:rsidRPr="009A395F" w:rsidRDefault="003F2077" w:rsidP="003F2077">
      <w:pPr>
        <w:pStyle w:val="FootnoteText"/>
      </w:pPr>
      <w:r w:rsidRPr="009A395F">
        <w:rPr>
          <w:rStyle w:val="FootnoteReference"/>
        </w:rPr>
        <w:footnoteRef/>
      </w:r>
      <w:r w:rsidRPr="009A395F">
        <w:t xml:space="preserve"> For example, the</w:t>
      </w:r>
      <w:r>
        <w:t xml:space="preserve">y </w:t>
      </w:r>
      <w:r w:rsidRPr="009A395F">
        <w:t xml:space="preserve">could install a more directional television receive antenna, or furnish a better-performing television receiver.  </w:t>
      </w:r>
      <w:r w:rsidR="002F30A5">
        <w:rPr>
          <w:i/>
        </w:rPr>
        <w:t>Id.</w:t>
      </w:r>
      <w:r>
        <w:t xml:space="preserve"> at 13260,</w:t>
      </w:r>
      <w:r w:rsidRPr="005B09F9">
        <w:t xml:space="preserve"> para. </w:t>
      </w:r>
      <w:r>
        <w:t>27 n.101.</w:t>
      </w:r>
    </w:p>
  </w:footnote>
  <w:footnote w:id="41">
    <w:p w14:paraId="3024E2C8" w14:textId="77777777" w:rsidR="00DB3288" w:rsidRPr="009A395F" w:rsidRDefault="00DB3288" w:rsidP="00DB3288">
      <w:pPr>
        <w:pStyle w:val="FootnoteText"/>
      </w:pPr>
      <w:r w:rsidRPr="009A395F">
        <w:rPr>
          <w:rStyle w:val="FootnoteReference"/>
        </w:rPr>
        <w:footnoteRef/>
      </w:r>
      <w:r w:rsidRPr="009A395F">
        <w:t xml:space="preserve"> 47 </w:t>
      </w:r>
      <w:r>
        <w:t>CFR</w:t>
      </w:r>
      <w:r w:rsidRPr="009A395F">
        <w:t xml:space="preserve"> § 95.861(e).</w:t>
      </w:r>
    </w:p>
  </w:footnote>
  <w:footnote w:id="42">
    <w:p w14:paraId="121CF0EC" w14:textId="030BD844" w:rsidR="00D72C58" w:rsidRDefault="00D72C58">
      <w:pPr>
        <w:pStyle w:val="FootnoteText"/>
      </w:pPr>
      <w:r>
        <w:rPr>
          <w:rStyle w:val="FootnoteReference"/>
        </w:rPr>
        <w:footnoteRef/>
      </w:r>
      <w:r>
        <w:t xml:space="preserve"> Section 95.815(b) </w:t>
      </w:r>
      <w:r w:rsidRPr="00D72C58">
        <w:t>requires</w:t>
      </w:r>
      <w:r>
        <w:t xml:space="preserve"> licensees that request the</w:t>
      </w:r>
      <w:r w:rsidRPr="00D72C58">
        <w:t xml:space="preserve"> add</w:t>
      </w:r>
      <w:r>
        <w:t>ition, deletion, or modification of the</w:t>
      </w:r>
      <w:r w:rsidRPr="00D72C58">
        <w:t xml:space="preserve"> technical information of an individually licensed base station in the 218-219 MHz band </w:t>
      </w:r>
      <w:r w:rsidR="00F71DED">
        <w:t>pursuant to Section 95.811(b)</w:t>
      </w:r>
      <w:r w:rsidRPr="00D72C58">
        <w:t xml:space="preserve"> </w:t>
      </w:r>
      <w:r>
        <w:t>to</w:t>
      </w:r>
      <w:r w:rsidRPr="00D72C58">
        <w:t xml:space="preserve"> include a description of the licensee’s system after the proposed addition, deletion, or modification, including the population served, and an explanation of how the system will satisfy the substantial service requirement of Section 95.831.</w:t>
      </w:r>
      <w:r>
        <w:t xml:space="preserve">  </w:t>
      </w:r>
      <w:r w:rsidRPr="00EB7B77">
        <w:t>47 CFR §</w:t>
      </w:r>
      <w:r w:rsidR="00F71DED" w:rsidRPr="00EB7B77">
        <w:t>§ 95.811(b),</w:t>
      </w:r>
      <w:r w:rsidRPr="00EB7B77">
        <w:t xml:space="preserve"> 95.</w:t>
      </w:r>
      <w:r w:rsidR="00F71DED" w:rsidRPr="00EB7B77">
        <w:t>815</w:t>
      </w:r>
      <w:r w:rsidRPr="00EB7B77">
        <w:t>(b)</w:t>
      </w:r>
      <w:r w:rsidR="009C3816" w:rsidRPr="009C3816">
        <w:t xml:space="preserve">. </w:t>
      </w:r>
    </w:p>
  </w:footnote>
  <w:footnote w:id="43">
    <w:p w14:paraId="7B53452E" w14:textId="7F998133" w:rsidR="002B3AFF" w:rsidRPr="00BF0642" w:rsidRDefault="002B3AFF" w:rsidP="002B3AFF">
      <w:pPr>
        <w:pStyle w:val="FootnoteText"/>
      </w:pPr>
      <w:r w:rsidRPr="00BF0642">
        <w:rPr>
          <w:rStyle w:val="FootnoteReference"/>
        </w:rPr>
        <w:footnoteRef/>
      </w:r>
      <w:r w:rsidRPr="00BF0642">
        <w:t xml:space="preserve"> </w:t>
      </w:r>
      <w:r w:rsidR="00912829" w:rsidRPr="00AC2D00">
        <w:rPr>
          <w:i/>
        </w:rPr>
        <w:t>Proposed Order of Modification</w:t>
      </w:r>
      <w:r w:rsidR="00912829" w:rsidRPr="00912829">
        <w:t xml:space="preserve">, 31 FCC </w:t>
      </w:r>
      <w:r w:rsidR="00E158FB">
        <w:t xml:space="preserve">Rcd </w:t>
      </w:r>
      <w:r w:rsidR="00912829" w:rsidRPr="00912829">
        <w:t xml:space="preserve">at 13261, para. 31; </w:t>
      </w:r>
      <w:r w:rsidRPr="00BF0642">
        <w:t>47 CFR § 1.955(a)(3)</w:t>
      </w:r>
      <w:r>
        <w:t xml:space="preserve"> (</w:t>
      </w:r>
      <w:r w:rsidRPr="0053136F">
        <w:t>provides that “[a]uthorizations automatically terminate, without specific Commission action, if service is permanently discontinued”</w:t>
      </w:r>
      <w:r>
        <w:t>)</w:t>
      </w:r>
      <w:r w:rsidRPr="00BF0642">
        <w:t>.</w:t>
      </w:r>
    </w:p>
  </w:footnote>
  <w:footnote w:id="44">
    <w:p w14:paraId="1E9ED52E" w14:textId="7A735973" w:rsidR="00912829" w:rsidRDefault="00912829">
      <w:pPr>
        <w:pStyle w:val="FootnoteText"/>
      </w:pPr>
      <w:r>
        <w:rPr>
          <w:rStyle w:val="FootnoteReference"/>
        </w:rPr>
        <w:footnoteRef/>
      </w:r>
      <w:r>
        <w:t xml:space="preserve"> </w:t>
      </w:r>
      <w:r w:rsidRPr="00912829">
        <w:t>47 CFR §§ 1.955(a)(3), 95.811(b), 95.855.</w:t>
      </w:r>
    </w:p>
  </w:footnote>
  <w:footnote w:id="45">
    <w:p w14:paraId="4491DF6F" w14:textId="05440A5D" w:rsidR="00E30EDC" w:rsidRDefault="00E30EDC">
      <w:pPr>
        <w:pStyle w:val="FootnoteText"/>
      </w:pPr>
      <w:r>
        <w:rPr>
          <w:rStyle w:val="FootnoteReference"/>
        </w:rPr>
        <w:footnoteRef/>
      </w:r>
      <w:r>
        <w:t xml:space="preserve"> </w:t>
      </w:r>
      <w:r w:rsidRPr="00E30EDC">
        <w:rPr>
          <w:i/>
        </w:rPr>
        <w:t>See supra</w:t>
      </w:r>
      <w:r>
        <w:t xml:space="preserve"> para</w:t>
      </w:r>
      <w:r w:rsidR="009C3816">
        <w:t>graph</w:t>
      </w:r>
      <w:r>
        <w:t xml:space="preserve"> </w:t>
      </w:r>
      <w:r w:rsidR="00FF0853">
        <w:t xml:space="preserve">11 </w:t>
      </w:r>
      <w:r>
        <w:t xml:space="preserve">(enumerating the NJ Transit Counties).  </w:t>
      </w:r>
    </w:p>
  </w:footnote>
  <w:footnote w:id="46">
    <w:p w14:paraId="2B358A8E" w14:textId="77777777" w:rsidR="00E30EDC" w:rsidRDefault="00E30EDC">
      <w:pPr>
        <w:pStyle w:val="FootnoteText"/>
      </w:pPr>
      <w:r>
        <w:rPr>
          <w:rStyle w:val="FootnoteReference"/>
        </w:rPr>
        <w:footnoteRef/>
      </w:r>
      <w:r>
        <w:t xml:space="preserve"> </w:t>
      </w:r>
      <w:r w:rsidRPr="005C45E9">
        <w:rPr>
          <w:i/>
        </w:rPr>
        <w:t xml:space="preserve">See </w:t>
      </w:r>
      <w:r w:rsidR="009C3816">
        <w:rPr>
          <w:i/>
        </w:rPr>
        <w:t>id.</w:t>
      </w:r>
      <w:r>
        <w:t xml:space="preserve"> (enumerating the SEPTA Counties).  </w:t>
      </w:r>
    </w:p>
  </w:footnote>
  <w:footnote w:id="47">
    <w:p w14:paraId="40112C46" w14:textId="124F5112" w:rsidR="003B14C7" w:rsidRDefault="003B14C7" w:rsidP="003B14C7">
      <w:pPr>
        <w:pStyle w:val="FootnoteText"/>
      </w:pPr>
      <w:r>
        <w:rPr>
          <w:rStyle w:val="FootnoteReference"/>
        </w:rPr>
        <w:footnoteRef/>
      </w:r>
      <w:r>
        <w:t xml:space="preserve"> </w:t>
      </w:r>
      <w:r w:rsidR="008C301C">
        <w:t xml:space="preserve">We note that </w:t>
      </w:r>
      <w:r w:rsidRPr="00A159A6">
        <w:t xml:space="preserve">PTC-220 filed an application on January </w:t>
      </w:r>
      <w:r w:rsidR="000247F7" w:rsidRPr="00A159A6">
        <w:t>19</w:t>
      </w:r>
      <w:r w:rsidRPr="00A159A6">
        <w:t>, 2017</w:t>
      </w:r>
      <w:r w:rsidR="001160FF" w:rsidRPr="00A159A6">
        <w:t>, ULS File No</w:t>
      </w:r>
      <w:r w:rsidR="000247F7">
        <w:t xml:space="preserve"> </w:t>
      </w:r>
      <w:r w:rsidR="000247F7" w:rsidRPr="000247F7">
        <w:t>0007598117</w:t>
      </w:r>
      <w:r w:rsidR="00085276">
        <w:t>,</w:t>
      </w:r>
      <w:r w:rsidR="000247F7" w:rsidRPr="000247F7">
        <w:t xml:space="preserve"> </w:t>
      </w:r>
      <w:r w:rsidR="000247F7">
        <w:t xml:space="preserve">to disaggregate, partition, and assign 250 kilohertz of spectrum </w:t>
      </w:r>
      <w:r w:rsidR="002C2CDD">
        <w:t xml:space="preserve">to SEPTA </w:t>
      </w:r>
      <w:r w:rsidR="008C301C">
        <w:t xml:space="preserve">under Station KIVD0007 </w:t>
      </w:r>
      <w:r w:rsidR="002C2CDD">
        <w:t xml:space="preserve">in the SEPTA Counties, except Mercer County, New Jersey.  </w:t>
      </w:r>
      <w:r w:rsidR="00972751">
        <w:t>PTC-220 states that t</w:t>
      </w:r>
      <w:r w:rsidR="00972751" w:rsidRPr="002C2CDD">
        <w:t xml:space="preserve">he </w:t>
      </w:r>
      <w:r w:rsidR="002C2CDD" w:rsidRPr="002C2CDD">
        <w:t xml:space="preserve">assignment to SEPTA of spectrum in Mercer County will be accomplished through a future assignment application after the license modification </w:t>
      </w:r>
      <w:r w:rsidR="002C2CDD">
        <w:t xml:space="preserve">is </w:t>
      </w:r>
      <w:r w:rsidR="002C2CDD" w:rsidRPr="002C2CDD">
        <w:t>effectuated.</w:t>
      </w:r>
      <w:r w:rsidR="002C2CDD">
        <w:t xml:space="preserve">  </w:t>
      </w:r>
      <w:r w:rsidR="002C2CDD" w:rsidRPr="002C2CDD">
        <w:rPr>
          <w:i/>
        </w:rPr>
        <w:t>See</w:t>
      </w:r>
      <w:r w:rsidR="002C2CDD">
        <w:t xml:space="preserve"> </w:t>
      </w:r>
      <w:r w:rsidR="002C2CDD" w:rsidRPr="002C2CDD">
        <w:t>Description of the Transaction and Public Interest Statement</w:t>
      </w:r>
      <w:r w:rsidR="00400E44">
        <w:t xml:space="preserve">, ULS File No. </w:t>
      </w:r>
      <w:r w:rsidR="00400E44" w:rsidRPr="000247F7">
        <w:t>0007598117</w:t>
      </w:r>
      <w:r w:rsidR="00400E44">
        <w:t>,</w:t>
      </w:r>
      <w:r w:rsidR="002C2CDD">
        <w:t xml:space="preserve"> at 3.  </w:t>
      </w:r>
    </w:p>
  </w:footnote>
  <w:footnote w:id="48">
    <w:p w14:paraId="6DDC463B" w14:textId="26B6FFA9" w:rsidR="00881164" w:rsidRDefault="00881164" w:rsidP="00881164">
      <w:pPr>
        <w:pStyle w:val="FootnoteText"/>
      </w:pPr>
      <w:r>
        <w:rPr>
          <w:rStyle w:val="FootnoteReference"/>
        </w:rPr>
        <w:footnoteRef/>
      </w:r>
      <w:r>
        <w:t xml:space="preserve"> </w:t>
      </w:r>
      <w:r w:rsidR="00912829" w:rsidRPr="00912829">
        <w:t>As noted above, today’s modification of Station KIVD0007 authorizes the use of an additional 250 kilohertz of spectrum, 218.000-218.250 MHz, in Atlantic</w:t>
      </w:r>
      <w:r w:rsidR="00905F19">
        <w:t>,</w:t>
      </w:r>
      <w:r w:rsidR="00912829" w:rsidRPr="00912829">
        <w:t xml:space="preserve"> Hunterdon</w:t>
      </w:r>
      <w:r w:rsidR="00905F19">
        <w:t>,</w:t>
      </w:r>
      <w:r w:rsidR="00912829" w:rsidRPr="00912829">
        <w:t xml:space="preserve"> Mercer</w:t>
      </w:r>
      <w:r w:rsidR="00905F19">
        <w:t>,</w:t>
      </w:r>
      <w:r w:rsidR="00912829" w:rsidRPr="00912829">
        <w:t xml:space="preserve"> Middlesex</w:t>
      </w:r>
      <w:r w:rsidR="00905F19">
        <w:t>,</w:t>
      </w:r>
      <w:r w:rsidR="00912829" w:rsidRPr="00912829">
        <w:t xml:space="preserve"> Monmouth</w:t>
      </w:r>
      <w:r w:rsidR="00905F19">
        <w:t>,</w:t>
      </w:r>
      <w:r w:rsidR="00912829" w:rsidRPr="00912829">
        <w:t xml:space="preserve"> Ocean</w:t>
      </w:r>
      <w:r w:rsidR="00905F19">
        <w:t>,</w:t>
      </w:r>
      <w:r w:rsidR="00912829" w:rsidRPr="00912829">
        <w:t xml:space="preserve"> Sussex</w:t>
      </w:r>
      <w:r w:rsidR="00905F19">
        <w:t>,</w:t>
      </w:r>
      <w:r w:rsidR="00912829" w:rsidRPr="00912829">
        <w:t xml:space="preserve"> and Warren</w:t>
      </w:r>
      <w:r w:rsidR="00905F19">
        <w:t xml:space="preserve"> counties, New Jersey</w:t>
      </w:r>
      <w:r w:rsidR="00912829" w:rsidRPr="00912829">
        <w:t xml:space="preserve">.  </w:t>
      </w:r>
      <w:r w:rsidR="00912829" w:rsidRPr="00AC2D00">
        <w:rPr>
          <w:i/>
        </w:rPr>
        <w:t>See supra</w:t>
      </w:r>
      <w:r w:rsidR="00912829" w:rsidRPr="00912829">
        <w:t xml:space="preserve"> paragraph 10.  If PTC-220 does not assign all of this newly authorized spectrum to NJ Transit and SEPTA within 180 days as required by this Order, then any unassigned spectrum (authorized by today’s action) will return to the Commission automatically.  </w:t>
      </w:r>
      <w:r>
        <w:t xml:space="preserve">We anticipate that NJ Transit and SEPTA will work closely with </w:t>
      </w:r>
      <w:r w:rsidR="003B14C7">
        <w:t xml:space="preserve">PTC-220 </w:t>
      </w:r>
      <w:r>
        <w:t xml:space="preserve">to help ensure that the relevant applications </w:t>
      </w:r>
      <w:r w:rsidR="00271CAD">
        <w:t xml:space="preserve">and consummation notifications </w:t>
      </w:r>
      <w:r>
        <w:t xml:space="preserve">are filed timely.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601E" w14:textId="77777777" w:rsidR="00BF4833" w:rsidRDefault="00BF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8E60" w14:textId="0B759F1D" w:rsidR="00D25FB5" w:rsidRDefault="00D25FB5" w:rsidP="00810B6F">
    <w:pPr>
      <w:pStyle w:val="Header"/>
      <w:rPr>
        <w:b w:val="0"/>
      </w:rPr>
    </w:pPr>
    <w:r>
      <w:tab/>
      <w:t>Federal Communications Commission</w:t>
    </w:r>
    <w:r>
      <w:tab/>
    </w:r>
    <w:r w:rsidR="00D507E8" w:rsidRPr="00D07438">
      <w:rPr>
        <w:spacing w:val="-2"/>
      </w:rPr>
      <w:t xml:space="preserve">DA </w:t>
    </w:r>
    <w:r w:rsidR="00492384" w:rsidRPr="00D07438">
      <w:rPr>
        <w:spacing w:val="-2"/>
      </w:rPr>
      <w:t>17</w:t>
    </w:r>
    <w:r w:rsidR="00D507E8" w:rsidRPr="00D07438">
      <w:rPr>
        <w:spacing w:val="-2"/>
      </w:rPr>
      <w:t>-</w:t>
    </w:r>
    <w:r w:rsidR="00D07438" w:rsidRPr="00D07438">
      <w:rPr>
        <w:spacing w:val="-2"/>
      </w:rPr>
      <w:t>234</w:t>
    </w:r>
  </w:p>
  <w:p w14:paraId="3E4AB32B" w14:textId="6B259240" w:rsidR="00D25FB5" w:rsidRDefault="004F6EA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74DCBD2" wp14:editId="06FE76F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25AA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C85E9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DECB" w14:textId="34763BC7" w:rsidR="00D25FB5" w:rsidRDefault="004F6EA9" w:rsidP="00810B6F">
    <w:pPr>
      <w:pStyle w:val="Header"/>
      <w:rPr>
        <w:b w:val="0"/>
      </w:rPr>
    </w:pPr>
    <w:r>
      <w:rPr>
        <w:noProof/>
      </w:rPr>
      <mc:AlternateContent>
        <mc:Choice Requires="wps">
          <w:drawing>
            <wp:anchor distT="0" distB="0" distL="114300" distR="114300" simplePos="0" relativeHeight="251658240" behindDoc="1" locked="0" layoutInCell="0" allowOverlap="1" wp14:anchorId="7E91267B" wp14:editId="3CBDDEF5">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4C7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6474" w:rsidRPr="00D07438">
      <w:rPr>
        <w:spacing w:val="-2"/>
      </w:rPr>
      <w:t xml:space="preserve">DA </w:t>
    </w:r>
    <w:r w:rsidR="00D507E8" w:rsidRPr="00D07438">
      <w:rPr>
        <w:spacing w:val="-2"/>
      </w:rPr>
      <w:t>17-</w:t>
    </w:r>
    <w:r w:rsidR="00D07438" w:rsidRPr="00D07438">
      <w:rPr>
        <w:spacing w:val="-2"/>
      </w:rPr>
      <w:t>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52"/>
    <w:multiLevelType w:val="hybridMultilevel"/>
    <w:tmpl w:val="416E7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07001B"/>
    <w:multiLevelType w:val="hybridMultilevel"/>
    <w:tmpl w:val="750E1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D6"/>
    <w:rsid w:val="000051C9"/>
    <w:rsid w:val="00011AB6"/>
    <w:rsid w:val="000247F7"/>
    <w:rsid w:val="00036039"/>
    <w:rsid w:val="00037F90"/>
    <w:rsid w:val="0004328A"/>
    <w:rsid w:val="000508B6"/>
    <w:rsid w:val="00055D49"/>
    <w:rsid w:val="000750DB"/>
    <w:rsid w:val="00085276"/>
    <w:rsid w:val="000875BF"/>
    <w:rsid w:val="00096D8C"/>
    <w:rsid w:val="000A78F3"/>
    <w:rsid w:val="000B4BCD"/>
    <w:rsid w:val="000C0B65"/>
    <w:rsid w:val="000E05FE"/>
    <w:rsid w:val="000E072B"/>
    <w:rsid w:val="000E075D"/>
    <w:rsid w:val="000E3D42"/>
    <w:rsid w:val="000F0657"/>
    <w:rsid w:val="000F4A3C"/>
    <w:rsid w:val="000F4DE2"/>
    <w:rsid w:val="001160FF"/>
    <w:rsid w:val="00122BD5"/>
    <w:rsid w:val="00127797"/>
    <w:rsid w:val="00133F79"/>
    <w:rsid w:val="0013647E"/>
    <w:rsid w:val="00137625"/>
    <w:rsid w:val="00163191"/>
    <w:rsid w:val="00163D48"/>
    <w:rsid w:val="00191501"/>
    <w:rsid w:val="00194A66"/>
    <w:rsid w:val="001C26B3"/>
    <w:rsid w:val="001C4CB6"/>
    <w:rsid w:val="001C6087"/>
    <w:rsid w:val="001D67A3"/>
    <w:rsid w:val="001D6BCF"/>
    <w:rsid w:val="001E01CA"/>
    <w:rsid w:val="001E7FA0"/>
    <w:rsid w:val="0023266C"/>
    <w:rsid w:val="00271CAD"/>
    <w:rsid w:val="00275CF5"/>
    <w:rsid w:val="002802CE"/>
    <w:rsid w:val="0028301F"/>
    <w:rsid w:val="00285017"/>
    <w:rsid w:val="002918EC"/>
    <w:rsid w:val="00294AD3"/>
    <w:rsid w:val="002A2D2E"/>
    <w:rsid w:val="002B3AFF"/>
    <w:rsid w:val="002B6474"/>
    <w:rsid w:val="002B6C47"/>
    <w:rsid w:val="002C00E8"/>
    <w:rsid w:val="002C2CDD"/>
    <w:rsid w:val="002C425B"/>
    <w:rsid w:val="002E6D65"/>
    <w:rsid w:val="002F30A5"/>
    <w:rsid w:val="0031203A"/>
    <w:rsid w:val="00312248"/>
    <w:rsid w:val="003209DD"/>
    <w:rsid w:val="00323438"/>
    <w:rsid w:val="003349B0"/>
    <w:rsid w:val="00341D83"/>
    <w:rsid w:val="00343749"/>
    <w:rsid w:val="00352E2A"/>
    <w:rsid w:val="00354C66"/>
    <w:rsid w:val="00362C06"/>
    <w:rsid w:val="00364333"/>
    <w:rsid w:val="003660ED"/>
    <w:rsid w:val="0037155E"/>
    <w:rsid w:val="003747C4"/>
    <w:rsid w:val="003818F4"/>
    <w:rsid w:val="003863B4"/>
    <w:rsid w:val="003A5580"/>
    <w:rsid w:val="003B0550"/>
    <w:rsid w:val="003B14C7"/>
    <w:rsid w:val="003B694F"/>
    <w:rsid w:val="003C3743"/>
    <w:rsid w:val="003C3E08"/>
    <w:rsid w:val="003D502F"/>
    <w:rsid w:val="003D606E"/>
    <w:rsid w:val="003E5575"/>
    <w:rsid w:val="003F171C"/>
    <w:rsid w:val="003F2077"/>
    <w:rsid w:val="00400E44"/>
    <w:rsid w:val="00412FC5"/>
    <w:rsid w:val="00422276"/>
    <w:rsid w:val="004242F1"/>
    <w:rsid w:val="0044152A"/>
    <w:rsid w:val="00442CA3"/>
    <w:rsid w:val="00445A00"/>
    <w:rsid w:val="00445CF0"/>
    <w:rsid w:val="004514B3"/>
    <w:rsid w:val="00451B0F"/>
    <w:rsid w:val="004618E3"/>
    <w:rsid w:val="004624B6"/>
    <w:rsid w:val="00470A3F"/>
    <w:rsid w:val="00485ECA"/>
    <w:rsid w:val="00490416"/>
    <w:rsid w:val="00492384"/>
    <w:rsid w:val="004978EB"/>
    <w:rsid w:val="004A0B13"/>
    <w:rsid w:val="004A2838"/>
    <w:rsid w:val="004A3398"/>
    <w:rsid w:val="004A3677"/>
    <w:rsid w:val="004A6926"/>
    <w:rsid w:val="004C2EE3"/>
    <w:rsid w:val="004E4269"/>
    <w:rsid w:val="004E4A22"/>
    <w:rsid w:val="004F1045"/>
    <w:rsid w:val="004F6EA9"/>
    <w:rsid w:val="00511968"/>
    <w:rsid w:val="0053136F"/>
    <w:rsid w:val="00533B20"/>
    <w:rsid w:val="00534503"/>
    <w:rsid w:val="00535EFC"/>
    <w:rsid w:val="0054616D"/>
    <w:rsid w:val="00546856"/>
    <w:rsid w:val="00553DF4"/>
    <w:rsid w:val="00554106"/>
    <w:rsid w:val="0055614C"/>
    <w:rsid w:val="005617A2"/>
    <w:rsid w:val="00562F16"/>
    <w:rsid w:val="005635EB"/>
    <w:rsid w:val="00565872"/>
    <w:rsid w:val="005828C0"/>
    <w:rsid w:val="005A63A8"/>
    <w:rsid w:val="005B09F9"/>
    <w:rsid w:val="005E1176"/>
    <w:rsid w:val="005E14C2"/>
    <w:rsid w:val="005E4E37"/>
    <w:rsid w:val="005E7B10"/>
    <w:rsid w:val="00603ED6"/>
    <w:rsid w:val="006062ED"/>
    <w:rsid w:val="00607BA5"/>
    <w:rsid w:val="0061180A"/>
    <w:rsid w:val="00616B10"/>
    <w:rsid w:val="00626EB6"/>
    <w:rsid w:val="00630EA9"/>
    <w:rsid w:val="00632EE6"/>
    <w:rsid w:val="00651909"/>
    <w:rsid w:val="00655D03"/>
    <w:rsid w:val="006615A5"/>
    <w:rsid w:val="00667B89"/>
    <w:rsid w:val="00683388"/>
    <w:rsid w:val="00683F84"/>
    <w:rsid w:val="006917E4"/>
    <w:rsid w:val="0069233E"/>
    <w:rsid w:val="0069531F"/>
    <w:rsid w:val="006A6A81"/>
    <w:rsid w:val="006A6EFA"/>
    <w:rsid w:val="006B1AC2"/>
    <w:rsid w:val="006C2A4D"/>
    <w:rsid w:val="006C7DEE"/>
    <w:rsid w:val="006F44BE"/>
    <w:rsid w:val="006F49C2"/>
    <w:rsid w:val="006F7393"/>
    <w:rsid w:val="00700CBD"/>
    <w:rsid w:val="0070224F"/>
    <w:rsid w:val="007115F7"/>
    <w:rsid w:val="007132E6"/>
    <w:rsid w:val="0071545B"/>
    <w:rsid w:val="007240FF"/>
    <w:rsid w:val="00732AFB"/>
    <w:rsid w:val="007425BE"/>
    <w:rsid w:val="0075220B"/>
    <w:rsid w:val="00752A78"/>
    <w:rsid w:val="007764E4"/>
    <w:rsid w:val="007845B5"/>
    <w:rsid w:val="00785689"/>
    <w:rsid w:val="007857C9"/>
    <w:rsid w:val="00791FED"/>
    <w:rsid w:val="00793566"/>
    <w:rsid w:val="0079754B"/>
    <w:rsid w:val="007A1E6D"/>
    <w:rsid w:val="007A57CD"/>
    <w:rsid w:val="007A5E5B"/>
    <w:rsid w:val="007B0EB2"/>
    <w:rsid w:val="007B35D3"/>
    <w:rsid w:val="007D78C1"/>
    <w:rsid w:val="007E5B23"/>
    <w:rsid w:val="007F12EA"/>
    <w:rsid w:val="007F4805"/>
    <w:rsid w:val="007F7524"/>
    <w:rsid w:val="00810149"/>
    <w:rsid w:val="00810B6F"/>
    <w:rsid w:val="00821860"/>
    <w:rsid w:val="00822CE0"/>
    <w:rsid w:val="00841AB1"/>
    <w:rsid w:val="00851E94"/>
    <w:rsid w:val="00856E15"/>
    <w:rsid w:val="0087320C"/>
    <w:rsid w:val="00881164"/>
    <w:rsid w:val="0088318C"/>
    <w:rsid w:val="008874A2"/>
    <w:rsid w:val="008951A9"/>
    <w:rsid w:val="008A3998"/>
    <w:rsid w:val="008A75A0"/>
    <w:rsid w:val="008C301C"/>
    <w:rsid w:val="008C68F1"/>
    <w:rsid w:val="008C7349"/>
    <w:rsid w:val="008D63FA"/>
    <w:rsid w:val="008E05BA"/>
    <w:rsid w:val="008E27BC"/>
    <w:rsid w:val="008E3423"/>
    <w:rsid w:val="008F10AD"/>
    <w:rsid w:val="00905F19"/>
    <w:rsid w:val="0091115C"/>
    <w:rsid w:val="00912829"/>
    <w:rsid w:val="00921803"/>
    <w:rsid w:val="00925244"/>
    <w:rsid w:val="00926503"/>
    <w:rsid w:val="009307D4"/>
    <w:rsid w:val="009463F3"/>
    <w:rsid w:val="0095359D"/>
    <w:rsid w:val="00967771"/>
    <w:rsid w:val="009726D8"/>
    <w:rsid w:val="00972751"/>
    <w:rsid w:val="00976C58"/>
    <w:rsid w:val="009C154F"/>
    <w:rsid w:val="009C3816"/>
    <w:rsid w:val="009D1BDD"/>
    <w:rsid w:val="009D2F6B"/>
    <w:rsid w:val="009D53D4"/>
    <w:rsid w:val="009E1EFC"/>
    <w:rsid w:val="009E260E"/>
    <w:rsid w:val="009F4D04"/>
    <w:rsid w:val="009F63D5"/>
    <w:rsid w:val="009F76DB"/>
    <w:rsid w:val="00A063F3"/>
    <w:rsid w:val="00A100B9"/>
    <w:rsid w:val="00A138A8"/>
    <w:rsid w:val="00A147DF"/>
    <w:rsid w:val="00A15906"/>
    <w:rsid w:val="00A159A6"/>
    <w:rsid w:val="00A32C3B"/>
    <w:rsid w:val="00A43EC9"/>
    <w:rsid w:val="00A45533"/>
    <w:rsid w:val="00A45F4F"/>
    <w:rsid w:val="00A600A9"/>
    <w:rsid w:val="00A65549"/>
    <w:rsid w:val="00A65C00"/>
    <w:rsid w:val="00A67803"/>
    <w:rsid w:val="00A85163"/>
    <w:rsid w:val="00A945CE"/>
    <w:rsid w:val="00AA55B7"/>
    <w:rsid w:val="00AA5B9E"/>
    <w:rsid w:val="00AB2407"/>
    <w:rsid w:val="00AB53DF"/>
    <w:rsid w:val="00AB5AA7"/>
    <w:rsid w:val="00AC2D00"/>
    <w:rsid w:val="00AF465C"/>
    <w:rsid w:val="00AF6025"/>
    <w:rsid w:val="00B07E5C"/>
    <w:rsid w:val="00B5421E"/>
    <w:rsid w:val="00B723DD"/>
    <w:rsid w:val="00B76DB5"/>
    <w:rsid w:val="00B811F7"/>
    <w:rsid w:val="00B905A0"/>
    <w:rsid w:val="00BA06CB"/>
    <w:rsid w:val="00BA5DC6"/>
    <w:rsid w:val="00BA6196"/>
    <w:rsid w:val="00BA77BF"/>
    <w:rsid w:val="00BB0434"/>
    <w:rsid w:val="00BC608D"/>
    <w:rsid w:val="00BC6D8C"/>
    <w:rsid w:val="00BD0A93"/>
    <w:rsid w:val="00BD317A"/>
    <w:rsid w:val="00BD5FEC"/>
    <w:rsid w:val="00BE5FE5"/>
    <w:rsid w:val="00BF4833"/>
    <w:rsid w:val="00C0239B"/>
    <w:rsid w:val="00C02E96"/>
    <w:rsid w:val="00C1426A"/>
    <w:rsid w:val="00C34006"/>
    <w:rsid w:val="00C40600"/>
    <w:rsid w:val="00C426B1"/>
    <w:rsid w:val="00C52E14"/>
    <w:rsid w:val="00C57CFF"/>
    <w:rsid w:val="00C66160"/>
    <w:rsid w:val="00C721AC"/>
    <w:rsid w:val="00C77271"/>
    <w:rsid w:val="00C85F68"/>
    <w:rsid w:val="00C90D6A"/>
    <w:rsid w:val="00CA0C93"/>
    <w:rsid w:val="00CA247E"/>
    <w:rsid w:val="00CB4271"/>
    <w:rsid w:val="00CC72B6"/>
    <w:rsid w:val="00CF369A"/>
    <w:rsid w:val="00D0218D"/>
    <w:rsid w:val="00D07438"/>
    <w:rsid w:val="00D12597"/>
    <w:rsid w:val="00D13AEF"/>
    <w:rsid w:val="00D17ACD"/>
    <w:rsid w:val="00D25FB5"/>
    <w:rsid w:val="00D3211F"/>
    <w:rsid w:val="00D37DEB"/>
    <w:rsid w:val="00D44223"/>
    <w:rsid w:val="00D4735A"/>
    <w:rsid w:val="00D507E8"/>
    <w:rsid w:val="00D600B1"/>
    <w:rsid w:val="00D63AC6"/>
    <w:rsid w:val="00D66985"/>
    <w:rsid w:val="00D72C58"/>
    <w:rsid w:val="00DA2529"/>
    <w:rsid w:val="00DB130A"/>
    <w:rsid w:val="00DB135A"/>
    <w:rsid w:val="00DB2EBB"/>
    <w:rsid w:val="00DB3288"/>
    <w:rsid w:val="00DC10A1"/>
    <w:rsid w:val="00DC655F"/>
    <w:rsid w:val="00DD0B59"/>
    <w:rsid w:val="00DD7EBD"/>
    <w:rsid w:val="00DE6286"/>
    <w:rsid w:val="00DF1766"/>
    <w:rsid w:val="00DF25D3"/>
    <w:rsid w:val="00DF62B6"/>
    <w:rsid w:val="00E07225"/>
    <w:rsid w:val="00E158FB"/>
    <w:rsid w:val="00E209A1"/>
    <w:rsid w:val="00E30EDC"/>
    <w:rsid w:val="00E435DE"/>
    <w:rsid w:val="00E5409F"/>
    <w:rsid w:val="00E7646D"/>
    <w:rsid w:val="00E85F8C"/>
    <w:rsid w:val="00E91A5B"/>
    <w:rsid w:val="00E978D8"/>
    <w:rsid w:val="00EB70C5"/>
    <w:rsid w:val="00EB7B77"/>
    <w:rsid w:val="00EC2AA7"/>
    <w:rsid w:val="00EC5C1B"/>
    <w:rsid w:val="00EE6488"/>
    <w:rsid w:val="00EF00E2"/>
    <w:rsid w:val="00F021FA"/>
    <w:rsid w:val="00F06A6C"/>
    <w:rsid w:val="00F41051"/>
    <w:rsid w:val="00F54105"/>
    <w:rsid w:val="00F54A3A"/>
    <w:rsid w:val="00F62E97"/>
    <w:rsid w:val="00F64209"/>
    <w:rsid w:val="00F71DED"/>
    <w:rsid w:val="00F74A0A"/>
    <w:rsid w:val="00F93BF5"/>
    <w:rsid w:val="00FA7341"/>
    <w:rsid w:val="00FB1A57"/>
    <w:rsid w:val="00FC13D0"/>
    <w:rsid w:val="00FD03ED"/>
    <w:rsid w:val="00FD6626"/>
    <w:rsid w:val="00FF0853"/>
    <w:rsid w:val="00FF1842"/>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8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n Char,fn,f,ft,Footnote Text Char"/>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43EC9"/>
    <w:rPr>
      <w:rFonts w:ascii="Segoe UI" w:hAnsi="Segoe UI" w:cs="Segoe UI"/>
      <w:sz w:val="18"/>
      <w:szCs w:val="18"/>
    </w:rPr>
  </w:style>
  <w:style w:type="character" w:customStyle="1" w:styleId="BalloonTextChar">
    <w:name w:val="Balloon Text Char"/>
    <w:link w:val="BalloonText"/>
    <w:rsid w:val="00A43EC9"/>
    <w:rPr>
      <w:rFonts w:ascii="Segoe UI" w:hAnsi="Segoe UI" w:cs="Segoe UI"/>
      <w:snapToGrid w:val="0"/>
      <w:kern w:val="28"/>
      <w:sz w:val="18"/>
      <w:szCs w:val="18"/>
    </w:rPr>
  </w:style>
  <w:style w:type="character" w:styleId="CommentReference">
    <w:name w:val="annotation reference"/>
    <w:rsid w:val="00B905A0"/>
    <w:rPr>
      <w:sz w:val="16"/>
      <w:szCs w:val="16"/>
    </w:rPr>
  </w:style>
  <w:style w:type="paragraph" w:styleId="CommentText">
    <w:name w:val="annotation text"/>
    <w:basedOn w:val="Normal"/>
    <w:link w:val="CommentTextChar"/>
    <w:rsid w:val="00B905A0"/>
    <w:rPr>
      <w:sz w:val="20"/>
    </w:rPr>
  </w:style>
  <w:style w:type="character" w:customStyle="1" w:styleId="CommentTextChar">
    <w:name w:val="Comment Text Char"/>
    <w:link w:val="CommentText"/>
    <w:rsid w:val="00B905A0"/>
    <w:rPr>
      <w:snapToGrid w:val="0"/>
      <w:kern w:val="28"/>
    </w:rPr>
  </w:style>
  <w:style w:type="paragraph" w:styleId="CommentSubject">
    <w:name w:val="annotation subject"/>
    <w:basedOn w:val="CommentText"/>
    <w:next w:val="CommentText"/>
    <w:link w:val="CommentSubjectChar"/>
    <w:rsid w:val="00B905A0"/>
    <w:rPr>
      <w:b/>
      <w:bCs/>
    </w:rPr>
  </w:style>
  <w:style w:type="character" w:customStyle="1" w:styleId="CommentSubjectChar">
    <w:name w:val="Comment Subject Char"/>
    <w:link w:val="CommentSubject"/>
    <w:rsid w:val="00B905A0"/>
    <w:rPr>
      <w:b/>
      <w:bCs/>
      <w:snapToGrid w:val="0"/>
      <w:kern w:val="28"/>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BA7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n Char,fn,f,ft,Footnote Text Char"/>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43EC9"/>
    <w:rPr>
      <w:rFonts w:ascii="Segoe UI" w:hAnsi="Segoe UI" w:cs="Segoe UI"/>
      <w:sz w:val="18"/>
      <w:szCs w:val="18"/>
    </w:rPr>
  </w:style>
  <w:style w:type="character" w:customStyle="1" w:styleId="BalloonTextChar">
    <w:name w:val="Balloon Text Char"/>
    <w:link w:val="BalloonText"/>
    <w:rsid w:val="00A43EC9"/>
    <w:rPr>
      <w:rFonts w:ascii="Segoe UI" w:hAnsi="Segoe UI" w:cs="Segoe UI"/>
      <w:snapToGrid w:val="0"/>
      <w:kern w:val="28"/>
      <w:sz w:val="18"/>
      <w:szCs w:val="18"/>
    </w:rPr>
  </w:style>
  <w:style w:type="character" w:styleId="CommentReference">
    <w:name w:val="annotation reference"/>
    <w:rsid w:val="00B905A0"/>
    <w:rPr>
      <w:sz w:val="16"/>
      <w:szCs w:val="16"/>
    </w:rPr>
  </w:style>
  <w:style w:type="paragraph" w:styleId="CommentText">
    <w:name w:val="annotation text"/>
    <w:basedOn w:val="Normal"/>
    <w:link w:val="CommentTextChar"/>
    <w:rsid w:val="00B905A0"/>
    <w:rPr>
      <w:sz w:val="20"/>
    </w:rPr>
  </w:style>
  <w:style w:type="character" w:customStyle="1" w:styleId="CommentTextChar">
    <w:name w:val="Comment Text Char"/>
    <w:link w:val="CommentText"/>
    <w:rsid w:val="00B905A0"/>
    <w:rPr>
      <w:snapToGrid w:val="0"/>
      <w:kern w:val="28"/>
    </w:rPr>
  </w:style>
  <w:style w:type="paragraph" w:styleId="CommentSubject">
    <w:name w:val="annotation subject"/>
    <w:basedOn w:val="CommentText"/>
    <w:next w:val="CommentText"/>
    <w:link w:val="CommentSubjectChar"/>
    <w:rsid w:val="00B905A0"/>
    <w:rPr>
      <w:b/>
      <w:bCs/>
    </w:rPr>
  </w:style>
  <w:style w:type="character" w:customStyle="1" w:styleId="CommentSubjectChar">
    <w:name w:val="Comment Subject Char"/>
    <w:link w:val="CommentSubject"/>
    <w:rsid w:val="00B905A0"/>
    <w:rPr>
      <w:b/>
      <w:bCs/>
      <w:snapToGrid w:val="0"/>
      <w:kern w:val="28"/>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BA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d.Arsenault\Desktop\v2_OOM_201702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v2_OOM_20170216</Template>
  <TotalTime>0</TotalTime>
  <Pages>3</Pages>
  <Words>1964</Words>
  <Characters>11106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2016-08-10T15:28:00Z</cp:lastPrinted>
  <dcterms:created xsi:type="dcterms:W3CDTF">2017-03-09T14:32:00Z</dcterms:created>
  <dcterms:modified xsi:type="dcterms:W3CDTF">2017-03-09T14:32:00Z</dcterms:modified>
  <cp:category> </cp:category>
  <cp:contentStatus> </cp:contentStatus>
</cp:coreProperties>
</file>