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2744A4D4"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0F742692" w14:textId="77777777">
      <w:pPr>
        <w:pStyle w:val="StyleBoldCentered"/>
      </w:pPr>
      <w:r>
        <w:t>F</w:t>
      </w:r>
      <w:r>
        <w:rPr>
          <w:caps w:val="0"/>
        </w:rPr>
        <w:t>ederal Communications Commission</w:t>
      </w:r>
    </w:p>
    <w:p w:rsidR="004C2EE3" w:rsidP="00096D8C" w14:paraId="75F86270" w14:textId="77777777">
      <w:pPr>
        <w:pStyle w:val="StyleBoldCentered"/>
      </w:pPr>
      <w:r>
        <w:rPr>
          <w:caps w:val="0"/>
        </w:rPr>
        <w:t>Washington, D.C. 20554</w:t>
      </w:r>
    </w:p>
    <w:p w:rsidR="004C2EE3" w:rsidP="0070224F" w14:paraId="54E553C1"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04969081" w14:textId="77777777">
        <w:tblPrEx>
          <w:tblW w:w="0" w:type="auto"/>
          <w:tblInd w:w="0" w:type="dxa"/>
          <w:tblLayout w:type="fixed"/>
          <w:tblCellMar>
            <w:top w:w="0" w:type="dxa"/>
            <w:left w:w="108" w:type="dxa"/>
            <w:bottom w:w="0" w:type="dxa"/>
            <w:right w:w="108" w:type="dxa"/>
          </w:tblCellMar>
          <w:tblLook w:val="0000"/>
        </w:tblPrEx>
        <w:tc>
          <w:tcPr>
            <w:tcW w:w="4698" w:type="dxa"/>
          </w:tcPr>
          <w:p w:rsidR="00A4099F" w:rsidRPr="00CF3FD0" w:rsidP="00A4099F" w14:paraId="7CCAF0B2" w14:textId="77777777">
            <w:pPr>
              <w:widowControl w:val="0"/>
              <w:tabs>
                <w:tab w:val="center" w:pos="4680"/>
              </w:tabs>
              <w:suppressAutoHyphens/>
              <w:rPr>
                <w:rStyle w:val="DefaultParagraphFont"/>
                <w:snapToGrid w:val="0"/>
                <w:spacing w:val="-2"/>
                <w:kern w:val="28"/>
                <w:sz w:val="22"/>
                <w:szCs w:val="22"/>
                <w:lang w:val="en-US" w:eastAsia="en-US" w:bidi="ar-SA"/>
              </w:rPr>
            </w:pPr>
            <w:r w:rsidRPr="00CF3FD0">
              <w:rPr>
                <w:snapToGrid w:val="0"/>
                <w:spacing w:val="-2"/>
                <w:kern w:val="28"/>
                <w:sz w:val="22"/>
                <w:szCs w:val="22"/>
                <w:lang w:val="en-US" w:eastAsia="en-US" w:bidi="ar-SA"/>
              </w:rPr>
              <w:t>In the Matter of</w:t>
            </w:r>
          </w:p>
          <w:p w:rsidR="00A4099F" w:rsidRPr="00CF3FD0" w:rsidP="00A4099F" w14:paraId="1080D7D9" w14:textId="77777777">
            <w:pPr>
              <w:widowControl w:val="0"/>
              <w:tabs>
                <w:tab w:val="center" w:pos="4680"/>
              </w:tabs>
              <w:suppressAutoHyphens/>
              <w:rPr>
                <w:rStyle w:val="DefaultParagraphFont"/>
                <w:snapToGrid w:val="0"/>
                <w:spacing w:val="-2"/>
                <w:kern w:val="28"/>
                <w:sz w:val="22"/>
                <w:szCs w:val="22"/>
                <w:lang w:val="en-US" w:eastAsia="en-US" w:bidi="ar-SA"/>
              </w:rPr>
            </w:pPr>
          </w:p>
          <w:p w:rsidR="00A4099F" w:rsidRPr="00CF3FD0" w:rsidP="00A4099F" w14:paraId="39E56AFC" w14:textId="77777777">
            <w:pPr>
              <w:widowControl w:val="0"/>
              <w:tabs>
                <w:tab w:val="center" w:pos="4680"/>
              </w:tabs>
              <w:suppressAutoHyphens/>
              <w:rPr>
                <w:rStyle w:val="DefaultParagraphFont"/>
                <w:snapToGrid w:val="0"/>
                <w:spacing w:val="-2"/>
                <w:kern w:val="28"/>
                <w:sz w:val="22"/>
                <w:szCs w:val="22"/>
                <w:lang w:val="en-US" w:eastAsia="en-US" w:bidi="ar-SA"/>
              </w:rPr>
            </w:pPr>
            <w:r w:rsidRPr="00CF3FD0">
              <w:rPr>
                <w:snapToGrid w:val="0"/>
                <w:spacing w:val="-2"/>
                <w:kern w:val="28"/>
                <w:sz w:val="22"/>
                <w:szCs w:val="22"/>
                <w:lang w:val="en-US" w:eastAsia="en-US" w:bidi="ar-SA"/>
              </w:rPr>
              <w:t>Continental Media Group</w:t>
            </w:r>
            <w:r w:rsidRPr="00CF3FD0">
              <w:rPr>
                <w:snapToGrid w:val="0"/>
                <w:spacing w:val="-2"/>
                <w:kern w:val="28"/>
                <w:sz w:val="22"/>
                <w:szCs w:val="22"/>
                <w:lang w:val="en-US" w:eastAsia="en-US" w:bidi="ar-SA"/>
              </w:rPr>
              <w:t>, LLC</w:t>
            </w:r>
          </w:p>
          <w:p w:rsidR="00A4099F" w:rsidRPr="00CF3FD0" w:rsidP="00A4099F" w14:paraId="31462681" w14:textId="77777777">
            <w:pPr>
              <w:widowControl w:val="0"/>
              <w:tabs>
                <w:tab w:val="center" w:pos="4680"/>
              </w:tabs>
              <w:suppressAutoHyphens/>
              <w:rPr>
                <w:rStyle w:val="DefaultParagraphFont"/>
                <w:snapToGrid w:val="0"/>
                <w:spacing w:val="-2"/>
                <w:kern w:val="28"/>
                <w:sz w:val="22"/>
                <w:szCs w:val="22"/>
                <w:lang w:val="en-US" w:eastAsia="en-US" w:bidi="ar-SA"/>
              </w:rPr>
            </w:pPr>
            <w:r w:rsidRPr="00CF3FD0">
              <w:rPr>
                <w:snapToGrid w:val="0"/>
                <w:spacing w:val="-2"/>
                <w:kern w:val="28"/>
                <w:sz w:val="22"/>
                <w:szCs w:val="22"/>
                <w:lang w:val="en-US" w:eastAsia="en-US" w:bidi="ar-SA"/>
              </w:rPr>
              <w:t>Station WXMY(AM), Saltville, VA</w:t>
            </w:r>
          </w:p>
          <w:p w:rsidR="00A4099F" w:rsidRPr="00CF3FD0" w:rsidP="00A4099F" w14:paraId="6B3FFE59" w14:textId="77777777">
            <w:pPr>
              <w:widowControl w:val="0"/>
              <w:tabs>
                <w:tab w:val="center" w:pos="4680"/>
              </w:tabs>
              <w:suppressAutoHyphens/>
              <w:rPr>
                <w:rStyle w:val="DefaultParagraphFont"/>
                <w:snapToGrid w:val="0"/>
                <w:spacing w:val="-2"/>
                <w:kern w:val="28"/>
                <w:sz w:val="22"/>
                <w:szCs w:val="22"/>
                <w:lang w:val="en-US" w:eastAsia="en-US" w:bidi="ar-SA"/>
              </w:rPr>
            </w:pPr>
          </w:p>
          <w:p w:rsidR="00A4099F" w:rsidRPr="00CF3FD0" w:rsidP="00A4099F" w14:paraId="110D9438" w14:textId="77777777">
            <w:pPr>
              <w:widowControl w:val="0"/>
              <w:tabs>
                <w:tab w:val="center" w:pos="4680"/>
              </w:tabs>
              <w:suppressAutoHyphens/>
              <w:rPr>
                <w:rStyle w:val="DefaultParagraphFont"/>
                <w:snapToGrid w:val="0"/>
                <w:spacing w:val="-2"/>
                <w:kern w:val="28"/>
                <w:sz w:val="22"/>
                <w:szCs w:val="22"/>
                <w:lang w:val="en-US" w:eastAsia="en-US" w:bidi="ar-SA"/>
              </w:rPr>
            </w:pPr>
            <w:r w:rsidRPr="00CF3FD0">
              <w:rPr>
                <w:snapToGrid w:val="0"/>
                <w:spacing w:val="-2"/>
                <w:kern w:val="28"/>
                <w:sz w:val="22"/>
                <w:szCs w:val="22"/>
                <w:lang w:val="en-US" w:eastAsia="en-US" w:bidi="ar-SA"/>
              </w:rPr>
              <w:t>Application for Renewal of License</w:t>
            </w:r>
          </w:p>
          <w:p w:rsidR="00A4099F" w:rsidRPr="00CF3FD0" w:rsidP="00A4099F" w14:paraId="50FBF3CC" w14:textId="77777777">
            <w:pPr>
              <w:widowControl w:val="0"/>
              <w:tabs>
                <w:tab w:val="center" w:pos="4680"/>
              </w:tabs>
              <w:suppressAutoHyphens/>
              <w:rPr>
                <w:rStyle w:val="DefaultParagraphFont"/>
                <w:snapToGrid w:val="0"/>
                <w:spacing w:val="-2"/>
                <w:kern w:val="28"/>
                <w:sz w:val="22"/>
                <w:szCs w:val="22"/>
                <w:lang w:val="en-US" w:eastAsia="en-US" w:bidi="ar-SA"/>
              </w:rPr>
            </w:pPr>
          </w:p>
          <w:p w:rsidR="00A4099F" w:rsidRPr="00CF3FD0" w:rsidP="00A4099F" w14:paraId="6CC4AF93" w14:textId="77777777">
            <w:pPr>
              <w:widowControl w:val="0"/>
              <w:tabs>
                <w:tab w:val="center" w:pos="4680"/>
              </w:tabs>
              <w:suppressAutoHyphens/>
              <w:rPr>
                <w:rStyle w:val="DefaultParagraphFont"/>
                <w:snapToGrid w:val="0"/>
                <w:spacing w:val="-2"/>
                <w:kern w:val="28"/>
                <w:sz w:val="22"/>
                <w:szCs w:val="22"/>
                <w:lang w:val="en-US" w:eastAsia="en-US" w:bidi="ar-SA"/>
              </w:rPr>
            </w:pPr>
          </w:p>
          <w:p w:rsidR="00A4099F" w:rsidRPr="00CF3FD0" w:rsidP="00A4099F" w14:paraId="50908BC5" w14:textId="532A1338">
            <w:pPr>
              <w:widowControl w:val="0"/>
              <w:tabs>
                <w:tab w:val="center" w:pos="4680"/>
              </w:tabs>
              <w:suppressAutoHyphens/>
              <w:rPr>
                <w:rStyle w:val="DefaultParagraphFont"/>
                <w:snapToGrid w:val="0"/>
                <w:spacing w:val="-2"/>
                <w:kern w:val="28"/>
                <w:sz w:val="22"/>
                <w:szCs w:val="22"/>
                <w:lang w:val="en-US" w:eastAsia="en-US" w:bidi="ar-SA"/>
              </w:rPr>
            </w:pPr>
            <w:r w:rsidRPr="00CF3FD0">
              <w:rPr>
                <w:snapToGrid w:val="0"/>
                <w:spacing w:val="-2"/>
                <w:kern w:val="28"/>
                <w:sz w:val="22"/>
                <w:szCs w:val="22"/>
                <w:lang w:val="en-US" w:eastAsia="en-US" w:bidi="ar-SA"/>
              </w:rPr>
              <w:t>Application for Consent to Transfer of Control from Jeffrey Raynor to Wendy Raynor</w:t>
            </w:r>
          </w:p>
          <w:p w:rsidR="00A4099F" w:rsidRPr="00CF3FD0" w:rsidP="00A4099F" w14:paraId="544ED7A9" w14:textId="77777777">
            <w:pPr>
              <w:widowControl w:val="0"/>
              <w:tabs>
                <w:tab w:val="center" w:pos="4680"/>
              </w:tabs>
              <w:suppressAutoHyphens/>
              <w:rPr>
                <w:rStyle w:val="DefaultParagraphFont"/>
                <w:snapToGrid w:val="0"/>
                <w:spacing w:val="-2"/>
                <w:kern w:val="28"/>
                <w:sz w:val="22"/>
                <w:szCs w:val="22"/>
                <w:lang w:val="en-US" w:eastAsia="en-US" w:bidi="ar-SA"/>
              </w:rPr>
            </w:pPr>
          </w:p>
          <w:p w:rsidR="00A4099F" w:rsidRPr="00CF3FD0" w:rsidP="00A4099F" w14:paraId="6FB45917" w14:textId="77777777">
            <w:pPr>
              <w:widowControl w:val="0"/>
              <w:tabs>
                <w:tab w:val="center" w:pos="4680"/>
              </w:tabs>
              <w:suppressAutoHyphens/>
              <w:rPr>
                <w:rStyle w:val="DefaultParagraphFont"/>
                <w:snapToGrid w:val="0"/>
                <w:spacing w:val="-2"/>
                <w:kern w:val="28"/>
                <w:sz w:val="22"/>
                <w:szCs w:val="22"/>
                <w:lang w:val="en-US" w:eastAsia="en-US" w:bidi="ar-SA"/>
              </w:rPr>
            </w:pPr>
          </w:p>
          <w:p w:rsidR="004C2EE3" w:rsidRPr="00CF3FD0" w:rsidP="00A4099F" w14:paraId="74CABA5E" w14:textId="77777777">
            <w:pPr>
              <w:widowControl w:val="0"/>
              <w:tabs>
                <w:tab w:val="center" w:pos="4680"/>
              </w:tabs>
              <w:suppressAutoHyphens/>
              <w:rPr>
                <w:rStyle w:val="DefaultParagraphFont"/>
                <w:snapToGrid w:val="0"/>
                <w:spacing w:val="-2"/>
                <w:kern w:val="28"/>
                <w:sz w:val="22"/>
                <w:szCs w:val="22"/>
                <w:lang w:val="en-US" w:eastAsia="en-US" w:bidi="ar-SA"/>
              </w:rPr>
            </w:pPr>
            <w:r w:rsidRPr="00CF3FD0">
              <w:rPr>
                <w:snapToGrid w:val="0"/>
                <w:spacing w:val="-2"/>
                <w:kern w:val="28"/>
                <w:sz w:val="22"/>
                <w:szCs w:val="22"/>
                <w:lang w:val="en-US" w:eastAsia="en-US" w:bidi="ar-SA"/>
              </w:rPr>
              <w:t>Application for Covering License</w:t>
            </w:r>
          </w:p>
        </w:tc>
        <w:tc>
          <w:tcPr>
            <w:tcW w:w="630" w:type="dxa"/>
          </w:tcPr>
          <w:p w:rsidR="004C2EE3" w:rsidRPr="00CF3FD0" w14:paraId="205CA176"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4C2EE3" w:rsidRPr="00CF3FD0" w14:paraId="1CAAE258"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4C2EE3" w:rsidRPr="00CF3FD0" w14:paraId="62B9FF77"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4C2EE3" w:rsidRPr="00CF3FD0" w14:paraId="148A6C99"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4C2EE3" w:rsidRPr="00CF3FD0" w14:paraId="1D74E06F"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4C2EE3" w:rsidRPr="00CF3FD0" w14:paraId="27D2B44E"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4C2EE3" w:rsidRPr="00CF3FD0" w14:paraId="595BCDBB"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4C2EE3" w:rsidRPr="00CF3FD0" w14:paraId="31F05E05"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4C2EE3" w:rsidRPr="00CF3FD0" w14:paraId="6D53AC8C"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A4099F" w:rsidRPr="00CF3FD0" w14:paraId="3E0F62AE"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A4099F" w:rsidRPr="00CF3FD0" w14:paraId="6F4995BC"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A4099F" w:rsidRPr="00CF3FD0" w14:paraId="7502360B" w14:textId="77777777">
            <w:pPr>
              <w:widowControl w:val="0"/>
              <w:tabs>
                <w:tab w:val="center" w:pos="4680"/>
              </w:tabs>
              <w:suppressAutoHyphens/>
              <w:rPr>
                <w:rStyle w:val="DefaultParagraphFont"/>
                <w:b/>
                <w:snapToGrid w:val="0"/>
                <w:spacing w:val="-2"/>
                <w:kern w:val="28"/>
                <w:sz w:val="22"/>
                <w:szCs w:val="22"/>
                <w:lang w:val="en-US" w:eastAsia="en-US" w:bidi="ar-SA"/>
              </w:rPr>
            </w:pPr>
            <w:r w:rsidRPr="00CF3FD0">
              <w:rPr>
                <w:b/>
                <w:snapToGrid w:val="0"/>
                <w:spacing w:val="-2"/>
                <w:kern w:val="28"/>
                <w:sz w:val="22"/>
                <w:szCs w:val="22"/>
                <w:lang w:val="en-US" w:eastAsia="en-US" w:bidi="ar-SA"/>
              </w:rPr>
              <w:t>)</w:t>
            </w:r>
          </w:p>
          <w:p w:rsidR="00A4099F" w:rsidRPr="00CF3FD0" w14:paraId="70E041CC" w14:textId="77777777">
            <w:pPr>
              <w:widowControl w:val="0"/>
              <w:tabs>
                <w:tab w:val="center" w:pos="4680"/>
              </w:tabs>
              <w:suppressAutoHyphens/>
              <w:rPr>
                <w:rStyle w:val="DefaultParagraphFont"/>
                <w:snapToGrid w:val="0"/>
                <w:spacing w:val="-2"/>
                <w:kern w:val="28"/>
                <w:sz w:val="22"/>
                <w:szCs w:val="22"/>
                <w:lang w:val="en-US" w:eastAsia="en-US" w:bidi="ar-SA"/>
              </w:rPr>
            </w:pPr>
            <w:r w:rsidRPr="00CF3FD0">
              <w:rPr>
                <w:b/>
                <w:snapToGrid w:val="0"/>
                <w:spacing w:val="-2"/>
                <w:kern w:val="28"/>
                <w:sz w:val="22"/>
                <w:szCs w:val="22"/>
                <w:lang w:val="en-US" w:eastAsia="en-US" w:bidi="ar-SA"/>
              </w:rPr>
              <w:t>)</w:t>
            </w:r>
          </w:p>
        </w:tc>
        <w:tc>
          <w:tcPr>
            <w:tcW w:w="4248" w:type="dxa"/>
          </w:tcPr>
          <w:p w:rsidR="004C2EE3" w:rsidRPr="00CF3FD0" w14:paraId="66492E69" w14:textId="77777777">
            <w:pPr>
              <w:widowControl w:val="0"/>
              <w:tabs>
                <w:tab w:val="center" w:pos="4680"/>
              </w:tabs>
              <w:suppressAutoHyphens/>
              <w:rPr>
                <w:rStyle w:val="DefaultParagraphFont"/>
                <w:snapToGrid w:val="0"/>
                <w:spacing w:val="-2"/>
                <w:kern w:val="28"/>
                <w:sz w:val="22"/>
                <w:szCs w:val="22"/>
                <w:lang w:val="en-US" w:eastAsia="en-US" w:bidi="ar-SA"/>
              </w:rPr>
            </w:pPr>
          </w:p>
          <w:p w:rsidR="004C2EE3" w:rsidRPr="00CF3FD0" w14:paraId="2086635D" w14:textId="77777777">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A4099F" w:rsidRPr="00CF3FD0" w:rsidP="00A4099F" w14:paraId="5E9EABDE" w14:textId="77777777">
            <w:pPr>
              <w:widowControl w:val="0"/>
              <w:tabs>
                <w:tab w:val="center" w:pos="4680"/>
              </w:tabs>
              <w:suppressAutoHyphens/>
              <w:rPr>
                <w:rStyle w:val="DefaultParagraphFont"/>
                <w:snapToGrid w:val="0"/>
                <w:spacing w:val="-2"/>
                <w:kern w:val="28"/>
                <w:sz w:val="22"/>
                <w:szCs w:val="22"/>
                <w:lang w:val="en-US" w:eastAsia="en-US" w:bidi="ar-SA"/>
              </w:rPr>
            </w:pPr>
            <w:r w:rsidRPr="00CF3FD0">
              <w:rPr>
                <w:snapToGrid w:val="0"/>
                <w:spacing w:val="-2"/>
                <w:kern w:val="28"/>
                <w:sz w:val="22"/>
                <w:szCs w:val="22"/>
                <w:lang w:val="en-US" w:eastAsia="en-US" w:bidi="ar-SA"/>
              </w:rPr>
              <w:t>Facility ID No. 68182</w:t>
            </w:r>
          </w:p>
          <w:p w:rsidR="00A4099F" w:rsidRPr="00CF3FD0" w:rsidP="00A4099F" w14:paraId="08344FA0" w14:textId="77777777">
            <w:pPr>
              <w:widowControl w:val="0"/>
              <w:tabs>
                <w:tab w:val="center" w:pos="4680"/>
              </w:tabs>
              <w:suppressAutoHyphens/>
              <w:rPr>
                <w:rStyle w:val="DefaultParagraphFont"/>
                <w:snapToGrid w:val="0"/>
                <w:spacing w:val="-2"/>
                <w:kern w:val="28"/>
                <w:sz w:val="22"/>
                <w:szCs w:val="22"/>
                <w:lang w:val="en-US" w:eastAsia="en-US" w:bidi="ar-SA"/>
              </w:rPr>
            </w:pPr>
          </w:p>
          <w:p w:rsidR="00A4099F" w:rsidRPr="00CF3FD0" w:rsidP="00A4099F" w14:paraId="59DF56C9" w14:textId="77777777">
            <w:pPr>
              <w:widowControl w:val="0"/>
              <w:tabs>
                <w:tab w:val="center" w:pos="4680"/>
              </w:tabs>
              <w:suppressAutoHyphens/>
              <w:rPr>
                <w:rStyle w:val="DefaultParagraphFont"/>
                <w:snapToGrid w:val="0"/>
                <w:spacing w:val="-2"/>
                <w:kern w:val="28"/>
                <w:sz w:val="22"/>
                <w:szCs w:val="22"/>
                <w:lang w:val="en-US" w:eastAsia="en-US" w:bidi="ar-SA"/>
              </w:rPr>
            </w:pPr>
          </w:p>
          <w:p w:rsidR="00A4099F" w:rsidRPr="00CF3FD0" w:rsidP="00A4099F" w14:paraId="6811368F" w14:textId="77777777">
            <w:pPr>
              <w:widowControl w:val="0"/>
              <w:tabs>
                <w:tab w:val="center" w:pos="4680"/>
              </w:tabs>
              <w:suppressAutoHyphens/>
              <w:rPr>
                <w:rStyle w:val="DefaultParagraphFont"/>
                <w:snapToGrid w:val="0"/>
                <w:spacing w:val="-2"/>
                <w:kern w:val="28"/>
                <w:sz w:val="22"/>
                <w:szCs w:val="22"/>
                <w:lang w:val="en-US" w:eastAsia="en-US" w:bidi="ar-SA"/>
              </w:rPr>
            </w:pPr>
            <w:r w:rsidRPr="00CF3FD0">
              <w:rPr>
                <w:snapToGrid w:val="0"/>
                <w:spacing w:val="-2"/>
                <w:kern w:val="28"/>
                <w:sz w:val="22"/>
                <w:szCs w:val="22"/>
                <w:lang w:val="en-US" w:eastAsia="en-US" w:bidi="ar-SA"/>
              </w:rPr>
              <w:t>File No. BR-20110531ASH</w:t>
            </w:r>
          </w:p>
          <w:p w:rsidR="00A4099F" w:rsidRPr="00CF3FD0" w:rsidP="00A4099F" w14:paraId="7766E81C" w14:textId="77777777">
            <w:pPr>
              <w:widowControl w:val="0"/>
              <w:tabs>
                <w:tab w:val="center" w:pos="4680"/>
              </w:tabs>
              <w:suppressAutoHyphens/>
              <w:rPr>
                <w:rStyle w:val="DefaultParagraphFont"/>
                <w:snapToGrid w:val="0"/>
                <w:spacing w:val="-2"/>
                <w:kern w:val="28"/>
                <w:sz w:val="22"/>
                <w:szCs w:val="22"/>
                <w:lang w:val="en-US" w:eastAsia="en-US" w:bidi="ar-SA"/>
              </w:rPr>
            </w:pPr>
          </w:p>
          <w:p w:rsidR="00A4099F" w:rsidRPr="00CF3FD0" w:rsidP="00A4099F" w14:paraId="41E3640C" w14:textId="77777777">
            <w:pPr>
              <w:widowControl w:val="0"/>
              <w:tabs>
                <w:tab w:val="center" w:pos="4680"/>
              </w:tabs>
              <w:suppressAutoHyphens/>
              <w:rPr>
                <w:rStyle w:val="DefaultParagraphFont"/>
                <w:snapToGrid w:val="0"/>
                <w:spacing w:val="-2"/>
                <w:kern w:val="28"/>
                <w:sz w:val="22"/>
                <w:szCs w:val="22"/>
                <w:lang w:val="en-US" w:eastAsia="en-US" w:bidi="ar-SA"/>
              </w:rPr>
            </w:pPr>
          </w:p>
          <w:p w:rsidR="00A4099F" w:rsidRPr="00CF3FD0" w:rsidP="00A4099F" w14:paraId="4B81ED29" w14:textId="77777777">
            <w:pPr>
              <w:widowControl w:val="0"/>
              <w:tabs>
                <w:tab w:val="center" w:pos="4680"/>
              </w:tabs>
              <w:suppressAutoHyphens/>
              <w:rPr>
                <w:rStyle w:val="DefaultParagraphFont"/>
                <w:snapToGrid w:val="0"/>
                <w:spacing w:val="-2"/>
                <w:kern w:val="28"/>
                <w:sz w:val="22"/>
                <w:szCs w:val="22"/>
                <w:lang w:val="es-ES" w:eastAsia="en-US" w:bidi="ar-SA"/>
              </w:rPr>
            </w:pPr>
            <w:r w:rsidRPr="00CF3FD0">
              <w:rPr>
                <w:snapToGrid w:val="0"/>
                <w:spacing w:val="-2"/>
                <w:kern w:val="28"/>
                <w:sz w:val="22"/>
                <w:szCs w:val="22"/>
                <w:lang w:val="es-ES" w:eastAsia="en-US" w:bidi="ar-SA"/>
              </w:rPr>
              <w:t>File No. BTC-20110222ACA</w:t>
            </w:r>
          </w:p>
          <w:p w:rsidR="00A4099F" w:rsidRPr="00CF3FD0" w:rsidP="00A4099F" w14:paraId="52741EB3" w14:textId="77777777">
            <w:pPr>
              <w:widowControl w:val="0"/>
              <w:tabs>
                <w:tab w:val="center" w:pos="4680"/>
              </w:tabs>
              <w:suppressAutoHyphens/>
              <w:rPr>
                <w:rStyle w:val="DefaultParagraphFont"/>
                <w:snapToGrid w:val="0"/>
                <w:spacing w:val="-2"/>
                <w:kern w:val="28"/>
                <w:sz w:val="22"/>
                <w:szCs w:val="22"/>
                <w:lang w:val="es-ES" w:eastAsia="en-US" w:bidi="ar-SA"/>
              </w:rPr>
            </w:pPr>
          </w:p>
          <w:p w:rsidR="00A4099F" w:rsidRPr="00CF3FD0" w:rsidP="00A4099F" w14:paraId="4BCAACF1" w14:textId="77777777">
            <w:pPr>
              <w:widowControl w:val="0"/>
              <w:tabs>
                <w:tab w:val="center" w:pos="4680"/>
              </w:tabs>
              <w:suppressAutoHyphens/>
              <w:rPr>
                <w:rStyle w:val="DefaultParagraphFont"/>
                <w:snapToGrid w:val="0"/>
                <w:spacing w:val="-2"/>
                <w:kern w:val="28"/>
                <w:sz w:val="22"/>
                <w:szCs w:val="22"/>
                <w:lang w:val="es-ES" w:eastAsia="en-US" w:bidi="ar-SA"/>
              </w:rPr>
            </w:pPr>
          </w:p>
          <w:p w:rsidR="00A4099F" w:rsidRPr="00CF3FD0" w:rsidP="00A4099F" w14:paraId="39597351" w14:textId="77777777">
            <w:pPr>
              <w:widowControl w:val="0"/>
              <w:tabs>
                <w:tab w:val="center" w:pos="4680"/>
              </w:tabs>
              <w:suppressAutoHyphens/>
              <w:rPr>
                <w:rStyle w:val="DefaultParagraphFont"/>
                <w:snapToGrid w:val="0"/>
                <w:spacing w:val="-2"/>
                <w:kern w:val="28"/>
                <w:sz w:val="22"/>
                <w:szCs w:val="22"/>
                <w:lang w:val="es-ES" w:eastAsia="en-US" w:bidi="ar-SA"/>
              </w:rPr>
            </w:pPr>
          </w:p>
          <w:p w:rsidR="004C2EE3" w:rsidRPr="00CF3FD0" w:rsidP="00A4099F" w14:paraId="37A9B521" w14:textId="77777777">
            <w:pPr>
              <w:widowControl w:val="0"/>
              <w:tabs>
                <w:tab w:val="center" w:pos="4680"/>
              </w:tabs>
              <w:suppressAutoHyphens/>
              <w:rPr>
                <w:rStyle w:val="DefaultParagraphFont"/>
                <w:snapToGrid w:val="0"/>
                <w:spacing w:val="-2"/>
                <w:kern w:val="28"/>
                <w:sz w:val="22"/>
                <w:szCs w:val="22"/>
                <w:lang w:val="en-US" w:eastAsia="en-US" w:bidi="ar-SA"/>
              </w:rPr>
            </w:pPr>
            <w:r w:rsidRPr="00CF3FD0">
              <w:rPr>
                <w:snapToGrid w:val="0"/>
                <w:spacing w:val="-2"/>
                <w:kern w:val="28"/>
                <w:sz w:val="22"/>
                <w:szCs w:val="22"/>
                <w:lang w:val="es-ES" w:eastAsia="en-US" w:bidi="ar-SA"/>
              </w:rPr>
              <w:t xml:space="preserve">File No. </w:t>
            </w:r>
            <w:r w:rsidRPr="00CF3FD0">
              <w:rPr>
                <w:snapToGrid w:val="0"/>
                <w:spacing w:val="-2"/>
                <w:kern w:val="28"/>
                <w:sz w:val="22"/>
                <w:szCs w:val="22"/>
                <w:lang w:val="en-US" w:eastAsia="en-US" w:bidi="ar-SA"/>
              </w:rPr>
              <w:t>BL-20111101ALT</w:t>
            </w:r>
          </w:p>
        </w:tc>
      </w:tr>
    </w:tbl>
    <w:p w:rsidR="004C2EE3" w:rsidRPr="00CF3FD0" w:rsidP="0070224F" w14:paraId="1F324C5A" w14:textId="77777777">
      <w:pPr>
        <w:rPr>
          <w:szCs w:val="22"/>
        </w:rPr>
      </w:pPr>
    </w:p>
    <w:p w:rsidR="00841AB1" w:rsidRPr="00CF3FD0" w:rsidP="00F021FA" w14:paraId="3E349635" w14:textId="77777777">
      <w:pPr>
        <w:pStyle w:val="StyleBoldCentered"/>
        <w:rPr>
          <w:rFonts w:ascii="Times New Roman" w:hAnsi="Times New Roman"/>
        </w:rPr>
      </w:pPr>
      <w:r w:rsidRPr="00CF3FD0">
        <w:rPr>
          <w:rFonts w:ascii="Times New Roman" w:hAnsi="Times New Roman"/>
        </w:rPr>
        <w:t>Order on Reconsideration</w:t>
      </w:r>
    </w:p>
    <w:p w:rsidR="004C2EE3" w:rsidRPr="00CF3FD0" w14:paraId="13D2D3B0" w14:textId="77777777">
      <w:pPr>
        <w:tabs>
          <w:tab w:val="left" w:pos="-720"/>
        </w:tabs>
        <w:suppressAutoHyphens/>
        <w:spacing w:line="227" w:lineRule="auto"/>
        <w:rPr>
          <w:spacing w:val="-2"/>
          <w:szCs w:val="22"/>
        </w:rPr>
      </w:pPr>
    </w:p>
    <w:p w:rsidR="004C2EE3" w:rsidRPr="00CF3FD0" w:rsidP="00133F79" w14:paraId="1A0FD085" w14:textId="79E93F31">
      <w:pPr>
        <w:tabs>
          <w:tab w:val="left" w:pos="720"/>
          <w:tab w:val="right" w:pos="9360"/>
        </w:tabs>
        <w:suppressAutoHyphens/>
        <w:spacing w:line="227" w:lineRule="auto"/>
        <w:rPr>
          <w:spacing w:val="-2"/>
          <w:szCs w:val="22"/>
        </w:rPr>
      </w:pPr>
      <w:r w:rsidRPr="00CF3FD0">
        <w:rPr>
          <w:b/>
          <w:spacing w:val="-2"/>
          <w:szCs w:val="22"/>
        </w:rPr>
        <w:t xml:space="preserve">Adopted:  </w:t>
      </w:r>
      <w:r w:rsidR="00AA70B3">
        <w:rPr>
          <w:b/>
          <w:spacing w:val="-2"/>
          <w:szCs w:val="22"/>
        </w:rPr>
        <w:t>December 15, 2017</w:t>
      </w:r>
      <w:r w:rsidRPr="00CF3FD0">
        <w:rPr>
          <w:b/>
          <w:spacing w:val="-2"/>
          <w:szCs w:val="22"/>
        </w:rPr>
        <w:tab/>
      </w:r>
      <w:r w:rsidRPr="00CF3FD0" w:rsidR="00822CE0">
        <w:rPr>
          <w:b/>
          <w:spacing w:val="-2"/>
          <w:szCs w:val="22"/>
        </w:rPr>
        <w:t>Released</w:t>
      </w:r>
      <w:r w:rsidRPr="00CF3FD0">
        <w:rPr>
          <w:b/>
          <w:spacing w:val="-2"/>
          <w:szCs w:val="22"/>
        </w:rPr>
        <w:t>:</w:t>
      </w:r>
      <w:r w:rsidRPr="00CF3FD0" w:rsidR="00822CE0">
        <w:rPr>
          <w:b/>
          <w:spacing w:val="-2"/>
          <w:szCs w:val="22"/>
        </w:rPr>
        <w:t xml:space="preserve"> </w:t>
      </w:r>
      <w:r w:rsidRPr="00CF3FD0">
        <w:rPr>
          <w:b/>
          <w:spacing w:val="-2"/>
          <w:szCs w:val="22"/>
        </w:rPr>
        <w:t xml:space="preserve"> </w:t>
      </w:r>
      <w:r w:rsidR="00AA70B3">
        <w:rPr>
          <w:b/>
          <w:spacing w:val="-2"/>
          <w:szCs w:val="22"/>
        </w:rPr>
        <w:t>December 15, 2017</w:t>
      </w:r>
    </w:p>
    <w:p w:rsidR="00822CE0" w:rsidRPr="00CF3FD0" w14:paraId="6BBF4007" w14:textId="77777777">
      <w:pPr>
        <w:rPr>
          <w:szCs w:val="22"/>
        </w:rPr>
      </w:pPr>
    </w:p>
    <w:p w:rsidR="004C2EE3" w:rsidRPr="00CF3FD0" w14:paraId="230831D9" w14:textId="77777777">
      <w:pPr>
        <w:rPr>
          <w:spacing w:val="-2"/>
          <w:szCs w:val="22"/>
        </w:rPr>
      </w:pPr>
      <w:r w:rsidRPr="00CF3FD0">
        <w:rPr>
          <w:szCs w:val="22"/>
        </w:rPr>
        <w:t xml:space="preserve">By </w:t>
      </w:r>
      <w:r w:rsidRPr="00CF3FD0" w:rsidR="004E4A22">
        <w:rPr>
          <w:szCs w:val="22"/>
        </w:rPr>
        <w:t>the</w:t>
      </w:r>
      <w:r w:rsidRPr="00CF3FD0" w:rsidR="002A2D2E">
        <w:rPr>
          <w:szCs w:val="22"/>
        </w:rPr>
        <w:t xml:space="preserve"> </w:t>
      </w:r>
      <w:r w:rsidRPr="00CF3FD0" w:rsidR="00155035">
        <w:rPr>
          <w:szCs w:val="22"/>
        </w:rPr>
        <w:t xml:space="preserve">Chief, </w:t>
      </w:r>
      <w:r w:rsidRPr="00CF3FD0" w:rsidR="00451EDB">
        <w:rPr>
          <w:spacing w:val="-2"/>
          <w:szCs w:val="22"/>
        </w:rPr>
        <w:t>Media Bureau</w:t>
      </w:r>
      <w:r w:rsidRPr="00CF3FD0">
        <w:rPr>
          <w:spacing w:val="-2"/>
          <w:szCs w:val="22"/>
        </w:rPr>
        <w:t>:</w:t>
      </w:r>
    </w:p>
    <w:p w:rsidR="00822CE0" w:rsidRPr="00CF3FD0" w14:paraId="0C6D1B7D" w14:textId="77777777">
      <w:pPr>
        <w:rPr>
          <w:spacing w:val="-2"/>
          <w:szCs w:val="22"/>
        </w:rPr>
      </w:pPr>
    </w:p>
    <w:p w:rsidR="00D24457" w:rsidRPr="00434F24" w:rsidP="00434F24" w14:paraId="50C45317" w14:textId="1059055C">
      <w:pPr>
        <w:pStyle w:val="Heading1"/>
      </w:pPr>
      <w:r w:rsidRPr="00434F24">
        <w:t>INTRODUCTION</w:t>
      </w:r>
    </w:p>
    <w:p w:rsidR="00813995" w:rsidRPr="00CF3FD0" w:rsidP="00434F24" w14:paraId="16B47A8A" w14:textId="18A23924">
      <w:pPr>
        <w:pStyle w:val="ParaNum"/>
      </w:pPr>
      <w:r w:rsidRPr="00CF3FD0">
        <w:t>The Media Bureau (Bureau) has before it</w:t>
      </w:r>
      <w:r w:rsidR="00A300CA">
        <w:t xml:space="preserve"> the</w:t>
      </w:r>
      <w:r w:rsidRPr="00CF3FD0">
        <w:t xml:space="preserve"> Petition for Reconsideration (Petition)</w:t>
      </w:r>
      <w:r w:rsidRPr="00CF3FD0" w:rsidR="00D455C9">
        <w:t xml:space="preserve"> filed on June 7, 2017</w:t>
      </w:r>
      <w:r w:rsidRPr="00CF3FD0">
        <w:t xml:space="preserve">, by Holston Valley Broadcasting Corporation (Holston) relating to the above-captioned </w:t>
      </w:r>
      <w:r w:rsidRPr="00CF3FD0" w:rsidR="00155035">
        <w:t xml:space="preserve">renewal, transfer of control, and license </w:t>
      </w:r>
      <w:r w:rsidRPr="00CF3FD0">
        <w:t>applications</w:t>
      </w:r>
      <w:r w:rsidRPr="00CF3FD0" w:rsidR="00155035">
        <w:t xml:space="preserve"> (Renewal Application, Transfer Application, and License Application, respectively</w:t>
      </w:r>
      <w:r w:rsidR="00A300CA">
        <w:t>; Applications, collectively</w:t>
      </w:r>
      <w:r w:rsidRPr="00CF3FD0" w:rsidR="00155035">
        <w:t>)</w:t>
      </w:r>
      <w:r w:rsidRPr="00CF3FD0">
        <w:t xml:space="preserve"> filed by Continental Media Group, LLC (Continental), licensee of Station WXMY(AM), Saltville, Virginia (Station)</w:t>
      </w:r>
      <w:r w:rsidRPr="00CF3FD0" w:rsidR="0026029F">
        <w:t>; and related responsive pleadings</w:t>
      </w:r>
      <w:r w:rsidRPr="00CF3FD0">
        <w:t>.</w:t>
      </w:r>
      <w:r>
        <w:rPr>
          <w:rStyle w:val="FootnoteReference"/>
          <w:sz w:val="22"/>
          <w:szCs w:val="22"/>
        </w:rPr>
        <w:footnoteReference w:id="3"/>
      </w:r>
      <w:r w:rsidRPr="00CF3FD0">
        <w:t xml:space="preserve">  Holston seeks </w:t>
      </w:r>
      <w:r w:rsidRPr="00CF3FD0" w:rsidR="00155035">
        <w:t>reconsideration</w:t>
      </w:r>
      <w:r w:rsidRPr="00CF3FD0">
        <w:t xml:space="preserve"> of a Commission decision denying its November 26, 2016, Application for Review (AFR)</w:t>
      </w:r>
      <w:r w:rsidRPr="00CF3FD0" w:rsidR="001125E6">
        <w:t xml:space="preserve"> </w:t>
      </w:r>
      <w:r w:rsidRPr="00CF3FD0" w:rsidR="00155035">
        <w:t>of</w:t>
      </w:r>
      <w:r w:rsidRPr="00CF3FD0">
        <w:t xml:space="preserve"> the Bureau’s grant of the unopposed </w:t>
      </w:r>
      <w:r w:rsidRPr="00CF3FD0" w:rsidR="00ED5D8B">
        <w:t>R</w:t>
      </w:r>
      <w:r w:rsidRPr="00CF3FD0" w:rsidR="00155035">
        <w:t xml:space="preserve">enewal </w:t>
      </w:r>
      <w:r w:rsidR="008355EB">
        <w:t xml:space="preserve">Application </w:t>
      </w:r>
      <w:r w:rsidRPr="00CF3FD0" w:rsidR="00155035">
        <w:t>and</w:t>
      </w:r>
      <w:r w:rsidRPr="00CF3FD0" w:rsidR="00ED5D8B">
        <w:t xml:space="preserve"> T</w:t>
      </w:r>
      <w:r w:rsidRPr="00CF3FD0" w:rsidR="00155035">
        <w:t>ransfer</w:t>
      </w:r>
      <w:r w:rsidRPr="00CF3FD0" w:rsidR="00ED5D8B">
        <w:t xml:space="preserve"> A</w:t>
      </w:r>
      <w:r w:rsidR="008355EB">
        <w:t>pplication</w:t>
      </w:r>
      <w:r w:rsidRPr="00CF3FD0">
        <w:t xml:space="preserve">, and the concurrent grant of the </w:t>
      </w:r>
      <w:r w:rsidRPr="00CF3FD0" w:rsidR="00ED5D8B">
        <w:t>License Application</w:t>
      </w:r>
      <w:r w:rsidRPr="00CF3FD0">
        <w:t>, to which Holston had filed an Informal Objection.</w:t>
      </w:r>
      <w:r>
        <w:rPr>
          <w:rStyle w:val="FootnoteReference"/>
          <w:sz w:val="22"/>
          <w:szCs w:val="22"/>
        </w:rPr>
        <w:footnoteReference w:id="4"/>
      </w:r>
      <w:r w:rsidRPr="00CF3FD0" w:rsidR="00B76CC3">
        <w:t xml:space="preserve">  For the reasons set forth below, we dismiss the Petition pursuant to Section</w:t>
      </w:r>
      <w:r w:rsidR="006E33E2">
        <w:t xml:space="preserve"> 1.106</w:t>
      </w:r>
      <w:r w:rsidR="00A300CA">
        <w:t>(p)</w:t>
      </w:r>
      <w:r w:rsidRPr="00CF3FD0" w:rsidR="00B76CC3">
        <w:t xml:space="preserve"> of the </w:t>
      </w:r>
      <w:r w:rsidR="00C76E2D">
        <w:t>Commission’s</w:t>
      </w:r>
      <w:r w:rsidRPr="00CF3FD0" w:rsidR="00B76CC3">
        <w:t xml:space="preserve"> rules (Rules)</w:t>
      </w:r>
      <w:r w:rsidR="007C4164">
        <w:t>.</w:t>
      </w:r>
      <w:r>
        <w:rPr>
          <w:rStyle w:val="FootnoteReference"/>
          <w:sz w:val="22"/>
          <w:szCs w:val="22"/>
        </w:rPr>
        <w:footnoteReference w:id="5"/>
      </w:r>
      <w:r w:rsidRPr="00CF3FD0" w:rsidR="0038282D">
        <w:t xml:space="preserve"> </w:t>
      </w:r>
    </w:p>
    <w:p w:rsidR="0020590E" w:rsidRPr="003B401F" w:rsidP="00434F24" w14:paraId="24CDCA2A" w14:textId="77777777">
      <w:pPr>
        <w:pStyle w:val="Heading1"/>
      </w:pPr>
      <w:r w:rsidRPr="003B401F">
        <w:t>BACKGROUND</w:t>
      </w:r>
    </w:p>
    <w:p w:rsidR="00FF67CB" w:rsidRPr="00CF3FD0" w:rsidP="00434F24" w14:paraId="05D1726C" w14:textId="7E67C832">
      <w:pPr>
        <w:pStyle w:val="ParaNum"/>
      </w:pPr>
      <w:r w:rsidRPr="00CF3FD0">
        <w:t>On review, the Commission affirmed the Bureau’s prior determination that</w:t>
      </w:r>
      <w:r w:rsidR="00443C41">
        <w:t xml:space="preserve"> Holston’s</w:t>
      </w:r>
      <w:r w:rsidRPr="00CF3FD0">
        <w:t xml:space="preserve"> fail</w:t>
      </w:r>
      <w:r w:rsidR="00443C41">
        <w:t>ure</w:t>
      </w:r>
      <w:r w:rsidRPr="00CF3FD0">
        <w:t xml:space="preserve"> to file a petition to deny or otherwise oppose the Transfer </w:t>
      </w:r>
      <w:r w:rsidR="00A300CA">
        <w:t xml:space="preserve">Application </w:t>
      </w:r>
      <w:r w:rsidRPr="00CF3FD0">
        <w:t xml:space="preserve">and Renewal Application </w:t>
      </w:r>
      <w:r w:rsidRPr="00CF3FD0">
        <w:t xml:space="preserve">during their near </w:t>
      </w:r>
      <w:r w:rsidRPr="00CF3FD0" w:rsidR="009736C0">
        <w:t>five-year</w:t>
      </w:r>
      <w:r w:rsidRPr="00CF3FD0">
        <w:t xml:space="preserve"> pendency precluded </w:t>
      </w:r>
      <w:r w:rsidR="00A300CA">
        <w:t>it</w:t>
      </w:r>
      <w:r w:rsidRPr="00CF3FD0" w:rsidR="00A300CA">
        <w:t xml:space="preserve"> </w:t>
      </w:r>
      <w:r w:rsidRPr="00CF3FD0">
        <w:t xml:space="preserve">from later seeking reconsideration of the staff’s grant of those </w:t>
      </w:r>
      <w:r w:rsidR="00A300CA">
        <w:t>a</w:t>
      </w:r>
      <w:r w:rsidRPr="00CF3FD0">
        <w:t>pplications.</w:t>
      </w:r>
      <w:r>
        <w:rPr>
          <w:rStyle w:val="FootnoteReference"/>
          <w:sz w:val="22"/>
          <w:szCs w:val="22"/>
        </w:rPr>
        <w:footnoteReference w:id="6"/>
      </w:r>
      <w:r w:rsidRPr="00CF3FD0">
        <w:t xml:space="preserve">  The Commission also found that Holston failed to demonstrate “extraordinary circumstances” which would j</w:t>
      </w:r>
      <w:r w:rsidR="00953676">
        <w:t>ustify revocation of the contested</w:t>
      </w:r>
      <w:r w:rsidRPr="00CF3FD0">
        <w:t xml:space="preserve"> License Application </w:t>
      </w:r>
      <w:r w:rsidR="00953676">
        <w:t>under</w:t>
      </w:r>
      <w:r w:rsidRPr="00CF3FD0">
        <w:t xml:space="preserve"> Section 319(c) of the Communications Act of 1934, as amended (Act).</w:t>
      </w:r>
      <w:r w:rsidRPr="00CF3FD0" w:rsidR="00A212DA">
        <w:rPr>
          <w:rStyle w:val="FootnoteReference"/>
          <w:sz w:val="22"/>
          <w:szCs w:val="22"/>
        </w:rPr>
        <w:t xml:space="preserve"> </w:t>
      </w:r>
      <w:r>
        <w:rPr>
          <w:rStyle w:val="FootnoteReference"/>
          <w:sz w:val="22"/>
          <w:szCs w:val="22"/>
        </w:rPr>
        <w:footnoteReference w:id="7"/>
      </w:r>
    </w:p>
    <w:p w:rsidR="00042653" w:rsidRPr="00CF3FD0" w:rsidP="00434F24" w14:paraId="4F1F3F72" w14:textId="587A8E96">
      <w:pPr>
        <w:pStyle w:val="ParaNum"/>
        <w:rPr>
          <w:szCs w:val="22"/>
        </w:rPr>
      </w:pPr>
      <w:r w:rsidRPr="00CF3FD0">
        <w:rPr>
          <w:szCs w:val="22"/>
        </w:rPr>
        <w:t xml:space="preserve">In </w:t>
      </w:r>
      <w:r w:rsidR="00A300CA">
        <w:rPr>
          <w:szCs w:val="22"/>
        </w:rPr>
        <w:t>the subject</w:t>
      </w:r>
      <w:r w:rsidRPr="00CF3FD0" w:rsidR="00A300CA">
        <w:rPr>
          <w:szCs w:val="22"/>
        </w:rPr>
        <w:t xml:space="preserve"> </w:t>
      </w:r>
      <w:r w:rsidRPr="00CF3FD0">
        <w:rPr>
          <w:szCs w:val="22"/>
        </w:rPr>
        <w:t>Petition, Holston argues</w:t>
      </w:r>
      <w:r w:rsidRPr="00CF3FD0" w:rsidR="00F0580F">
        <w:rPr>
          <w:szCs w:val="22"/>
        </w:rPr>
        <w:t xml:space="preserve"> that “Continental Media Group, LLC” </w:t>
      </w:r>
      <w:r w:rsidRPr="00CF3FD0" w:rsidR="00F01A9E">
        <w:rPr>
          <w:szCs w:val="22"/>
        </w:rPr>
        <w:t xml:space="preserve">has </w:t>
      </w:r>
      <w:r w:rsidRPr="00CF3FD0" w:rsidR="00F0580F">
        <w:rPr>
          <w:szCs w:val="22"/>
        </w:rPr>
        <w:t>not exist</w:t>
      </w:r>
      <w:r w:rsidRPr="00CF3FD0" w:rsidR="00F01A9E">
        <w:rPr>
          <w:szCs w:val="22"/>
        </w:rPr>
        <w:t>ed</w:t>
      </w:r>
      <w:r w:rsidRPr="00CF3FD0" w:rsidR="00F0580F">
        <w:rPr>
          <w:szCs w:val="22"/>
        </w:rPr>
        <w:t xml:space="preserve"> as a Virginia Limited Liability Company</w:t>
      </w:r>
      <w:r w:rsidRPr="00CF3FD0" w:rsidR="00F01A9E">
        <w:rPr>
          <w:szCs w:val="22"/>
        </w:rPr>
        <w:t xml:space="preserve"> since at least December 31, 2013, and </w:t>
      </w:r>
      <w:r w:rsidRPr="00CF3FD0" w:rsidR="00915229">
        <w:rPr>
          <w:szCs w:val="22"/>
        </w:rPr>
        <w:t>aver</w:t>
      </w:r>
      <w:r w:rsidRPr="00CF3FD0" w:rsidR="00CC627D">
        <w:rPr>
          <w:szCs w:val="22"/>
        </w:rPr>
        <w:t>s</w:t>
      </w:r>
      <w:r w:rsidRPr="00CF3FD0" w:rsidR="00F01A9E">
        <w:rPr>
          <w:szCs w:val="22"/>
        </w:rPr>
        <w:t xml:space="preserve"> that all </w:t>
      </w:r>
      <w:r w:rsidRPr="00CF3FD0" w:rsidR="00915229">
        <w:rPr>
          <w:szCs w:val="22"/>
        </w:rPr>
        <w:t xml:space="preserve">Continental’s </w:t>
      </w:r>
      <w:r w:rsidRPr="00CF3FD0" w:rsidR="00F01A9E">
        <w:rPr>
          <w:szCs w:val="22"/>
        </w:rPr>
        <w:t>filing</w:t>
      </w:r>
      <w:r w:rsidRPr="00CF3FD0" w:rsidR="00915229">
        <w:rPr>
          <w:szCs w:val="22"/>
        </w:rPr>
        <w:t>s</w:t>
      </w:r>
      <w:r w:rsidRPr="00CF3FD0" w:rsidR="00F01A9E">
        <w:rPr>
          <w:szCs w:val="22"/>
        </w:rPr>
        <w:t xml:space="preserve"> to the Commission since then “must be stricken as sham and false pursuant to Section 1.52 of the </w:t>
      </w:r>
      <w:r w:rsidR="00050973">
        <w:rPr>
          <w:szCs w:val="22"/>
        </w:rPr>
        <w:t xml:space="preserve">[] </w:t>
      </w:r>
      <w:r w:rsidRPr="00CF3FD0" w:rsidR="00F01A9E">
        <w:rPr>
          <w:szCs w:val="22"/>
        </w:rPr>
        <w:t>Rules.”</w:t>
      </w:r>
      <w:r>
        <w:rPr>
          <w:rStyle w:val="FootnoteReference"/>
          <w:sz w:val="22"/>
          <w:szCs w:val="22"/>
        </w:rPr>
        <w:footnoteReference w:id="8"/>
      </w:r>
      <w:r w:rsidRPr="00CF3FD0" w:rsidR="00F01A9E">
        <w:rPr>
          <w:szCs w:val="22"/>
        </w:rPr>
        <w:t xml:space="preserve">  Holston also</w:t>
      </w:r>
      <w:r w:rsidRPr="00CF3FD0" w:rsidR="00F0580F">
        <w:rPr>
          <w:szCs w:val="22"/>
        </w:rPr>
        <w:t xml:space="preserve"> a</w:t>
      </w:r>
      <w:r w:rsidRPr="00CF3FD0" w:rsidR="00481E48">
        <w:rPr>
          <w:szCs w:val="22"/>
        </w:rPr>
        <w:t xml:space="preserve">sserts that Continental’s “apparent failure to notify the FCC of consummation” </w:t>
      </w:r>
      <w:r w:rsidRPr="00CF3FD0" w:rsidR="00ED5D8B">
        <w:rPr>
          <w:szCs w:val="22"/>
        </w:rPr>
        <w:t xml:space="preserve">of the Transfer Application </w:t>
      </w:r>
      <w:r w:rsidRPr="00CF3FD0" w:rsidR="00481E48">
        <w:rPr>
          <w:szCs w:val="22"/>
        </w:rPr>
        <w:t>necessitates a hearing to determine whether the Renewal Application could be granted.</w:t>
      </w:r>
      <w:r>
        <w:rPr>
          <w:rStyle w:val="FootnoteReference"/>
          <w:sz w:val="22"/>
          <w:szCs w:val="22"/>
        </w:rPr>
        <w:footnoteReference w:id="9"/>
      </w:r>
      <w:r w:rsidRPr="00CF3FD0" w:rsidR="005E4192">
        <w:rPr>
          <w:szCs w:val="22"/>
        </w:rPr>
        <w:t xml:space="preserve">  </w:t>
      </w:r>
      <w:r w:rsidRPr="00CF3FD0" w:rsidR="00F01A9E">
        <w:rPr>
          <w:szCs w:val="22"/>
        </w:rPr>
        <w:t xml:space="preserve">Finally, Holston </w:t>
      </w:r>
      <w:r w:rsidRPr="00CF3FD0" w:rsidR="005E4192">
        <w:rPr>
          <w:szCs w:val="22"/>
        </w:rPr>
        <w:t>alleges that Continental</w:t>
      </w:r>
      <w:r w:rsidR="00A300CA">
        <w:rPr>
          <w:szCs w:val="22"/>
        </w:rPr>
        <w:t>’s license may have expired pursuant to</w:t>
      </w:r>
      <w:r w:rsidRPr="00CF3FD0" w:rsidR="005E4192">
        <w:rPr>
          <w:szCs w:val="22"/>
        </w:rPr>
        <w:t xml:space="preserve"> </w:t>
      </w:r>
      <w:r w:rsidRPr="00CF3FD0" w:rsidR="007B5E63">
        <w:rPr>
          <w:szCs w:val="22"/>
        </w:rPr>
        <w:t>Section</w:t>
      </w:r>
      <w:r w:rsidRPr="00CF3FD0" w:rsidR="005E4192">
        <w:rPr>
          <w:szCs w:val="22"/>
        </w:rPr>
        <w:t xml:space="preserve"> 312(g)</w:t>
      </w:r>
      <w:r w:rsidRPr="00CF3FD0" w:rsidR="007B5E63">
        <w:rPr>
          <w:szCs w:val="22"/>
        </w:rPr>
        <w:t xml:space="preserve"> of the Act</w:t>
      </w:r>
      <w:r w:rsidRPr="00CF3FD0" w:rsidR="005E4192">
        <w:rPr>
          <w:szCs w:val="22"/>
        </w:rPr>
        <w:t xml:space="preserve"> because “it appears that [the Station] may not have been broadcasting any programming, as the [S]tation’s transmitter has been turned on, </w:t>
      </w:r>
      <w:r w:rsidRPr="00501A0F" w:rsidR="005E4192">
        <w:rPr>
          <w:szCs w:val="22"/>
        </w:rPr>
        <w:t>but no programming is being broadcast.”</w:t>
      </w:r>
      <w:r>
        <w:rPr>
          <w:rStyle w:val="FootnoteReference"/>
          <w:sz w:val="22"/>
          <w:szCs w:val="22"/>
        </w:rPr>
        <w:footnoteReference w:id="10"/>
      </w:r>
      <w:r w:rsidRPr="00CF3FD0" w:rsidR="005E4192">
        <w:rPr>
          <w:szCs w:val="22"/>
        </w:rPr>
        <w:t xml:space="preserve"> </w:t>
      </w:r>
      <w:r w:rsidRPr="00CF3FD0" w:rsidR="00A212DA">
        <w:rPr>
          <w:szCs w:val="22"/>
        </w:rPr>
        <w:t xml:space="preserve"> </w:t>
      </w:r>
    </w:p>
    <w:p w:rsidR="00647CF7" w:rsidRPr="00CF3FD0" w:rsidP="00434F24" w14:paraId="7CD1EAAD" w14:textId="08C58B06">
      <w:pPr>
        <w:pStyle w:val="ParaNum"/>
        <w:rPr>
          <w:szCs w:val="22"/>
        </w:rPr>
      </w:pPr>
      <w:r w:rsidRPr="00CF3FD0">
        <w:rPr>
          <w:szCs w:val="22"/>
        </w:rPr>
        <w:t>In its Opposition</w:t>
      </w:r>
      <w:r w:rsidRPr="00CF3FD0" w:rsidR="00CE15CA">
        <w:rPr>
          <w:szCs w:val="22"/>
        </w:rPr>
        <w:t>, Continental first argues that Holston d</w:t>
      </w:r>
      <w:r w:rsidRPr="00CF3FD0" w:rsidR="00364512">
        <w:rPr>
          <w:szCs w:val="22"/>
        </w:rPr>
        <w:t>id</w:t>
      </w:r>
      <w:r w:rsidRPr="00CF3FD0" w:rsidR="00CE15CA">
        <w:rPr>
          <w:szCs w:val="22"/>
        </w:rPr>
        <w:t xml:space="preserve"> not did not c</w:t>
      </w:r>
      <w:r w:rsidRPr="00CF3FD0" w:rsidR="008D2393">
        <w:rPr>
          <w:szCs w:val="22"/>
        </w:rPr>
        <w:t>ontest the Transfer</w:t>
      </w:r>
      <w:r w:rsidR="00A019B9">
        <w:rPr>
          <w:szCs w:val="22"/>
        </w:rPr>
        <w:t xml:space="preserve"> Application</w:t>
      </w:r>
      <w:r w:rsidRPr="00CF3FD0" w:rsidR="008D2393">
        <w:rPr>
          <w:szCs w:val="22"/>
        </w:rPr>
        <w:t xml:space="preserve"> or Renewal A</w:t>
      </w:r>
      <w:r w:rsidRPr="00CF3FD0" w:rsidR="00CE15CA">
        <w:rPr>
          <w:szCs w:val="22"/>
        </w:rPr>
        <w:t>pplication prior to grant and is procedurally barred by both prior Bureau and Commission actions from challenging either of those applications in its Petition.</w:t>
      </w:r>
      <w:r>
        <w:rPr>
          <w:rStyle w:val="FootnoteReference"/>
          <w:sz w:val="22"/>
          <w:szCs w:val="22"/>
        </w:rPr>
        <w:footnoteReference w:id="11"/>
      </w:r>
      <w:r w:rsidRPr="00CF3FD0" w:rsidR="005446FD">
        <w:rPr>
          <w:szCs w:val="22"/>
        </w:rPr>
        <w:t xml:space="preserve"> </w:t>
      </w:r>
      <w:r w:rsidRPr="00CF3FD0" w:rsidR="00EE14FA">
        <w:rPr>
          <w:szCs w:val="22"/>
        </w:rPr>
        <w:t xml:space="preserve"> It also claims that the Petition raises new matters</w:t>
      </w:r>
      <w:r w:rsidRPr="00CF3FD0" w:rsidR="0058180E">
        <w:rPr>
          <w:szCs w:val="22"/>
        </w:rPr>
        <w:t>, none of which pertain to any issues previously raised</w:t>
      </w:r>
      <w:r w:rsidR="00BC21E1">
        <w:rPr>
          <w:szCs w:val="22"/>
        </w:rPr>
        <w:t xml:space="preserve"> </w:t>
      </w:r>
      <w:r w:rsidRPr="00CF3FD0" w:rsidR="00EE14FA">
        <w:rPr>
          <w:szCs w:val="22"/>
        </w:rPr>
        <w:t>in this proceeding.</w:t>
      </w:r>
      <w:r>
        <w:rPr>
          <w:rStyle w:val="FootnoteReference"/>
          <w:sz w:val="22"/>
          <w:szCs w:val="22"/>
        </w:rPr>
        <w:footnoteReference w:id="12"/>
      </w:r>
      <w:r w:rsidRPr="00CF3FD0" w:rsidR="00532219">
        <w:rPr>
          <w:szCs w:val="22"/>
        </w:rPr>
        <w:t xml:space="preserve">  Substantively, Continental argues that Holston has presented no facts demonstrating that it did not timely resume Station operations (including audio programming material) on March 19, 2017</w:t>
      </w:r>
      <w:r w:rsidR="009B51D9">
        <w:rPr>
          <w:szCs w:val="22"/>
        </w:rPr>
        <w:t xml:space="preserve">.  </w:t>
      </w:r>
      <w:r w:rsidR="00223838">
        <w:rPr>
          <w:szCs w:val="22"/>
        </w:rPr>
        <w:t xml:space="preserve">Continental </w:t>
      </w:r>
      <w:r w:rsidR="009B51D9">
        <w:rPr>
          <w:szCs w:val="22"/>
        </w:rPr>
        <w:t xml:space="preserve">also rejects as irrelevant </w:t>
      </w:r>
      <w:r w:rsidR="00223838">
        <w:rPr>
          <w:szCs w:val="22"/>
        </w:rPr>
        <w:t xml:space="preserve">to Commission consideration of the Renewal Application both </w:t>
      </w:r>
      <w:r w:rsidR="009B51D9">
        <w:rPr>
          <w:szCs w:val="22"/>
        </w:rPr>
        <w:t xml:space="preserve">the </w:t>
      </w:r>
      <w:r w:rsidRPr="00CF3FD0" w:rsidR="00855B06">
        <w:rPr>
          <w:szCs w:val="22"/>
        </w:rPr>
        <w:t>allegation that</w:t>
      </w:r>
      <w:r w:rsidRPr="00CF3FD0" w:rsidR="007B5E63">
        <w:rPr>
          <w:szCs w:val="22"/>
        </w:rPr>
        <w:t xml:space="preserve"> it broadcast with “</w:t>
      </w:r>
      <w:r w:rsidRPr="00CF3FD0" w:rsidR="00532219">
        <w:rPr>
          <w:szCs w:val="22"/>
        </w:rPr>
        <w:t xml:space="preserve">carrier only” at times </w:t>
      </w:r>
      <w:r w:rsidRPr="00CF3FD0" w:rsidR="005C7D61">
        <w:rPr>
          <w:szCs w:val="22"/>
        </w:rPr>
        <w:t xml:space="preserve">between </w:t>
      </w:r>
      <w:r w:rsidR="00501A0F">
        <w:rPr>
          <w:szCs w:val="22"/>
        </w:rPr>
        <w:t>“</w:t>
      </w:r>
      <w:r w:rsidRPr="00CF3FD0" w:rsidR="005C7D61">
        <w:rPr>
          <w:szCs w:val="22"/>
        </w:rPr>
        <w:t>May 18 and June 5, 2017,</w:t>
      </w:r>
      <w:r w:rsidR="00501A0F">
        <w:rPr>
          <w:szCs w:val="22"/>
        </w:rPr>
        <w:t>”</w:t>
      </w:r>
      <w:r w:rsidRPr="00CF3FD0" w:rsidR="007B5E63">
        <w:rPr>
          <w:szCs w:val="22"/>
        </w:rPr>
        <w:t xml:space="preserve"> </w:t>
      </w:r>
      <w:r w:rsidRPr="00CF3FD0" w:rsidR="007174BA">
        <w:rPr>
          <w:szCs w:val="22"/>
        </w:rPr>
        <w:t>and</w:t>
      </w:r>
      <w:r w:rsidRPr="00CF3FD0" w:rsidR="005C7D61">
        <w:rPr>
          <w:szCs w:val="22"/>
        </w:rPr>
        <w:t xml:space="preserve"> </w:t>
      </w:r>
      <w:r w:rsidR="00223838">
        <w:rPr>
          <w:szCs w:val="22"/>
        </w:rPr>
        <w:t xml:space="preserve">the allegation </w:t>
      </w:r>
      <w:r w:rsidRPr="00CF3FD0" w:rsidR="005C7D61">
        <w:rPr>
          <w:szCs w:val="22"/>
        </w:rPr>
        <w:t xml:space="preserve">that it failed to timely file a consummation notice and ownership report </w:t>
      </w:r>
      <w:r w:rsidR="001E7ADF">
        <w:rPr>
          <w:szCs w:val="22"/>
        </w:rPr>
        <w:t>following the grant of the</w:t>
      </w:r>
      <w:r w:rsidRPr="00CF3FD0" w:rsidR="005C7D61">
        <w:rPr>
          <w:szCs w:val="22"/>
        </w:rPr>
        <w:t xml:space="preserve"> Transfer Application</w:t>
      </w:r>
      <w:r w:rsidR="001E7ADF">
        <w:rPr>
          <w:szCs w:val="22"/>
        </w:rPr>
        <w:t>.</w:t>
      </w:r>
      <w:r>
        <w:rPr>
          <w:rStyle w:val="FootnoteReference"/>
          <w:sz w:val="22"/>
          <w:szCs w:val="22"/>
        </w:rPr>
        <w:footnoteReference w:id="13"/>
      </w:r>
      <w:r w:rsidRPr="00CF3FD0" w:rsidR="00A53033">
        <w:rPr>
          <w:szCs w:val="22"/>
        </w:rPr>
        <w:t xml:space="preserve">  Continental also indicates that: </w:t>
      </w:r>
      <w:r w:rsidR="00D93678">
        <w:rPr>
          <w:szCs w:val="22"/>
        </w:rPr>
        <w:t xml:space="preserve"> </w:t>
      </w:r>
      <w:r w:rsidRPr="00CF3FD0" w:rsidR="00A53033">
        <w:rPr>
          <w:szCs w:val="22"/>
        </w:rPr>
        <w:t xml:space="preserve">(1) it has now filed both a consummation notice and an ownership report </w:t>
      </w:r>
      <w:r w:rsidRPr="00CF3FD0" w:rsidR="00A53033">
        <w:rPr>
          <w:i/>
          <w:szCs w:val="22"/>
        </w:rPr>
        <w:t xml:space="preserve">vis-à-vis </w:t>
      </w:r>
      <w:r w:rsidRPr="00CF3FD0" w:rsidR="00A53033">
        <w:rPr>
          <w:szCs w:val="22"/>
        </w:rPr>
        <w:t xml:space="preserve">the Transfer Application; (2) Continental’s lapse of official status in Virginia was inadvertent, and it is again in good standing with the Commonwealth; and (3) </w:t>
      </w:r>
      <w:r w:rsidR="00C57473">
        <w:rPr>
          <w:szCs w:val="22"/>
        </w:rPr>
        <w:t xml:space="preserve">regarding Holston’s claim of “sham and false pleadings,” </w:t>
      </w:r>
      <w:r w:rsidRPr="00CF3FD0" w:rsidR="00A53033">
        <w:rPr>
          <w:szCs w:val="22"/>
        </w:rPr>
        <w:t>Holston has presented no evidence that Continental ever presented information with an intent to deceive the Commission</w:t>
      </w:r>
      <w:r w:rsidR="00C57473">
        <w:rPr>
          <w:szCs w:val="22"/>
        </w:rPr>
        <w:t>.</w:t>
      </w:r>
      <w:r>
        <w:rPr>
          <w:rStyle w:val="FootnoteReference"/>
          <w:sz w:val="22"/>
          <w:szCs w:val="22"/>
        </w:rPr>
        <w:footnoteReference w:id="14"/>
      </w:r>
      <w:r w:rsidRPr="00CF3FD0" w:rsidR="00A53033">
        <w:rPr>
          <w:szCs w:val="22"/>
        </w:rPr>
        <w:t xml:space="preserve">  </w:t>
      </w:r>
    </w:p>
    <w:p w:rsidR="000032B1" w:rsidP="00AA70B3" w14:paraId="540F2488" w14:textId="77777777">
      <w:pPr>
        <w:pStyle w:val="ParaNum"/>
        <w:widowControl/>
        <w:rPr>
          <w:szCs w:val="22"/>
        </w:rPr>
      </w:pPr>
      <w:r w:rsidRPr="00CF3FD0">
        <w:rPr>
          <w:szCs w:val="22"/>
        </w:rPr>
        <w:t xml:space="preserve">In its “Comments” on the </w:t>
      </w:r>
      <w:r w:rsidRPr="00CF3FD0">
        <w:rPr>
          <w:i/>
          <w:szCs w:val="22"/>
        </w:rPr>
        <w:t>First Motion</w:t>
      </w:r>
      <w:r w:rsidRPr="00CF3FD0">
        <w:rPr>
          <w:szCs w:val="22"/>
        </w:rPr>
        <w:t xml:space="preserve">, </w:t>
      </w:r>
      <w:r w:rsidRPr="00CF3FD0" w:rsidR="004D3D18">
        <w:rPr>
          <w:szCs w:val="22"/>
        </w:rPr>
        <w:t>Holston reiterates its charge that Continental was</w:t>
      </w:r>
      <w:r w:rsidRPr="00CF3FD0" w:rsidR="00B14527">
        <w:rPr>
          <w:szCs w:val="22"/>
        </w:rPr>
        <w:t>,</w:t>
      </w:r>
      <w:r w:rsidRPr="00CF3FD0" w:rsidR="004D3D18">
        <w:rPr>
          <w:szCs w:val="22"/>
        </w:rPr>
        <w:t xml:space="preserve"> at the time of filing</w:t>
      </w:r>
      <w:r w:rsidRPr="00CF3FD0" w:rsidR="00B14527">
        <w:rPr>
          <w:szCs w:val="22"/>
        </w:rPr>
        <w:t>,</w:t>
      </w:r>
      <w:r w:rsidRPr="00CF3FD0" w:rsidR="004D3D18">
        <w:rPr>
          <w:szCs w:val="22"/>
        </w:rPr>
        <w:t xml:space="preserve"> a non-existent business entity and had been so since </w:t>
      </w:r>
      <w:r w:rsidRPr="00CF3FD0" w:rsidR="00C52362">
        <w:rPr>
          <w:szCs w:val="22"/>
        </w:rPr>
        <w:t xml:space="preserve">December 31, 2002.  </w:t>
      </w:r>
      <w:r w:rsidRPr="00CF3FD0" w:rsidR="00404BC7">
        <w:rPr>
          <w:szCs w:val="22"/>
        </w:rPr>
        <w:t>Thus, argues Holston, (1) any filing made on behalf of that non-existent corporation must be considered a “sham” or “false” and constitutes a misdemeanor under Virginia law; (2) as a “purged” corporation, Continental under Virginia law will never be able to get its charter reinstated, and applications and pleadings cannot lawfully be filed with the Commission on behalf of a nonexistent LLC applicant.</w:t>
      </w:r>
      <w:r>
        <w:rPr>
          <w:rStyle w:val="FootnoteReference"/>
          <w:sz w:val="22"/>
          <w:szCs w:val="22"/>
        </w:rPr>
        <w:footnoteReference w:id="15"/>
      </w:r>
      <w:r w:rsidRPr="00CF3FD0" w:rsidR="008A77A8">
        <w:rPr>
          <w:szCs w:val="22"/>
        </w:rPr>
        <w:t xml:space="preserve">  Holston reasserts these arguments again in its July 20, 2017, Reply to Continental’s Opposition.</w:t>
      </w:r>
      <w:r>
        <w:rPr>
          <w:rStyle w:val="FootnoteReference"/>
          <w:sz w:val="22"/>
          <w:szCs w:val="22"/>
        </w:rPr>
        <w:footnoteReference w:id="16"/>
      </w:r>
      <w:r w:rsidRPr="00CF3FD0" w:rsidR="00D81ECF">
        <w:rPr>
          <w:szCs w:val="22"/>
        </w:rPr>
        <w:t xml:space="preserve">  </w:t>
      </w:r>
    </w:p>
    <w:p w:rsidR="00A019B9" w:rsidP="000549FB" w14:paraId="58033E02" w14:textId="6D50F3EF">
      <w:pPr>
        <w:pStyle w:val="ParaNum"/>
        <w:rPr>
          <w:szCs w:val="22"/>
        </w:rPr>
      </w:pPr>
      <w:r>
        <w:rPr>
          <w:szCs w:val="22"/>
        </w:rPr>
        <w:t>O</w:t>
      </w:r>
      <w:r w:rsidR="004C1EA9">
        <w:rPr>
          <w:szCs w:val="22"/>
        </w:rPr>
        <w:t xml:space="preserve">n November 29, 2017, the Bureau issued a Letter of Inquiry to Continental requesting that it </w:t>
      </w:r>
      <w:r w:rsidR="008228CF">
        <w:rPr>
          <w:szCs w:val="22"/>
        </w:rPr>
        <w:t>clarify</w:t>
      </w:r>
      <w:r w:rsidR="004C1EA9">
        <w:rPr>
          <w:szCs w:val="22"/>
        </w:rPr>
        <w:t xml:space="preserve"> whether the Station broadcasted with programming between March 19, 2017, and March 21, 2017.</w:t>
      </w:r>
      <w:r>
        <w:rPr>
          <w:rStyle w:val="FootnoteReference"/>
          <w:szCs w:val="22"/>
        </w:rPr>
        <w:footnoteReference w:id="17"/>
      </w:r>
      <w:r w:rsidR="004C1EA9">
        <w:rPr>
          <w:szCs w:val="22"/>
        </w:rPr>
        <w:t xml:space="preserve">  Continental filed a response on December 12, 2017 (LOI Response).</w:t>
      </w:r>
      <w:r w:rsidR="00A700F4">
        <w:rPr>
          <w:szCs w:val="22"/>
        </w:rPr>
        <w:t xml:space="preserve">  I</w:t>
      </w:r>
      <w:r w:rsidR="008228CF">
        <w:rPr>
          <w:szCs w:val="22"/>
        </w:rPr>
        <w:t>n</w:t>
      </w:r>
      <w:r w:rsidR="00A700F4">
        <w:rPr>
          <w:szCs w:val="22"/>
        </w:rPr>
        <w:t xml:space="preserve"> the LO</w:t>
      </w:r>
      <w:r w:rsidR="008228CF">
        <w:rPr>
          <w:szCs w:val="22"/>
        </w:rPr>
        <w:t>I Response, Wendy Raynor states that the Station “returned to the air on March 19, 2017, with classic country music programming.”</w:t>
      </w:r>
      <w:r>
        <w:rPr>
          <w:rStyle w:val="FootnoteReference"/>
          <w:szCs w:val="22"/>
        </w:rPr>
        <w:footnoteReference w:id="18"/>
      </w:r>
      <w:r w:rsidR="008228CF">
        <w:rPr>
          <w:szCs w:val="22"/>
        </w:rPr>
        <w:t xml:space="preserve">  The LOI Response is supported by program lo</w:t>
      </w:r>
      <w:r w:rsidR="00FF1958">
        <w:rPr>
          <w:szCs w:val="22"/>
        </w:rPr>
        <w:t xml:space="preserve">gs showing that the Station </w:t>
      </w:r>
      <w:r w:rsidR="008228CF">
        <w:rPr>
          <w:szCs w:val="22"/>
        </w:rPr>
        <w:t>aired programming from March 19, 2017, to March 21, 2017.</w:t>
      </w:r>
    </w:p>
    <w:p w:rsidR="00022561" w:rsidRPr="00CF3FD0" w:rsidP="00434F24" w14:paraId="4FF67744" w14:textId="5B704115">
      <w:pPr>
        <w:pStyle w:val="Heading1"/>
      </w:pPr>
      <w:r w:rsidRPr="003B401F">
        <w:t>DISCUSSION</w:t>
      </w:r>
    </w:p>
    <w:p w:rsidR="00A06A6E" w:rsidP="00434F24" w14:paraId="28830E08" w14:textId="413CCCC4">
      <w:pPr>
        <w:pStyle w:val="ParaNum"/>
      </w:pPr>
      <w:r>
        <w:t xml:space="preserve">We dismiss Holston’s petition for the reasons set forth below.  </w:t>
      </w:r>
      <w:r w:rsidRPr="00131777" w:rsidR="006255F3">
        <w:t>Section 1.106(b)(2) of the Rules specifies limited circumstances under which a party may seek reconsideration of a Commission denial of an </w:t>
      </w:r>
      <w:r w:rsidR="008228CF">
        <w:t>a</w:t>
      </w:r>
      <w:r w:rsidRPr="00131777" w:rsidR="006255F3">
        <w:t>pplication for </w:t>
      </w:r>
      <w:r w:rsidR="008228CF">
        <w:t>r</w:t>
      </w:r>
      <w:r w:rsidRPr="00131777" w:rsidR="008228CF">
        <w:t>eview</w:t>
      </w:r>
      <w:r w:rsidRPr="00131777" w:rsidR="006255F3">
        <w:t xml:space="preserve">. </w:t>
      </w:r>
      <w:r w:rsidR="006255F3">
        <w:t xml:space="preserve"> </w:t>
      </w:r>
      <w:r w:rsidR="008228CF">
        <w:t>Such a</w:t>
      </w:r>
      <w:r w:rsidRPr="00131777" w:rsidR="006255F3">
        <w:t xml:space="preserve"> </w:t>
      </w:r>
      <w:r w:rsidR="008228CF">
        <w:t>p</w:t>
      </w:r>
      <w:r w:rsidRPr="00131777" w:rsidR="006255F3">
        <w:t xml:space="preserve">etition for </w:t>
      </w:r>
      <w:r w:rsidR="008228CF">
        <w:t>r</w:t>
      </w:r>
      <w:r w:rsidRPr="00131777" w:rsidR="006255F3">
        <w:t>econsideration will be entertained only if the petition</w:t>
      </w:r>
      <w:r w:rsidR="004E3799">
        <w:t>:</w:t>
      </w:r>
      <w:r w:rsidRPr="00131777" w:rsidR="006255F3">
        <w:t xml:space="preserve"> </w:t>
      </w:r>
      <w:r w:rsidR="00D93678">
        <w:t xml:space="preserve"> </w:t>
      </w:r>
      <w:r w:rsidRPr="00131777" w:rsidR="006255F3">
        <w:t>(i) “relies on facts or arguments which relate to events which have occurred or circumstances which have changed since the last opportunity to present such matters to the Commission”</w:t>
      </w:r>
      <w:r w:rsidR="004E3799">
        <w:t>;</w:t>
      </w:r>
      <w:r w:rsidRPr="00131777" w:rsidR="006255F3">
        <w:t xml:space="preserve"> and/or (ii) “relies on facts or arguments unknown to petitioner until after his last opportunity to present them to the Commission, and he could not through the exercise of ordinary diligence have learned of the facts or arguments in question prior to such opportunity.”</w:t>
      </w:r>
      <w:r>
        <w:rPr>
          <w:rStyle w:val="FootnoteReference"/>
        </w:rPr>
        <w:footnoteReference w:id="19"/>
      </w:r>
      <w:r w:rsidR="006255F3">
        <w:t xml:space="preserve">  </w:t>
      </w:r>
      <w:r w:rsidRPr="00CF3FD0" w:rsidR="009800AD">
        <w:t>Section 1.106(p) provides that “[p]etitions for reconsideration of a Commission action that plainly do not warrant consideration by the Commission may be dismissed or denied by the relevant bureau(s) or office(s).”</w:t>
      </w:r>
      <w:r>
        <w:rPr>
          <w:rStyle w:val="FootnoteReference"/>
          <w:sz w:val="22"/>
          <w:szCs w:val="22"/>
        </w:rPr>
        <w:footnoteReference w:id="20"/>
      </w:r>
      <w:r w:rsidRPr="00CF3FD0" w:rsidR="009800AD">
        <w:t xml:space="preserve">  Petitions that </w:t>
      </w:r>
      <w:r w:rsidR="00EA6726">
        <w:t xml:space="preserve">plainly </w:t>
      </w:r>
      <w:r w:rsidRPr="00CF3FD0" w:rsidR="009800AD">
        <w:t xml:space="preserve">do not warrant </w:t>
      </w:r>
      <w:r w:rsidR="00EA6726">
        <w:t xml:space="preserve">Commission </w:t>
      </w:r>
      <w:r w:rsidRPr="00CF3FD0" w:rsidR="009800AD">
        <w:t>consideration include those that “fail to identify any material error, omission, or reason warranting reconsideration”</w:t>
      </w:r>
      <w:r>
        <w:rPr>
          <w:rStyle w:val="FootnoteReference"/>
          <w:sz w:val="22"/>
          <w:szCs w:val="22"/>
        </w:rPr>
        <w:footnoteReference w:id="21"/>
      </w:r>
      <w:r w:rsidR="009800AD">
        <w:t xml:space="preserve"> as well as those which do not meet the requirements of Section 1.106(b)(2).</w:t>
      </w:r>
      <w:r>
        <w:rPr>
          <w:rStyle w:val="FootnoteReference"/>
        </w:rPr>
        <w:footnoteReference w:id="22"/>
      </w:r>
      <w:r w:rsidR="009800AD">
        <w:t xml:space="preserve">  </w:t>
      </w:r>
      <w:r w:rsidRPr="007623D7" w:rsidR="009800AD">
        <w:t xml:space="preserve"> </w:t>
      </w:r>
    </w:p>
    <w:p w:rsidR="006255F3" w:rsidRPr="007623D7" w:rsidP="00434F24" w14:paraId="30989EEA" w14:textId="321DF6AF">
      <w:pPr>
        <w:pStyle w:val="ParaNum"/>
      </w:pPr>
      <w:r>
        <w:t xml:space="preserve">In this case, </w:t>
      </w:r>
      <w:r w:rsidRPr="00CF3FD0">
        <w:rPr>
          <w:snapToGrid/>
          <w:szCs w:val="22"/>
        </w:rPr>
        <w:t xml:space="preserve">Continental’s corporate status at the time it filed the Applications is neither a new fact nor changed circumstance, and Holston provides no explanation for why it could not </w:t>
      </w:r>
      <w:r>
        <w:rPr>
          <w:snapToGrid/>
          <w:szCs w:val="22"/>
        </w:rPr>
        <w:t>p</w:t>
      </w:r>
      <w:r w:rsidRPr="00CF3FD0">
        <w:rPr>
          <w:snapToGrid/>
          <w:szCs w:val="22"/>
        </w:rPr>
        <w:t>reviously have raised this claim</w:t>
      </w:r>
      <w:r>
        <w:t xml:space="preserve">. </w:t>
      </w:r>
      <w:r>
        <w:t xml:space="preserve"> Additionally, o</w:t>
      </w:r>
      <w:r w:rsidRPr="007623D7">
        <w:t>n June 6, 2017, Continental informed the Commission that it had consummated the transfer of control from Jeffrey Raynor to Wendy Raynor as 100 percent owner</w:t>
      </w:r>
      <w:r>
        <w:rPr>
          <w:vertAlign w:val="superscript"/>
        </w:rPr>
        <w:footnoteReference w:id="23"/>
      </w:r>
      <w:r w:rsidRPr="007623D7">
        <w:t xml:space="preserve"> on February 12, 2016</w:t>
      </w:r>
      <w:r w:rsidR="00A743F7">
        <w:t>, obviating</w:t>
      </w:r>
      <w:r w:rsidRPr="007623D7">
        <w:t xml:space="preserve"> any need for an evidentiary hearing to determine whether the transfer had occurred and renewal could be granted.  Thus, to the extent that the Petition relies on these two arguments, it “plainly [does] not warrant </w:t>
      </w:r>
      <w:r>
        <w:t>consideration by the Commission,</w:t>
      </w:r>
      <w:r w:rsidRPr="007623D7">
        <w:t>”</w:t>
      </w:r>
      <w:r>
        <w:t xml:space="preserve"> and we exercise our authority under Section 1.106(p)(1) to dismiss </w:t>
      </w:r>
      <w:r w:rsidR="00A743F7">
        <w:t>it</w:t>
      </w:r>
      <w:r>
        <w:t>.</w:t>
      </w:r>
    </w:p>
    <w:p w:rsidR="00A52193" w:rsidRPr="00A019B9" w:rsidP="000549FB" w14:paraId="50EFF9BD" w14:textId="0EDD2A49">
      <w:pPr>
        <w:pStyle w:val="ParaNum"/>
        <w:rPr>
          <w:snapToGrid/>
        </w:rPr>
      </w:pPr>
      <w:r>
        <w:rPr>
          <w:snapToGrid/>
        </w:rPr>
        <w:t xml:space="preserve">Additionally, Section 1.106(p)(5) </w:t>
      </w:r>
      <w:r w:rsidR="008228CF">
        <w:rPr>
          <w:snapToGrid/>
        </w:rPr>
        <w:t xml:space="preserve">of the Rules </w:t>
      </w:r>
      <w:r>
        <w:rPr>
          <w:snapToGrid/>
        </w:rPr>
        <w:t>provides that</w:t>
      </w:r>
      <w:r w:rsidR="00A019B9">
        <w:rPr>
          <w:snapToGrid/>
        </w:rPr>
        <w:t xml:space="preserve"> the Bureau may dismiss petitions for </w:t>
      </w:r>
      <w:r w:rsidR="008228CF">
        <w:rPr>
          <w:snapToGrid/>
        </w:rPr>
        <w:t>re</w:t>
      </w:r>
      <w:r w:rsidR="00A019B9">
        <w:rPr>
          <w:snapToGrid/>
        </w:rPr>
        <w:t>consideration that “</w:t>
      </w:r>
      <w:r w:rsidR="008228CF">
        <w:rPr>
          <w:snapToGrid/>
          <w:szCs w:val="22"/>
        </w:rPr>
        <w:t>[r]</w:t>
      </w:r>
      <w:r w:rsidRPr="00A019B9" w:rsidR="00A019B9">
        <w:rPr>
          <w:snapToGrid/>
          <w:szCs w:val="22"/>
        </w:rPr>
        <w:t xml:space="preserve">elate to matters outside the scope of the order for </w:t>
      </w:r>
      <w:r w:rsidR="00A019B9">
        <w:rPr>
          <w:snapToGrid/>
          <w:szCs w:val="22"/>
        </w:rPr>
        <w:t>which reconsideration is sought.”</w:t>
      </w:r>
      <w:r>
        <w:rPr>
          <w:rStyle w:val="FootnoteReference"/>
          <w:snapToGrid/>
          <w:szCs w:val="22"/>
        </w:rPr>
        <w:footnoteReference w:id="24"/>
      </w:r>
      <w:r w:rsidR="00A019B9">
        <w:rPr>
          <w:snapToGrid/>
        </w:rPr>
        <w:t xml:space="preserve">  </w:t>
      </w:r>
      <w:r w:rsidRPr="00A019B9">
        <w:rPr>
          <w:snapToGrid/>
          <w:szCs w:val="22"/>
        </w:rPr>
        <w:t xml:space="preserve">Holston’s argument that Continental’s license for </w:t>
      </w:r>
      <w:r w:rsidRPr="00A019B9" w:rsidR="00A019B9">
        <w:rPr>
          <w:snapToGrid/>
          <w:szCs w:val="22"/>
        </w:rPr>
        <w:t>the Station</w:t>
      </w:r>
      <w:r w:rsidRPr="00A019B9">
        <w:rPr>
          <w:snapToGrid/>
          <w:szCs w:val="22"/>
        </w:rPr>
        <w:t xml:space="preserve"> expired pursuant to Section 312(g) of the Act</w:t>
      </w:r>
      <w:r w:rsidRPr="004C1EA9">
        <w:rPr>
          <w:snapToGrid/>
          <w:szCs w:val="22"/>
        </w:rPr>
        <w:t xml:space="preserve"> in </w:t>
      </w:r>
      <w:r w:rsidR="0058235C">
        <w:rPr>
          <w:snapToGrid/>
          <w:szCs w:val="22"/>
        </w:rPr>
        <w:t xml:space="preserve">March of </w:t>
      </w:r>
      <w:r w:rsidRPr="004C1EA9">
        <w:rPr>
          <w:snapToGrid/>
          <w:szCs w:val="22"/>
        </w:rPr>
        <w:t>2017 is well outside the scope of this proceeding, which centers on</w:t>
      </w:r>
      <w:r w:rsidRPr="008228CF">
        <w:rPr>
          <w:snapToGrid/>
          <w:szCs w:val="22"/>
        </w:rPr>
        <w:t xml:space="preserve"> whether the Bureau properly granted the caption</w:t>
      </w:r>
      <w:r w:rsidRPr="008228CF" w:rsidR="00A019B9">
        <w:rPr>
          <w:snapToGrid/>
          <w:szCs w:val="22"/>
        </w:rPr>
        <w:t>ed</w:t>
      </w:r>
      <w:r w:rsidRPr="008228CF">
        <w:rPr>
          <w:snapToGrid/>
          <w:szCs w:val="22"/>
        </w:rPr>
        <w:t xml:space="preserve"> Applications.  We thus dismiss th</w:t>
      </w:r>
      <w:r w:rsidR="00C76E2D">
        <w:rPr>
          <w:snapToGrid/>
          <w:szCs w:val="22"/>
        </w:rPr>
        <w:t>is</w:t>
      </w:r>
      <w:r w:rsidRPr="008228CF">
        <w:rPr>
          <w:snapToGrid/>
          <w:szCs w:val="22"/>
        </w:rPr>
        <w:t xml:space="preserve">  argument</w:t>
      </w:r>
      <w:r w:rsidR="00C76E2D">
        <w:rPr>
          <w:snapToGrid/>
          <w:szCs w:val="22"/>
        </w:rPr>
        <w:t xml:space="preserve"> as well</w:t>
      </w:r>
      <w:r w:rsidRPr="008228CF">
        <w:rPr>
          <w:snapToGrid/>
          <w:szCs w:val="22"/>
        </w:rPr>
        <w:t>.</w:t>
      </w:r>
      <w:r>
        <w:rPr>
          <w:rStyle w:val="FootnoteReference"/>
          <w:snapToGrid/>
          <w:szCs w:val="22"/>
        </w:rPr>
        <w:footnoteReference w:id="25"/>
      </w:r>
    </w:p>
    <w:p w:rsidR="00813995" w:rsidRPr="003B401F" w:rsidP="00434F24" w14:paraId="754C7964" w14:textId="55ABFA99">
      <w:pPr>
        <w:pStyle w:val="Heading1"/>
      </w:pPr>
      <w:r w:rsidRPr="003B401F">
        <w:t>ORDERING CLAUSE</w:t>
      </w:r>
    </w:p>
    <w:p w:rsidR="00D02908" w:rsidRPr="00CF3FD0" w:rsidP="00434F24" w14:paraId="11D9F97A" w14:textId="12AE918C">
      <w:pPr>
        <w:pStyle w:val="ParaNum"/>
      </w:pPr>
      <w:r w:rsidRPr="00CF3FD0">
        <w:t>For the reasons set f</w:t>
      </w:r>
      <w:r w:rsidRPr="00CF3FD0" w:rsidR="00391FAC">
        <w:t xml:space="preserve">orth above, IT IS ORDERED that </w:t>
      </w:r>
      <w:r w:rsidRPr="00CF3FD0">
        <w:t xml:space="preserve">the </w:t>
      </w:r>
      <w:r w:rsidRPr="00CF3FD0" w:rsidR="000E4F68">
        <w:t>Petition for Reconsideration</w:t>
      </w:r>
      <w:r w:rsidRPr="00CF3FD0">
        <w:t xml:space="preserve"> filed by Holston</w:t>
      </w:r>
      <w:r w:rsidRPr="00CF3FD0" w:rsidR="000E4F68">
        <w:t xml:space="preserve"> Valley</w:t>
      </w:r>
      <w:r w:rsidRPr="00CF3FD0">
        <w:t xml:space="preserve"> Broadcasting Corporation on </w:t>
      </w:r>
      <w:r w:rsidRPr="00CF3FD0" w:rsidR="000E4F68">
        <w:t>June 7</w:t>
      </w:r>
      <w:r w:rsidRPr="00CF3FD0">
        <w:t>, 201</w:t>
      </w:r>
      <w:r w:rsidRPr="00CF3FD0" w:rsidR="000E4F68">
        <w:t>7</w:t>
      </w:r>
      <w:r w:rsidR="002E2F19">
        <w:t>, IS DISMISSED</w:t>
      </w:r>
      <w:r w:rsidR="008228CF">
        <w:t xml:space="preserve"> pursuant to Section 1.106(p) of the </w:t>
      </w:r>
      <w:r w:rsidR="00C76E2D">
        <w:t>Commission’s</w:t>
      </w:r>
      <w:r w:rsidR="008228CF">
        <w:t xml:space="preserve"> Rules</w:t>
      </w:r>
      <w:r w:rsidR="000549FB">
        <w:t>.</w:t>
      </w:r>
    </w:p>
    <w:p w:rsidR="00A4099F" w:rsidRPr="00CF3FD0" w:rsidP="003B76E8" w14:paraId="46E750F0" w14:textId="77777777">
      <w:pPr>
        <w:spacing w:after="220"/>
        <w:rPr>
          <w:szCs w:val="22"/>
        </w:rPr>
      </w:pPr>
      <w:r w:rsidRPr="00CF3FD0">
        <w:rPr>
          <w:szCs w:val="22"/>
        </w:rPr>
        <w:tab/>
      </w:r>
      <w:r w:rsidRPr="00CF3FD0">
        <w:rPr>
          <w:szCs w:val="22"/>
        </w:rPr>
        <w:tab/>
      </w:r>
      <w:r w:rsidRPr="00CF3FD0">
        <w:rPr>
          <w:szCs w:val="22"/>
        </w:rPr>
        <w:tab/>
      </w:r>
      <w:r w:rsidRPr="00CF3FD0">
        <w:rPr>
          <w:szCs w:val="22"/>
        </w:rPr>
        <w:tab/>
      </w:r>
      <w:r w:rsidRPr="00CF3FD0">
        <w:rPr>
          <w:szCs w:val="22"/>
        </w:rPr>
        <w:tab/>
      </w:r>
      <w:r w:rsidRPr="00CF3FD0">
        <w:rPr>
          <w:szCs w:val="22"/>
        </w:rPr>
        <w:tab/>
        <w:t>FEDERAL COMMUNICATIONS COMMISSION</w:t>
      </w:r>
    </w:p>
    <w:p w:rsidR="00A4099F" w:rsidRPr="00CF3FD0" w:rsidP="003B76E8" w14:paraId="24E8FB5D" w14:textId="77777777">
      <w:pPr>
        <w:spacing w:after="220"/>
        <w:rPr>
          <w:szCs w:val="22"/>
        </w:rPr>
      </w:pPr>
    </w:p>
    <w:p w:rsidR="00A4099F" w:rsidRPr="00CF3FD0" w14:paraId="18FFF1CF" w14:textId="7D9768AA">
      <w:pPr>
        <w:rPr>
          <w:szCs w:val="22"/>
        </w:rPr>
      </w:pPr>
      <w:r w:rsidRPr="00CF3FD0">
        <w:rPr>
          <w:szCs w:val="22"/>
        </w:rPr>
        <w:tab/>
      </w:r>
      <w:r w:rsidRPr="00CF3FD0">
        <w:rPr>
          <w:szCs w:val="22"/>
        </w:rPr>
        <w:tab/>
      </w:r>
      <w:r w:rsidRPr="00CF3FD0">
        <w:rPr>
          <w:szCs w:val="22"/>
        </w:rPr>
        <w:tab/>
      </w:r>
      <w:r w:rsidRPr="00CF3FD0">
        <w:rPr>
          <w:szCs w:val="22"/>
        </w:rPr>
        <w:tab/>
      </w:r>
      <w:r w:rsidRPr="00CF3FD0">
        <w:rPr>
          <w:szCs w:val="22"/>
        </w:rPr>
        <w:tab/>
      </w:r>
      <w:r w:rsidRPr="00CF3FD0">
        <w:rPr>
          <w:szCs w:val="22"/>
        </w:rPr>
        <w:tab/>
      </w:r>
      <w:r w:rsidRPr="00CF3FD0" w:rsidR="00155035">
        <w:rPr>
          <w:szCs w:val="22"/>
        </w:rPr>
        <w:t>Michelle M. Car</w:t>
      </w:r>
      <w:r w:rsidRPr="00CF3FD0" w:rsidR="00DD1730">
        <w:rPr>
          <w:szCs w:val="22"/>
        </w:rPr>
        <w:t>e</w:t>
      </w:r>
      <w:r w:rsidRPr="00CF3FD0" w:rsidR="00155035">
        <w:rPr>
          <w:szCs w:val="22"/>
        </w:rPr>
        <w:t>y</w:t>
      </w:r>
    </w:p>
    <w:p w:rsidR="00A4099F" w:rsidRPr="00CF3FD0" w14:paraId="2DEC4F91" w14:textId="77777777">
      <w:pPr>
        <w:rPr>
          <w:szCs w:val="22"/>
        </w:rPr>
      </w:pPr>
      <w:r w:rsidRPr="00CF3FD0">
        <w:rPr>
          <w:szCs w:val="22"/>
        </w:rPr>
        <w:tab/>
      </w:r>
      <w:r w:rsidRPr="00CF3FD0">
        <w:rPr>
          <w:szCs w:val="22"/>
        </w:rPr>
        <w:tab/>
      </w:r>
      <w:r w:rsidRPr="00CF3FD0">
        <w:rPr>
          <w:szCs w:val="22"/>
        </w:rPr>
        <w:tab/>
      </w:r>
      <w:r w:rsidRPr="00CF3FD0">
        <w:rPr>
          <w:szCs w:val="22"/>
        </w:rPr>
        <w:tab/>
      </w:r>
      <w:r w:rsidRPr="00CF3FD0">
        <w:rPr>
          <w:szCs w:val="22"/>
        </w:rPr>
        <w:tab/>
      </w:r>
      <w:r w:rsidRPr="00CF3FD0">
        <w:rPr>
          <w:szCs w:val="22"/>
        </w:rPr>
        <w:tab/>
      </w:r>
      <w:r w:rsidRPr="00CF3FD0" w:rsidR="00155035">
        <w:rPr>
          <w:szCs w:val="22"/>
        </w:rPr>
        <w:t>Chief, Media Bureau</w:t>
      </w:r>
    </w:p>
    <w:p w:rsidR="00A4099F" w:rsidRPr="00CF3FD0" w:rsidP="003B76E8" w14:paraId="5DB53E72" w14:textId="77777777">
      <w:pPr>
        <w:pStyle w:val="ParaNum"/>
        <w:numPr>
          <w:ilvl w:val="0"/>
          <w:numId w:val="0"/>
        </w:numPr>
        <w:spacing w:after="220"/>
        <w:rPr>
          <w:szCs w:val="22"/>
        </w:r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B3FC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F7B2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F35240" w14:textId="1CD7BBC2">
    <w:pPr>
      <w:pStyle w:val="Footer"/>
      <w:framePr w:wrap="around" w:vAnchor="text" w:hAnchor="margin" w:xAlign="center" w:y="1"/>
    </w:pPr>
    <w:r>
      <w:fldChar w:fldCharType="begin"/>
    </w:r>
    <w:r>
      <w:instrText xml:space="preserve">PAGE  </w:instrText>
    </w:r>
    <w:r>
      <w:fldChar w:fldCharType="separate"/>
    </w:r>
    <w:r w:rsidR="00062225">
      <w:rPr>
        <w:noProof/>
      </w:rPr>
      <w:t>2</w:t>
    </w:r>
    <w:r>
      <w:fldChar w:fldCharType="end"/>
    </w:r>
  </w:p>
  <w:p w:rsidR="00D25FB5" w14:paraId="0BA748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95DE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3618" w14:paraId="70602D41" w14:textId="77777777">
      <w:r>
        <w:separator/>
      </w:r>
    </w:p>
  </w:footnote>
  <w:footnote w:type="continuationSeparator" w:id="1">
    <w:p w:rsidR="004D3618" w:rsidP="00C721AC" w14:paraId="1F2B44DA" w14:textId="77777777">
      <w:pPr>
        <w:spacing w:before="120"/>
        <w:rPr>
          <w:sz w:val="20"/>
        </w:rPr>
      </w:pPr>
      <w:r>
        <w:rPr>
          <w:sz w:val="20"/>
        </w:rPr>
        <w:t xml:space="preserve">(Continued from previous page)  </w:t>
      </w:r>
      <w:r>
        <w:rPr>
          <w:sz w:val="20"/>
        </w:rPr>
        <w:separator/>
      </w:r>
    </w:p>
  </w:footnote>
  <w:footnote w:type="continuationNotice" w:id="2">
    <w:p w:rsidR="004D3618" w:rsidP="00C721AC" w14:paraId="5EFE286B" w14:textId="77777777">
      <w:pPr>
        <w:jc w:val="right"/>
        <w:rPr>
          <w:sz w:val="20"/>
        </w:rPr>
      </w:pPr>
      <w:r>
        <w:rPr>
          <w:sz w:val="20"/>
        </w:rPr>
        <w:t>(continued….)</w:t>
      </w:r>
    </w:p>
  </w:footnote>
  <w:footnote w:id="3">
    <w:p w:rsidR="00216B49" w14:paraId="3CAF4A42" w14:textId="0A9A3BA3">
      <w:pPr>
        <w:pStyle w:val="FootnoteText"/>
      </w:pPr>
      <w:r>
        <w:rPr>
          <w:rStyle w:val="FootnoteReference"/>
        </w:rPr>
        <w:footnoteRef/>
      </w:r>
      <w:r w:rsidR="00975643">
        <w:t xml:space="preserve">  </w:t>
      </w:r>
      <w:r w:rsidR="00A27736">
        <w:t>Holston filed a “Motion for Leave to File a First Supplement to Petition for Reconsideration of Denial of Application for Review” and “First Supplement to Petition for Reconsideration of Denial of Application for Review” (</w:t>
      </w:r>
      <w:r w:rsidRPr="00A27736" w:rsidR="00A27736">
        <w:rPr>
          <w:i/>
        </w:rPr>
        <w:t>First Supplement</w:t>
      </w:r>
      <w:r w:rsidR="00A27736">
        <w:t xml:space="preserve">), on June 9, 2017.  </w:t>
      </w:r>
      <w:r>
        <w:t xml:space="preserve">On June 21, 2017, Continental filed a Motion for Extension of Time </w:t>
      </w:r>
      <w:r w:rsidR="00707BEC">
        <w:t>(</w:t>
      </w:r>
      <w:r w:rsidRPr="00A27736" w:rsidR="00707BEC">
        <w:rPr>
          <w:i/>
        </w:rPr>
        <w:t>First Motion</w:t>
      </w:r>
      <w:r w:rsidR="00707BEC">
        <w:t>)</w:t>
      </w:r>
      <w:r w:rsidR="00A27736">
        <w:t xml:space="preserve"> requesting to extend the time to</w:t>
      </w:r>
      <w:r>
        <w:t xml:space="preserve"> file </w:t>
      </w:r>
      <w:r w:rsidR="00A27736">
        <w:t xml:space="preserve">an </w:t>
      </w:r>
      <w:r w:rsidR="00294158">
        <w:t>o</w:t>
      </w:r>
      <w:r>
        <w:t>pposition to the Petition</w:t>
      </w:r>
      <w:r w:rsidRPr="00A27736" w:rsidR="00A27736">
        <w:t xml:space="preserve"> </w:t>
      </w:r>
      <w:r w:rsidR="00A27736">
        <w:t>to July 10, 2017</w:t>
      </w:r>
      <w:r>
        <w:t>, stating that the additional time “is necessary for the parties to complete p</w:t>
      </w:r>
      <w:r w:rsidR="00D51236">
        <w:t xml:space="preserve">reparation of the Opposition.”  </w:t>
      </w:r>
      <w:r w:rsidRPr="00A27736" w:rsidR="00707BEC">
        <w:rPr>
          <w:i/>
        </w:rPr>
        <w:t>First Motion</w:t>
      </w:r>
      <w:r w:rsidR="00707BEC">
        <w:t xml:space="preserve"> at 1.  </w:t>
      </w:r>
      <w:r w:rsidRPr="00EB5B34" w:rsidR="00707BEC">
        <w:t xml:space="preserve">On July 11, Continental filed a second Motion for Extension of time requesting until July 11 to file its opposition pleading because on July 10, the Commission’s CDBS Electronic Filing System was not operating, as well as its </w:t>
      </w:r>
      <w:r w:rsidR="00294158">
        <w:t>“</w:t>
      </w:r>
      <w:r w:rsidRPr="00EB5B34" w:rsidR="00707BEC">
        <w:t>Opposition</w:t>
      </w:r>
      <w:r w:rsidR="00294158">
        <w:t xml:space="preserve"> to the Petition for Reconsideration” (Opposition)</w:t>
      </w:r>
      <w:r w:rsidRPr="00EB5B34" w:rsidR="00707BEC">
        <w:t>.</w:t>
      </w:r>
      <w:r w:rsidR="00707BEC">
        <w:t xml:space="preserve">  Holston, meanwhile, filed “Comments” on th</w:t>
      </w:r>
      <w:r w:rsidR="00C24670">
        <w:t xml:space="preserve">e </w:t>
      </w:r>
      <w:r w:rsidRPr="00202333" w:rsidR="00C24670">
        <w:rPr>
          <w:i/>
        </w:rPr>
        <w:t>First Motion</w:t>
      </w:r>
      <w:r w:rsidR="00C24670">
        <w:t xml:space="preserve"> on June 27, 2017, and it subsequently filed a Reply </w:t>
      </w:r>
      <w:r w:rsidRPr="005C00EC" w:rsidR="00C24670">
        <w:t xml:space="preserve">on </w:t>
      </w:r>
      <w:r w:rsidRPr="005C00EC" w:rsidR="005C00EC">
        <w:t>July 20</w:t>
      </w:r>
      <w:r w:rsidRPr="005C00EC" w:rsidR="00C24670">
        <w:t>, 2017.</w:t>
      </w:r>
      <w:r w:rsidR="00707BEC">
        <w:t xml:space="preserve">  </w:t>
      </w:r>
    </w:p>
  </w:footnote>
  <w:footnote w:id="4">
    <w:p w:rsidR="0058180E" w:rsidRPr="004C1517" w:rsidP="0058180E" w14:paraId="2BC088E4" w14:textId="74C846CD">
      <w:pPr>
        <w:pStyle w:val="FootnoteText"/>
      </w:pPr>
      <w:r>
        <w:rPr>
          <w:rStyle w:val="FootnoteReference"/>
        </w:rPr>
        <w:footnoteRef/>
      </w:r>
      <w:r>
        <w:t xml:space="preserve"> </w:t>
      </w:r>
      <w:r>
        <w:rPr>
          <w:i/>
        </w:rPr>
        <w:t>Continental Media Group, LLC</w:t>
      </w:r>
      <w:r>
        <w:t xml:space="preserve">, Memorandum </w:t>
      </w:r>
      <w:r w:rsidR="00223838">
        <w:t xml:space="preserve">Opinion and </w:t>
      </w:r>
      <w:r>
        <w:t>Order</w:t>
      </w:r>
      <w:r w:rsidR="00223838">
        <w:t>,</w:t>
      </w:r>
      <w:r>
        <w:t xml:space="preserve"> 32 FCC Rcd 4187 (2017) (</w:t>
      </w:r>
      <w:r w:rsidRPr="009736C0">
        <w:rPr>
          <w:i/>
        </w:rPr>
        <w:t xml:space="preserve">Continental </w:t>
      </w:r>
      <w:r>
        <w:rPr>
          <w:i/>
        </w:rPr>
        <w:t>Order</w:t>
      </w:r>
      <w:r>
        <w:t>).</w:t>
      </w:r>
    </w:p>
  </w:footnote>
  <w:footnote w:id="5">
    <w:p w:rsidR="00B76CC3" w:rsidRPr="001B2E37" w:rsidP="00B76CC3" w14:paraId="14504E2D" w14:textId="09CDD595">
      <w:pPr>
        <w:pStyle w:val="FootnoteText"/>
        <w:rPr>
          <w:b/>
        </w:rPr>
      </w:pPr>
      <w:r>
        <w:rPr>
          <w:rStyle w:val="FootnoteReference"/>
        </w:rPr>
        <w:footnoteRef/>
      </w:r>
      <w:r>
        <w:t xml:space="preserve"> 47 CFR </w:t>
      </w:r>
      <w:r w:rsidR="00E9295B">
        <w:t xml:space="preserve">§ </w:t>
      </w:r>
      <w:r>
        <w:t>1.106(p).</w:t>
      </w:r>
    </w:p>
  </w:footnote>
  <w:footnote w:id="6">
    <w:p w:rsidR="009736C0" w:rsidRPr="009736C0" w14:paraId="67D3C26D" w14:textId="5B5D153D">
      <w:pPr>
        <w:pStyle w:val="FootnoteText"/>
      </w:pPr>
      <w:r>
        <w:rPr>
          <w:rStyle w:val="FootnoteReference"/>
        </w:rPr>
        <w:footnoteRef/>
      </w:r>
      <w:r>
        <w:t xml:space="preserve"> </w:t>
      </w:r>
      <w:r>
        <w:rPr>
          <w:i/>
        </w:rPr>
        <w:t xml:space="preserve">See Continental </w:t>
      </w:r>
      <w:r w:rsidR="00813995">
        <w:rPr>
          <w:i/>
        </w:rPr>
        <w:t>Order</w:t>
      </w:r>
      <w:r w:rsidR="00405A47">
        <w:t>, 32 FCC Rcd at 4188, para. 3.</w:t>
      </w:r>
    </w:p>
  </w:footnote>
  <w:footnote w:id="7">
    <w:p w:rsidR="00A212DA" w:rsidP="00A212DA" w14:paraId="41D6C4A3" w14:textId="40346E25">
      <w:pPr>
        <w:pStyle w:val="FootnoteText"/>
      </w:pPr>
      <w:r>
        <w:rPr>
          <w:rStyle w:val="FootnoteReference"/>
        </w:rPr>
        <w:footnoteRef/>
      </w:r>
      <w:r>
        <w:t xml:space="preserve"> </w:t>
      </w:r>
      <w:r w:rsidR="00985CE3">
        <w:rPr>
          <w:i/>
        </w:rPr>
        <w:t xml:space="preserve">Id. </w:t>
      </w:r>
      <w:r w:rsidR="00985CE3">
        <w:t xml:space="preserve">at para. 4, citing </w:t>
      </w:r>
      <w:r>
        <w:t>47 U.S.C. § 319(c).</w:t>
      </w:r>
    </w:p>
  </w:footnote>
  <w:footnote w:id="8">
    <w:p w:rsidR="00E11C92" w14:paraId="67427069" w14:textId="77777777">
      <w:pPr>
        <w:pStyle w:val="FootnoteText"/>
      </w:pPr>
      <w:r>
        <w:rPr>
          <w:rStyle w:val="FootnoteReference"/>
        </w:rPr>
        <w:footnoteRef/>
      </w:r>
      <w:r>
        <w:t xml:space="preserve"> </w:t>
      </w:r>
      <w:r w:rsidR="000311F5">
        <w:t>Petition at 6-9</w:t>
      </w:r>
      <w:bookmarkStart w:id="1" w:name="_Hlk495413201"/>
      <w:r w:rsidR="00F01A9E">
        <w:t xml:space="preserve"> (citing 47 CFR § 1.52)</w:t>
      </w:r>
      <w:r>
        <w:t>.</w:t>
      </w:r>
      <w:bookmarkEnd w:id="1"/>
    </w:p>
  </w:footnote>
  <w:footnote w:id="9">
    <w:p w:rsidR="009736C0" w14:paraId="7ADF6C1E" w14:textId="614CF71D">
      <w:pPr>
        <w:pStyle w:val="FootnoteText"/>
      </w:pPr>
      <w:r>
        <w:rPr>
          <w:rStyle w:val="FootnoteReference"/>
        </w:rPr>
        <w:footnoteRef/>
      </w:r>
      <w:r w:rsidR="000311F5">
        <w:t xml:space="preserve"> </w:t>
      </w:r>
      <w:r w:rsidR="000311F5">
        <w:rPr>
          <w:i/>
        </w:rPr>
        <w:t>Id.</w:t>
      </w:r>
      <w:r w:rsidR="000311F5">
        <w:t xml:space="preserve"> at </w:t>
      </w:r>
      <w:r w:rsidR="00481E48">
        <w:t>9</w:t>
      </w:r>
      <w:r w:rsidR="008D2393">
        <w:t>,</w:t>
      </w:r>
      <w:r w:rsidR="00050973">
        <w:t xml:space="preserve"> </w:t>
      </w:r>
      <w:r w:rsidR="008D2393">
        <w:t>11</w:t>
      </w:r>
      <w:r w:rsidR="00364512">
        <w:t xml:space="preserve"> (arguing that the underlying reason for granting the Renewal Application was the removal of former 50% owner </w:t>
      </w:r>
      <w:r w:rsidR="00915229">
        <w:t xml:space="preserve">and convicted felon </w:t>
      </w:r>
      <w:r w:rsidR="00364512">
        <w:t>Jeffrey Raynor via the Transfer Application</w:t>
      </w:r>
      <w:r w:rsidR="00915229">
        <w:t>, and that if the Transfer Application was never consummated</w:t>
      </w:r>
      <w:r w:rsidR="00D93678">
        <w:t>,</w:t>
      </w:r>
      <w:r w:rsidR="00915229">
        <w:t xml:space="preserve"> the Commission’s grant of the Renewal Application was unlawful</w:t>
      </w:r>
      <w:r w:rsidR="00364512">
        <w:t>).</w:t>
      </w:r>
    </w:p>
  </w:footnote>
  <w:footnote w:id="10">
    <w:p w:rsidR="006A765A" w:rsidRPr="00081DC8" w14:paraId="6843C464" w14:textId="48299368">
      <w:pPr>
        <w:pStyle w:val="FootnoteText"/>
      </w:pPr>
      <w:r>
        <w:rPr>
          <w:rStyle w:val="FootnoteReference"/>
        </w:rPr>
        <w:footnoteRef/>
      </w:r>
      <w:r>
        <w:t xml:space="preserve"> </w:t>
      </w:r>
      <w:r>
        <w:rPr>
          <w:i/>
        </w:rPr>
        <w:t>Id.</w:t>
      </w:r>
      <w:r>
        <w:t xml:space="preserve"> at 2</w:t>
      </w:r>
      <w:r w:rsidR="007B5E63">
        <w:t xml:space="preserve"> (citing 47 U.S.C. § 312(g))</w:t>
      </w:r>
      <w:r w:rsidR="00501A0F">
        <w:t>;</w:t>
      </w:r>
      <w:r w:rsidR="00081DC8">
        <w:t xml:space="preserve"> </w:t>
      </w:r>
      <w:r w:rsidR="00501A0F">
        <w:t xml:space="preserve">Exhibit A, </w:t>
      </w:r>
      <w:r w:rsidR="00081DC8">
        <w:t>Declarations of N. David Widener</w:t>
      </w:r>
      <w:r w:rsidR="00B37CD8">
        <w:t xml:space="preserve">; </w:t>
      </w:r>
      <w:r w:rsidR="00501A0F">
        <w:t xml:space="preserve">Exhibit B, Declaration of Lynn Rutledge </w:t>
      </w:r>
      <w:r w:rsidR="00463D08">
        <w:t>(stating that the declarants witness</w:t>
      </w:r>
      <w:r w:rsidR="00501A0F">
        <w:t>ed</w:t>
      </w:r>
      <w:r w:rsidR="00463D08">
        <w:t xml:space="preserve"> the Station’</w:t>
      </w:r>
      <w:r w:rsidR="00501A0F">
        <w:t>s carrier on-</w:t>
      </w:r>
      <w:r w:rsidR="00463D08">
        <w:t>air, but hear</w:t>
      </w:r>
      <w:r w:rsidR="00501A0F">
        <w:t>d no audio being broadcast on dates between May 17, 2017 -  June 5, 2017)</w:t>
      </w:r>
      <w:r w:rsidR="00081DC8">
        <w:t xml:space="preserve">. </w:t>
      </w:r>
    </w:p>
  </w:footnote>
  <w:footnote w:id="11">
    <w:p w:rsidR="00CE15CA" w:rsidRPr="005446FD" w14:paraId="0AD21629" w14:textId="7FB37E08">
      <w:pPr>
        <w:pStyle w:val="FootnoteText"/>
      </w:pPr>
      <w:r>
        <w:rPr>
          <w:rStyle w:val="FootnoteReference"/>
        </w:rPr>
        <w:footnoteRef/>
      </w:r>
      <w:r>
        <w:t xml:space="preserve"> Opposition at 2</w:t>
      </w:r>
      <w:r w:rsidR="00D93678">
        <w:t>-4</w:t>
      </w:r>
      <w:r w:rsidR="00C056A1">
        <w:t xml:space="preserve"> </w:t>
      </w:r>
      <w:r w:rsidR="00EB5B34">
        <w:t>(</w:t>
      </w:r>
      <w:r w:rsidR="00C056A1">
        <w:t xml:space="preserve">citing </w:t>
      </w:r>
      <w:r w:rsidRPr="00EB5B34" w:rsidR="00EB5B34">
        <w:rPr>
          <w:i/>
        </w:rPr>
        <w:t>Letter to Dan J. Alpert, Esq. and Dennis J. Kelley, Esq.</w:t>
      </w:r>
      <w:r w:rsidRPr="00EB5B34" w:rsidR="00EB5B34">
        <w:t xml:space="preserve">, Letter </w:t>
      </w:r>
      <w:r w:rsidR="00EB5B34">
        <w:t>Order</w:t>
      </w:r>
      <w:r w:rsidRPr="00EB5B34" w:rsidR="00EB5B34">
        <w:t xml:space="preserve"> (MB </w:t>
      </w:r>
      <w:r w:rsidR="00EB5B34">
        <w:t>Feb. 12</w:t>
      </w:r>
      <w:r w:rsidRPr="00EB5B34" w:rsidR="00EB5B34">
        <w:t>, 2016</w:t>
      </w:r>
      <w:r w:rsidR="00EB5B34">
        <w:t>)</w:t>
      </w:r>
      <w:r w:rsidR="00C056A1">
        <w:t xml:space="preserve"> and the </w:t>
      </w:r>
      <w:r w:rsidR="00C056A1">
        <w:rPr>
          <w:i/>
        </w:rPr>
        <w:t>Continental Order</w:t>
      </w:r>
      <w:r w:rsidR="00EB5B34">
        <w:t>).</w:t>
      </w:r>
      <w:r w:rsidR="005446FD">
        <w:rPr>
          <w:i/>
        </w:rPr>
        <w:t xml:space="preserve">  </w:t>
      </w:r>
      <w:r w:rsidR="005446FD">
        <w:t xml:space="preserve">Continental also claims that, as a mere informal objector to the License Application, Holston is statutorily barred from seeking reconsideration of rulings pertaining to any of Continental’s three applications here.  </w:t>
      </w:r>
      <w:r w:rsidR="005446FD">
        <w:rPr>
          <w:i/>
        </w:rPr>
        <w:t xml:space="preserve">Id. </w:t>
      </w:r>
      <w:r w:rsidR="005446FD">
        <w:t>at 4</w:t>
      </w:r>
      <w:r w:rsidR="00EE1B3E">
        <w:t>-5</w:t>
      </w:r>
      <w:r w:rsidR="005446FD">
        <w:t>, citing 47 U.S.C. § 405.</w:t>
      </w:r>
    </w:p>
  </w:footnote>
  <w:footnote w:id="12">
    <w:p w:rsidR="00EE14FA" w14:paraId="38A8D09A" w14:textId="77777777">
      <w:pPr>
        <w:pStyle w:val="FootnoteText"/>
      </w:pPr>
      <w:r>
        <w:rPr>
          <w:rStyle w:val="FootnoteReference"/>
        </w:rPr>
        <w:footnoteRef/>
      </w:r>
      <w:r>
        <w:t xml:space="preserve"> Opposition at 5-6.</w:t>
      </w:r>
    </w:p>
  </w:footnote>
  <w:footnote w:id="13">
    <w:p w:rsidR="005C7D61" w:rsidRPr="005C7D61" w14:paraId="3F577624" w14:textId="77777777">
      <w:pPr>
        <w:pStyle w:val="FootnoteText"/>
      </w:pPr>
      <w:r>
        <w:rPr>
          <w:rStyle w:val="FootnoteReference"/>
        </w:rPr>
        <w:footnoteRef/>
      </w:r>
      <w:r>
        <w:t xml:space="preserve"> </w:t>
      </w:r>
      <w:r>
        <w:rPr>
          <w:i/>
        </w:rPr>
        <w:t xml:space="preserve">Id. </w:t>
      </w:r>
      <w:r>
        <w:t>at 5</w:t>
      </w:r>
      <w:r w:rsidR="007174BA">
        <w:t>-6</w:t>
      </w:r>
      <w:r>
        <w:t>.</w:t>
      </w:r>
    </w:p>
  </w:footnote>
  <w:footnote w:id="14">
    <w:p w:rsidR="00A53033" w:rsidRPr="00B14527" w14:paraId="195C26E3" w14:textId="70109710">
      <w:pPr>
        <w:pStyle w:val="FootnoteText"/>
      </w:pPr>
      <w:r>
        <w:rPr>
          <w:rStyle w:val="FootnoteReference"/>
        </w:rPr>
        <w:footnoteRef/>
      </w:r>
      <w:r>
        <w:t xml:space="preserve"> </w:t>
      </w:r>
      <w:r>
        <w:rPr>
          <w:i/>
        </w:rPr>
        <w:t>Id.</w:t>
      </w:r>
      <w:r>
        <w:t xml:space="preserve"> at 6-7 and Attachments 1 (Ownership Report, File No. BOS-20170707ABH)</w:t>
      </w:r>
      <w:r w:rsidR="00D93678">
        <w:t>,</w:t>
      </w:r>
      <w:r>
        <w:t xml:space="preserve"> 2 (Consummation Notice filed June 9, 2017, indicating that consummation occurred on February 12, 2017)</w:t>
      </w:r>
      <w:r w:rsidR="004F4D1F">
        <w:t xml:space="preserve"> (</w:t>
      </w:r>
      <w:r w:rsidR="004F4D1F">
        <w:rPr>
          <w:i/>
        </w:rPr>
        <w:t>Consummation Notice</w:t>
      </w:r>
      <w:r w:rsidR="004F4D1F">
        <w:t>)</w:t>
      </w:r>
      <w:r w:rsidR="00D93678">
        <w:t>,</w:t>
      </w:r>
      <w:r>
        <w:t xml:space="preserve"> 3 (Certification that Continental is duly organized under the laws of Virginia as of </w:t>
      </w:r>
      <w:r w:rsidR="00485E03">
        <w:t>June 29, 2017</w:t>
      </w:r>
      <w:r w:rsidR="00D93678">
        <w:t>),</w:t>
      </w:r>
      <w:r w:rsidR="00977077">
        <w:t xml:space="preserve"> and 4</w:t>
      </w:r>
      <w:r w:rsidR="00B14527">
        <w:t xml:space="preserve"> (</w:t>
      </w:r>
      <w:r w:rsidR="00D207A6">
        <w:t>Raynor Decl</w:t>
      </w:r>
      <w:r w:rsidR="00520539">
        <w:t>a</w:t>
      </w:r>
      <w:r w:rsidR="00D207A6">
        <w:t>ration</w:t>
      </w:r>
      <w:r w:rsidR="00B14527">
        <w:t xml:space="preserve">); </w:t>
      </w:r>
      <w:r w:rsidR="00B14527">
        <w:rPr>
          <w:i/>
        </w:rPr>
        <w:t xml:space="preserve">see </w:t>
      </w:r>
      <w:r w:rsidR="00B14527">
        <w:t>Assignment of License Application, BAL-20170707ABG.</w:t>
      </w:r>
    </w:p>
  </w:footnote>
  <w:footnote w:id="15">
    <w:p w:rsidR="00404BC7" w14:paraId="7F4C83D7" w14:textId="441D015C">
      <w:pPr>
        <w:pStyle w:val="FootnoteText"/>
      </w:pPr>
      <w:r>
        <w:rPr>
          <w:rStyle w:val="FootnoteReference"/>
        </w:rPr>
        <w:footnoteRef/>
      </w:r>
      <w:r>
        <w:t xml:space="preserve"> Holston indicates that it is submitting these comments </w:t>
      </w:r>
      <w:r w:rsidR="008A781C">
        <w:t>to</w:t>
      </w:r>
      <w:r>
        <w:t xml:space="preserve"> preserve this argument for the Commission pursuant to 47 CFR § 1.52, which contains requirements regarding “Subscription and Verification” of filings with the Commission.</w:t>
      </w:r>
      <w:r w:rsidR="00C52362">
        <w:t xml:space="preserve"> </w:t>
      </w:r>
      <w:r w:rsidR="00A019B9">
        <w:t xml:space="preserve"> </w:t>
      </w:r>
      <w:r w:rsidR="00C52362">
        <w:t>Comments at 2-3.</w:t>
      </w:r>
    </w:p>
  </w:footnote>
  <w:footnote w:id="16">
    <w:p w:rsidR="008A77A8" w:rsidRPr="008A77A8" w14:paraId="356AC3D8" w14:textId="77777777">
      <w:pPr>
        <w:pStyle w:val="FootnoteText"/>
      </w:pPr>
      <w:r>
        <w:rPr>
          <w:rStyle w:val="FootnoteReference"/>
        </w:rPr>
        <w:footnoteRef/>
      </w:r>
      <w:r>
        <w:t xml:space="preserve"> </w:t>
      </w:r>
      <w:r>
        <w:rPr>
          <w:i/>
        </w:rPr>
        <w:t>See</w:t>
      </w:r>
      <w:r>
        <w:t xml:space="preserve"> Reply at 2-8.</w:t>
      </w:r>
    </w:p>
  </w:footnote>
  <w:footnote w:id="17">
    <w:p w:rsidR="004C1EA9" w14:paraId="6A8B57BF" w14:textId="3F60A949">
      <w:pPr>
        <w:pStyle w:val="FootnoteText"/>
      </w:pPr>
      <w:r>
        <w:rPr>
          <w:rStyle w:val="FootnoteReference"/>
        </w:rPr>
        <w:footnoteRef/>
      </w:r>
      <w:r>
        <w:t xml:space="preserve"> </w:t>
      </w:r>
      <w:r w:rsidRPr="00DB6B41" w:rsidR="008228CF">
        <w:t>Letter of Inquiry from Peter H. Doyle, Chief, Audio Division, Media Bureau, FCC, to Dan J. Alpert, Esq. (</w:t>
      </w:r>
      <w:r w:rsidR="008228CF">
        <w:t>Nov. 29</w:t>
      </w:r>
      <w:r w:rsidRPr="00DB6B41" w:rsidR="008228CF">
        <w:t>, 2017)</w:t>
      </w:r>
      <w:r w:rsidR="008228CF">
        <w:t>.</w:t>
      </w:r>
    </w:p>
  </w:footnote>
  <w:footnote w:id="18">
    <w:p w:rsidR="008228CF" w14:paraId="1D237676" w14:textId="03E9FF31">
      <w:pPr>
        <w:pStyle w:val="FootnoteText"/>
      </w:pPr>
      <w:r>
        <w:rPr>
          <w:rStyle w:val="FootnoteReference"/>
        </w:rPr>
        <w:footnoteRef/>
      </w:r>
      <w:r>
        <w:t xml:space="preserve"> LOI Response at Declaration of Wendy Raynor.</w:t>
      </w:r>
    </w:p>
  </w:footnote>
  <w:footnote w:id="19">
    <w:p w:rsidR="006255F3" w:rsidP="006255F3" w14:paraId="6A154455" w14:textId="77777777">
      <w:pPr>
        <w:pStyle w:val="FootnoteText"/>
      </w:pPr>
      <w:r>
        <w:rPr>
          <w:rStyle w:val="FootnoteReference"/>
        </w:rPr>
        <w:footnoteRef/>
      </w:r>
      <w:r>
        <w:t xml:space="preserve"> 47 CFR</w:t>
      </w:r>
      <w:r w:rsidRPr="006E20FF">
        <w:t xml:space="preserve"> § 1.106(b)(2).</w:t>
      </w:r>
    </w:p>
  </w:footnote>
  <w:footnote w:id="20">
    <w:p w:rsidR="009800AD" w:rsidRPr="00354EF8" w:rsidP="009800AD" w14:paraId="1F6B6AB3" w14:textId="6A6F83BF">
      <w:pPr>
        <w:pStyle w:val="FootnoteText"/>
      </w:pPr>
      <w:r>
        <w:rPr>
          <w:rStyle w:val="FootnoteReference"/>
        </w:rPr>
        <w:footnoteRef/>
      </w:r>
      <w:r>
        <w:t xml:space="preserve"> </w:t>
      </w:r>
      <w:r w:rsidRPr="006B245A">
        <w:t>47 CFR § 1.106(p).</w:t>
      </w:r>
      <w:r>
        <w:t xml:space="preserve"> </w:t>
      </w:r>
      <w:r w:rsidR="0012048B">
        <w:t xml:space="preserve"> </w:t>
      </w:r>
      <w:r>
        <w:rPr>
          <w:i/>
        </w:rPr>
        <w:t>See, e.g.</w:t>
      </w:r>
      <w:r w:rsidR="001A2794">
        <w:rPr>
          <w:i/>
        </w:rPr>
        <w:t>,</w:t>
      </w:r>
      <w:r>
        <w:rPr>
          <w:i/>
        </w:rPr>
        <w:t xml:space="preserve"> NCE MX Group 430,</w:t>
      </w:r>
      <w:r>
        <w:t xml:space="preserve"> Memorandum Opinion and Order, 31 FCC Rcd 7261, 7262, para. 5 and n.12 (MB 2016).</w:t>
      </w:r>
    </w:p>
  </w:footnote>
  <w:footnote w:id="21">
    <w:p w:rsidR="009800AD" w:rsidP="009800AD" w14:paraId="76E9050E" w14:textId="77777777">
      <w:pPr>
        <w:pStyle w:val="FootnoteText"/>
      </w:pPr>
      <w:r>
        <w:rPr>
          <w:rStyle w:val="FootnoteReference"/>
        </w:rPr>
        <w:footnoteRef/>
      </w:r>
      <w:r>
        <w:t xml:space="preserve"> 47 CFR § 1.106(p)(1</w:t>
      </w:r>
      <w:r w:rsidRPr="006B245A">
        <w:t>).</w:t>
      </w:r>
    </w:p>
  </w:footnote>
  <w:footnote w:id="22">
    <w:p w:rsidR="009800AD" w14:paraId="36A075BC" w14:textId="5EE5F129">
      <w:pPr>
        <w:pStyle w:val="FootnoteText"/>
      </w:pPr>
      <w:r>
        <w:rPr>
          <w:rStyle w:val="FootnoteReference"/>
        </w:rPr>
        <w:footnoteRef/>
      </w:r>
      <w:r>
        <w:t xml:space="preserve"> 47 CFR § 1.106(p)(2).</w:t>
      </w:r>
    </w:p>
  </w:footnote>
  <w:footnote w:id="23">
    <w:p w:rsidR="006255F3" w:rsidRPr="004F4D1F" w:rsidP="006255F3" w14:paraId="37D405FA" w14:textId="3FD745C1">
      <w:pPr>
        <w:pStyle w:val="FootnoteText"/>
      </w:pPr>
      <w:r>
        <w:rPr>
          <w:rStyle w:val="FootnoteReference"/>
        </w:rPr>
        <w:footnoteRef/>
      </w:r>
      <w:r>
        <w:t xml:space="preserve"> </w:t>
      </w:r>
      <w:r>
        <w:rPr>
          <w:i/>
        </w:rPr>
        <w:t>See</w:t>
      </w:r>
      <w:r>
        <w:t xml:space="preserve"> </w:t>
      </w:r>
      <w:r>
        <w:rPr>
          <w:i/>
        </w:rPr>
        <w:t>Consummation Notice</w:t>
      </w:r>
      <w:r>
        <w:t xml:space="preserve">, </w:t>
      </w:r>
      <w:r>
        <w:rPr>
          <w:i/>
        </w:rPr>
        <w:t>supra</w:t>
      </w:r>
      <w:r>
        <w:t xml:space="preserve"> note 1</w:t>
      </w:r>
      <w:r w:rsidR="00777B20">
        <w:t>2</w:t>
      </w:r>
      <w:r>
        <w:t>.</w:t>
      </w:r>
      <w:r w:rsidR="00A06A6E">
        <w:t xml:space="preserve"> </w:t>
      </w:r>
    </w:p>
  </w:footnote>
  <w:footnote w:id="24">
    <w:p w:rsidR="00500AE3" w14:paraId="731AB0F7" w14:textId="12FCF826">
      <w:pPr>
        <w:pStyle w:val="FootnoteText"/>
      </w:pPr>
      <w:r>
        <w:rPr>
          <w:rStyle w:val="FootnoteReference"/>
        </w:rPr>
        <w:footnoteRef/>
      </w:r>
      <w:r>
        <w:t xml:space="preserve"> 47 CFR </w:t>
      </w:r>
      <w:r w:rsidR="00050973">
        <w:t xml:space="preserve">§ </w:t>
      </w:r>
      <w:r>
        <w:t>1.10</w:t>
      </w:r>
      <w:r w:rsidR="00050973">
        <w:t>6</w:t>
      </w:r>
      <w:r>
        <w:t>(p)(5).</w:t>
      </w:r>
    </w:p>
  </w:footnote>
  <w:footnote w:id="25">
    <w:p w:rsidR="00A52193" w14:paraId="0452FBE2" w14:textId="0390465F">
      <w:pPr>
        <w:pStyle w:val="FootnoteText"/>
      </w:pPr>
      <w:r>
        <w:rPr>
          <w:rStyle w:val="FootnoteReference"/>
        </w:rPr>
        <w:footnoteRef/>
      </w:r>
      <w:r>
        <w:t xml:space="preserve"> </w:t>
      </w:r>
      <w:r w:rsidR="00500AE3">
        <w:rPr>
          <w:i/>
        </w:rPr>
        <w:t>Emmis Radio License, LLC</w:t>
      </w:r>
      <w:r w:rsidR="00500AE3">
        <w:t xml:space="preserve">, </w:t>
      </w:r>
      <w:r w:rsidR="0058235C">
        <w:t xml:space="preserve">Memorandum Opinion and Order, </w:t>
      </w:r>
      <w:r w:rsidR="00D93678">
        <w:t xml:space="preserve">29 FCC Rcd 9129, 9131, para. </w:t>
      </w:r>
      <w:r w:rsidR="00500AE3">
        <w:t>5 (</w:t>
      </w:r>
      <w:r w:rsidR="00D93678">
        <w:t xml:space="preserve">MB </w:t>
      </w:r>
      <w:r w:rsidR="00500AE3">
        <w:t xml:space="preserve">2014) (dismissing petition for reconsideration of </w:t>
      </w:r>
      <w:r w:rsidR="0058235C">
        <w:t xml:space="preserve">Commission order </w:t>
      </w:r>
      <w:r w:rsidR="000549FB">
        <w:t xml:space="preserve">denying application for review </w:t>
      </w:r>
      <w:r w:rsidR="0058235C">
        <w:t xml:space="preserve">pursuant to Section 1.106(p)(5) where it raised matters unrelated to current proceeding). </w:t>
      </w:r>
      <w:r w:rsidR="00500AE3">
        <w:rPr>
          <w:i/>
        </w:rPr>
        <w:t xml:space="preserve"> </w:t>
      </w:r>
      <w:r>
        <w:t xml:space="preserve">Moreover, </w:t>
      </w:r>
      <w:r w:rsidR="00050973">
        <w:t>t</w:t>
      </w:r>
      <w:r w:rsidR="0058235C">
        <w:t>he LOI R</w:t>
      </w:r>
      <w:r>
        <w:t xml:space="preserve">esponse </w:t>
      </w:r>
      <w:r w:rsidR="00A300CA">
        <w:t xml:space="preserve">demonstrates that </w:t>
      </w:r>
      <w:r w:rsidR="008228CF">
        <w:t>Station</w:t>
      </w:r>
      <w:r w:rsidR="00A300CA">
        <w:t xml:space="preserve"> did in fact return to the air with programming between March 19, 2017, and March 21, 2017.  Thus, </w:t>
      </w:r>
      <w:r w:rsidR="00050973">
        <w:t>Holston’s Section 312(g)</w:t>
      </w:r>
      <w:r w:rsidR="00A300CA">
        <w:t xml:space="preserve"> argument would be baseless even if </w:t>
      </w:r>
      <w:r w:rsidR="00BD1588">
        <w:t xml:space="preserve">we </w:t>
      </w:r>
      <w:r w:rsidR="00A300CA">
        <w:t>were to consider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225" w14:paraId="7A72CE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CE8C51" w14:textId="195AB995">
    <w:pPr>
      <w:pStyle w:val="Header"/>
      <w:rPr>
        <w:b w:val="0"/>
      </w:rPr>
    </w:pPr>
    <w:r>
      <w:tab/>
      <w:t>Federal Communications Commission</w:t>
    </w:r>
    <w:r>
      <w:tab/>
    </w:r>
    <w:r w:rsidR="00BD2001">
      <w:rPr>
        <w:spacing w:val="-2"/>
      </w:rPr>
      <w:t>DA 17-1204</w:t>
    </w:r>
  </w:p>
  <w:p w:rsidR="00D25FB5" w14:paraId="59E9DA5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B69159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53B9B0" w14:textId="52642E2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D2001">
      <w:t xml:space="preserve">DA </w:t>
    </w:r>
    <w:r w:rsidR="00D95B27">
      <w:rPr>
        <w:spacing w:val="-2"/>
      </w:rPr>
      <w:t>17</w:t>
    </w:r>
    <w:r w:rsidR="00BD2001">
      <w:rPr>
        <w:spacing w:val="-2"/>
      </w:rPr>
      <w:t>-1204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8B6810"/>
    <w:multiLevelType w:val="hybridMultilevel"/>
    <w:tmpl w:val="D40EB38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DE5F92"/>
    <w:multiLevelType w:val="hybridMultilevel"/>
    <w:tmpl w:val="E36C4A2A"/>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2794D72"/>
    <w:multiLevelType w:val="hybridMultilevel"/>
    <w:tmpl w:val="B728E6F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0936E1F"/>
    <w:multiLevelType w:val="hybridMultilevel"/>
    <w:tmpl w:val="932C9C12"/>
    <w:lvl w:ilvl="0">
      <w:start w:val="2"/>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D840FE"/>
    <w:multiLevelType w:val="hybridMultilevel"/>
    <w:tmpl w:val="249A8A80"/>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4"/>
  </w:num>
  <w:num w:numId="4">
    <w:abstractNumId w:val="7"/>
  </w:num>
  <w:num w:numId="5">
    <w:abstractNumId w:val="3"/>
  </w:num>
  <w:num w:numId="6">
    <w:abstractNumId w:val="0"/>
  </w:num>
  <w:num w:numId="7">
    <w:abstractNumId w:val="6"/>
  </w:num>
  <w:num w:numId="8">
    <w:abstractNumId w:val="9"/>
  </w:num>
  <w:num w:numId="9">
    <w:abstractNumId w:val="1"/>
  </w:num>
  <w:num w:numId="10">
    <w:abstractNumId w:val="5"/>
  </w:num>
  <w:num w:numId="11">
    <w:abstractNumId w:val="8"/>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32B1"/>
    <w:rsid w:val="000057C4"/>
    <w:rsid w:val="00005AA9"/>
    <w:rsid w:val="0000633C"/>
    <w:rsid w:val="000116A2"/>
    <w:rsid w:val="00015B03"/>
    <w:rsid w:val="00022561"/>
    <w:rsid w:val="000311F5"/>
    <w:rsid w:val="00036039"/>
    <w:rsid w:val="00037BCF"/>
    <w:rsid w:val="00037F90"/>
    <w:rsid w:val="00042653"/>
    <w:rsid w:val="00050973"/>
    <w:rsid w:val="000549FB"/>
    <w:rsid w:val="00062225"/>
    <w:rsid w:val="00077C94"/>
    <w:rsid w:val="00081DC8"/>
    <w:rsid w:val="000875BF"/>
    <w:rsid w:val="00096D8C"/>
    <w:rsid w:val="000A4679"/>
    <w:rsid w:val="000C0B65"/>
    <w:rsid w:val="000D7831"/>
    <w:rsid w:val="000E05FE"/>
    <w:rsid w:val="000E3D42"/>
    <w:rsid w:val="000E4F68"/>
    <w:rsid w:val="00105482"/>
    <w:rsid w:val="001125E6"/>
    <w:rsid w:val="0012048B"/>
    <w:rsid w:val="00122BD5"/>
    <w:rsid w:val="00131777"/>
    <w:rsid w:val="00133F79"/>
    <w:rsid w:val="001354B9"/>
    <w:rsid w:val="00140057"/>
    <w:rsid w:val="00155035"/>
    <w:rsid w:val="001649BD"/>
    <w:rsid w:val="001851A1"/>
    <w:rsid w:val="001948C9"/>
    <w:rsid w:val="00194A66"/>
    <w:rsid w:val="001A2794"/>
    <w:rsid w:val="001B2E37"/>
    <w:rsid w:val="001C56F5"/>
    <w:rsid w:val="001D6BCF"/>
    <w:rsid w:val="001E01CA"/>
    <w:rsid w:val="001E7ADF"/>
    <w:rsid w:val="00202333"/>
    <w:rsid w:val="0020590E"/>
    <w:rsid w:val="00206CFF"/>
    <w:rsid w:val="00216B49"/>
    <w:rsid w:val="00223838"/>
    <w:rsid w:val="00237395"/>
    <w:rsid w:val="00247286"/>
    <w:rsid w:val="0026029F"/>
    <w:rsid w:val="00275CF5"/>
    <w:rsid w:val="00281C72"/>
    <w:rsid w:val="0028301F"/>
    <w:rsid w:val="00285017"/>
    <w:rsid w:val="00294158"/>
    <w:rsid w:val="002A2D2E"/>
    <w:rsid w:val="002C00E8"/>
    <w:rsid w:val="002C4118"/>
    <w:rsid w:val="002E2F19"/>
    <w:rsid w:val="00314592"/>
    <w:rsid w:val="003208C8"/>
    <w:rsid w:val="00343749"/>
    <w:rsid w:val="00354EF8"/>
    <w:rsid w:val="00364512"/>
    <w:rsid w:val="003660ED"/>
    <w:rsid w:val="0037339B"/>
    <w:rsid w:val="0038282D"/>
    <w:rsid w:val="00391FAC"/>
    <w:rsid w:val="003A48EF"/>
    <w:rsid w:val="003B0550"/>
    <w:rsid w:val="003B401F"/>
    <w:rsid w:val="003B694F"/>
    <w:rsid w:val="003B76E8"/>
    <w:rsid w:val="003D1762"/>
    <w:rsid w:val="003D5143"/>
    <w:rsid w:val="003F171C"/>
    <w:rsid w:val="00404BC7"/>
    <w:rsid w:val="00405A47"/>
    <w:rsid w:val="00412FC5"/>
    <w:rsid w:val="00422276"/>
    <w:rsid w:val="004242F1"/>
    <w:rsid w:val="00434F24"/>
    <w:rsid w:val="00442EE0"/>
    <w:rsid w:val="00443C41"/>
    <w:rsid w:val="00445A00"/>
    <w:rsid w:val="00451B0F"/>
    <w:rsid w:val="00451EDB"/>
    <w:rsid w:val="00454B3B"/>
    <w:rsid w:val="00462667"/>
    <w:rsid w:val="00463D08"/>
    <w:rsid w:val="0046730A"/>
    <w:rsid w:val="00481E48"/>
    <w:rsid w:val="00485E03"/>
    <w:rsid w:val="00493E71"/>
    <w:rsid w:val="004B7A2C"/>
    <w:rsid w:val="004C1517"/>
    <w:rsid w:val="004C1EA9"/>
    <w:rsid w:val="004C2EE3"/>
    <w:rsid w:val="004C5CCA"/>
    <w:rsid w:val="004D3618"/>
    <w:rsid w:val="004D3D18"/>
    <w:rsid w:val="004E0E9E"/>
    <w:rsid w:val="004E3799"/>
    <w:rsid w:val="004E4A22"/>
    <w:rsid w:val="004F308E"/>
    <w:rsid w:val="004F4D1F"/>
    <w:rsid w:val="00500051"/>
    <w:rsid w:val="00500AE3"/>
    <w:rsid w:val="00501A0F"/>
    <w:rsid w:val="00501E34"/>
    <w:rsid w:val="00511968"/>
    <w:rsid w:val="00520539"/>
    <w:rsid w:val="00527833"/>
    <w:rsid w:val="00531724"/>
    <w:rsid w:val="00532219"/>
    <w:rsid w:val="005446FD"/>
    <w:rsid w:val="005473E5"/>
    <w:rsid w:val="0055614C"/>
    <w:rsid w:val="005567D7"/>
    <w:rsid w:val="00560164"/>
    <w:rsid w:val="0056280B"/>
    <w:rsid w:val="00563B04"/>
    <w:rsid w:val="005726C3"/>
    <w:rsid w:val="0058180E"/>
    <w:rsid w:val="0058235C"/>
    <w:rsid w:val="005973DF"/>
    <w:rsid w:val="005C00EC"/>
    <w:rsid w:val="005C7BBA"/>
    <w:rsid w:val="005C7D61"/>
    <w:rsid w:val="005D703C"/>
    <w:rsid w:val="005E14C2"/>
    <w:rsid w:val="005E1ACF"/>
    <w:rsid w:val="005E4192"/>
    <w:rsid w:val="00607BA5"/>
    <w:rsid w:val="0061180A"/>
    <w:rsid w:val="00624584"/>
    <w:rsid w:val="006255F3"/>
    <w:rsid w:val="00626EB6"/>
    <w:rsid w:val="00632A22"/>
    <w:rsid w:val="00634182"/>
    <w:rsid w:val="006460BF"/>
    <w:rsid w:val="00647CF7"/>
    <w:rsid w:val="00655D03"/>
    <w:rsid w:val="0065663E"/>
    <w:rsid w:val="006570BC"/>
    <w:rsid w:val="006600F6"/>
    <w:rsid w:val="0066281A"/>
    <w:rsid w:val="006715CB"/>
    <w:rsid w:val="006811E0"/>
    <w:rsid w:val="00683388"/>
    <w:rsid w:val="00683F84"/>
    <w:rsid w:val="006907DD"/>
    <w:rsid w:val="00694B8B"/>
    <w:rsid w:val="0069784F"/>
    <w:rsid w:val="006A6A81"/>
    <w:rsid w:val="006A765A"/>
    <w:rsid w:val="006B245A"/>
    <w:rsid w:val="006C466F"/>
    <w:rsid w:val="006D1BE2"/>
    <w:rsid w:val="006E20FF"/>
    <w:rsid w:val="006E33E2"/>
    <w:rsid w:val="006E5425"/>
    <w:rsid w:val="006F10C9"/>
    <w:rsid w:val="006F7393"/>
    <w:rsid w:val="0070224F"/>
    <w:rsid w:val="00707BEC"/>
    <w:rsid w:val="007115F7"/>
    <w:rsid w:val="007174BA"/>
    <w:rsid w:val="007237CB"/>
    <w:rsid w:val="00746B38"/>
    <w:rsid w:val="007623D7"/>
    <w:rsid w:val="00764F29"/>
    <w:rsid w:val="00775DAD"/>
    <w:rsid w:val="00777B20"/>
    <w:rsid w:val="00785689"/>
    <w:rsid w:val="007925E7"/>
    <w:rsid w:val="00795BC9"/>
    <w:rsid w:val="0079754B"/>
    <w:rsid w:val="007A1783"/>
    <w:rsid w:val="007A1E6D"/>
    <w:rsid w:val="007B0EB2"/>
    <w:rsid w:val="007B5E63"/>
    <w:rsid w:val="007B7BCD"/>
    <w:rsid w:val="007C4164"/>
    <w:rsid w:val="007D17D1"/>
    <w:rsid w:val="00810B6F"/>
    <w:rsid w:val="00813995"/>
    <w:rsid w:val="008228CF"/>
    <w:rsid w:val="00822CE0"/>
    <w:rsid w:val="008355EB"/>
    <w:rsid w:val="00835C89"/>
    <w:rsid w:val="00841AB1"/>
    <w:rsid w:val="00855B06"/>
    <w:rsid w:val="00866E2E"/>
    <w:rsid w:val="008A77A8"/>
    <w:rsid w:val="008A781C"/>
    <w:rsid w:val="008C68F1"/>
    <w:rsid w:val="008D2393"/>
    <w:rsid w:val="008D58D5"/>
    <w:rsid w:val="00907795"/>
    <w:rsid w:val="00915229"/>
    <w:rsid w:val="00917AEF"/>
    <w:rsid w:val="00921803"/>
    <w:rsid w:val="00926503"/>
    <w:rsid w:val="00950FF4"/>
    <w:rsid w:val="009520DE"/>
    <w:rsid w:val="00953676"/>
    <w:rsid w:val="009567BC"/>
    <w:rsid w:val="0096788A"/>
    <w:rsid w:val="009726D8"/>
    <w:rsid w:val="009736C0"/>
    <w:rsid w:val="009743E3"/>
    <w:rsid w:val="00975643"/>
    <w:rsid w:val="00977077"/>
    <w:rsid w:val="009800AD"/>
    <w:rsid w:val="009810FD"/>
    <w:rsid w:val="009856BA"/>
    <w:rsid w:val="00985CE3"/>
    <w:rsid w:val="00990F13"/>
    <w:rsid w:val="009B1F78"/>
    <w:rsid w:val="009B51D9"/>
    <w:rsid w:val="009F76DB"/>
    <w:rsid w:val="009F7AE8"/>
    <w:rsid w:val="00A019B9"/>
    <w:rsid w:val="00A0378E"/>
    <w:rsid w:val="00A06A6E"/>
    <w:rsid w:val="00A212DA"/>
    <w:rsid w:val="00A24C10"/>
    <w:rsid w:val="00A27736"/>
    <w:rsid w:val="00A300CA"/>
    <w:rsid w:val="00A32C3B"/>
    <w:rsid w:val="00A4099F"/>
    <w:rsid w:val="00A45F4F"/>
    <w:rsid w:val="00A52193"/>
    <w:rsid w:val="00A53033"/>
    <w:rsid w:val="00A55147"/>
    <w:rsid w:val="00A600A9"/>
    <w:rsid w:val="00A700F4"/>
    <w:rsid w:val="00A743F7"/>
    <w:rsid w:val="00A74F3C"/>
    <w:rsid w:val="00A86314"/>
    <w:rsid w:val="00AA1849"/>
    <w:rsid w:val="00AA4CDD"/>
    <w:rsid w:val="00AA55B7"/>
    <w:rsid w:val="00AA5B9E"/>
    <w:rsid w:val="00AA62BB"/>
    <w:rsid w:val="00AA70B3"/>
    <w:rsid w:val="00AB2407"/>
    <w:rsid w:val="00AB53DF"/>
    <w:rsid w:val="00AB6ED0"/>
    <w:rsid w:val="00AD4FF3"/>
    <w:rsid w:val="00B02589"/>
    <w:rsid w:val="00B02636"/>
    <w:rsid w:val="00B07E5C"/>
    <w:rsid w:val="00B14527"/>
    <w:rsid w:val="00B22A4A"/>
    <w:rsid w:val="00B2476D"/>
    <w:rsid w:val="00B3053D"/>
    <w:rsid w:val="00B32EB8"/>
    <w:rsid w:val="00B37CD8"/>
    <w:rsid w:val="00B430F3"/>
    <w:rsid w:val="00B451BC"/>
    <w:rsid w:val="00B52E2A"/>
    <w:rsid w:val="00B64BE9"/>
    <w:rsid w:val="00B66A2D"/>
    <w:rsid w:val="00B76CC3"/>
    <w:rsid w:val="00B811F7"/>
    <w:rsid w:val="00B93EE3"/>
    <w:rsid w:val="00BA5DC6"/>
    <w:rsid w:val="00BA6196"/>
    <w:rsid w:val="00BB22E5"/>
    <w:rsid w:val="00BC21E1"/>
    <w:rsid w:val="00BC2424"/>
    <w:rsid w:val="00BC5B50"/>
    <w:rsid w:val="00BC6D8C"/>
    <w:rsid w:val="00BD1588"/>
    <w:rsid w:val="00BD2001"/>
    <w:rsid w:val="00BD6493"/>
    <w:rsid w:val="00C046DA"/>
    <w:rsid w:val="00C056A1"/>
    <w:rsid w:val="00C102E5"/>
    <w:rsid w:val="00C24670"/>
    <w:rsid w:val="00C33CF6"/>
    <w:rsid w:val="00C34006"/>
    <w:rsid w:val="00C36B83"/>
    <w:rsid w:val="00C426B1"/>
    <w:rsid w:val="00C51120"/>
    <w:rsid w:val="00C52362"/>
    <w:rsid w:val="00C57473"/>
    <w:rsid w:val="00C66160"/>
    <w:rsid w:val="00C7097A"/>
    <w:rsid w:val="00C721AC"/>
    <w:rsid w:val="00C7546D"/>
    <w:rsid w:val="00C76E2D"/>
    <w:rsid w:val="00C773BE"/>
    <w:rsid w:val="00C85FF3"/>
    <w:rsid w:val="00C90D6A"/>
    <w:rsid w:val="00CA0F67"/>
    <w:rsid w:val="00CA247E"/>
    <w:rsid w:val="00CC4500"/>
    <w:rsid w:val="00CC627D"/>
    <w:rsid w:val="00CC72B6"/>
    <w:rsid w:val="00CC7ABA"/>
    <w:rsid w:val="00CD1CF2"/>
    <w:rsid w:val="00CE15CA"/>
    <w:rsid w:val="00CF20F0"/>
    <w:rsid w:val="00CF3FD0"/>
    <w:rsid w:val="00D0218D"/>
    <w:rsid w:val="00D02908"/>
    <w:rsid w:val="00D11A76"/>
    <w:rsid w:val="00D207A6"/>
    <w:rsid w:val="00D24457"/>
    <w:rsid w:val="00D25FB5"/>
    <w:rsid w:val="00D30BA1"/>
    <w:rsid w:val="00D42CE7"/>
    <w:rsid w:val="00D43D13"/>
    <w:rsid w:val="00D44223"/>
    <w:rsid w:val="00D455C9"/>
    <w:rsid w:val="00D51236"/>
    <w:rsid w:val="00D76879"/>
    <w:rsid w:val="00D81ECF"/>
    <w:rsid w:val="00D93678"/>
    <w:rsid w:val="00D95B27"/>
    <w:rsid w:val="00DA2529"/>
    <w:rsid w:val="00DB130A"/>
    <w:rsid w:val="00DB2EBB"/>
    <w:rsid w:val="00DB6B41"/>
    <w:rsid w:val="00DC0B9C"/>
    <w:rsid w:val="00DC10A1"/>
    <w:rsid w:val="00DC655F"/>
    <w:rsid w:val="00DD0B59"/>
    <w:rsid w:val="00DD1730"/>
    <w:rsid w:val="00DD7EBD"/>
    <w:rsid w:val="00DF17A9"/>
    <w:rsid w:val="00DF62B6"/>
    <w:rsid w:val="00E02502"/>
    <w:rsid w:val="00E05203"/>
    <w:rsid w:val="00E07225"/>
    <w:rsid w:val="00E11C92"/>
    <w:rsid w:val="00E14569"/>
    <w:rsid w:val="00E5409F"/>
    <w:rsid w:val="00E56C3A"/>
    <w:rsid w:val="00E670E2"/>
    <w:rsid w:val="00E756E8"/>
    <w:rsid w:val="00E9295B"/>
    <w:rsid w:val="00EA6726"/>
    <w:rsid w:val="00EB2396"/>
    <w:rsid w:val="00EB5B34"/>
    <w:rsid w:val="00ED0DBA"/>
    <w:rsid w:val="00ED5D8B"/>
    <w:rsid w:val="00EE14FA"/>
    <w:rsid w:val="00EE1B3E"/>
    <w:rsid w:val="00EE5C1A"/>
    <w:rsid w:val="00EE6488"/>
    <w:rsid w:val="00EF2B19"/>
    <w:rsid w:val="00EF30FB"/>
    <w:rsid w:val="00EF492C"/>
    <w:rsid w:val="00F01A9E"/>
    <w:rsid w:val="00F021FA"/>
    <w:rsid w:val="00F03999"/>
    <w:rsid w:val="00F0580F"/>
    <w:rsid w:val="00F12F61"/>
    <w:rsid w:val="00F13020"/>
    <w:rsid w:val="00F20CB2"/>
    <w:rsid w:val="00F40E3D"/>
    <w:rsid w:val="00F4186F"/>
    <w:rsid w:val="00F62E97"/>
    <w:rsid w:val="00F64111"/>
    <w:rsid w:val="00F64209"/>
    <w:rsid w:val="00F71A26"/>
    <w:rsid w:val="00F754D6"/>
    <w:rsid w:val="00F75526"/>
    <w:rsid w:val="00F7722C"/>
    <w:rsid w:val="00F906D4"/>
    <w:rsid w:val="00F93BF5"/>
    <w:rsid w:val="00FA2FAC"/>
    <w:rsid w:val="00FB45D7"/>
    <w:rsid w:val="00FC488E"/>
    <w:rsid w:val="00FC4D63"/>
    <w:rsid w:val="00FC7AC4"/>
    <w:rsid w:val="00FE247A"/>
    <w:rsid w:val="00FF1958"/>
    <w:rsid w:val="00FF67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27"/>
    <w:pPr>
      <w:widowControl w:val="0"/>
    </w:pPr>
    <w:rPr>
      <w:snapToGrid w:val="0"/>
      <w:kern w:val="28"/>
      <w:sz w:val="22"/>
    </w:rPr>
  </w:style>
  <w:style w:type="paragraph" w:styleId="Heading1">
    <w:name w:val="heading 1"/>
    <w:basedOn w:val="Normal"/>
    <w:next w:val="ParaNum"/>
    <w:qFormat/>
    <w:rsid w:val="00D95B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5B27"/>
    <w:pPr>
      <w:keepNext/>
      <w:numPr>
        <w:ilvl w:val="1"/>
        <w:numId w:val="3"/>
      </w:numPr>
      <w:spacing w:after="120"/>
      <w:outlineLvl w:val="1"/>
    </w:pPr>
    <w:rPr>
      <w:b/>
    </w:rPr>
  </w:style>
  <w:style w:type="paragraph" w:styleId="Heading3">
    <w:name w:val="heading 3"/>
    <w:basedOn w:val="Normal"/>
    <w:next w:val="ParaNum"/>
    <w:qFormat/>
    <w:rsid w:val="00D95B27"/>
    <w:pPr>
      <w:keepNext/>
      <w:numPr>
        <w:ilvl w:val="2"/>
        <w:numId w:val="3"/>
      </w:numPr>
      <w:tabs>
        <w:tab w:val="left" w:pos="2160"/>
      </w:tabs>
      <w:spacing w:after="120"/>
      <w:outlineLvl w:val="2"/>
    </w:pPr>
    <w:rPr>
      <w:b/>
    </w:rPr>
  </w:style>
  <w:style w:type="paragraph" w:styleId="Heading4">
    <w:name w:val="heading 4"/>
    <w:basedOn w:val="Normal"/>
    <w:next w:val="ParaNum"/>
    <w:qFormat/>
    <w:rsid w:val="00D95B27"/>
    <w:pPr>
      <w:keepNext/>
      <w:numPr>
        <w:ilvl w:val="3"/>
        <w:numId w:val="3"/>
      </w:numPr>
      <w:tabs>
        <w:tab w:val="left" w:pos="2880"/>
      </w:tabs>
      <w:spacing w:after="120"/>
      <w:outlineLvl w:val="3"/>
    </w:pPr>
    <w:rPr>
      <w:b/>
    </w:rPr>
  </w:style>
  <w:style w:type="paragraph" w:styleId="Heading5">
    <w:name w:val="heading 5"/>
    <w:basedOn w:val="Normal"/>
    <w:next w:val="ParaNum"/>
    <w:qFormat/>
    <w:rsid w:val="00D95B2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5B27"/>
    <w:pPr>
      <w:numPr>
        <w:ilvl w:val="5"/>
        <w:numId w:val="3"/>
      </w:numPr>
      <w:tabs>
        <w:tab w:val="left" w:pos="4320"/>
      </w:tabs>
      <w:spacing w:after="120"/>
      <w:outlineLvl w:val="5"/>
    </w:pPr>
    <w:rPr>
      <w:b/>
    </w:rPr>
  </w:style>
  <w:style w:type="paragraph" w:styleId="Heading7">
    <w:name w:val="heading 7"/>
    <w:basedOn w:val="Normal"/>
    <w:next w:val="ParaNum"/>
    <w:qFormat/>
    <w:rsid w:val="00D95B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5B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5B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95B27"/>
    <w:pPr>
      <w:numPr>
        <w:numId w:val="2"/>
      </w:numPr>
      <w:tabs>
        <w:tab w:val="clear" w:pos="1080"/>
        <w:tab w:val="num" w:pos="1440"/>
      </w:tabs>
      <w:spacing w:after="120"/>
    </w:pPr>
  </w:style>
  <w:style w:type="paragraph" w:styleId="EndnoteText">
    <w:name w:val="endnote text"/>
    <w:basedOn w:val="Normal"/>
    <w:semiHidden/>
    <w:rsid w:val="00D95B27"/>
    <w:rPr>
      <w:sz w:val="20"/>
    </w:rPr>
  </w:style>
  <w:style w:type="character" w:styleId="EndnoteReference">
    <w:name w:val="endnote reference"/>
    <w:semiHidden/>
    <w:rsid w:val="00D95B27"/>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link w:val="FootnoteTextChar"/>
    <w:rsid w:val="00D95B27"/>
    <w:pPr>
      <w:spacing w:after="120"/>
    </w:pPr>
  </w:style>
  <w:style w:type="character" w:styleId="FootnoteReference">
    <w:name w:val="footnote reference"/>
    <w:aliases w:val="(NECG) Footnote Reference,Appel note de bas de p,FR,Footnote Reference/,Style 12,Style 124,Style 13,Style 17,Style 3,Style 4,Style 6,Style 7,fr,o"/>
    <w:rsid w:val="00D95B27"/>
    <w:rPr>
      <w:rFonts w:ascii="Times New Roman" w:hAnsi="Times New Roman"/>
      <w:dstrike w:val="0"/>
      <w:color w:val="auto"/>
      <w:sz w:val="20"/>
      <w:vertAlign w:val="superscript"/>
    </w:rPr>
  </w:style>
  <w:style w:type="paragraph" w:styleId="TOC1">
    <w:name w:val="toc 1"/>
    <w:basedOn w:val="Normal"/>
    <w:next w:val="Normal"/>
    <w:semiHidden/>
    <w:rsid w:val="00D95B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95B27"/>
    <w:pPr>
      <w:tabs>
        <w:tab w:val="left" w:pos="720"/>
        <w:tab w:val="right" w:leader="dot" w:pos="9360"/>
      </w:tabs>
      <w:suppressAutoHyphens/>
      <w:ind w:left="720" w:right="720" w:hanging="360"/>
    </w:pPr>
    <w:rPr>
      <w:noProof/>
    </w:rPr>
  </w:style>
  <w:style w:type="paragraph" w:styleId="TOC3">
    <w:name w:val="toc 3"/>
    <w:basedOn w:val="Normal"/>
    <w:next w:val="Normal"/>
    <w:semiHidden/>
    <w:rsid w:val="00D95B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5B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5B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5B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5B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5B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5B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5B27"/>
    <w:pPr>
      <w:tabs>
        <w:tab w:val="right" w:pos="9360"/>
      </w:tabs>
      <w:suppressAutoHyphens/>
    </w:pPr>
  </w:style>
  <w:style w:type="character" w:customStyle="1" w:styleId="EquationCaption">
    <w:name w:val="_Equation Caption"/>
    <w:rsid w:val="00D95B27"/>
  </w:style>
  <w:style w:type="paragraph" w:styleId="Header">
    <w:name w:val="header"/>
    <w:basedOn w:val="Normal"/>
    <w:autoRedefine/>
    <w:rsid w:val="00D95B27"/>
    <w:pPr>
      <w:tabs>
        <w:tab w:val="center" w:pos="4680"/>
        <w:tab w:val="right" w:pos="9360"/>
      </w:tabs>
    </w:pPr>
    <w:rPr>
      <w:b/>
    </w:rPr>
  </w:style>
  <w:style w:type="paragraph" w:styleId="Footer">
    <w:name w:val="footer"/>
    <w:basedOn w:val="Normal"/>
    <w:rsid w:val="00D95B27"/>
    <w:pPr>
      <w:tabs>
        <w:tab w:val="center" w:pos="4320"/>
        <w:tab w:val="right" w:pos="8640"/>
      </w:tabs>
    </w:pPr>
  </w:style>
  <w:style w:type="character" w:styleId="PageNumber">
    <w:name w:val="page number"/>
    <w:basedOn w:val="DefaultParagraphFont"/>
    <w:rsid w:val="00D95B27"/>
  </w:style>
  <w:style w:type="paragraph" w:styleId="BlockText">
    <w:name w:val="Block Text"/>
    <w:basedOn w:val="Normal"/>
    <w:rsid w:val="00D95B27"/>
    <w:pPr>
      <w:spacing w:after="240"/>
      <w:ind w:left="1440" w:right="1440"/>
    </w:pPr>
  </w:style>
  <w:style w:type="paragraph" w:customStyle="1" w:styleId="Paratitle">
    <w:name w:val="Para title"/>
    <w:basedOn w:val="Normal"/>
    <w:rsid w:val="00D95B27"/>
    <w:pPr>
      <w:tabs>
        <w:tab w:val="center" w:pos="9270"/>
      </w:tabs>
      <w:spacing w:after="240"/>
    </w:pPr>
    <w:rPr>
      <w:spacing w:val="-2"/>
    </w:rPr>
  </w:style>
  <w:style w:type="paragraph" w:customStyle="1" w:styleId="Bullet">
    <w:name w:val="Bullet"/>
    <w:basedOn w:val="Normal"/>
    <w:rsid w:val="00D95B27"/>
    <w:pPr>
      <w:tabs>
        <w:tab w:val="left" w:pos="2160"/>
      </w:tabs>
      <w:spacing w:after="220"/>
      <w:ind w:left="2160" w:hanging="720"/>
    </w:pPr>
  </w:style>
  <w:style w:type="paragraph" w:customStyle="1" w:styleId="TableFormat">
    <w:name w:val="TableFormat"/>
    <w:basedOn w:val="Bullet"/>
    <w:rsid w:val="00D95B27"/>
    <w:pPr>
      <w:tabs>
        <w:tab w:val="clear" w:pos="2160"/>
        <w:tab w:val="left" w:pos="5040"/>
      </w:tabs>
      <w:ind w:left="5040" w:hanging="3600"/>
    </w:pPr>
  </w:style>
  <w:style w:type="paragraph" w:customStyle="1" w:styleId="TOCTitle">
    <w:name w:val="TOC Title"/>
    <w:basedOn w:val="Normal"/>
    <w:rsid w:val="00D95B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5B27"/>
    <w:pPr>
      <w:jc w:val="center"/>
    </w:pPr>
    <w:rPr>
      <w:rFonts w:ascii="Times New Roman Bold" w:hAnsi="Times New Roman Bold"/>
      <w:b/>
      <w:bCs/>
      <w:caps/>
      <w:szCs w:val="22"/>
    </w:rPr>
  </w:style>
  <w:style w:type="character" w:styleId="Hyperlink">
    <w:name w:val="Hyperlink"/>
    <w:rsid w:val="00D95B27"/>
    <w:rPr>
      <w:color w:val="0000FF"/>
      <w:u w:val="single"/>
    </w:rPr>
  </w:style>
  <w:style w:type="character" w:customStyle="1" w:styleId="ParaNumChar">
    <w:name w:val="ParaNum Char"/>
    <w:link w:val="ParaNum"/>
    <w:rsid w:val="00A4099F"/>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A4099F"/>
  </w:style>
  <w:style w:type="character" w:customStyle="1" w:styleId="Mention1">
    <w:name w:val="Mention1"/>
    <w:basedOn w:val="DefaultParagraphFont"/>
    <w:uiPriority w:val="99"/>
    <w:semiHidden/>
    <w:unhideWhenUsed/>
    <w:rsid w:val="005973DF"/>
    <w:rPr>
      <w:color w:val="2B579A"/>
      <w:shd w:val="clear" w:color="auto" w:fill="E6E6E6"/>
    </w:rPr>
  </w:style>
  <w:style w:type="paragraph" w:styleId="BalloonText">
    <w:name w:val="Balloon Text"/>
    <w:basedOn w:val="Normal"/>
    <w:link w:val="BalloonTextChar"/>
    <w:rsid w:val="009F7AE8"/>
    <w:rPr>
      <w:rFonts w:ascii="Segoe UI" w:hAnsi="Segoe UI" w:cs="Segoe UI"/>
      <w:sz w:val="18"/>
      <w:szCs w:val="18"/>
    </w:rPr>
  </w:style>
  <w:style w:type="character" w:customStyle="1" w:styleId="BalloonTextChar">
    <w:name w:val="Balloon Text Char"/>
    <w:basedOn w:val="DefaultParagraphFont"/>
    <w:link w:val="BalloonText"/>
    <w:rsid w:val="009F7AE8"/>
    <w:rPr>
      <w:rFonts w:ascii="Segoe UI" w:hAnsi="Segoe UI" w:cs="Segoe UI"/>
      <w:snapToGrid w:val="0"/>
      <w:kern w:val="28"/>
      <w:sz w:val="18"/>
      <w:szCs w:val="18"/>
    </w:rPr>
  </w:style>
  <w:style w:type="paragraph" w:styleId="ListParagraph">
    <w:name w:val="List Paragraph"/>
    <w:basedOn w:val="Normal"/>
    <w:uiPriority w:val="34"/>
    <w:qFormat/>
    <w:rsid w:val="0020590E"/>
    <w:pPr>
      <w:ind w:left="720"/>
      <w:contextualSpacing/>
    </w:pPr>
  </w:style>
  <w:style w:type="character" w:customStyle="1" w:styleId="UnresolvedMention1">
    <w:name w:val="Unresolved Mention1"/>
    <w:basedOn w:val="DefaultParagraphFont"/>
    <w:uiPriority w:val="99"/>
    <w:semiHidden/>
    <w:unhideWhenUsed/>
    <w:rsid w:val="00AD4FF3"/>
    <w:rPr>
      <w:color w:val="808080"/>
      <w:shd w:val="clear" w:color="auto" w:fill="E6E6E6"/>
    </w:rPr>
  </w:style>
  <w:style w:type="character" w:styleId="CommentReference">
    <w:name w:val="annotation reference"/>
    <w:basedOn w:val="DefaultParagraphFont"/>
    <w:rsid w:val="00B76CC3"/>
    <w:rPr>
      <w:sz w:val="16"/>
      <w:szCs w:val="16"/>
    </w:rPr>
  </w:style>
  <w:style w:type="paragraph" w:styleId="CommentText">
    <w:name w:val="annotation text"/>
    <w:basedOn w:val="Normal"/>
    <w:link w:val="CommentTextChar"/>
    <w:rsid w:val="00B76CC3"/>
    <w:rPr>
      <w:sz w:val="20"/>
    </w:rPr>
  </w:style>
  <w:style w:type="character" w:customStyle="1" w:styleId="CommentTextChar">
    <w:name w:val="Comment Text Char"/>
    <w:basedOn w:val="DefaultParagraphFont"/>
    <w:link w:val="CommentText"/>
    <w:rsid w:val="00B76CC3"/>
    <w:rPr>
      <w:snapToGrid w:val="0"/>
      <w:kern w:val="28"/>
    </w:rPr>
  </w:style>
  <w:style w:type="paragraph" w:styleId="CommentSubject">
    <w:name w:val="annotation subject"/>
    <w:basedOn w:val="CommentText"/>
    <w:next w:val="CommentText"/>
    <w:link w:val="CommentSubjectChar"/>
    <w:rsid w:val="00B76CC3"/>
    <w:rPr>
      <w:b/>
      <w:bCs/>
    </w:rPr>
  </w:style>
  <w:style w:type="character" w:customStyle="1" w:styleId="CommentSubjectChar">
    <w:name w:val="Comment Subject Char"/>
    <w:basedOn w:val="CommentTextChar"/>
    <w:link w:val="CommentSubject"/>
    <w:rsid w:val="00B76CC3"/>
    <w:rPr>
      <w:b/>
      <w:bCs/>
      <w:snapToGrid w:val="0"/>
      <w:kern w:val="28"/>
    </w:rPr>
  </w:style>
  <w:style w:type="paragraph" w:styleId="Revision">
    <w:name w:val="Revision"/>
    <w:hidden/>
    <w:uiPriority w:val="99"/>
    <w:semiHidden/>
    <w:rsid w:val="003B76E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1FD2-14B9-42D6-857C-FD31411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2017-12-14T19:14:30Z</dcterms:created>
  <dcterms:modified xsi:type="dcterms:W3CDTF">2017-12-14T19:14:30Z</dcterms:modified>
</cp:coreProperties>
</file>