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5915FE" w:rsidRDefault="005915FE" w:rsidP="005915FE">
      <w:pPr>
        <w:rPr>
          <w:b/>
          <w:szCs w:val="22"/>
        </w:rPr>
      </w:pPr>
      <w:r>
        <w:rPr>
          <w:b/>
          <w:szCs w:val="22"/>
        </w:rPr>
        <w:lastRenderedPageBreak/>
        <w:t>Comment Date: December 27, 2017</w:t>
      </w:r>
    </w:p>
    <w:p w:rsidR="005915FE" w:rsidRPr="009518DA" w:rsidRDefault="005915FE" w:rsidP="005915FE">
      <w:pPr>
        <w:rPr>
          <w:b/>
          <w:szCs w:val="22"/>
        </w:rPr>
      </w:pPr>
      <w:r>
        <w:rPr>
          <w:b/>
          <w:szCs w:val="22"/>
        </w:rPr>
        <w:t>Reply Comment Date: January 26, 2018</w:t>
      </w:r>
    </w:p>
    <w:p w:rsidR="005915FE" w:rsidRDefault="005915FE" w:rsidP="005915FE">
      <w:pPr>
        <w:jc w:val="right"/>
        <w:rPr>
          <w:b/>
          <w:szCs w:val="22"/>
        </w:rPr>
      </w:pPr>
      <w:r w:rsidRPr="009518DA">
        <w:rPr>
          <w:b/>
          <w:szCs w:val="22"/>
        </w:rPr>
        <w:t>DA 17-</w:t>
      </w:r>
      <w:r w:rsidR="00973E6A">
        <w:rPr>
          <w:b/>
          <w:szCs w:val="22"/>
        </w:rPr>
        <w:t>1149</w:t>
      </w:r>
    </w:p>
    <w:p w:rsidR="005915FE" w:rsidRPr="009518DA" w:rsidRDefault="005915FE" w:rsidP="005915FE">
      <w:pPr>
        <w:jc w:val="right"/>
        <w:rPr>
          <w:b/>
          <w:szCs w:val="22"/>
        </w:rPr>
      </w:pPr>
      <w:r w:rsidRPr="009518DA">
        <w:rPr>
          <w:b/>
          <w:szCs w:val="22"/>
        </w:rPr>
        <w:t xml:space="preserve">Released: </w:t>
      </w:r>
      <w:r>
        <w:rPr>
          <w:b/>
          <w:szCs w:val="22"/>
        </w:rPr>
        <w:t>November 2</w:t>
      </w:r>
      <w:r w:rsidR="00973E6A">
        <w:rPr>
          <w:b/>
          <w:szCs w:val="22"/>
        </w:rPr>
        <w:t>9</w:t>
      </w:r>
      <w:r w:rsidRPr="009518DA">
        <w:rPr>
          <w:b/>
          <w:szCs w:val="22"/>
        </w:rPr>
        <w:t>, 2017</w:t>
      </w:r>
    </w:p>
    <w:p w:rsidR="005915FE" w:rsidRPr="009518DA" w:rsidRDefault="005915FE" w:rsidP="005915FE">
      <w:pPr>
        <w:jc w:val="right"/>
        <w:rPr>
          <w:szCs w:val="22"/>
        </w:rPr>
      </w:pPr>
    </w:p>
    <w:p w:rsidR="005915FE" w:rsidRPr="009518DA" w:rsidRDefault="005915FE" w:rsidP="005915FE">
      <w:pPr>
        <w:spacing w:before="120" w:after="120"/>
        <w:contextualSpacing/>
        <w:jc w:val="center"/>
        <w:rPr>
          <w:b/>
          <w:szCs w:val="22"/>
        </w:rPr>
      </w:pPr>
      <w:r w:rsidRPr="009518DA">
        <w:rPr>
          <w:b/>
          <w:szCs w:val="22"/>
        </w:rPr>
        <w:t>WIRELINE COMPETITION BUREAU ANNOUNCES COMMENT AND REPLY COMMENT</w:t>
      </w:r>
    </w:p>
    <w:p w:rsidR="005915FE" w:rsidRPr="009518DA" w:rsidRDefault="005915FE" w:rsidP="005915FE">
      <w:pPr>
        <w:spacing w:before="120" w:after="120"/>
        <w:contextualSpacing/>
        <w:jc w:val="center"/>
        <w:rPr>
          <w:b/>
          <w:szCs w:val="22"/>
        </w:rPr>
      </w:pPr>
      <w:r w:rsidRPr="009518DA">
        <w:rPr>
          <w:b/>
          <w:szCs w:val="22"/>
        </w:rPr>
        <w:t xml:space="preserve">DATES FOR NOTICE OF PROPOSED RULEMAKING </w:t>
      </w:r>
      <w:r>
        <w:rPr>
          <w:b/>
          <w:szCs w:val="22"/>
        </w:rPr>
        <w:t xml:space="preserve">AND NOTICE OF INQUIRY </w:t>
      </w:r>
      <w:r w:rsidRPr="009518DA">
        <w:rPr>
          <w:b/>
          <w:szCs w:val="22"/>
        </w:rPr>
        <w:t xml:space="preserve">ON </w:t>
      </w:r>
      <w:r>
        <w:rPr>
          <w:b/>
          <w:szCs w:val="22"/>
        </w:rPr>
        <w:t>NATIONWIDE NUMBER PORTABILITY</w:t>
      </w:r>
    </w:p>
    <w:p w:rsidR="005915FE" w:rsidRPr="009518DA" w:rsidRDefault="005915FE" w:rsidP="005915FE">
      <w:pPr>
        <w:spacing w:before="120" w:after="120"/>
        <w:contextualSpacing/>
        <w:jc w:val="center"/>
        <w:rPr>
          <w:szCs w:val="22"/>
        </w:rPr>
      </w:pPr>
    </w:p>
    <w:p w:rsidR="005915FE" w:rsidRPr="009518DA" w:rsidRDefault="005915FE" w:rsidP="005915FE">
      <w:pPr>
        <w:jc w:val="center"/>
        <w:rPr>
          <w:b/>
          <w:szCs w:val="22"/>
        </w:rPr>
      </w:pPr>
      <w:r>
        <w:rPr>
          <w:b/>
          <w:szCs w:val="22"/>
        </w:rPr>
        <w:t>WC Docket Nos. 17-244, 13-97</w:t>
      </w:r>
    </w:p>
    <w:p w:rsidR="005915FE" w:rsidRPr="009518DA" w:rsidRDefault="005915FE" w:rsidP="005915FE">
      <w:pPr>
        <w:jc w:val="center"/>
        <w:rPr>
          <w:b/>
          <w:szCs w:val="22"/>
        </w:rPr>
      </w:pPr>
      <w:r w:rsidRPr="009518DA">
        <w:rPr>
          <w:b/>
          <w:szCs w:val="22"/>
        </w:rPr>
        <w:t xml:space="preserve"> </w:t>
      </w:r>
    </w:p>
    <w:p w:rsidR="005915FE" w:rsidRDefault="005915FE" w:rsidP="005915FE">
      <w:pPr>
        <w:rPr>
          <w:iCs/>
          <w:szCs w:val="22"/>
        </w:rPr>
      </w:pPr>
      <w:bookmarkStart w:id="2" w:name="_Hlk499643274"/>
      <w:r>
        <w:rPr>
          <w:iCs/>
          <w:szCs w:val="22"/>
        </w:rPr>
        <w:t xml:space="preserve">On October 24, 2017, the Federal Communications Commission adopted a Notice of Proposed Rulemaking (NPRM) and Notice of Inquiry (NOI) </w:t>
      </w:r>
      <w:r>
        <w:t>that seeks comment on how best to move toward complete nationwide number portability to promote competition among all service providers, regardless of size or type of service.</w:t>
      </w:r>
      <w:r>
        <w:rPr>
          <w:rStyle w:val="FootnoteReference"/>
        </w:rPr>
        <w:footnoteReference w:id="1"/>
      </w:r>
      <w:r>
        <w:rPr>
          <w:iCs/>
          <w:szCs w:val="22"/>
        </w:rPr>
        <w:t xml:space="preserve">  The NPRM and NOI sets deadlines for filing comments and reply comments at 30 and 60 days, respectively, after publication in the Federal Register.</w:t>
      </w:r>
      <w:r>
        <w:rPr>
          <w:rStyle w:val="FootnoteReference"/>
          <w:iCs/>
          <w:szCs w:val="22"/>
        </w:rPr>
        <w:footnoteReference w:id="2"/>
      </w:r>
      <w:bookmarkEnd w:id="2"/>
    </w:p>
    <w:p w:rsidR="005915FE" w:rsidRDefault="005915FE" w:rsidP="005915FE"/>
    <w:p w:rsidR="005915FE" w:rsidRPr="00D021BA" w:rsidRDefault="005915FE" w:rsidP="005915FE">
      <w:r>
        <w:rPr>
          <w:iCs/>
          <w:szCs w:val="22"/>
        </w:rPr>
        <w:t>On November 27, 2017, a summary of the NPRM and NOI was published in the Federal Register.</w:t>
      </w:r>
      <w:r>
        <w:rPr>
          <w:rStyle w:val="FootnoteReference"/>
          <w:iCs/>
          <w:szCs w:val="22"/>
        </w:rPr>
        <w:footnoteReference w:id="3"/>
      </w:r>
      <w:r>
        <w:rPr>
          <w:iCs/>
          <w:szCs w:val="22"/>
        </w:rPr>
        <w:t xml:space="preserve">  Accordingly, comments will be due on or before December 27, 2017, and reply comments will be due on or before January 26, 2018.</w:t>
      </w:r>
      <w:r>
        <w:rPr>
          <w:rStyle w:val="FootnoteReference"/>
          <w:iCs/>
          <w:szCs w:val="22"/>
        </w:rPr>
        <w:footnoteReference w:id="4"/>
      </w:r>
      <w:r>
        <w:rPr>
          <w:iCs/>
          <w:szCs w:val="22"/>
        </w:rPr>
        <w:t xml:space="preserve">  Complete filing instructions are set forth in the NPRM and NOI and the Federal Register.</w:t>
      </w:r>
      <w:r>
        <w:rPr>
          <w:rStyle w:val="FootnoteReference"/>
          <w:iCs/>
          <w:szCs w:val="22"/>
        </w:rPr>
        <w:footnoteReference w:id="5"/>
      </w:r>
    </w:p>
    <w:p w:rsidR="005915FE" w:rsidRDefault="005915FE" w:rsidP="005915FE">
      <w:pPr>
        <w:keepNext/>
        <w:rPr>
          <w:iCs/>
          <w:szCs w:val="22"/>
        </w:rPr>
      </w:pPr>
    </w:p>
    <w:p w:rsidR="005915FE" w:rsidRDefault="005915FE" w:rsidP="005915FE">
      <w:pPr>
        <w:spacing w:after="113" w:line="245" w:lineRule="auto"/>
        <w:ind w:left="-15"/>
        <w:rPr>
          <w:szCs w:val="22"/>
        </w:rPr>
      </w:pPr>
      <w:r w:rsidRPr="009518DA">
        <w:rPr>
          <w:szCs w:val="22"/>
        </w:rPr>
        <w:t xml:space="preserve">For further information, </w:t>
      </w:r>
      <w:r>
        <w:rPr>
          <w:szCs w:val="22"/>
        </w:rPr>
        <w:t xml:space="preserve">please </w:t>
      </w:r>
      <w:r w:rsidRPr="009518DA">
        <w:rPr>
          <w:szCs w:val="22"/>
        </w:rPr>
        <w:t xml:space="preserve">contact </w:t>
      </w:r>
      <w:r>
        <w:rPr>
          <w:szCs w:val="22"/>
        </w:rPr>
        <w:t>Sherwin Siy</w:t>
      </w:r>
      <w:r w:rsidRPr="009518DA">
        <w:rPr>
          <w:szCs w:val="22"/>
        </w:rPr>
        <w:t xml:space="preserve">, </w:t>
      </w:r>
      <w:r>
        <w:rPr>
          <w:szCs w:val="22"/>
        </w:rPr>
        <w:t xml:space="preserve">Competition Policy Division, </w:t>
      </w:r>
      <w:r w:rsidRPr="009518DA">
        <w:rPr>
          <w:szCs w:val="22"/>
        </w:rPr>
        <w:t>Wireline Comp</w:t>
      </w:r>
      <w:r>
        <w:rPr>
          <w:szCs w:val="22"/>
        </w:rPr>
        <w:t>etition Bureau at (202) 418-2783,</w:t>
      </w:r>
      <w:r w:rsidRPr="009518DA">
        <w:rPr>
          <w:szCs w:val="22"/>
        </w:rPr>
        <w:t xml:space="preserve"> or</w:t>
      </w:r>
      <w:r>
        <w:rPr>
          <w:szCs w:val="22"/>
        </w:rPr>
        <w:t xml:space="preserve"> via email at </w:t>
      </w:r>
      <w:hyperlink r:id="rId14" w:history="1">
        <w:r w:rsidRPr="0098594F">
          <w:rPr>
            <w:rStyle w:val="Hyperlink"/>
            <w:szCs w:val="22"/>
          </w:rPr>
          <w:t>sherwin.siy@fcc.gov</w:t>
        </w:r>
      </w:hyperlink>
      <w:r>
        <w:rPr>
          <w:szCs w:val="22"/>
        </w:rPr>
        <w:t>.</w:t>
      </w:r>
    </w:p>
    <w:p w:rsidR="005915FE" w:rsidRPr="009518DA" w:rsidRDefault="005915FE" w:rsidP="005915FE">
      <w:pPr>
        <w:spacing w:after="113" w:line="245" w:lineRule="auto"/>
        <w:ind w:left="-15"/>
        <w:rPr>
          <w:szCs w:val="22"/>
        </w:rPr>
      </w:pPr>
    </w:p>
    <w:p w:rsidR="00602577" w:rsidRDefault="005915FE" w:rsidP="005915FE">
      <w:pPr>
        <w:jc w:val="center"/>
        <w:rPr>
          <w:sz w:val="24"/>
        </w:rPr>
      </w:pPr>
      <w:r w:rsidRPr="009518DA">
        <w:rPr>
          <w:b/>
          <w:szCs w:val="22"/>
        </w:rPr>
        <w:t>– FCC –</w:t>
      </w:r>
    </w:p>
    <w:sectPr w:rsidR="00602577">
      <w:headerReference w:type="default" r:id="rId15"/>
      <w:footerReference w:type="default" r:id="rId16"/>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53" w:rsidRDefault="00103C53">
      <w:r>
        <w:separator/>
      </w:r>
    </w:p>
  </w:endnote>
  <w:endnote w:type="continuationSeparator" w:id="0">
    <w:p w:rsidR="00103C53" w:rsidRDefault="0010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6E" w:rsidRDefault="00CE1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6E" w:rsidRDefault="00CE1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6E" w:rsidRDefault="00CE12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D5" w:rsidRDefault="006F7F12">
    <w:pPr>
      <w:pStyle w:val="Footer"/>
      <w:jc w:val="center"/>
    </w:pPr>
    <w:r>
      <w:fldChar w:fldCharType="begin"/>
    </w:r>
    <w:r>
      <w:instrText xml:space="preserve"> PAGE   \* MERGEFORMAT </w:instrText>
    </w:r>
    <w:r>
      <w:fldChar w:fldCharType="separate"/>
    </w:r>
    <w:r w:rsidR="005915FE">
      <w:rPr>
        <w:noProof/>
      </w:rPr>
      <w:t>2</w:t>
    </w:r>
    <w:r>
      <w:rPr>
        <w:noProof/>
      </w:rPr>
      <w:fldChar w:fldCharType="end"/>
    </w:r>
  </w:p>
  <w:p w:rsidR="001B66D5" w:rsidRDefault="00667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53" w:rsidRDefault="00103C53">
      <w:r>
        <w:separator/>
      </w:r>
    </w:p>
  </w:footnote>
  <w:footnote w:type="continuationSeparator" w:id="0">
    <w:p w:rsidR="00103C53" w:rsidRDefault="00103C53">
      <w:r>
        <w:continuationSeparator/>
      </w:r>
    </w:p>
  </w:footnote>
  <w:footnote w:id="1">
    <w:p w:rsidR="005915FE" w:rsidRPr="004D6C33" w:rsidRDefault="005915FE" w:rsidP="005915FE">
      <w:pPr>
        <w:pStyle w:val="FootnoteText"/>
        <w:rPr>
          <w:sz w:val="20"/>
        </w:rPr>
      </w:pPr>
      <w:r>
        <w:rPr>
          <w:rStyle w:val="FootnoteReference"/>
        </w:rPr>
        <w:footnoteRef/>
      </w:r>
      <w:r>
        <w:t xml:space="preserve"> </w:t>
      </w:r>
      <w:r w:rsidRPr="004D6C33">
        <w:rPr>
          <w:i/>
          <w:sz w:val="20"/>
        </w:rPr>
        <w:t>See generally Nationwide Number Portability; Numbering Policies for Modern Communications</w:t>
      </w:r>
      <w:r w:rsidRPr="004D6C33">
        <w:rPr>
          <w:sz w:val="20"/>
        </w:rPr>
        <w:t>, Notice of Proposed Rulemaking</w:t>
      </w:r>
      <w:r>
        <w:rPr>
          <w:sz w:val="20"/>
        </w:rPr>
        <w:t xml:space="preserve"> and Notice of Inquiry</w:t>
      </w:r>
      <w:r w:rsidRPr="004D6C33">
        <w:rPr>
          <w:sz w:val="20"/>
        </w:rPr>
        <w:t>, FCC 17-133 (Oct. 26, 2017) (</w:t>
      </w:r>
      <w:r w:rsidRPr="004D6C33">
        <w:rPr>
          <w:i/>
          <w:sz w:val="20"/>
        </w:rPr>
        <w:t>Nationwide Number Portability NPRM</w:t>
      </w:r>
      <w:r>
        <w:rPr>
          <w:i/>
          <w:sz w:val="20"/>
        </w:rPr>
        <w:t xml:space="preserve"> and NOI</w:t>
      </w:r>
      <w:r w:rsidRPr="004D6C33">
        <w:rPr>
          <w:sz w:val="20"/>
        </w:rPr>
        <w:t xml:space="preserve">). </w:t>
      </w:r>
    </w:p>
  </w:footnote>
  <w:footnote w:id="2">
    <w:p w:rsidR="005915FE" w:rsidRPr="00F06800" w:rsidRDefault="005915FE" w:rsidP="005915FE">
      <w:pPr>
        <w:pStyle w:val="FootnoteText"/>
        <w:rPr>
          <w:sz w:val="20"/>
        </w:rPr>
      </w:pPr>
      <w:r w:rsidRPr="00F06800">
        <w:rPr>
          <w:rStyle w:val="FootnoteReference"/>
          <w:sz w:val="20"/>
        </w:rPr>
        <w:footnoteRef/>
      </w:r>
      <w:r w:rsidRPr="00F06800">
        <w:rPr>
          <w:sz w:val="20"/>
        </w:rPr>
        <w:t xml:space="preserve"> </w:t>
      </w:r>
      <w:r w:rsidRPr="00F06800">
        <w:rPr>
          <w:i/>
          <w:sz w:val="20"/>
        </w:rPr>
        <w:t>Id</w:t>
      </w:r>
      <w:r w:rsidRPr="00F06800">
        <w:rPr>
          <w:sz w:val="20"/>
        </w:rPr>
        <w:t>.</w:t>
      </w:r>
    </w:p>
  </w:footnote>
  <w:footnote w:id="3">
    <w:p w:rsidR="005915FE" w:rsidRPr="00F06800" w:rsidRDefault="005915FE" w:rsidP="005915FE">
      <w:pPr>
        <w:pStyle w:val="FootnoteText"/>
        <w:rPr>
          <w:sz w:val="20"/>
        </w:rPr>
      </w:pPr>
      <w:r w:rsidRPr="00F06800">
        <w:rPr>
          <w:rStyle w:val="FootnoteReference"/>
          <w:sz w:val="20"/>
        </w:rPr>
        <w:footnoteRef/>
      </w:r>
      <w:r w:rsidRPr="00F06800">
        <w:rPr>
          <w:sz w:val="20"/>
        </w:rPr>
        <w:t xml:space="preserve"> Fed. Commc’ns Comm’n, Nationwide Number Portability; Numbering Policies for Modern Communications, 82 Fed. Reg. 55970 (Nov. 27, 2017), </w:t>
      </w:r>
      <w:hyperlink r:id="rId1" w:history="1">
        <w:r w:rsidRPr="00CF4C7A">
          <w:rPr>
            <w:rStyle w:val="Hyperlink"/>
            <w:sz w:val="20"/>
          </w:rPr>
          <w:t>https://www.federalregister.gov/documents/2017/11/27/2017-25458/nationwide-number-portability-numbering-policies-for-modern-communications</w:t>
        </w:r>
      </w:hyperlink>
      <w:r w:rsidRPr="004D6C33">
        <w:rPr>
          <w:sz w:val="20"/>
        </w:rPr>
        <w:t xml:space="preserve"> </w:t>
      </w:r>
      <w:r w:rsidRPr="00F06800">
        <w:rPr>
          <w:sz w:val="20"/>
        </w:rPr>
        <w:t>(Notice).</w:t>
      </w:r>
    </w:p>
  </w:footnote>
  <w:footnote w:id="4">
    <w:p w:rsidR="005915FE" w:rsidRPr="00F06800" w:rsidRDefault="005915FE" w:rsidP="005915FE">
      <w:pPr>
        <w:pStyle w:val="FootnoteText"/>
        <w:rPr>
          <w:sz w:val="20"/>
        </w:rPr>
      </w:pPr>
      <w:r w:rsidRPr="00F06800">
        <w:rPr>
          <w:rStyle w:val="FootnoteReference"/>
          <w:sz w:val="20"/>
        </w:rPr>
        <w:footnoteRef/>
      </w:r>
      <w:r w:rsidRPr="00F06800">
        <w:rPr>
          <w:sz w:val="20"/>
        </w:rPr>
        <w:t xml:space="preserve"> Nat’l Archives &amp; Records Admin., Office of the Fed. Register, </w:t>
      </w:r>
      <w:r w:rsidRPr="00F06800">
        <w:rPr>
          <w:i/>
          <w:sz w:val="20"/>
        </w:rPr>
        <w:t>Table of Effective Dates and Time Periods – October 2017</w:t>
      </w:r>
      <w:r w:rsidRPr="00F06800">
        <w:rPr>
          <w:sz w:val="20"/>
        </w:rPr>
        <w:t xml:space="preserve">, </w:t>
      </w:r>
      <w:hyperlink r:id="rId2" w:history="1">
        <w:r w:rsidRPr="00F06800">
          <w:rPr>
            <w:rStyle w:val="Hyperlink"/>
            <w:sz w:val="20"/>
          </w:rPr>
          <w:t>https://www.federalregister.gov/reader-aids/using-federalregister-gov/table-of-effective-dates-time-periods</w:t>
        </w:r>
      </w:hyperlink>
      <w:r w:rsidRPr="00F06800">
        <w:rPr>
          <w:sz w:val="20"/>
        </w:rPr>
        <w:t xml:space="preserve">; </w:t>
      </w:r>
      <w:r w:rsidRPr="00F06800">
        <w:rPr>
          <w:i/>
          <w:sz w:val="20"/>
        </w:rPr>
        <w:t>see also</w:t>
      </w:r>
      <w:r w:rsidRPr="00F06800">
        <w:rPr>
          <w:sz w:val="20"/>
        </w:rPr>
        <w:t xml:space="preserve"> 1 CFR § 18.17 (outlining Federal Register date calculation).</w:t>
      </w:r>
    </w:p>
  </w:footnote>
  <w:footnote w:id="5">
    <w:p w:rsidR="005915FE" w:rsidRPr="00F06800" w:rsidRDefault="005915FE" w:rsidP="005915FE">
      <w:pPr>
        <w:pStyle w:val="FootnoteText"/>
        <w:rPr>
          <w:sz w:val="20"/>
        </w:rPr>
      </w:pPr>
      <w:r w:rsidRPr="00F06800">
        <w:rPr>
          <w:rStyle w:val="FootnoteReference"/>
          <w:sz w:val="20"/>
        </w:rPr>
        <w:footnoteRef/>
      </w:r>
      <w:r w:rsidRPr="00F06800">
        <w:rPr>
          <w:sz w:val="20"/>
        </w:rPr>
        <w:t xml:space="preserve"> </w:t>
      </w:r>
      <w:r w:rsidRPr="00F06800">
        <w:rPr>
          <w:i/>
          <w:sz w:val="20"/>
        </w:rPr>
        <w:t>Nationwide Number Portability NPRM</w:t>
      </w:r>
      <w:r>
        <w:rPr>
          <w:i/>
          <w:sz w:val="20"/>
        </w:rPr>
        <w:t xml:space="preserve"> and NOI</w:t>
      </w:r>
      <w:r w:rsidRPr="00F06800">
        <w:rPr>
          <w:sz w:val="20"/>
        </w:rPr>
        <w:t xml:space="preserve"> at 19-20, para. 71; Notice, 82 Fed. Reg. at 55983.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6E" w:rsidRDefault="00CE1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6E" w:rsidRDefault="00CE1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6768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6768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055" w:rsidRPr="00292FC8" w:rsidRDefault="006F7F12" w:rsidP="00B74055">
    <w:pPr>
      <w:widowControl w:val="0"/>
      <w:pBdr>
        <w:bottom w:val="single" w:sz="12" w:space="1" w:color="auto"/>
      </w:pBdr>
      <w:tabs>
        <w:tab w:val="center" w:pos="4680"/>
        <w:tab w:val="right" w:pos="9360"/>
      </w:tabs>
      <w:rPr>
        <w:b/>
        <w:snapToGrid w:val="0"/>
        <w:kern w:val="28"/>
      </w:rPr>
    </w:pPr>
    <w:r w:rsidRPr="001305BC">
      <w:rPr>
        <w:b/>
        <w:snapToGrid w:val="0"/>
        <w:kern w:val="28"/>
      </w:rPr>
      <w:tab/>
      <w:t>Fe</w:t>
    </w:r>
    <w:r>
      <w:rPr>
        <w:b/>
        <w:snapToGrid w:val="0"/>
        <w:kern w:val="28"/>
      </w:rPr>
      <w:t>deral Communications Commission</w:t>
    </w:r>
    <w:r>
      <w:rPr>
        <w:b/>
        <w:snapToGrid w:val="0"/>
        <w:kern w:val="28"/>
      </w:rPr>
      <w:tab/>
      <w:t>DA 17-XXX</w:t>
    </w:r>
  </w:p>
  <w:p w:rsidR="00685F77" w:rsidRDefault="006676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6768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34.95pt;margin-top:8.5pt;width:41.75pt;height:41.75pt;z-index:251661312"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6768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60" style="position:absolute;left:0;text-align:left;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9" type="#_x0000_t202" style="position:absolute;left:0;text-align:left;margin-left:30pt;margin-top:.4pt;width:244.8pt;height:50.4pt;z-index:251658240" o:allowincell="f" stroked="f">
          <v:textbox style="mso-next-textbox:#_x0000_s2059">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61" type="#_x0000_t202" style="position:absolute;left:0;text-align:left;margin-left:301.5pt;margin-top:10.25pt;width:207.95pt;height:43.2pt;z-index:251660288" o:allowincell="f" stroked="f">
          <v:textbox style="mso-next-textbox:#_x0000_s2061"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5FE"/>
    <w:rsid w:val="000265AE"/>
    <w:rsid w:val="00103C53"/>
    <w:rsid w:val="005915FE"/>
    <w:rsid w:val="005E6772"/>
    <w:rsid w:val="00602577"/>
    <w:rsid w:val="00667684"/>
    <w:rsid w:val="006F7F12"/>
    <w:rsid w:val="00973E6A"/>
    <w:rsid w:val="00CE126E"/>
    <w:rsid w:val="00D17DC0"/>
    <w:rsid w:val="00D60EFF"/>
    <w:rsid w:val="00F3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F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5915FE"/>
    <w:rPr>
      <w:sz w:val="22"/>
    </w:rPr>
  </w:style>
  <w:style w:type="character" w:customStyle="1" w:styleId="FooterChar">
    <w:name w:val="Footer Char"/>
    <w:link w:val="Footer"/>
    <w:uiPriority w:val="99"/>
    <w:rsid w:val="005915FE"/>
    <w:rPr>
      <w:sz w:val="22"/>
    </w:rPr>
  </w:style>
  <w:style w:type="character" w:customStyle="1" w:styleId="HeaderChar">
    <w:name w:val="Header Char"/>
    <w:link w:val="Header"/>
    <w:semiHidden/>
    <w:rsid w:val="005915F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herwin.siy@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gister.gov/reader-aids/using-federalregister-gov/table-of-effective-dates-time-periods" TargetMode="External"/><Relationship Id="rId1" Type="http://schemas.openxmlformats.org/officeDocument/2006/relationships/hyperlink" Target="https://www.federalregister.gov/documents/2017/11/27/2017-25458/nationwide-number-portability-numbering-policies-for-modern-commun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192</Words>
  <Characters>1046</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1232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2017-11-29T15:10:00Z</dcterms:created>
  <dcterms:modified xsi:type="dcterms:W3CDTF">2017-11-29T15:10:00Z</dcterms:modified>
  <cp:category> </cp:category>
  <cp:contentStatus> </cp:contentStatus>
</cp:coreProperties>
</file>