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66" w:rsidRDefault="00BE4266" w:rsidP="00BE4266">
      <w:pPr>
        <w:pStyle w:val="Header"/>
        <w:tabs>
          <w:tab w:val="clear" w:pos="4320"/>
          <w:tab w:val="clear" w:pos="8640"/>
        </w:tabs>
        <w:sectPr w:rsidR="00BE426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BE4266" w:rsidRPr="001B66D5" w:rsidRDefault="00BE4266" w:rsidP="00BE4266">
      <w:pPr>
        <w:jc w:val="right"/>
        <w:rPr>
          <w:b/>
          <w:szCs w:val="22"/>
        </w:rPr>
      </w:pPr>
      <w:r w:rsidRPr="001B66D5">
        <w:rPr>
          <w:b/>
          <w:szCs w:val="22"/>
        </w:rPr>
        <w:lastRenderedPageBreak/>
        <w:t>DA 17-</w:t>
      </w:r>
      <w:r w:rsidR="008E7F64">
        <w:rPr>
          <w:b/>
          <w:szCs w:val="22"/>
        </w:rPr>
        <w:t>1140</w:t>
      </w:r>
    </w:p>
    <w:p w:rsidR="00BE4266" w:rsidRPr="00A374E4" w:rsidRDefault="00BE4266" w:rsidP="00BE4266">
      <w:pPr>
        <w:jc w:val="right"/>
        <w:rPr>
          <w:b/>
          <w:szCs w:val="22"/>
        </w:rPr>
      </w:pPr>
      <w:r w:rsidRPr="00A374E4">
        <w:rPr>
          <w:b/>
          <w:szCs w:val="22"/>
        </w:rPr>
        <w:t>Released</w:t>
      </w:r>
      <w:r w:rsidRPr="00B77F3B">
        <w:rPr>
          <w:b/>
          <w:szCs w:val="22"/>
        </w:rPr>
        <w:t xml:space="preserve">: </w:t>
      </w:r>
      <w:r>
        <w:rPr>
          <w:b/>
          <w:szCs w:val="22"/>
        </w:rPr>
        <w:t>November</w:t>
      </w:r>
      <w:r w:rsidRPr="00B77F3B">
        <w:rPr>
          <w:b/>
          <w:szCs w:val="22"/>
        </w:rPr>
        <w:t xml:space="preserve"> </w:t>
      </w:r>
      <w:r>
        <w:rPr>
          <w:b/>
          <w:szCs w:val="22"/>
        </w:rPr>
        <w:t>22</w:t>
      </w:r>
      <w:r w:rsidRPr="00B77F3B">
        <w:rPr>
          <w:b/>
          <w:szCs w:val="22"/>
        </w:rPr>
        <w:t>, 2017</w:t>
      </w:r>
    </w:p>
    <w:p w:rsidR="00BE4266" w:rsidRPr="00A374E4" w:rsidRDefault="00BE4266" w:rsidP="00BE4266">
      <w:pPr>
        <w:jc w:val="right"/>
        <w:rPr>
          <w:szCs w:val="22"/>
        </w:rPr>
      </w:pPr>
    </w:p>
    <w:p w:rsidR="00BE4266" w:rsidRDefault="00BE4266" w:rsidP="00BE4266">
      <w:pPr>
        <w:spacing w:before="120" w:after="120"/>
        <w:contextualSpacing/>
        <w:jc w:val="center"/>
        <w:rPr>
          <w:b/>
          <w:szCs w:val="22"/>
        </w:rPr>
      </w:pPr>
      <w:r w:rsidRPr="00A374E4">
        <w:rPr>
          <w:b/>
          <w:szCs w:val="22"/>
        </w:rPr>
        <w:t xml:space="preserve">WIRELINE COMPETITION BUREAU ANNOUNCES UPCOMING </w:t>
      </w:r>
      <w:r>
        <w:rPr>
          <w:b/>
          <w:szCs w:val="22"/>
        </w:rPr>
        <w:t xml:space="preserve">LOCAL NUMBER PORTABILITY SMALL SERVICE PROVIDER FOCUSED CONTINGENCY </w:t>
      </w:r>
    </w:p>
    <w:p w:rsidR="00BE4266" w:rsidRDefault="00BE4266" w:rsidP="00BE4266">
      <w:pPr>
        <w:spacing w:before="120" w:after="120"/>
        <w:contextualSpacing/>
        <w:jc w:val="center"/>
        <w:rPr>
          <w:b/>
          <w:szCs w:val="22"/>
        </w:rPr>
      </w:pPr>
      <w:r>
        <w:rPr>
          <w:b/>
          <w:szCs w:val="22"/>
        </w:rPr>
        <w:t xml:space="preserve">ROLLBACK FOLLOW-UP SESSION </w:t>
      </w:r>
    </w:p>
    <w:p w:rsidR="00BE4266" w:rsidRPr="00A374E4" w:rsidRDefault="00BE4266" w:rsidP="00BE4266">
      <w:pPr>
        <w:spacing w:before="120" w:after="120"/>
        <w:contextualSpacing/>
        <w:jc w:val="center"/>
        <w:rPr>
          <w:szCs w:val="22"/>
        </w:rPr>
      </w:pPr>
    </w:p>
    <w:p w:rsidR="00BE4266" w:rsidRPr="00A374E4" w:rsidRDefault="00BE4266" w:rsidP="00BE4266">
      <w:pPr>
        <w:jc w:val="center"/>
        <w:rPr>
          <w:b/>
          <w:szCs w:val="22"/>
        </w:rPr>
      </w:pPr>
      <w:r w:rsidRPr="00A374E4">
        <w:rPr>
          <w:b/>
          <w:szCs w:val="22"/>
        </w:rPr>
        <w:t>WC Docket Nos. 07-149 and 09-109</w:t>
      </w:r>
    </w:p>
    <w:p w:rsidR="00BE4266" w:rsidRPr="00A374E4" w:rsidRDefault="00BE4266" w:rsidP="00BE4266">
      <w:pPr>
        <w:jc w:val="center"/>
        <w:rPr>
          <w:b/>
          <w:szCs w:val="22"/>
        </w:rPr>
      </w:pPr>
      <w:r w:rsidRPr="00A374E4">
        <w:rPr>
          <w:b/>
          <w:szCs w:val="22"/>
        </w:rPr>
        <w:t>CC Docket No. 95-116</w:t>
      </w:r>
    </w:p>
    <w:p w:rsidR="00BE4266" w:rsidRPr="00A374E4" w:rsidRDefault="00BE4266" w:rsidP="00BE4266">
      <w:pPr>
        <w:jc w:val="center"/>
        <w:rPr>
          <w:b/>
          <w:szCs w:val="22"/>
        </w:rPr>
      </w:pPr>
      <w:r w:rsidRPr="00A374E4">
        <w:rPr>
          <w:b/>
          <w:szCs w:val="22"/>
        </w:rPr>
        <w:t xml:space="preserve">  </w:t>
      </w:r>
    </w:p>
    <w:p w:rsidR="00BE4266" w:rsidRPr="005748DC" w:rsidRDefault="00BE4266" w:rsidP="00BE4266">
      <w:pPr>
        <w:pStyle w:val="Default"/>
        <w:rPr>
          <w:rFonts w:ascii="Times New Roman" w:hAnsi="Times New Roman" w:cs="Times New Roman"/>
          <w:sz w:val="22"/>
          <w:szCs w:val="22"/>
        </w:rPr>
      </w:pPr>
      <w:r w:rsidRPr="005748DC">
        <w:rPr>
          <w:rFonts w:ascii="Times New Roman" w:hAnsi="Times New Roman" w:cs="Times New Roman"/>
          <w:sz w:val="22"/>
          <w:szCs w:val="22"/>
        </w:rPr>
        <w:t>By this Public Notice, the W</w:t>
      </w:r>
      <w:r>
        <w:rPr>
          <w:rFonts w:ascii="Times New Roman" w:hAnsi="Times New Roman" w:cs="Times New Roman"/>
          <w:sz w:val="22"/>
          <w:szCs w:val="22"/>
        </w:rPr>
        <w:t>ireline Competition Bureau</w:t>
      </w:r>
      <w:r w:rsidRPr="005748DC">
        <w:rPr>
          <w:rFonts w:ascii="Times New Roman" w:hAnsi="Times New Roman" w:cs="Times New Roman"/>
          <w:sz w:val="22"/>
          <w:szCs w:val="22"/>
        </w:rPr>
        <w:t xml:space="preserve"> </w:t>
      </w:r>
      <w:r>
        <w:rPr>
          <w:rFonts w:ascii="Times New Roman" w:hAnsi="Times New Roman" w:cs="Times New Roman"/>
          <w:sz w:val="22"/>
          <w:szCs w:val="22"/>
        </w:rPr>
        <w:t xml:space="preserve">(WCB) </w:t>
      </w:r>
      <w:r w:rsidRPr="005748DC">
        <w:rPr>
          <w:rFonts w:ascii="Times New Roman" w:hAnsi="Times New Roman" w:cs="Times New Roman"/>
          <w:sz w:val="22"/>
          <w:szCs w:val="22"/>
        </w:rPr>
        <w:t>ann</w:t>
      </w:r>
      <w:r>
        <w:rPr>
          <w:rFonts w:ascii="Times New Roman" w:hAnsi="Times New Roman" w:cs="Times New Roman"/>
          <w:sz w:val="22"/>
          <w:szCs w:val="22"/>
        </w:rPr>
        <w:t xml:space="preserve">ounces the date and time of a </w:t>
      </w:r>
      <w:r w:rsidRPr="005748DC">
        <w:rPr>
          <w:rFonts w:ascii="Times New Roman" w:hAnsi="Times New Roman" w:cs="Times New Roman"/>
          <w:sz w:val="22"/>
          <w:szCs w:val="22"/>
        </w:rPr>
        <w:t xml:space="preserve">Local Number Portability Administrator (LNPA) follow-up session </w:t>
      </w:r>
      <w:r>
        <w:rPr>
          <w:rFonts w:ascii="Times New Roman" w:hAnsi="Times New Roman" w:cs="Times New Roman"/>
          <w:sz w:val="22"/>
          <w:szCs w:val="22"/>
        </w:rPr>
        <w:t>for contingency rollback planning focused on small service providers.  The WCB hereby also provides links to archived materials from the July, August, and October 2017 contingency roll back sessions and other LNPA transition reference documents.</w:t>
      </w:r>
    </w:p>
    <w:p w:rsidR="00BE4266" w:rsidRPr="00854BDF" w:rsidRDefault="00BE4266" w:rsidP="00BE4266">
      <w:pPr>
        <w:rPr>
          <w:iCs/>
          <w:szCs w:val="22"/>
        </w:rPr>
      </w:pPr>
    </w:p>
    <w:p w:rsidR="00BE4266" w:rsidRPr="00854BDF" w:rsidRDefault="00BE4266" w:rsidP="00BE4266">
      <w:pPr>
        <w:rPr>
          <w:iCs/>
          <w:szCs w:val="22"/>
        </w:rPr>
      </w:pPr>
      <w:r>
        <w:rPr>
          <w:szCs w:val="22"/>
        </w:rPr>
        <w:t>T</w:t>
      </w:r>
      <w:r w:rsidRPr="008B19D2">
        <w:rPr>
          <w:szCs w:val="22"/>
        </w:rPr>
        <w:t>he Tr</w:t>
      </w:r>
      <w:r>
        <w:rPr>
          <w:szCs w:val="22"/>
        </w:rPr>
        <w:t>ansition Oversight Manager</w:t>
      </w:r>
      <w:r w:rsidRPr="008B19D2">
        <w:rPr>
          <w:szCs w:val="22"/>
        </w:rPr>
        <w:t xml:space="preserve"> </w:t>
      </w:r>
      <w:r>
        <w:rPr>
          <w:szCs w:val="22"/>
        </w:rPr>
        <w:t xml:space="preserve">(TOM) </w:t>
      </w:r>
      <w:r w:rsidRPr="008B19D2">
        <w:rPr>
          <w:szCs w:val="22"/>
        </w:rPr>
        <w:t xml:space="preserve">will facilitate a small service provider focused session regarding LNPA transition contingency rollback planning on </w:t>
      </w:r>
      <w:r w:rsidRPr="008B19D2">
        <w:rPr>
          <w:b/>
          <w:bCs/>
          <w:szCs w:val="22"/>
        </w:rPr>
        <w:t>November 29th at 3:00 PM ET</w:t>
      </w:r>
      <w:r>
        <w:rPr>
          <w:iCs/>
          <w:szCs w:val="22"/>
        </w:rPr>
        <w:t xml:space="preserve">.  </w:t>
      </w:r>
      <w:r w:rsidRPr="00A374E4">
        <w:rPr>
          <w:iCs/>
          <w:szCs w:val="22"/>
        </w:rPr>
        <w:t xml:space="preserve">Interested parties may register </w:t>
      </w:r>
      <w:r>
        <w:rPr>
          <w:iCs/>
          <w:szCs w:val="22"/>
        </w:rPr>
        <w:t xml:space="preserve">and find additional details </w:t>
      </w:r>
      <w:r w:rsidRPr="00A374E4">
        <w:rPr>
          <w:iCs/>
          <w:szCs w:val="22"/>
        </w:rPr>
        <w:t>for the</w:t>
      </w:r>
      <w:r>
        <w:rPr>
          <w:iCs/>
          <w:szCs w:val="22"/>
        </w:rPr>
        <w:t xml:space="preserve"> small service provider focused</w:t>
      </w:r>
      <w:r w:rsidRPr="00A374E4">
        <w:rPr>
          <w:szCs w:val="22"/>
        </w:rPr>
        <w:t xml:space="preserve"> </w:t>
      </w:r>
      <w:r>
        <w:rPr>
          <w:szCs w:val="22"/>
        </w:rPr>
        <w:t>session</w:t>
      </w:r>
      <w:r w:rsidRPr="00A374E4">
        <w:rPr>
          <w:szCs w:val="22"/>
        </w:rPr>
        <w:t xml:space="preserve"> by visiting:</w:t>
      </w:r>
      <w:r w:rsidRPr="00642846">
        <w:t xml:space="preserve"> </w:t>
      </w:r>
      <w:r>
        <w:t xml:space="preserve"> </w:t>
      </w:r>
      <w:hyperlink r:id="rId14" w:tgtFrame="_blank" w:history="1">
        <w:r w:rsidRPr="008B19D2">
          <w:rPr>
            <w:rStyle w:val="Hyperlink"/>
            <w:szCs w:val="22"/>
          </w:rPr>
          <w:t>https://pwc.qualtrics.com/jfe/form/SV_8eoogLyJK6pDOhD</w:t>
        </w:r>
      </w:hyperlink>
      <w:r>
        <w:rPr>
          <w:szCs w:val="22"/>
        </w:rPr>
        <w:t>.</w:t>
      </w:r>
    </w:p>
    <w:p w:rsidR="00BE4266" w:rsidRDefault="00BE4266" w:rsidP="00BE4266">
      <w:pPr>
        <w:rPr>
          <w:rFonts w:ascii="Arial" w:hAnsi="Arial" w:cs="Arial"/>
          <w:color w:val="222222"/>
          <w:sz w:val="19"/>
          <w:szCs w:val="19"/>
          <w:shd w:val="clear" w:color="auto" w:fill="FFFFFF"/>
        </w:rPr>
      </w:pPr>
    </w:p>
    <w:p w:rsidR="00BE4266" w:rsidRDefault="00BE4266" w:rsidP="00BE4266">
      <w:r>
        <w:t>In addition, m</w:t>
      </w:r>
      <w:r w:rsidRPr="00854BDF">
        <w:t>aterials from the</w:t>
      </w:r>
      <w:r>
        <w:t xml:space="preserve"> July 12, 2017,</w:t>
      </w:r>
      <w:r w:rsidRPr="00854BDF">
        <w:t xml:space="preserve"> </w:t>
      </w:r>
      <w:r>
        <w:t xml:space="preserve">August 16, 2017, and October 3, 2017 </w:t>
      </w:r>
      <w:r w:rsidRPr="00854BDF">
        <w:t>contingency rollback session</w:t>
      </w:r>
      <w:r>
        <w:t xml:space="preserve">s, as well as other LNPA transition reference documents are available at the following link: </w:t>
      </w:r>
      <w:hyperlink r:id="rId15" w:history="1">
        <w:r w:rsidRPr="008B19D2">
          <w:rPr>
            <w:rStyle w:val="Hyperlink"/>
            <w:szCs w:val="22"/>
          </w:rPr>
          <w:t>https://www.napmllc.org/pages/npacrfp/npacRFP_RefDocs.aspx</w:t>
        </w:r>
      </w:hyperlink>
      <w:r>
        <w:rPr>
          <w:szCs w:val="22"/>
        </w:rPr>
        <w:t>.</w:t>
      </w:r>
    </w:p>
    <w:p w:rsidR="00BE4266" w:rsidRDefault="00BE4266" w:rsidP="00BE4266"/>
    <w:p w:rsidR="00BE4266" w:rsidRPr="008B19D2" w:rsidRDefault="00BE4266" w:rsidP="00BE4266">
      <w:pPr>
        <w:rPr>
          <w:szCs w:val="22"/>
        </w:rPr>
      </w:pPr>
      <w:r w:rsidRPr="008B19D2">
        <w:rPr>
          <w:szCs w:val="22"/>
        </w:rPr>
        <w:t xml:space="preserve">If you have trouble registering, please contact </w:t>
      </w:r>
      <w:r>
        <w:rPr>
          <w:szCs w:val="22"/>
        </w:rPr>
        <w:t xml:space="preserve">the TOM </w:t>
      </w:r>
      <w:r w:rsidRPr="008B19D2">
        <w:rPr>
          <w:szCs w:val="22"/>
        </w:rPr>
        <w:t xml:space="preserve">using the link below for assistance. At any time, use the link below to submit questions or general feedback. </w:t>
      </w:r>
      <w:hyperlink r:id="rId16" w:history="1">
        <w:r w:rsidRPr="008B19D2">
          <w:rPr>
            <w:rStyle w:val="Hyperlink"/>
            <w:szCs w:val="22"/>
          </w:rPr>
          <w:t>https://www.napmllc.org/pages/npacrfp/npacRFP_Comments.aspx</w:t>
        </w:r>
      </w:hyperlink>
    </w:p>
    <w:p w:rsidR="00BE4266" w:rsidRPr="00A374E4" w:rsidRDefault="00BE4266" w:rsidP="00BE4266">
      <w:pPr>
        <w:rPr>
          <w:iCs/>
          <w:szCs w:val="22"/>
        </w:rPr>
      </w:pPr>
    </w:p>
    <w:p w:rsidR="00BE4266" w:rsidRPr="00843D5F" w:rsidRDefault="00BE4266" w:rsidP="00BE4266">
      <w:pPr>
        <w:spacing w:after="113" w:line="245" w:lineRule="auto"/>
        <w:ind w:left="-15"/>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1"/>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BE4266" w:rsidRPr="00642846" w:rsidRDefault="00BE4266" w:rsidP="00BE4266">
      <w:pPr>
        <w:spacing w:after="113" w:line="245" w:lineRule="auto"/>
        <w:ind w:left="-15"/>
        <w:rPr>
          <w:color w:val="1A1919"/>
          <w:szCs w:val="22"/>
        </w:rPr>
      </w:pPr>
      <w:r w:rsidRPr="00843D5F">
        <w:rPr>
          <w:color w:val="1A1919"/>
          <w:szCs w:val="22"/>
        </w:rPr>
        <w:lastRenderedPageBreak/>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BE4266" w:rsidRDefault="00BE4266" w:rsidP="00BE4266">
      <w:pPr>
        <w:spacing w:after="113" w:line="245" w:lineRule="auto"/>
        <w:ind w:left="-15"/>
        <w:rPr>
          <w:szCs w:val="22"/>
        </w:rPr>
      </w:pPr>
      <w:r w:rsidRPr="00642846">
        <w:rPr>
          <w:szCs w:val="22"/>
        </w:rPr>
        <w:t xml:space="preserve">For further information, contact Marilyn Jones or Michelle Sclater, Wireline Competition Bureau at (202) 418-2357 or </w:t>
      </w:r>
      <w:hyperlink r:id="rId17" w:history="1">
        <w:r w:rsidRPr="00A374E4">
          <w:rPr>
            <w:color w:val="0000FF"/>
            <w:szCs w:val="22"/>
            <w:u w:val="single"/>
          </w:rPr>
          <w:t>Marilyn.Jones@fcc.gov</w:t>
        </w:r>
      </w:hyperlink>
      <w:r w:rsidRPr="00A374E4">
        <w:rPr>
          <w:szCs w:val="22"/>
        </w:rPr>
        <w:t xml:space="preserve">, or (202) 418-0388 or </w:t>
      </w:r>
      <w:hyperlink r:id="rId18" w:history="1">
        <w:r w:rsidRPr="00A374E4">
          <w:rPr>
            <w:rStyle w:val="Hyperlink"/>
            <w:szCs w:val="22"/>
          </w:rPr>
          <w:t>Michelle.Sclater@fcc.gov</w:t>
        </w:r>
      </w:hyperlink>
      <w:r w:rsidRPr="00A374E4">
        <w:rPr>
          <w:szCs w:val="22"/>
        </w:rPr>
        <w:t xml:space="preserve">. </w:t>
      </w:r>
    </w:p>
    <w:p w:rsidR="00BE4266" w:rsidRPr="00A374E4" w:rsidRDefault="00BE4266" w:rsidP="00BE4266">
      <w:pPr>
        <w:spacing w:after="113" w:line="245" w:lineRule="auto"/>
        <w:ind w:left="-15"/>
        <w:rPr>
          <w:szCs w:val="22"/>
        </w:rPr>
      </w:pPr>
    </w:p>
    <w:p w:rsidR="00BE4266" w:rsidRPr="00642846" w:rsidRDefault="00BE4266" w:rsidP="00BE4266">
      <w:pPr>
        <w:jc w:val="center"/>
        <w:rPr>
          <w:szCs w:val="22"/>
        </w:rPr>
      </w:pPr>
      <w:r w:rsidRPr="00642846">
        <w:rPr>
          <w:b/>
          <w:szCs w:val="22"/>
        </w:rPr>
        <w:t>– FCC –</w:t>
      </w:r>
    </w:p>
    <w:p w:rsidR="00BE4266" w:rsidRPr="00642846" w:rsidRDefault="00BE4266" w:rsidP="00BE4266">
      <w:pPr>
        <w:spacing w:before="120" w:after="240"/>
        <w:rPr>
          <w:sz w:val="24"/>
        </w:rPr>
      </w:pPr>
    </w:p>
    <w:p w:rsidR="00BE4266" w:rsidRDefault="00BE4266" w:rsidP="00BE4266">
      <w:pPr>
        <w:spacing w:before="60"/>
        <w:jc w:val="right"/>
        <w:rPr>
          <w:sz w:val="24"/>
        </w:rPr>
      </w:pPr>
    </w:p>
    <w:p w:rsidR="00602577" w:rsidRPr="00BE4266" w:rsidRDefault="00602577" w:rsidP="00BE4266"/>
    <w:sectPr w:rsidR="00602577" w:rsidRPr="00BE4266">
      <w:headerReference w:type="first" r:id="rId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54" w:rsidRDefault="00A01554">
      <w:r>
        <w:separator/>
      </w:r>
    </w:p>
  </w:endnote>
  <w:endnote w:type="continuationSeparator" w:id="0">
    <w:p w:rsidR="00A01554" w:rsidRDefault="00A0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E" w:rsidRDefault="004F1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66" w:rsidRDefault="00BE4266">
    <w:pPr>
      <w:pStyle w:val="Footer"/>
      <w:jc w:val="center"/>
    </w:pPr>
    <w:r>
      <w:fldChar w:fldCharType="begin"/>
    </w:r>
    <w:r>
      <w:instrText xml:space="preserve"> PAGE   \* MERGEFORMAT </w:instrText>
    </w:r>
    <w:r>
      <w:fldChar w:fldCharType="separate"/>
    </w:r>
    <w:r w:rsidR="00F70EF5">
      <w:rPr>
        <w:noProof/>
      </w:rPr>
      <w:t>2</w:t>
    </w:r>
    <w:r>
      <w:rPr>
        <w:noProof/>
      </w:rPr>
      <w:fldChar w:fldCharType="end"/>
    </w:r>
  </w:p>
  <w:p w:rsidR="00BE4266" w:rsidRDefault="00BE4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E" w:rsidRDefault="004F1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54" w:rsidRDefault="00A01554">
      <w:r>
        <w:separator/>
      </w:r>
    </w:p>
  </w:footnote>
  <w:footnote w:type="continuationSeparator" w:id="0">
    <w:p w:rsidR="00A01554" w:rsidRDefault="00A01554">
      <w:r>
        <w:continuationSeparator/>
      </w:r>
    </w:p>
  </w:footnote>
  <w:footnote w:id="1">
    <w:p w:rsidR="00BE4266" w:rsidRPr="00DB3097" w:rsidRDefault="00BE4266" w:rsidP="00BE4266">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Bureau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E" w:rsidRDefault="004F1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66" w:rsidRPr="00292FC8" w:rsidRDefault="00BE4266" w:rsidP="00B74055">
    <w:pPr>
      <w:widowControl w:val="0"/>
      <w:pBdr>
        <w:bottom w:val="single" w:sz="12" w:space="1" w:color="auto"/>
      </w:pBdr>
      <w:tabs>
        <w:tab w:val="center" w:pos="4680"/>
        <w:tab w:val="right" w:pos="9360"/>
      </w:tabs>
      <w:rPr>
        <w:b/>
        <w:snapToGrid w:val="0"/>
        <w:kern w:val="28"/>
      </w:rPr>
    </w:pPr>
    <w:r w:rsidRPr="001305BC">
      <w:rPr>
        <w:b/>
        <w:snapToGrid w:val="0"/>
        <w:kern w:val="28"/>
      </w:rPr>
      <w:tab/>
      <w:t>Fe</w:t>
    </w:r>
    <w:r>
      <w:rPr>
        <w:b/>
        <w:snapToGrid w:val="0"/>
        <w:kern w:val="28"/>
      </w:rPr>
      <w:t>deral Com</w:t>
    </w:r>
    <w:r w:rsidR="0081047C">
      <w:rPr>
        <w:b/>
        <w:snapToGrid w:val="0"/>
        <w:kern w:val="28"/>
      </w:rPr>
      <w:t>munications Commission</w:t>
    </w:r>
    <w:r w:rsidR="0081047C">
      <w:rPr>
        <w:b/>
        <w:snapToGrid w:val="0"/>
        <w:kern w:val="28"/>
      </w:rPr>
      <w:tab/>
      <w:t>DA 17-1140</w:t>
    </w:r>
  </w:p>
  <w:p w:rsidR="00BE4266" w:rsidRDefault="00BE4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66" w:rsidRDefault="00F70EF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BE4266">
      <w:rPr>
        <w:rFonts w:ascii="News Gothic MT" w:hAnsi="News Gothic MT"/>
        <w:b/>
        <w:kern w:val="28"/>
        <w:sz w:val="96"/>
      </w:rPr>
      <w:t xml:space="preserve">  PUBLIC NOTICE</w:t>
    </w:r>
  </w:p>
  <w:p w:rsidR="00BE4266" w:rsidRDefault="00F70EF5">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BE4266" w:rsidRDefault="00BE4266">
                <w:pPr>
                  <w:rPr>
                    <w:rFonts w:ascii="Arial" w:hAnsi="Arial"/>
                    <w:b/>
                  </w:rPr>
                </w:pPr>
                <w:r>
                  <w:rPr>
                    <w:rFonts w:ascii="Arial" w:hAnsi="Arial"/>
                    <w:b/>
                  </w:rPr>
                  <w:t>Federal Communications Commission</w:t>
                </w:r>
              </w:p>
              <w:p w:rsidR="00BE4266" w:rsidRDefault="00BE426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4266" w:rsidRDefault="00BE4266">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BE4266" w:rsidRDefault="00BE4266">
                <w:pPr>
                  <w:spacing w:before="40"/>
                  <w:jc w:val="right"/>
                  <w:rPr>
                    <w:rFonts w:ascii="Arial" w:hAnsi="Arial"/>
                    <w:b/>
                    <w:sz w:val="16"/>
                  </w:rPr>
                </w:pPr>
                <w:r>
                  <w:rPr>
                    <w:rFonts w:ascii="Arial" w:hAnsi="Arial"/>
                    <w:b/>
                    <w:sz w:val="16"/>
                  </w:rPr>
                  <w:t>News Media Information 202 / 418-0500</w:t>
                </w:r>
              </w:p>
              <w:p w:rsidR="00BE4266" w:rsidRDefault="00BE4266">
                <w:pPr>
                  <w:jc w:val="right"/>
                  <w:rPr>
                    <w:rFonts w:ascii="Arial" w:hAnsi="Arial"/>
                    <w:b/>
                    <w:sz w:val="16"/>
                  </w:rPr>
                </w:pPr>
                <w:r>
                  <w:rPr>
                    <w:rFonts w:ascii="Arial" w:hAnsi="Arial"/>
                    <w:b/>
                    <w:sz w:val="16"/>
                  </w:rPr>
                  <w:tab/>
                  <w:t>Internet: http://www.fcc.gov</w:t>
                </w:r>
              </w:p>
              <w:p w:rsidR="00BE4266" w:rsidRDefault="00BE4266">
                <w:pPr>
                  <w:jc w:val="right"/>
                  <w:rPr>
                    <w:rFonts w:ascii="Arial" w:hAnsi="Arial"/>
                    <w:b/>
                    <w:sz w:val="16"/>
                  </w:rPr>
                </w:pPr>
                <w:r>
                  <w:rPr>
                    <w:rFonts w:ascii="Arial" w:hAnsi="Arial"/>
                    <w:b/>
                    <w:sz w:val="16"/>
                  </w:rPr>
                  <w:t>TTY: 1-888-835-5322</w:t>
                </w:r>
              </w:p>
              <w:p w:rsidR="00BE4266" w:rsidRDefault="00BE4266">
                <w:pPr>
                  <w:jc w:val="right"/>
                </w:pPr>
              </w:p>
            </w:txbxContent>
          </v:textbox>
        </v:shape>
      </w:pict>
    </w:r>
  </w:p>
  <w:p w:rsidR="00BE4266" w:rsidRDefault="00BE426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70E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70EF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266"/>
    <w:rsid w:val="000265AE"/>
    <w:rsid w:val="002F272A"/>
    <w:rsid w:val="003E7B3E"/>
    <w:rsid w:val="004F13EE"/>
    <w:rsid w:val="004F1EA8"/>
    <w:rsid w:val="00602577"/>
    <w:rsid w:val="0081047C"/>
    <w:rsid w:val="008E7F64"/>
    <w:rsid w:val="00A01554"/>
    <w:rsid w:val="00A63AB4"/>
    <w:rsid w:val="00BE4266"/>
    <w:rsid w:val="00D17DC0"/>
    <w:rsid w:val="00D60EFF"/>
    <w:rsid w:val="00F7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6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BE4266"/>
    <w:rPr>
      <w:sz w:val="22"/>
    </w:rPr>
  </w:style>
  <w:style w:type="character" w:customStyle="1" w:styleId="FooterChar">
    <w:name w:val="Footer Char"/>
    <w:link w:val="Footer"/>
    <w:uiPriority w:val="99"/>
    <w:rsid w:val="00BE4266"/>
    <w:rPr>
      <w:sz w:val="22"/>
    </w:rPr>
  </w:style>
  <w:style w:type="paragraph" w:customStyle="1" w:styleId="Default">
    <w:name w:val="Default"/>
    <w:rsid w:val="00BE4266"/>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elle.Sclater@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ilyn.Jones@fcc.gov" TargetMode="External"/><Relationship Id="rId2" Type="http://schemas.openxmlformats.org/officeDocument/2006/relationships/styles" Target="styles.xml"/><Relationship Id="rId16" Type="http://schemas.openxmlformats.org/officeDocument/2006/relationships/hyperlink" Target="https://urldefense.proofpoint.com/v2/url?u=https-3A__www.napmllc.org_pages_npacrfp_npacRFP-5FComments.aspx&amp;d=DwMBAg&amp;c=y0h0omCe0jAUGr4gAQ02Fw&amp;r=QKwTKKcjIRdxrmwvZfGQLP3KmlRgR08QhehA6G3XCLQ&amp;m=FDNraIO3k2qID3tcNeA3udckcmAjDYmyR9pGY_t5fBg&amp;s=ZzTGLI1a5TDA2Vsc-EYqSeP_TAXONyzNG-E18b_ccoI&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rldefense.proofpoint.com/v2/url?u=https-3A__www.napmllc.org_pages_npacrfp_npacRFP-5FRefDocs.aspx&amp;d=DwMBAg&amp;c=y0h0omCe0jAUGr4gAQ02Fw&amp;r=QKwTKKcjIRdxrmwvZfGQLP3KmlRgR08QhehA6G3XCLQ&amp;m=FDNraIO3k2qID3tcNeA3udckcmAjDYmyR9pGY_t5fBg&amp;s=6tqxltwGu6_lZzR_CsXBYYGigK7K8k_H0VSRV8K06wE&amp;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proofpoint.com/v2/url?u=https-3A__pwc.qualtrics.com_jfe_form_SV-5F8eoogLyJK6pDOhD&amp;d=DwMBAg&amp;c=y0h0omCe0jAUGr4gAQ02Fw&amp;r=QKwTKKcjIRdxrmwvZfGQLP3KmlRgR08QhehA6G3XCLQ&amp;m=FDNraIO3k2qID3tcNeA3udckcmAjDYmyR9pGY_t5fBg&amp;s=kjghJQ2kOBNax3GAJ0CUotmRNCebyBx5jbJblQOdNmc&am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531</Words>
  <Characters>3256</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2017-11-22T17:27:00Z</dcterms:created>
  <dcterms:modified xsi:type="dcterms:W3CDTF">2017-11-22T17:27:00Z</dcterms:modified>
  <cp:category> </cp:category>
  <cp:contentStatus> </cp:contentStatus>
</cp:coreProperties>
</file>