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98397" w14:textId="77777777" w:rsidR="004243C6" w:rsidRDefault="004243C6" w:rsidP="004243C6">
      <w:pPr>
        <w:jc w:val="center"/>
        <w:rPr>
          <w:b/>
        </w:rPr>
      </w:pPr>
      <w:bookmarkStart w:id="0" w:name="_GoBack"/>
      <w:bookmarkEnd w:id="0"/>
      <w:r>
        <w:rPr>
          <w:b/>
        </w:rPr>
        <w:t>Before the</w:t>
      </w:r>
    </w:p>
    <w:p w14:paraId="4D6A1597" w14:textId="77777777" w:rsidR="004243C6" w:rsidRDefault="004243C6" w:rsidP="004243C6">
      <w:pPr>
        <w:jc w:val="center"/>
        <w:rPr>
          <w:b/>
        </w:rPr>
      </w:pPr>
      <w:r>
        <w:rPr>
          <w:b/>
        </w:rPr>
        <w:t>Federal Communications Commission</w:t>
      </w:r>
    </w:p>
    <w:p w14:paraId="79CB249C" w14:textId="77777777" w:rsidR="004243C6" w:rsidRDefault="004243C6" w:rsidP="004243C6">
      <w:pPr>
        <w:jc w:val="center"/>
        <w:rPr>
          <w:b/>
        </w:rPr>
      </w:pPr>
      <w:r>
        <w:rPr>
          <w:b/>
        </w:rPr>
        <w:t>Washington, D.C. 20554</w:t>
      </w:r>
    </w:p>
    <w:p w14:paraId="01485DF3" w14:textId="77777777" w:rsidR="004243C6" w:rsidRDefault="004243C6" w:rsidP="004243C6"/>
    <w:tbl>
      <w:tblPr>
        <w:tblW w:w="0" w:type="auto"/>
        <w:tblLayout w:type="fixed"/>
        <w:tblLook w:val="0000" w:firstRow="0" w:lastRow="0" w:firstColumn="0" w:lastColumn="0" w:noHBand="0" w:noVBand="0"/>
      </w:tblPr>
      <w:tblGrid>
        <w:gridCol w:w="4518"/>
        <w:gridCol w:w="691"/>
        <w:gridCol w:w="4068"/>
      </w:tblGrid>
      <w:tr w:rsidR="004243C6" w14:paraId="12BAE2EB" w14:textId="77777777" w:rsidTr="004243C6">
        <w:trPr>
          <w:trHeight w:val="3582"/>
        </w:trPr>
        <w:tc>
          <w:tcPr>
            <w:tcW w:w="4518" w:type="dxa"/>
          </w:tcPr>
          <w:p w14:paraId="5048EEB2" w14:textId="77777777" w:rsidR="004243C6" w:rsidRDefault="004243C6" w:rsidP="004243C6">
            <w:pPr>
              <w:ind w:right="-18"/>
            </w:pPr>
            <w:r>
              <w:t>In the Matter of</w:t>
            </w:r>
          </w:p>
          <w:p w14:paraId="18F9FE15" w14:textId="77777777" w:rsidR="004243C6" w:rsidRDefault="004243C6" w:rsidP="004243C6">
            <w:pPr>
              <w:ind w:right="-18"/>
            </w:pPr>
          </w:p>
          <w:p w14:paraId="49951B48" w14:textId="77777777" w:rsidR="004243C6" w:rsidRDefault="004243C6" w:rsidP="004243C6">
            <w:pPr>
              <w:tabs>
                <w:tab w:val="left" w:pos="1924"/>
              </w:tabs>
              <w:ind w:right="-18"/>
            </w:pPr>
            <w:r>
              <w:t>HELEN WONG-ARMIJO</w:t>
            </w:r>
          </w:p>
          <w:p w14:paraId="78448713" w14:textId="77777777" w:rsidR="004243C6" w:rsidRDefault="004243C6" w:rsidP="004243C6">
            <w:pPr>
              <w:tabs>
                <w:tab w:val="left" w:pos="1924"/>
              </w:tabs>
              <w:ind w:right="-18"/>
            </w:pPr>
          </w:p>
          <w:p w14:paraId="77FECFA5" w14:textId="77777777" w:rsidR="004243C6" w:rsidRDefault="004243C6" w:rsidP="004243C6">
            <w:pPr>
              <w:tabs>
                <w:tab w:val="left" w:pos="1924"/>
              </w:tabs>
              <w:ind w:right="-18"/>
            </w:pPr>
            <w:r>
              <w:t>Applications for Waiver and Limited Extension of Time</w:t>
            </w:r>
          </w:p>
          <w:p w14:paraId="0570F4F1" w14:textId="77777777" w:rsidR="004243C6" w:rsidRDefault="004243C6" w:rsidP="004243C6">
            <w:pPr>
              <w:ind w:right="-18"/>
            </w:pPr>
          </w:p>
          <w:p w14:paraId="597168BD" w14:textId="77777777" w:rsidR="004243C6" w:rsidRDefault="004243C6" w:rsidP="004243C6">
            <w:pPr>
              <w:ind w:right="-18"/>
            </w:pPr>
            <w:r>
              <w:t>FCR, INC.</w:t>
            </w:r>
          </w:p>
          <w:p w14:paraId="6ECBF46C" w14:textId="77777777" w:rsidR="004243C6" w:rsidRDefault="004243C6" w:rsidP="004243C6">
            <w:pPr>
              <w:ind w:right="-18"/>
            </w:pPr>
          </w:p>
          <w:p w14:paraId="216CC44E" w14:textId="77777777" w:rsidR="004243C6" w:rsidRDefault="004243C6" w:rsidP="004243C6">
            <w:pPr>
              <w:ind w:right="-18"/>
            </w:pPr>
            <w:r>
              <w:t>Applications for Waiver and Limited Extension of Time</w:t>
            </w:r>
          </w:p>
          <w:p w14:paraId="64B39B8E" w14:textId="77777777" w:rsidR="004243C6" w:rsidRDefault="004243C6" w:rsidP="004243C6">
            <w:pPr>
              <w:ind w:right="-18"/>
            </w:pPr>
          </w:p>
          <w:p w14:paraId="596391C4" w14:textId="77777777" w:rsidR="004243C6" w:rsidRDefault="004243C6" w:rsidP="004243C6">
            <w:pPr>
              <w:ind w:right="-18"/>
            </w:pPr>
            <w:r>
              <w:t>SKYBRIDGE SPECTRUM FOUNDATION</w:t>
            </w:r>
          </w:p>
          <w:p w14:paraId="5BDBFDB8" w14:textId="77777777" w:rsidR="004243C6" w:rsidRDefault="004243C6" w:rsidP="004243C6">
            <w:pPr>
              <w:ind w:right="-18"/>
            </w:pPr>
          </w:p>
          <w:p w14:paraId="21A15CCE" w14:textId="77777777" w:rsidR="004243C6" w:rsidRDefault="004243C6" w:rsidP="004243C6">
            <w:pPr>
              <w:ind w:right="-18"/>
            </w:pPr>
            <w:r>
              <w:t>TELESAURUS HOLDINGS GB, LLC</w:t>
            </w:r>
          </w:p>
          <w:p w14:paraId="4671FFF6" w14:textId="77777777" w:rsidR="004243C6" w:rsidRDefault="004243C6" w:rsidP="004243C6">
            <w:pPr>
              <w:ind w:right="-18"/>
            </w:pPr>
          </w:p>
          <w:p w14:paraId="1E7551E4" w14:textId="77777777" w:rsidR="004243C6" w:rsidRDefault="004243C6" w:rsidP="004243C6">
            <w:pPr>
              <w:ind w:right="-18"/>
            </w:pPr>
            <w:r>
              <w:t xml:space="preserve">Applications for Waiver and Limited Extension of Time </w:t>
            </w:r>
          </w:p>
          <w:p w14:paraId="15D36349" w14:textId="77777777" w:rsidR="004243C6" w:rsidRDefault="004243C6" w:rsidP="004243C6">
            <w:pPr>
              <w:ind w:right="-18"/>
            </w:pPr>
          </w:p>
        </w:tc>
        <w:tc>
          <w:tcPr>
            <w:tcW w:w="691" w:type="dxa"/>
          </w:tcPr>
          <w:p w14:paraId="6994979F" w14:textId="77777777" w:rsidR="004243C6" w:rsidRDefault="004243C6" w:rsidP="004243C6">
            <w:pPr>
              <w:rPr>
                <w:b/>
              </w:rPr>
            </w:pPr>
            <w:r>
              <w:rPr>
                <w:b/>
              </w:rPr>
              <w:t>)</w:t>
            </w:r>
          </w:p>
          <w:p w14:paraId="0489A022" w14:textId="77777777" w:rsidR="004243C6" w:rsidRDefault="004243C6" w:rsidP="004243C6">
            <w:pPr>
              <w:rPr>
                <w:b/>
              </w:rPr>
            </w:pPr>
            <w:r>
              <w:rPr>
                <w:b/>
              </w:rPr>
              <w:t>)</w:t>
            </w:r>
          </w:p>
          <w:p w14:paraId="2ED0E503" w14:textId="77777777" w:rsidR="004243C6" w:rsidRDefault="004243C6" w:rsidP="004243C6">
            <w:pPr>
              <w:rPr>
                <w:b/>
              </w:rPr>
            </w:pPr>
            <w:r>
              <w:rPr>
                <w:b/>
              </w:rPr>
              <w:t>)</w:t>
            </w:r>
          </w:p>
          <w:p w14:paraId="1EEE6175" w14:textId="77777777" w:rsidR="004243C6" w:rsidRDefault="004243C6" w:rsidP="004243C6">
            <w:pPr>
              <w:rPr>
                <w:b/>
              </w:rPr>
            </w:pPr>
            <w:r>
              <w:rPr>
                <w:b/>
              </w:rPr>
              <w:t>)</w:t>
            </w:r>
          </w:p>
          <w:p w14:paraId="3A1D9647" w14:textId="77777777" w:rsidR="004243C6" w:rsidRDefault="004243C6" w:rsidP="004243C6">
            <w:pPr>
              <w:rPr>
                <w:b/>
              </w:rPr>
            </w:pPr>
            <w:r>
              <w:rPr>
                <w:b/>
              </w:rPr>
              <w:t>)</w:t>
            </w:r>
          </w:p>
          <w:p w14:paraId="1C1AF44B" w14:textId="77777777" w:rsidR="004243C6" w:rsidRDefault="004243C6" w:rsidP="004243C6">
            <w:pPr>
              <w:rPr>
                <w:b/>
              </w:rPr>
            </w:pPr>
            <w:r>
              <w:rPr>
                <w:b/>
              </w:rPr>
              <w:t>)</w:t>
            </w:r>
          </w:p>
          <w:p w14:paraId="511A9432" w14:textId="77777777" w:rsidR="004243C6" w:rsidRDefault="004243C6" w:rsidP="004243C6">
            <w:pPr>
              <w:rPr>
                <w:b/>
              </w:rPr>
            </w:pPr>
            <w:r>
              <w:rPr>
                <w:b/>
              </w:rPr>
              <w:t>)</w:t>
            </w:r>
          </w:p>
          <w:p w14:paraId="03B42FCA" w14:textId="77777777" w:rsidR="004243C6" w:rsidRDefault="004243C6" w:rsidP="004243C6">
            <w:pPr>
              <w:rPr>
                <w:b/>
              </w:rPr>
            </w:pPr>
            <w:r>
              <w:rPr>
                <w:b/>
              </w:rPr>
              <w:t>)</w:t>
            </w:r>
          </w:p>
          <w:p w14:paraId="329A01E5" w14:textId="77777777" w:rsidR="004243C6" w:rsidRDefault="004243C6" w:rsidP="004243C6">
            <w:pPr>
              <w:rPr>
                <w:b/>
              </w:rPr>
            </w:pPr>
            <w:r>
              <w:rPr>
                <w:b/>
              </w:rPr>
              <w:t>)</w:t>
            </w:r>
          </w:p>
          <w:p w14:paraId="594779CB" w14:textId="77777777" w:rsidR="004243C6" w:rsidRDefault="004243C6" w:rsidP="004243C6">
            <w:pPr>
              <w:rPr>
                <w:b/>
              </w:rPr>
            </w:pPr>
            <w:r>
              <w:rPr>
                <w:b/>
              </w:rPr>
              <w:t>)</w:t>
            </w:r>
          </w:p>
          <w:p w14:paraId="26184527" w14:textId="77777777" w:rsidR="004243C6" w:rsidRDefault="004243C6" w:rsidP="004243C6">
            <w:pPr>
              <w:rPr>
                <w:b/>
              </w:rPr>
            </w:pPr>
            <w:r>
              <w:rPr>
                <w:b/>
              </w:rPr>
              <w:t>)</w:t>
            </w:r>
          </w:p>
          <w:p w14:paraId="0C21ABEF" w14:textId="77777777" w:rsidR="004243C6" w:rsidRDefault="004243C6" w:rsidP="004243C6">
            <w:pPr>
              <w:rPr>
                <w:b/>
              </w:rPr>
            </w:pPr>
            <w:r>
              <w:rPr>
                <w:b/>
              </w:rPr>
              <w:t>)</w:t>
            </w:r>
          </w:p>
          <w:p w14:paraId="02CD9D3C" w14:textId="77777777" w:rsidR="004243C6" w:rsidRDefault="004243C6" w:rsidP="004243C6">
            <w:pPr>
              <w:rPr>
                <w:b/>
              </w:rPr>
            </w:pPr>
            <w:r>
              <w:rPr>
                <w:b/>
              </w:rPr>
              <w:t>)</w:t>
            </w:r>
          </w:p>
          <w:p w14:paraId="2515BD1F" w14:textId="77777777" w:rsidR="004243C6" w:rsidRDefault="004243C6" w:rsidP="004243C6">
            <w:pPr>
              <w:rPr>
                <w:b/>
              </w:rPr>
            </w:pPr>
            <w:r>
              <w:rPr>
                <w:b/>
              </w:rPr>
              <w:t>)</w:t>
            </w:r>
          </w:p>
          <w:p w14:paraId="4E051C30" w14:textId="77777777" w:rsidR="004243C6" w:rsidRDefault="004243C6" w:rsidP="004243C6">
            <w:pPr>
              <w:rPr>
                <w:b/>
              </w:rPr>
            </w:pPr>
            <w:r>
              <w:rPr>
                <w:b/>
              </w:rPr>
              <w:t>)</w:t>
            </w:r>
          </w:p>
          <w:p w14:paraId="35174AAF" w14:textId="77777777" w:rsidR="004243C6" w:rsidRDefault="004243C6" w:rsidP="004243C6">
            <w:pPr>
              <w:rPr>
                <w:b/>
              </w:rPr>
            </w:pPr>
            <w:r>
              <w:rPr>
                <w:b/>
              </w:rPr>
              <w:t>)</w:t>
            </w:r>
          </w:p>
          <w:p w14:paraId="5998EEF8" w14:textId="77777777" w:rsidR="004243C6" w:rsidRDefault="004243C6" w:rsidP="004243C6">
            <w:pPr>
              <w:rPr>
                <w:b/>
              </w:rPr>
            </w:pPr>
            <w:r>
              <w:rPr>
                <w:b/>
              </w:rPr>
              <w:t>)</w:t>
            </w:r>
          </w:p>
          <w:p w14:paraId="5B14804D" w14:textId="77777777" w:rsidR="004243C6" w:rsidRDefault="004243C6" w:rsidP="004243C6">
            <w:pPr>
              <w:rPr>
                <w:b/>
              </w:rPr>
            </w:pPr>
            <w:r>
              <w:rPr>
                <w:b/>
              </w:rPr>
              <w:t>)</w:t>
            </w:r>
          </w:p>
          <w:p w14:paraId="3C8AEC81" w14:textId="77777777" w:rsidR="004243C6" w:rsidRDefault="004243C6" w:rsidP="004243C6">
            <w:pPr>
              <w:rPr>
                <w:b/>
              </w:rPr>
            </w:pPr>
          </w:p>
        </w:tc>
        <w:tc>
          <w:tcPr>
            <w:tcW w:w="4068" w:type="dxa"/>
          </w:tcPr>
          <w:p w14:paraId="389FE53C" w14:textId="77777777" w:rsidR="004243C6" w:rsidRDefault="004243C6" w:rsidP="004243C6"/>
          <w:p w14:paraId="6929F680" w14:textId="77777777" w:rsidR="004243C6" w:rsidRDefault="004243C6" w:rsidP="004243C6"/>
          <w:p w14:paraId="09E28630" w14:textId="77777777" w:rsidR="004243C6" w:rsidRDefault="004243C6" w:rsidP="004243C6">
            <w:pPr>
              <w:rPr>
                <w:spacing w:val="-2"/>
              </w:rPr>
            </w:pPr>
          </w:p>
          <w:p w14:paraId="52429250" w14:textId="77777777" w:rsidR="004243C6" w:rsidRDefault="004243C6" w:rsidP="004243C6">
            <w:pPr>
              <w:rPr>
                <w:spacing w:val="-2"/>
              </w:rPr>
            </w:pPr>
          </w:p>
          <w:p w14:paraId="5EF3EDB6" w14:textId="77777777" w:rsidR="004243C6" w:rsidRDefault="004243C6" w:rsidP="004243C6">
            <w:pPr>
              <w:rPr>
                <w:spacing w:val="-2"/>
              </w:rPr>
            </w:pPr>
            <w:r>
              <w:rPr>
                <w:spacing w:val="-2"/>
              </w:rPr>
              <w:t>WT Docket No. 16-385</w:t>
            </w:r>
          </w:p>
          <w:p w14:paraId="4EF35979" w14:textId="77777777" w:rsidR="004243C6" w:rsidRDefault="004243C6" w:rsidP="004243C6">
            <w:pPr>
              <w:rPr>
                <w:spacing w:val="-2"/>
              </w:rPr>
            </w:pPr>
          </w:p>
          <w:p w14:paraId="68BC688C" w14:textId="77777777" w:rsidR="004243C6" w:rsidRDefault="004243C6" w:rsidP="004243C6">
            <w:pPr>
              <w:rPr>
                <w:spacing w:val="-2"/>
              </w:rPr>
            </w:pPr>
          </w:p>
          <w:p w14:paraId="1F03AACA" w14:textId="77777777" w:rsidR="004243C6" w:rsidRDefault="004243C6" w:rsidP="004243C6">
            <w:pPr>
              <w:rPr>
                <w:spacing w:val="-2"/>
              </w:rPr>
            </w:pPr>
          </w:p>
          <w:p w14:paraId="6ABBB862" w14:textId="77777777" w:rsidR="004243C6" w:rsidRDefault="004243C6" w:rsidP="004243C6">
            <w:pPr>
              <w:rPr>
                <w:spacing w:val="-2"/>
              </w:rPr>
            </w:pPr>
          </w:p>
          <w:p w14:paraId="3E9D7FDD" w14:textId="77777777" w:rsidR="004243C6" w:rsidRDefault="004243C6" w:rsidP="004243C6">
            <w:pPr>
              <w:rPr>
                <w:spacing w:val="-2"/>
              </w:rPr>
            </w:pPr>
          </w:p>
          <w:p w14:paraId="3B3F0938" w14:textId="77777777" w:rsidR="004243C6" w:rsidRDefault="004243C6" w:rsidP="004243C6">
            <w:pPr>
              <w:rPr>
                <w:spacing w:val="-2"/>
              </w:rPr>
            </w:pPr>
          </w:p>
          <w:p w14:paraId="7C516B34" w14:textId="77777777" w:rsidR="004243C6" w:rsidRDefault="004243C6" w:rsidP="004243C6"/>
          <w:p w14:paraId="5A8A9D21" w14:textId="77777777" w:rsidR="004243C6" w:rsidRDefault="004243C6" w:rsidP="004243C6"/>
        </w:tc>
      </w:tr>
    </w:tbl>
    <w:p w14:paraId="26A00260" w14:textId="77777777" w:rsidR="004243C6" w:rsidRDefault="004243C6" w:rsidP="004243C6">
      <w:pPr>
        <w:spacing w:before="120"/>
        <w:jc w:val="center"/>
        <w:rPr>
          <w:b/>
        </w:rPr>
      </w:pPr>
      <w:r>
        <w:rPr>
          <w:b/>
          <w:spacing w:val="-2"/>
        </w:rPr>
        <w:t>ORDER</w:t>
      </w:r>
    </w:p>
    <w:p w14:paraId="6387EEC5" w14:textId="77777777" w:rsidR="004243C6" w:rsidRDefault="004243C6" w:rsidP="004243C6"/>
    <w:p w14:paraId="70DFE9DC" w14:textId="5083A1F9" w:rsidR="004243C6" w:rsidRDefault="004243C6" w:rsidP="004243C6">
      <w:pPr>
        <w:tabs>
          <w:tab w:val="left" w:pos="5760"/>
          <w:tab w:val="right" w:pos="9360"/>
        </w:tabs>
        <w:rPr>
          <w:b/>
        </w:rPr>
      </w:pPr>
      <w:r>
        <w:rPr>
          <w:b/>
        </w:rPr>
        <w:t xml:space="preserve">Adopted:  </w:t>
      </w:r>
      <w:r w:rsidR="002D7D0B">
        <w:rPr>
          <w:b/>
        </w:rPr>
        <w:t xml:space="preserve">November </w:t>
      </w:r>
      <w:r w:rsidR="000C5F4C">
        <w:rPr>
          <w:b/>
        </w:rPr>
        <w:t>20</w:t>
      </w:r>
      <w:r>
        <w:rPr>
          <w:b/>
          <w:spacing w:val="-2"/>
        </w:rPr>
        <w:t>, 2017</w:t>
      </w:r>
      <w:r>
        <w:rPr>
          <w:b/>
        </w:rPr>
        <w:tab/>
      </w:r>
      <w:r>
        <w:rPr>
          <w:b/>
        </w:rPr>
        <w:tab/>
        <w:t xml:space="preserve">Released:  </w:t>
      </w:r>
      <w:r w:rsidR="002D7D0B">
        <w:rPr>
          <w:b/>
        </w:rPr>
        <w:t>November</w:t>
      </w:r>
      <w:r>
        <w:rPr>
          <w:b/>
          <w:spacing w:val="-2"/>
        </w:rPr>
        <w:t xml:space="preserve"> </w:t>
      </w:r>
      <w:r w:rsidR="000C5F4C">
        <w:rPr>
          <w:b/>
          <w:spacing w:val="-2"/>
        </w:rPr>
        <w:t>20</w:t>
      </w:r>
      <w:r>
        <w:rPr>
          <w:b/>
          <w:spacing w:val="-2"/>
        </w:rPr>
        <w:t>, 2017</w:t>
      </w:r>
    </w:p>
    <w:p w14:paraId="591B8525" w14:textId="77777777" w:rsidR="004243C6" w:rsidRDefault="004243C6" w:rsidP="004243C6">
      <w:pPr>
        <w:tabs>
          <w:tab w:val="right" w:pos="9360"/>
        </w:tabs>
        <w:rPr>
          <w:b/>
        </w:rPr>
      </w:pPr>
    </w:p>
    <w:p w14:paraId="0FCFCFC2" w14:textId="77777777" w:rsidR="004243C6" w:rsidRDefault="004243C6" w:rsidP="004243C6">
      <w:pPr>
        <w:tabs>
          <w:tab w:val="left" w:pos="5760"/>
        </w:tabs>
      </w:pPr>
      <w:r>
        <w:t xml:space="preserve">By the </w:t>
      </w:r>
      <w:r>
        <w:rPr>
          <w:spacing w:val="-2"/>
        </w:rPr>
        <w:t xml:space="preserve">Chief, Mobility Division, Wireless Telecommunications Bureau: </w:t>
      </w:r>
    </w:p>
    <w:p w14:paraId="32620DDC" w14:textId="77777777" w:rsidR="004243C6" w:rsidRDefault="004243C6" w:rsidP="004243C6">
      <w:pPr>
        <w:tabs>
          <w:tab w:val="left" w:pos="5760"/>
        </w:tabs>
        <w:rPr>
          <w:b/>
        </w:rPr>
      </w:pPr>
    </w:p>
    <w:p w14:paraId="76BA763A" w14:textId="77777777" w:rsidR="004243C6" w:rsidRDefault="004243C6" w:rsidP="004243C6">
      <w:pPr>
        <w:pStyle w:val="ParaNum"/>
        <w:widowControl/>
        <w:numPr>
          <w:ilvl w:val="0"/>
          <w:numId w:val="11"/>
        </w:numPr>
        <w:tabs>
          <w:tab w:val="left" w:pos="720"/>
          <w:tab w:val="left" w:pos="1080"/>
        </w:tabs>
      </w:pPr>
      <w:r>
        <w:t>In this Order, we address the request for extension of time to comply with, and waiver of, the construction requirements for Multilateration Location and Monitoring Services (M-LMS) licenses filed by Helen Wong-Armijo (HWA),</w:t>
      </w:r>
      <w:r>
        <w:rPr>
          <w:rStyle w:val="FootnoteReference"/>
        </w:rPr>
        <w:footnoteReference w:id="2"/>
      </w:r>
      <w:r>
        <w:t xml:space="preserve"> and FCR, Inc. (FCR).</w:t>
      </w:r>
      <w:r>
        <w:rPr>
          <w:rStyle w:val="FootnoteReference"/>
        </w:rPr>
        <w:footnoteReference w:id="3"/>
      </w:r>
      <w:r>
        <w:t xml:space="preserve">  We also address the request for extension of the interim construction requirement for M-LMS licenses and waiver of the automatic termination provision filed jointly by Skybridge Spectrum Foundation (Skybridge) and Telesaurus Holdings GB, LLC (Telesaurus),</w:t>
      </w:r>
      <w:r>
        <w:rPr>
          <w:rStyle w:val="FootnoteReference"/>
        </w:rPr>
        <w:footnoteReference w:id="4"/>
      </w:r>
      <w:r>
        <w:t xml:space="preserve"> acting through a court-appointed receiver (Receiver).</w:t>
      </w:r>
      <w:bookmarkStart w:id="1" w:name="_Ref469992942"/>
      <w:r>
        <w:rPr>
          <w:rStyle w:val="FootnoteReference"/>
        </w:rPr>
        <w:footnoteReference w:id="5"/>
      </w:r>
      <w:bookmarkEnd w:id="1"/>
      <w:r>
        <w:t xml:space="preserve">  For the reasons discussed below, we deny the Extension and Waiver Requests.</w:t>
      </w:r>
    </w:p>
    <w:p w14:paraId="6A568FF2" w14:textId="77777777" w:rsidR="004243C6" w:rsidRPr="0051130E" w:rsidRDefault="004243C6" w:rsidP="004243C6">
      <w:pPr>
        <w:pStyle w:val="ParaNum"/>
        <w:widowControl/>
        <w:numPr>
          <w:ilvl w:val="0"/>
          <w:numId w:val="12"/>
        </w:numPr>
        <w:tabs>
          <w:tab w:val="left" w:pos="720"/>
        </w:tabs>
        <w:ind w:left="720"/>
        <w:rPr>
          <w:b/>
        </w:rPr>
      </w:pPr>
      <w:r>
        <w:rPr>
          <w:b/>
        </w:rPr>
        <w:lastRenderedPageBreak/>
        <w:t>BACKGROUND</w:t>
      </w:r>
    </w:p>
    <w:p w14:paraId="15DD20F1" w14:textId="77777777" w:rsidR="004243C6" w:rsidRDefault="004243C6" w:rsidP="004243C6">
      <w:pPr>
        <w:pStyle w:val="ParaNum"/>
        <w:widowControl/>
        <w:numPr>
          <w:ilvl w:val="0"/>
          <w:numId w:val="11"/>
        </w:numPr>
        <w:tabs>
          <w:tab w:val="left" w:pos="1080"/>
        </w:tabs>
      </w:pPr>
      <w:r>
        <w:rPr>
          <w:i/>
          <w:iCs/>
        </w:rPr>
        <w:t>M-LMS Band</w:t>
      </w:r>
      <w:r w:rsidRPr="003562D7">
        <w:rPr>
          <w:i/>
          <w:iCs/>
        </w:rPr>
        <w:t>.</w:t>
      </w:r>
      <w:r>
        <w:t xml:space="preserve">  In 1995, the Commission established M-LMS as a new service in the 902-928 MHz band with a hierarchy of spectrum usage rights.</w:t>
      </w:r>
      <w:bookmarkStart w:id="2" w:name="FN_FN2_"/>
      <w:bookmarkEnd w:id="2"/>
      <w:r>
        <w:rPr>
          <w:rStyle w:val="FootnoteReference"/>
        </w:rPr>
        <w:footnoteReference w:id="6"/>
      </w:r>
      <w:r w:rsidRPr="2B6A6910">
        <w:t xml:space="preserve">  </w:t>
      </w:r>
      <w:r>
        <w:t>M-LMS systems use non-voice radio techniques to determine the location and status of mobile radio units.  Specifically, this band is allocated on a primary basis to both Federal radiolocation systems and Industrial, Scientific, and Medical (ISM) equipment.</w:t>
      </w:r>
      <w:bookmarkStart w:id="3" w:name="FN_FN3_"/>
      <w:bookmarkEnd w:id="3"/>
      <w:r>
        <w:rPr>
          <w:rStyle w:val="FootnoteReference"/>
        </w:rPr>
        <w:footnoteReference w:id="7"/>
      </w:r>
      <w:r>
        <w:t xml:space="preserve">  Federal fixed and mobile services are allocated on a secondary basis to Federal radiolocation systems and ISM equipment.  M-LMS licenses are allocated on a secondary basis to Federal users and to ISM devices and may not cause interference to and must tolerate interference from these users and devices.</w:t>
      </w:r>
      <w:bookmarkStart w:id="4" w:name="FN_FN4_"/>
      <w:bookmarkEnd w:id="4"/>
      <w:r>
        <w:rPr>
          <w:rStyle w:val="FootnoteReference"/>
        </w:rPr>
        <w:footnoteReference w:id="8"/>
      </w:r>
      <w:r>
        <w:t xml:space="preserve">  Amateur radio operations are allocated on a secondary basis to M-LMS.</w:t>
      </w:r>
      <w:bookmarkStart w:id="5" w:name="FN_FN5_"/>
      <w:bookmarkEnd w:id="5"/>
      <w:r>
        <w:rPr>
          <w:rStyle w:val="FootnoteReference"/>
        </w:rPr>
        <w:footnoteReference w:id="9"/>
      </w:r>
      <w:r>
        <w:t xml:space="preserve">  Finally, unlicensed devices are authorized under Part 15 to use the 902-928 MHz band, but such devices are not afforded interference protection rights and may not cause harmful interference to </w:t>
      </w:r>
      <w:bookmarkStart w:id="6" w:name="sp_1511_17251"/>
      <w:bookmarkStart w:id="7" w:name="SDU_17251"/>
      <w:bookmarkStart w:id="8" w:name="citeas__Cite_as__23_F_C_C_R__17250___172"/>
      <w:bookmarkEnd w:id="6"/>
      <w:bookmarkEnd w:id="7"/>
      <w:bookmarkEnd w:id="8"/>
      <w:r>
        <w:t>M-LMS licensees, amateur operations, or other licensed systems.</w:t>
      </w:r>
      <w:bookmarkStart w:id="9" w:name="FN_FN6_"/>
      <w:bookmarkEnd w:id="9"/>
      <w:r>
        <w:rPr>
          <w:rStyle w:val="FootnoteReference"/>
        </w:rPr>
        <w:footnoteReference w:id="10"/>
      </w:r>
    </w:p>
    <w:p w14:paraId="5F4571D9" w14:textId="77777777" w:rsidR="004243C6" w:rsidRDefault="004243C6" w:rsidP="000B19FC">
      <w:pPr>
        <w:pStyle w:val="ParaNum"/>
        <w:numPr>
          <w:ilvl w:val="0"/>
          <w:numId w:val="11"/>
        </w:numPr>
        <w:tabs>
          <w:tab w:val="left" w:pos="1080"/>
        </w:tabs>
      </w:pPr>
      <w:r w:rsidRPr="007E75BC">
        <w:t>The Commission auctioned M-L</w:t>
      </w:r>
      <w:r>
        <w:t>MS licenses in 1999 and 2001 (</w:t>
      </w:r>
      <w:r w:rsidRPr="007E75BC">
        <w:t>Auctions 21 and 39</w:t>
      </w:r>
      <w:r>
        <w:t>, respectively)</w:t>
      </w:r>
      <w:r w:rsidRPr="007E75BC">
        <w:t>.</w:t>
      </w:r>
      <w:r>
        <w:rPr>
          <w:rStyle w:val="FootnoteReference"/>
        </w:rPr>
        <w:footnoteReference w:id="11"/>
      </w:r>
      <w:r>
        <w:t xml:space="preserve">  M-LMS licenses are issued for a period of ten years.</w:t>
      </w:r>
      <w:r>
        <w:rPr>
          <w:rStyle w:val="FootnoteReference"/>
        </w:rPr>
        <w:footnoteReference w:id="12"/>
      </w:r>
      <w:r>
        <w:t xml:space="preserve">  Section 90.155 of the Commission’s rules requires M-LMS licensees to construct and place into operation a sufficient number of base stations to provide M-LMS services to one-third of the license population within five years of the initial license grant (interim construction deadline), and two-thirds of the license population within ten years of the initial license grant (final construction deadline).</w:t>
      </w:r>
      <w:r>
        <w:rPr>
          <w:rStyle w:val="FootnoteReference"/>
        </w:rPr>
        <w:footnoteReference w:id="13"/>
      </w:r>
      <w:r w:rsidRPr="007E75BC">
        <w:t xml:space="preserve">  </w:t>
      </w:r>
    </w:p>
    <w:p w14:paraId="062D89CC" w14:textId="77777777" w:rsidR="004243C6" w:rsidRDefault="004243C6" w:rsidP="004243C6">
      <w:pPr>
        <w:pStyle w:val="ParaNum"/>
        <w:widowControl/>
        <w:numPr>
          <w:ilvl w:val="0"/>
          <w:numId w:val="11"/>
        </w:numPr>
        <w:tabs>
          <w:tab w:val="left" w:pos="1080"/>
        </w:tabs>
      </w:pPr>
      <w:r>
        <w:rPr>
          <w:i/>
        </w:rPr>
        <w:lastRenderedPageBreak/>
        <w:t>HWA Licenses</w:t>
      </w:r>
      <w:r>
        <w:t>.  HWA won its 84 M-LMS Channel Block B and C licenses in Auction 39 and the Commission granted the licenses to HWA in October 2001.</w:t>
      </w:r>
      <w:r>
        <w:rPr>
          <w:rStyle w:val="FootnoteReference"/>
        </w:rPr>
        <w:footnoteReference w:id="14"/>
      </w:r>
      <w:r>
        <w:t xml:space="preserve">  The HWA licenses had an initial five-year interim construction deadline of October 5, 2006.  On September 14, 2006, HWA filed a request for an extension of time to meet its interim construction deadline for all of its licenses.</w:t>
      </w:r>
      <w:r>
        <w:rPr>
          <w:rStyle w:val="FootnoteReference"/>
        </w:rPr>
        <w:footnoteReference w:id="15"/>
      </w:r>
      <w:r>
        <w:t xml:space="preserve">  On January 31, 2007, the </w:t>
      </w:r>
      <w:r w:rsidRPr="00E86288">
        <w:t>Mobility Division (Division) of the Wireless Telecommunications Bureau (Bureau)</w:t>
      </w:r>
      <w:r>
        <w:t xml:space="preserve"> granted HWA a three-year extension of time, until October 5, 2009, to meet its interim construction deadline, finding that lack of available M-LMS equipment made construction impossible and complex spectrum sharing hindered the ability to secure such equipment, creating circumstances that warranted the requested relief.</w:t>
      </w:r>
      <w:r>
        <w:rPr>
          <w:rStyle w:val="FootnoteReference"/>
        </w:rPr>
        <w:footnoteReference w:id="16"/>
      </w:r>
    </w:p>
    <w:p w14:paraId="1C0C032B" w14:textId="77777777" w:rsidR="004243C6" w:rsidRDefault="004243C6" w:rsidP="004243C6">
      <w:pPr>
        <w:pStyle w:val="ParaNum"/>
        <w:widowControl/>
        <w:numPr>
          <w:ilvl w:val="0"/>
          <w:numId w:val="11"/>
        </w:numPr>
        <w:tabs>
          <w:tab w:val="left" w:pos="1080"/>
        </w:tabs>
      </w:pPr>
      <w:r>
        <w:rPr>
          <w:i/>
        </w:rPr>
        <w:t>FCR Licenses</w:t>
      </w:r>
      <w:r>
        <w:t>.  FCR won five M-LMS licenses in Auction 21, which the Commission granted in July 1999,</w:t>
      </w:r>
      <w:r>
        <w:rPr>
          <w:rStyle w:val="FootnoteReference"/>
        </w:rPr>
        <w:footnoteReference w:id="17"/>
      </w:r>
      <w:r>
        <w:t xml:space="preserve"> and eight M-LMS licenses in Auction 39, which the Commission granted in October 2001.</w:t>
      </w:r>
      <w:r>
        <w:rPr>
          <w:rStyle w:val="FootnoteReference"/>
        </w:rPr>
        <w:footnoteReference w:id="18"/>
      </w:r>
      <w:r>
        <w:t xml:space="preserve">  The five licenses acquired through Auction 21 had an initial five-year interim construction deadline of July 14, 2004, and the eight licenses acquired through Auction 39 had an initial five-year interim construction deadline of October 5, 2006.  In 2004, FCR filed a request for a three-year extension of time to meet its interim construction deadline for the Auction 21 licenses,</w:t>
      </w:r>
      <w:r>
        <w:rPr>
          <w:rStyle w:val="FootnoteReference"/>
        </w:rPr>
        <w:footnoteReference w:id="19"/>
      </w:r>
      <w:r>
        <w:t xml:space="preserve"> which the Division granted in 2005.</w:t>
      </w:r>
      <w:r>
        <w:rPr>
          <w:rStyle w:val="FootnoteReference"/>
        </w:rPr>
        <w:footnoteReference w:id="20"/>
      </w:r>
      <w:r>
        <w:t xml:space="preserve">  In 2006 and 2007, respectively, FCR filed a request for a three-year extension of time to meet its interim construction deadline for the Auction 39 licenses and a request for an additional two-year extension to meet the interim construction deadline for the Auction 21 licenses.</w:t>
      </w:r>
      <w:r>
        <w:rPr>
          <w:rStyle w:val="FootnoteReference"/>
        </w:rPr>
        <w:footnoteReference w:id="21"/>
      </w:r>
      <w:r>
        <w:t xml:space="preserve">  For the same reasons stated above in granting HWA relief, the Division granted FCR’s requests in the </w:t>
      </w:r>
      <w:r w:rsidRPr="004851E5">
        <w:rPr>
          <w:i/>
        </w:rPr>
        <w:t>2007 Extension Order</w:t>
      </w:r>
      <w:r>
        <w:t>, extending the interim construction deadline for the Auction 21 licenses until July 14, 2009, and for the Auction 39 licenses until October 5, 2009.</w:t>
      </w:r>
      <w:r>
        <w:rPr>
          <w:rStyle w:val="FootnoteReference"/>
        </w:rPr>
        <w:footnoteReference w:id="22"/>
      </w:r>
      <w:r>
        <w:t xml:space="preserve">  Because the extended interim construction deadline for the Auction 21 licenses coincided with the original ten-year final construction deadline for those licenses, the Division also granted FCR an additional two-year extension of the final construction deadline for the Auction 21 licenses until July 14, 2011.</w:t>
      </w:r>
      <w:r>
        <w:rPr>
          <w:rStyle w:val="FootnoteReference"/>
        </w:rPr>
        <w:footnoteReference w:id="23"/>
      </w:r>
    </w:p>
    <w:p w14:paraId="13E25AF8" w14:textId="77777777" w:rsidR="004243C6" w:rsidRDefault="004243C6" w:rsidP="004243C6">
      <w:pPr>
        <w:pStyle w:val="ParaNum"/>
        <w:widowControl/>
        <w:numPr>
          <w:ilvl w:val="0"/>
          <w:numId w:val="11"/>
        </w:numPr>
        <w:tabs>
          <w:tab w:val="left" w:pos="1080"/>
        </w:tabs>
      </w:pPr>
      <w:bookmarkStart w:id="10" w:name="_Ref472426708"/>
      <w:r>
        <w:rPr>
          <w:i/>
        </w:rPr>
        <w:t>Skybridge/Telesaurus Licenses</w:t>
      </w:r>
      <w:r>
        <w:t>.  Warren Havens (Havens) won 52 M-LMS licenses in Auction 21, which the Commission granted in July 1999.</w:t>
      </w:r>
      <w:r>
        <w:rPr>
          <w:rStyle w:val="FootnoteReference"/>
        </w:rPr>
        <w:footnoteReference w:id="24"/>
      </w:r>
      <w:r>
        <w:t xml:space="preserve">  Telesaurus, a then Havens-controlled entity, won 77 M-LMS licenses in Auction 39, which the Commission granted to Telesaurus in October 2001</w:t>
      </w:r>
      <w:r>
        <w:rPr>
          <w:rStyle w:val="FootnoteReference"/>
        </w:rPr>
        <w:footnoteReference w:id="25"/>
      </w:r>
      <w:r>
        <w:t xml:space="preserve"> and March 2007.</w:t>
      </w:r>
      <w:r>
        <w:rPr>
          <w:rStyle w:val="FootnoteReference"/>
        </w:rPr>
        <w:footnoteReference w:id="26"/>
      </w:r>
      <w:r>
        <w:t xml:space="preserve">  </w:t>
      </w:r>
      <w:r w:rsidRPr="004851E5">
        <w:t xml:space="preserve">The </w:t>
      </w:r>
      <w:r>
        <w:t>52</w:t>
      </w:r>
      <w:r w:rsidRPr="004851E5">
        <w:t xml:space="preserve"> licenses acquired through Auction 21 had an initial five-year </w:t>
      </w:r>
      <w:r>
        <w:t xml:space="preserve">interim </w:t>
      </w:r>
      <w:r w:rsidRPr="004851E5">
        <w:t xml:space="preserve">construction deadline of July 14, 2004, and the </w:t>
      </w:r>
      <w:r>
        <w:t>77</w:t>
      </w:r>
      <w:r w:rsidRPr="004851E5">
        <w:t xml:space="preserve"> licenses acquired through Auction 39 had an initial five-year </w:t>
      </w:r>
      <w:r>
        <w:t xml:space="preserve">interim </w:t>
      </w:r>
      <w:r w:rsidRPr="004851E5">
        <w:t>construction deadline of October 5, 2006.</w:t>
      </w:r>
      <w:r>
        <w:t xml:space="preserve">  In 2003, Havens filed a waiver request seeking three additional years to meet the interim construction deadline for its Auction 21 licenses,</w:t>
      </w:r>
      <w:r>
        <w:rPr>
          <w:rStyle w:val="FootnoteReference"/>
        </w:rPr>
        <w:footnoteReference w:id="27"/>
      </w:r>
      <w:r>
        <w:t xml:space="preserve"> which the Division granted in 2004.</w:t>
      </w:r>
      <w:r>
        <w:rPr>
          <w:rStyle w:val="FootnoteReference"/>
        </w:rPr>
        <w:footnoteReference w:id="28"/>
      </w:r>
      <w:r>
        <w:t xml:space="preserve">  In March 2006, Havens assigned the 52 Auction 21 licenses to Telesaurus, making Telesaurus the licensee of 129 M-LMS licenses.</w:t>
      </w:r>
      <w:r>
        <w:rPr>
          <w:rStyle w:val="FootnoteReference"/>
        </w:rPr>
        <w:footnoteReference w:id="29"/>
      </w:r>
      <w:r>
        <w:t xml:space="preserve">  In October 2006, Telesaurus requested a three-year extension of time to meet the interim construction deadline for the Auction 39 licenses, which the Division granted in the </w:t>
      </w:r>
      <w:r w:rsidRPr="004851E5">
        <w:rPr>
          <w:i/>
        </w:rPr>
        <w:t>2007 Extension Order</w:t>
      </w:r>
      <w:r>
        <w:t>, extending the interim deadline until October 5, 2009.</w:t>
      </w:r>
      <w:r>
        <w:rPr>
          <w:rStyle w:val="FootnoteReference"/>
        </w:rPr>
        <w:footnoteReference w:id="30"/>
      </w:r>
      <w:r>
        <w:t xml:space="preserve">  In that same Order, the Division granted Telesaurus an additional two-years for the Auction 21 licenses to meet both the interim and final construction deadlines, extending the deadlines until July 14, 2009 and July 14, 2011, respectively.</w:t>
      </w:r>
      <w:r>
        <w:rPr>
          <w:rStyle w:val="FootnoteReference"/>
        </w:rPr>
        <w:footnoteReference w:id="31"/>
      </w:r>
      <w:r>
        <w:t xml:space="preserve">  In November 2007, Telesaurus disaggregated 128 of its M-LMS licenses to Skybridge, another then Havens-controlled entity, resulting in Havens-controlled entities holding 257 total M-LMS licenses.</w:t>
      </w:r>
      <w:r>
        <w:rPr>
          <w:rStyle w:val="FootnoteReference"/>
        </w:rPr>
        <w:footnoteReference w:id="32"/>
      </w:r>
      <w:bookmarkEnd w:id="10"/>
    </w:p>
    <w:p w14:paraId="6DC8A778" w14:textId="77777777" w:rsidR="004243C6" w:rsidRDefault="004243C6" w:rsidP="004243C6">
      <w:pPr>
        <w:pStyle w:val="ParaNum"/>
        <w:widowControl/>
        <w:numPr>
          <w:ilvl w:val="0"/>
          <w:numId w:val="11"/>
        </w:numPr>
        <w:tabs>
          <w:tab w:val="left" w:pos="1080"/>
        </w:tabs>
      </w:pPr>
      <w:r>
        <w:rPr>
          <w:i/>
        </w:rPr>
        <w:t>Band-Wide Commission Action</w:t>
      </w:r>
      <w:r>
        <w:t xml:space="preserve">.  On March 1, 2006, the Commission released a </w:t>
      </w:r>
      <w:r>
        <w:rPr>
          <w:i/>
        </w:rPr>
        <w:t>Notice of Proposed Rulemaking</w:t>
      </w:r>
      <w:r>
        <w:t>,</w:t>
      </w:r>
      <w:r>
        <w:rPr>
          <w:rStyle w:val="FootnoteReference"/>
        </w:rPr>
        <w:footnoteReference w:id="33"/>
      </w:r>
      <w:r>
        <w:t xml:space="preserve"> initiating an examination of the rules governing the M-LMS band.  Specifically, the Commission sought comment on whether to modify restrictions designed to limit the scope of M-LMS services,</w:t>
      </w:r>
      <w:r>
        <w:rPr>
          <w:rStyle w:val="FootnoteReference"/>
        </w:rPr>
        <w:footnoteReference w:id="34"/>
      </w:r>
      <w:r>
        <w:t xml:space="preserve"> power and other technical limitations,</w:t>
      </w:r>
      <w:r>
        <w:rPr>
          <w:rStyle w:val="FootnoteReference"/>
        </w:rPr>
        <w:footnoteReference w:id="35"/>
      </w:r>
      <w:r>
        <w:t xml:space="preserve"> spectrum aggregation limit,</w:t>
      </w:r>
      <w:r>
        <w:rPr>
          <w:rStyle w:val="FootnoteReference"/>
        </w:rPr>
        <w:footnoteReference w:id="36"/>
      </w:r>
      <w:r>
        <w:t xml:space="preserve"> “safe harbor” for secondary operations,</w:t>
      </w:r>
      <w:r>
        <w:rPr>
          <w:rStyle w:val="FootnoteReference"/>
        </w:rPr>
        <w:footnoteReference w:id="37"/>
      </w:r>
      <w:r>
        <w:t xml:space="preserve"> and the requirement that M-LMS licensees demonstrate through actual field tests that their systems do not cause unacceptable levels of interference to Part 15 devices.</w:t>
      </w:r>
      <w:r>
        <w:rPr>
          <w:rStyle w:val="FootnoteReference"/>
        </w:rPr>
        <w:footnoteReference w:id="38"/>
      </w:r>
    </w:p>
    <w:p w14:paraId="45CD9C75" w14:textId="77777777" w:rsidR="004243C6" w:rsidRDefault="004243C6" w:rsidP="004243C6">
      <w:pPr>
        <w:pStyle w:val="ParaNum"/>
        <w:widowControl/>
        <w:numPr>
          <w:ilvl w:val="0"/>
          <w:numId w:val="11"/>
        </w:numPr>
        <w:tabs>
          <w:tab w:val="left" w:pos="1080"/>
        </w:tabs>
      </w:pPr>
      <w:r>
        <w:t>I</w:t>
      </w:r>
      <w:r w:rsidRPr="00C6452F">
        <w:t xml:space="preserve">n November 2008, </w:t>
      </w:r>
      <w:r>
        <w:t xml:space="preserve">in response to further extension requests by certain M-LMS licensees, </w:t>
      </w:r>
      <w:r w:rsidRPr="00C6452F">
        <w:t>the Bureau granted the requests and, on its own motion, granted</w:t>
      </w:r>
      <w:r>
        <w:t xml:space="preserve"> a waiver resulting in additional time for all </w:t>
      </w:r>
      <w:r w:rsidRPr="00C6452F">
        <w:t>M-LMS licensees to meet the construction requirements.</w:t>
      </w:r>
      <w:r w:rsidRPr="00C6452F">
        <w:rPr>
          <w:vertAlign w:val="superscript"/>
        </w:rPr>
        <w:footnoteReference w:id="39"/>
      </w:r>
      <w:r w:rsidRPr="00C6452F">
        <w:t xml:space="preserve">  Specifically, the Bureau </w:t>
      </w:r>
      <w:r>
        <w:t xml:space="preserve">granted a waiver and </w:t>
      </w:r>
      <w:r w:rsidRPr="00C6452F">
        <w:t xml:space="preserve">extended the </w:t>
      </w:r>
      <w:r>
        <w:t>interim</w:t>
      </w:r>
      <w:r w:rsidRPr="00C6452F">
        <w:t xml:space="preserve"> construction </w:t>
      </w:r>
      <w:r>
        <w:t>deadline</w:t>
      </w:r>
      <w:r w:rsidRPr="00C6452F">
        <w:t xml:space="preserve"> to July 19, 2012 for licensees required to meet the </w:t>
      </w:r>
      <w:r>
        <w:t>interim</w:t>
      </w:r>
      <w:r w:rsidRPr="00C6452F">
        <w:t xml:space="preserve"> requirement on or before July 19, 2012, and </w:t>
      </w:r>
      <w:r>
        <w:t xml:space="preserve">extended </w:t>
      </w:r>
      <w:r w:rsidRPr="00C6452F">
        <w:t xml:space="preserve">the </w:t>
      </w:r>
      <w:r>
        <w:t>final deadline t</w:t>
      </w:r>
      <w:r w:rsidRPr="00C6452F">
        <w:t xml:space="preserve">o </w:t>
      </w:r>
      <w:r w:rsidRPr="00C6452F">
        <w:rPr>
          <w:color w:val="000000"/>
        </w:rPr>
        <w:t>July 19, 2014</w:t>
      </w:r>
      <w:r>
        <w:rPr>
          <w:color w:val="000000"/>
        </w:rPr>
        <w:t>,</w:t>
      </w:r>
      <w:r w:rsidRPr="00C6452F">
        <w:rPr>
          <w:color w:val="000000"/>
        </w:rPr>
        <w:t xml:space="preserve"> for any license</w:t>
      </w:r>
      <w:r>
        <w:rPr>
          <w:color w:val="000000"/>
        </w:rPr>
        <w:t>e required to</w:t>
      </w:r>
      <w:r w:rsidRPr="00C6452F">
        <w:rPr>
          <w:color w:val="000000"/>
        </w:rPr>
        <w:t xml:space="preserve"> meet that requirement on or before July 19, 2014.</w:t>
      </w:r>
      <w:r>
        <w:rPr>
          <w:rStyle w:val="FootnoteReference"/>
        </w:rPr>
        <w:footnoteReference w:id="40"/>
      </w:r>
      <w:r w:rsidRPr="00E34D19">
        <w:rPr>
          <w:color w:val="000000"/>
        </w:rPr>
        <w:t xml:space="preserve">  </w:t>
      </w:r>
      <w:r>
        <w:t>The Bureau noted that there was no commercially available equipment certified for M-LMS use in the 900 MHz band.</w:t>
      </w:r>
      <w:r>
        <w:rPr>
          <w:rStyle w:val="FootnoteReference"/>
        </w:rPr>
        <w:footnoteReference w:id="41"/>
      </w:r>
      <w:r>
        <w:t xml:space="preserve">  Further, the Bureau acknowledged that the pending M-LMS rulemaking, initiated in 2006, engendered regulatory uncertainty for M-LMS licensees that may have contributed to a lack of M-LMS equipment development and service deployment.</w:t>
      </w:r>
      <w:r>
        <w:rPr>
          <w:rStyle w:val="FootnoteReference"/>
        </w:rPr>
        <w:footnoteReference w:id="42"/>
      </w:r>
      <w:r>
        <w:t xml:space="preserve">  The Bureau indicated its extension of the respective interim and final construction deadlines afforded a reasonable amount of time to develop M-LMS operations.</w:t>
      </w:r>
      <w:r>
        <w:rPr>
          <w:rStyle w:val="FootnoteReference"/>
        </w:rPr>
        <w:footnoteReference w:id="43"/>
      </w:r>
    </w:p>
    <w:p w14:paraId="7BF803B3" w14:textId="77777777" w:rsidR="004243C6" w:rsidRDefault="004243C6" w:rsidP="004243C6">
      <w:pPr>
        <w:pStyle w:val="ParaNum"/>
        <w:widowControl/>
        <w:numPr>
          <w:ilvl w:val="0"/>
          <w:numId w:val="11"/>
        </w:numPr>
        <w:tabs>
          <w:tab w:val="left" w:pos="1080"/>
        </w:tabs>
      </w:pPr>
      <w:r>
        <w:t xml:space="preserve">In 2012 and 2014, each of the M-LMS licensees again filed requests for waiver </w:t>
      </w:r>
      <w:r w:rsidRPr="000262D6">
        <w:t>of Section 90.155(d)</w:t>
      </w:r>
      <w:r>
        <w:rPr>
          <w:rStyle w:val="FootnoteReference"/>
        </w:rPr>
        <w:footnoteReference w:id="44"/>
      </w:r>
      <w:r w:rsidRPr="000262D6">
        <w:t xml:space="preserve"> of the Commission’s </w:t>
      </w:r>
      <w:r>
        <w:t>rules and further extensions of time to meet the interim and final construction deadlines.</w:t>
      </w:r>
      <w:r>
        <w:rPr>
          <w:rStyle w:val="FootnoteReference"/>
        </w:rPr>
        <w:footnoteReference w:id="45"/>
      </w:r>
      <w:r>
        <w:t xml:space="preserve">  The 2012 and 2014 Extension and Waiver Requests each claimed that relief was warranted given nothing had changed in the M-LMS market since the </w:t>
      </w:r>
      <w:r>
        <w:rPr>
          <w:i/>
        </w:rPr>
        <w:t>2008 Extension Order</w:t>
      </w:r>
      <w:r>
        <w:t xml:space="preserve">.  The Requests argued that there was still no nonproprietary, commercially available equipment and no M-LMS licensee provided commercial service.  Furthermore, licensees stated that because the rules remained unchanged, and the 2006 </w:t>
      </w:r>
      <w:r>
        <w:rPr>
          <w:i/>
        </w:rPr>
        <w:t xml:space="preserve">M-LMS NPRM </w:t>
      </w:r>
      <w:r>
        <w:t xml:space="preserve">remained pending, regulatory uncertainty over the M-LMS band still lingered and hindered licensees’ ability to develop, construct, and deploy services in the band.  </w:t>
      </w:r>
    </w:p>
    <w:p w14:paraId="74B2EA01" w14:textId="77777777" w:rsidR="004243C6" w:rsidRDefault="004243C6" w:rsidP="004243C6">
      <w:pPr>
        <w:pStyle w:val="ParaNum"/>
        <w:widowControl/>
        <w:numPr>
          <w:ilvl w:val="0"/>
          <w:numId w:val="11"/>
        </w:numPr>
        <w:tabs>
          <w:tab w:val="left" w:pos="1080"/>
        </w:tabs>
      </w:pPr>
      <w:r>
        <w:rPr>
          <w:i/>
        </w:rPr>
        <w:t>2014 Termination Order</w:t>
      </w:r>
      <w:r>
        <w:t xml:space="preserve">.  </w:t>
      </w:r>
      <w:r w:rsidRPr="004851E5">
        <w:t>On June 10, 2014, the Commission released an Or</w:t>
      </w:r>
      <w:r>
        <w:t xml:space="preserve">der terminating the </w:t>
      </w:r>
      <w:r w:rsidRPr="004851E5">
        <w:rPr>
          <w:i/>
        </w:rPr>
        <w:t>M-LMS NPRM</w:t>
      </w:r>
      <w:r>
        <w:t>,</w:t>
      </w:r>
      <w:r w:rsidRPr="004851E5">
        <w:t xml:space="preserve"> concluding that the various proposals for broad revi</w:t>
      </w:r>
      <w:r>
        <w:t>sions of the applicable rules did</w:t>
      </w:r>
      <w:r w:rsidRPr="004851E5">
        <w:t xml:space="preserve"> not mer</w:t>
      </w:r>
      <w:r>
        <w:t>it further consideration at that</w:t>
      </w:r>
      <w:r w:rsidRPr="004851E5">
        <w:t xml:space="preserve"> time.</w:t>
      </w:r>
      <w:r>
        <w:rPr>
          <w:rStyle w:val="FootnoteReference"/>
        </w:rPr>
        <w:footnoteReference w:id="46"/>
      </w:r>
      <w:r w:rsidRPr="004851E5">
        <w:t xml:space="preserve">  The </w:t>
      </w:r>
      <w:r>
        <w:rPr>
          <w:i/>
        </w:rPr>
        <w:t xml:space="preserve">2014 Termination </w:t>
      </w:r>
      <w:r w:rsidRPr="009526BE">
        <w:rPr>
          <w:i/>
        </w:rPr>
        <w:t>Order</w:t>
      </w:r>
      <w:r w:rsidRPr="004851E5">
        <w:t xml:space="preserve"> state</w:t>
      </w:r>
      <w:r>
        <w:t>d</w:t>
      </w:r>
      <w:r w:rsidRPr="004851E5">
        <w:t xml:space="preserve"> that based on </w:t>
      </w:r>
      <w:r>
        <w:t xml:space="preserve">the record in the proceeding, as well as </w:t>
      </w:r>
      <w:r w:rsidRPr="004851E5">
        <w:t>recent development</w:t>
      </w:r>
      <w:r>
        <w:t>s</w:t>
      </w:r>
      <w:r w:rsidRPr="004851E5">
        <w:t xml:space="preserve"> in the M-LMS band, </w:t>
      </w:r>
      <w:r>
        <w:t>i.e., the ability of Progeny LMS, LLC (Progeny)</w:t>
      </w:r>
      <w:r w:rsidR="00E71C8D">
        <w:t>,</w:t>
      </w:r>
      <w:r w:rsidR="00E71C8D" w:rsidRPr="00E71C8D">
        <w:t xml:space="preserve"> one of the M-LMS licensees, </w:t>
      </w:r>
      <w:r w:rsidRPr="004851E5">
        <w:t xml:space="preserve"> to c</w:t>
      </w:r>
      <w:r>
        <w:t>ommence commercial operations,</w:t>
      </w:r>
      <w:r>
        <w:rPr>
          <w:rStyle w:val="FootnoteReference"/>
        </w:rPr>
        <w:footnoteReference w:id="47"/>
      </w:r>
      <w:r>
        <w:t xml:space="preserve"> </w:t>
      </w:r>
      <w:r w:rsidRPr="004851E5">
        <w:t>the Commission believe</w:t>
      </w:r>
      <w:r>
        <w:t>d</w:t>
      </w:r>
      <w:r w:rsidRPr="004851E5">
        <w:t xml:space="preserve"> the existing</w:t>
      </w:r>
      <w:r w:rsidR="00E71C8D">
        <w:t xml:space="preserve"> licensing</w:t>
      </w:r>
      <w:r w:rsidRPr="004851E5">
        <w:t xml:space="preserve"> framework </w:t>
      </w:r>
      <w:r>
        <w:t>provided</w:t>
      </w:r>
      <w:r w:rsidRPr="004851E5">
        <w:t xml:space="preserve"> M-LMS licensees with sufficient opportunities to provide service offerings.</w:t>
      </w:r>
      <w:r>
        <w:rPr>
          <w:rStyle w:val="FootnoteReference"/>
        </w:rPr>
        <w:footnoteReference w:id="48"/>
      </w:r>
    </w:p>
    <w:p w14:paraId="0EC80B7F" w14:textId="77777777" w:rsidR="004243C6" w:rsidRDefault="004243C6" w:rsidP="004243C6">
      <w:pPr>
        <w:pStyle w:val="ParaNum"/>
        <w:widowControl/>
        <w:numPr>
          <w:ilvl w:val="0"/>
          <w:numId w:val="11"/>
        </w:numPr>
        <w:tabs>
          <w:tab w:val="left" w:pos="1080"/>
        </w:tabs>
      </w:pPr>
      <w:bookmarkStart w:id="11" w:name="_Ref472426785"/>
      <w:r>
        <w:rPr>
          <w:i/>
        </w:rPr>
        <w:t>2014 Extension Order</w:t>
      </w:r>
      <w:r>
        <w:t>.  On August 29, 2014, we addressed the 2012 and 2014 Extension and Waiver Requests in a single Order.</w:t>
      </w:r>
      <w:r>
        <w:rPr>
          <w:rStyle w:val="FootnoteReference"/>
        </w:rPr>
        <w:footnoteReference w:id="49"/>
      </w:r>
      <w:r>
        <w:t xml:space="preserve">  We found that it was in the public interest to grant in part the requests for waiver of FCR, HWA, Skybridge, and Telesaurus, and therefore extended the interim construction deadline until September 4, 2016, and the final deadline until September 4, 2018.</w:t>
      </w:r>
      <w:r>
        <w:rPr>
          <w:rStyle w:val="FootnoteReference"/>
        </w:rPr>
        <w:footnoteReference w:id="50"/>
      </w:r>
      <w:r>
        <w:t xml:space="preserve">  In granting relief, we found it most significant that the Commission had terminated the </w:t>
      </w:r>
      <w:r w:rsidRPr="00640146">
        <w:rPr>
          <w:i/>
        </w:rPr>
        <w:t>M-LMS NPRM</w:t>
      </w:r>
      <w:r>
        <w:t xml:space="preserve"> proceeding, thereby removing regulatory uncertainty for licensees.</w:t>
      </w:r>
      <w:r>
        <w:rPr>
          <w:rStyle w:val="FootnoteReference"/>
        </w:rPr>
        <w:footnoteReference w:id="51"/>
      </w:r>
      <w:r>
        <w:t xml:space="preserve">  We granted the limited extension in order to allow M-LMS licensees “to make appropriate business decisions regarding their M-LMS licenses, including deployment of services or, if necessary, to engage in secondary market transactions.”</w:t>
      </w:r>
      <w:r>
        <w:rPr>
          <w:rStyle w:val="FootnoteReference"/>
        </w:rPr>
        <w:footnoteReference w:id="52"/>
      </w:r>
      <w:r>
        <w:t xml:space="preserve">  We also pointed out the numerous extensions of time over the course of the licenses’ history, and that previous justifications for such relief – regulatory uncertainty, lack of available equipment, and prior extensions being well in advance of the first license renewal deadline – no longer existed.</w:t>
      </w:r>
      <w:r>
        <w:rPr>
          <w:rStyle w:val="FootnoteReference"/>
        </w:rPr>
        <w:footnoteReference w:id="53"/>
      </w:r>
      <w:bookmarkEnd w:id="11"/>
    </w:p>
    <w:p w14:paraId="2B6DC69A" w14:textId="67692814" w:rsidR="004243C6" w:rsidRDefault="004243C6" w:rsidP="004243C6">
      <w:pPr>
        <w:pStyle w:val="ParaNum"/>
        <w:widowControl/>
        <w:numPr>
          <w:ilvl w:val="0"/>
          <w:numId w:val="11"/>
        </w:numPr>
        <w:tabs>
          <w:tab w:val="left" w:pos="1080"/>
        </w:tabs>
      </w:pPr>
      <w:bookmarkStart w:id="12" w:name="_Ref472426730"/>
      <w:r>
        <w:t xml:space="preserve">Significant to the matters at issue here, we stated in the </w:t>
      </w:r>
      <w:r>
        <w:rPr>
          <w:i/>
        </w:rPr>
        <w:t>2014 Extension Order</w:t>
      </w:r>
      <w:r>
        <w:t xml:space="preserve"> that lack of available equipment would no longer be considered as a basis for further extensions.</w:t>
      </w:r>
      <w:r>
        <w:rPr>
          <w:rStyle w:val="FootnoteReference"/>
        </w:rPr>
        <w:footnoteReference w:id="54"/>
      </w:r>
      <w:r>
        <w:t xml:space="preserve">  We cautioned licensees that “[e]ven if the equipment market does not develop consistent with M-LMS licensees’ chosen business plans, licensees will nonetheless be subject to the construction requirements” established by that Order.</w:t>
      </w:r>
      <w:r>
        <w:rPr>
          <w:rStyle w:val="FootnoteReference"/>
        </w:rPr>
        <w:footnoteReference w:id="55"/>
      </w:r>
      <w:r>
        <w:t xml:space="preserve">  We found this approach consistent with the purpose of the construction requirements and the Commission’s obligation to ensure that licensees effectively utilize spectrum, and that granting extension requests in perpetuity where no build-out requirements have been met would be contrary to the public interest.</w:t>
      </w:r>
      <w:r>
        <w:rPr>
          <w:rStyle w:val="FootnoteReference"/>
        </w:rPr>
        <w:footnoteReference w:id="56"/>
      </w:r>
      <w:bookmarkEnd w:id="12"/>
      <w:r>
        <w:t xml:space="preserve">  HWA and FCR did not challenge this ruling.  In response to petitions for reconsideration, including that filed jointly by Skybridge and Telesaurus, however, we affirmed these points,</w:t>
      </w:r>
      <w:r>
        <w:rPr>
          <w:rStyle w:val="FootnoteReference"/>
        </w:rPr>
        <w:footnoteReference w:id="57"/>
      </w:r>
      <w:r>
        <w:t xml:space="preserve"> and our holdings in the </w:t>
      </w:r>
      <w:r w:rsidRPr="002E2FC4">
        <w:rPr>
          <w:i/>
        </w:rPr>
        <w:t>2014 Extension Order</w:t>
      </w:r>
      <w:r>
        <w:t xml:space="preserve"> explicitly anticipated the scenario presented in all the requests for relief here, </w:t>
      </w:r>
      <w:r w:rsidRPr="00DE76A0">
        <w:t>i.e.</w:t>
      </w:r>
      <w:r w:rsidRPr="00845862">
        <w:t>,</w:t>
      </w:r>
      <w:r>
        <w:t xml:space="preserve"> that equipment consistent with these licensees’ business plans may not become available, and stated that alone would not justify supplying yet more time.  </w:t>
      </w:r>
    </w:p>
    <w:p w14:paraId="2D68D604" w14:textId="77777777" w:rsidR="004243C6" w:rsidRDefault="004243C6" w:rsidP="004243C6">
      <w:pPr>
        <w:pStyle w:val="ParaNum"/>
        <w:widowControl/>
        <w:numPr>
          <w:ilvl w:val="0"/>
          <w:numId w:val="11"/>
        </w:numPr>
        <w:tabs>
          <w:tab w:val="left" w:pos="1080"/>
        </w:tabs>
      </w:pPr>
      <w:r>
        <w:rPr>
          <w:i/>
        </w:rPr>
        <w:t>2017 Progeny Extension Order</w:t>
      </w:r>
      <w:r>
        <w:t xml:space="preserve">.  </w:t>
      </w:r>
      <w:r w:rsidRPr="00A40249">
        <w:t>On January 17, 2017, we conditionally granted Progeny’s request for rule waiver to extend applicable construction deadlines for its B and C Block licenses.</w:t>
      </w:r>
      <w:r w:rsidRPr="00A40249">
        <w:rPr>
          <w:rStyle w:val="FootnoteReference"/>
        </w:rPr>
        <w:footnoteReference w:id="58"/>
      </w:r>
      <w:r w:rsidRPr="00A40249">
        <w:t xml:space="preserve">  We found that “a number of factors, taken collectively, justify relief in the public interest, provided that the conditions [that we] specified are adhered to.”</w:t>
      </w:r>
      <w:r w:rsidRPr="00A40249">
        <w:rPr>
          <w:rStyle w:val="FootnoteReference"/>
        </w:rPr>
        <w:footnoteReference w:id="59"/>
      </w:r>
      <w:r w:rsidRPr="00A40249">
        <w:t xml:space="preserve">  First, such relief would facilitate Progeny’s provision of service to wireless carriers to enable them to meet the Enhanced 911 location accuracy deadlines the Commission adopted in the </w:t>
      </w:r>
      <w:r w:rsidRPr="00A40249">
        <w:rPr>
          <w:i/>
        </w:rPr>
        <w:t>Indoor Location Accuracy Order</w:t>
      </w:r>
      <w:r w:rsidRPr="00A40249">
        <w:rPr>
          <w:rStyle w:val="FootnoteReference"/>
        </w:rPr>
        <w:footnoteReference w:id="60"/>
      </w:r>
      <w:r w:rsidRPr="00A40249">
        <w:t xml:space="preserve"> to address a critical public safety need for improving indoor location accuracy.</w:t>
      </w:r>
      <w:r w:rsidRPr="00A40249">
        <w:rPr>
          <w:rStyle w:val="FootnoteReference"/>
        </w:rPr>
        <w:footnoteReference w:id="61"/>
      </w:r>
      <w:r w:rsidRPr="00A40249">
        <w:t xml:space="preserve">  </w:t>
      </w:r>
      <w:r w:rsidRPr="00A40249">
        <w:rPr>
          <w:szCs w:val="22"/>
        </w:rPr>
        <w:t>Second, rather than seek further relief based on speculative business plans, Progeny constructed its initial position location network after designing and contracting for custom manufactured M-LMS transmitters in a spectrum band where equipment had not to date been available.</w:t>
      </w:r>
      <w:r w:rsidRPr="00A40249">
        <w:rPr>
          <w:rStyle w:val="FootnoteReference"/>
          <w:szCs w:val="22"/>
        </w:rPr>
        <w:footnoteReference w:id="62"/>
      </w:r>
      <w:r w:rsidRPr="00A40249">
        <w:rPr>
          <w:szCs w:val="22"/>
        </w:rPr>
        <w:t xml:space="preserve">  Third, Progeny began test operations on a network comprised of hundreds of beacons in 39 of its 40 largest Economic Areas (EAs).</w:t>
      </w:r>
      <w:r w:rsidRPr="00A40249">
        <w:rPr>
          <w:rStyle w:val="FootnoteReference"/>
          <w:szCs w:val="22"/>
        </w:rPr>
        <w:footnoteReference w:id="63"/>
      </w:r>
      <w:r w:rsidRPr="00A40249">
        <w:rPr>
          <w:szCs w:val="22"/>
        </w:rPr>
        <w:t xml:space="preserve">  Finally, after successful testing, Progeny commenced actual operations in those top 40 EAs.</w:t>
      </w:r>
      <w:r w:rsidRPr="00A40249">
        <w:rPr>
          <w:rStyle w:val="FootnoteReference"/>
          <w:szCs w:val="22"/>
        </w:rPr>
        <w:footnoteReference w:id="64"/>
      </w:r>
      <w:r w:rsidRPr="00A40249">
        <w:rPr>
          <w:szCs w:val="22"/>
        </w:rPr>
        <w:t xml:space="preserve">  </w:t>
      </w:r>
    </w:p>
    <w:p w14:paraId="29E729A7" w14:textId="77777777" w:rsidR="004243C6" w:rsidRDefault="004243C6" w:rsidP="004243C6">
      <w:pPr>
        <w:pStyle w:val="ParaNum"/>
        <w:widowControl/>
        <w:numPr>
          <w:ilvl w:val="0"/>
          <w:numId w:val="11"/>
        </w:numPr>
        <w:tabs>
          <w:tab w:val="left" w:pos="1080"/>
        </w:tabs>
      </w:pPr>
      <w:r>
        <w:rPr>
          <w:u w:val="single"/>
        </w:rPr>
        <w:t>Extension and Waiver Requests</w:t>
      </w:r>
      <w:r>
        <w:t xml:space="preserve">.  FCR, HWA, and Skybridge and Telesaurus jointly, have each asked for an extension of time to meet the M-LMS construction deadlines established in the </w:t>
      </w:r>
      <w:r>
        <w:rPr>
          <w:i/>
        </w:rPr>
        <w:t>2014 Extension Order</w:t>
      </w:r>
      <w:r>
        <w:t xml:space="preserve"> and waiver of various rules concerning those requirements.</w:t>
      </w:r>
    </w:p>
    <w:p w14:paraId="2435A91C" w14:textId="77777777" w:rsidR="004243C6" w:rsidRPr="002B796A" w:rsidRDefault="004243C6" w:rsidP="004243C6">
      <w:pPr>
        <w:pStyle w:val="ParaNum"/>
        <w:widowControl/>
        <w:numPr>
          <w:ilvl w:val="0"/>
          <w:numId w:val="11"/>
        </w:numPr>
        <w:tabs>
          <w:tab w:val="left" w:pos="1080"/>
        </w:tabs>
      </w:pPr>
      <w:r>
        <w:rPr>
          <w:i/>
        </w:rPr>
        <w:t>HWA and FCR Extension and Waiver Requests</w:t>
      </w:r>
      <w:r>
        <w:t xml:space="preserve">.  </w:t>
      </w:r>
      <w:r w:rsidRPr="007A7E1F">
        <w:rPr>
          <w:szCs w:val="22"/>
        </w:rPr>
        <w:t xml:space="preserve">On </w:t>
      </w:r>
      <w:r>
        <w:rPr>
          <w:szCs w:val="22"/>
        </w:rPr>
        <w:t>August 29, 2016</w:t>
      </w:r>
      <w:r w:rsidRPr="007A7E1F">
        <w:rPr>
          <w:szCs w:val="22"/>
        </w:rPr>
        <w:t xml:space="preserve">, </w:t>
      </w:r>
      <w:r>
        <w:rPr>
          <w:szCs w:val="22"/>
        </w:rPr>
        <w:t>HWA</w:t>
      </w:r>
      <w:r w:rsidRPr="00B53811">
        <w:rPr>
          <w:szCs w:val="22"/>
        </w:rPr>
        <w:t xml:space="preserve"> filed </w:t>
      </w:r>
      <w:r>
        <w:rPr>
          <w:szCs w:val="22"/>
        </w:rPr>
        <w:t>applications requesting an extension of its interim construction deadline for its 84 M-LMS licenses, and on September 12, 2016, filed applications requesting an extension of the final construction deadline.</w:t>
      </w:r>
      <w:r w:rsidRPr="00B53811">
        <w:rPr>
          <w:rStyle w:val="FootnoteReference"/>
          <w:szCs w:val="22"/>
        </w:rPr>
        <w:footnoteReference w:id="65"/>
      </w:r>
      <w:r>
        <w:rPr>
          <w:szCs w:val="22"/>
        </w:rPr>
        <w:t xml:space="preserve">  Specifically, HWA seeks to extend both the interim and final construction deadlines to October 5, 2021, the expiration date of the licenses.</w:t>
      </w:r>
      <w:r>
        <w:rPr>
          <w:rStyle w:val="FootnoteReference"/>
          <w:szCs w:val="22"/>
        </w:rPr>
        <w:footnoteReference w:id="66"/>
      </w:r>
      <w:r>
        <w:rPr>
          <w:szCs w:val="22"/>
        </w:rPr>
        <w:t xml:space="preserve">  In the alternative, the HWA Requests seek</w:t>
      </w:r>
      <w:r w:rsidRPr="00B53811">
        <w:rPr>
          <w:szCs w:val="22"/>
        </w:rPr>
        <w:t xml:space="preserve"> </w:t>
      </w:r>
      <w:r>
        <w:rPr>
          <w:szCs w:val="22"/>
        </w:rPr>
        <w:t>a</w:t>
      </w:r>
      <w:r w:rsidRPr="00B53811">
        <w:rPr>
          <w:szCs w:val="22"/>
        </w:rPr>
        <w:t xml:space="preserve"> waiver of Section </w:t>
      </w:r>
      <w:r>
        <w:rPr>
          <w:szCs w:val="22"/>
        </w:rPr>
        <w:t>90.155(d)</w:t>
      </w:r>
      <w:r w:rsidRPr="00B53811">
        <w:rPr>
          <w:szCs w:val="22"/>
        </w:rPr>
        <w:t xml:space="preserve"> of the Commission’s rules </w:t>
      </w:r>
      <w:r>
        <w:rPr>
          <w:szCs w:val="22"/>
        </w:rPr>
        <w:t>establishing construction requirements, which, if granted, would result in complete removal of the obligation to comply with construction benchmarks.</w:t>
      </w:r>
      <w:r w:rsidRPr="00B53811">
        <w:rPr>
          <w:szCs w:val="22"/>
          <w:vertAlign w:val="superscript"/>
        </w:rPr>
        <w:footnoteReference w:id="67"/>
      </w:r>
      <w:r>
        <w:rPr>
          <w:szCs w:val="22"/>
        </w:rPr>
        <w:t xml:space="preserve">  </w:t>
      </w:r>
    </w:p>
    <w:p w14:paraId="39A56EEA" w14:textId="77777777" w:rsidR="004243C6" w:rsidRPr="006F273D" w:rsidRDefault="004243C6" w:rsidP="004243C6">
      <w:pPr>
        <w:pStyle w:val="ParaNum"/>
        <w:widowControl/>
        <w:numPr>
          <w:ilvl w:val="0"/>
          <w:numId w:val="11"/>
        </w:numPr>
        <w:tabs>
          <w:tab w:val="left" w:pos="1080"/>
        </w:tabs>
      </w:pPr>
      <w:r>
        <w:rPr>
          <w:szCs w:val="22"/>
        </w:rPr>
        <w:t>On August 31, 2016, FCR filed applications seeking a</w:t>
      </w:r>
      <w:r w:rsidRPr="00B53811">
        <w:rPr>
          <w:szCs w:val="22"/>
        </w:rPr>
        <w:t xml:space="preserve"> waiver of Section </w:t>
      </w:r>
      <w:r>
        <w:rPr>
          <w:szCs w:val="22"/>
        </w:rPr>
        <w:t>90.155(d)</w:t>
      </w:r>
      <w:r w:rsidRPr="00B53811">
        <w:rPr>
          <w:szCs w:val="22"/>
        </w:rPr>
        <w:t xml:space="preserve"> of the Commission’s rules </w:t>
      </w:r>
      <w:r>
        <w:rPr>
          <w:szCs w:val="22"/>
        </w:rPr>
        <w:t xml:space="preserve">establishing construction requirements with respect to its interim construction deadline for its 13 M-LMS licenses, and on September 12, 2016 filed applications seeking waiver of Section 90.155(d) with respect to the </w:t>
      </w:r>
      <w:r w:rsidRPr="00877449">
        <w:rPr>
          <w:szCs w:val="22"/>
        </w:rPr>
        <w:t>final construction deadli</w:t>
      </w:r>
      <w:r>
        <w:rPr>
          <w:szCs w:val="22"/>
        </w:rPr>
        <w:t>ne,</w:t>
      </w:r>
      <w:r w:rsidRPr="00F76116">
        <w:rPr>
          <w:szCs w:val="22"/>
        </w:rPr>
        <w:t xml:space="preserve"> </w:t>
      </w:r>
      <w:r>
        <w:rPr>
          <w:szCs w:val="22"/>
        </w:rPr>
        <w:t>which, if granted, would result in complete removal of the obligation to comply with construction benchmarks</w:t>
      </w:r>
      <w:r w:rsidRPr="00877449">
        <w:rPr>
          <w:szCs w:val="22"/>
        </w:rPr>
        <w:t>.</w:t>
      </w:r>
      <w:r w:rsidRPr="00877449">
        <w:rPr>
          <w:rStyle w:val="FootnoteReference"/>
          <w:szCs w:val="22"/>
        </w:rPr>
        <w:footnoteReference w:id="68"/>
      </w:r>
      <w:r w:rsidRPr="00877449">
        <w:rPr>
          <w:szCs w:val="22"/>
        </w:rPr>
        <w:t xml:space="preserve">  In the alternative, the FCR Requests</w:t>
      </w:r>
      <w:r>
        <w:rPr>
          <w:szCs w:val="22"/>
        </w:rPr>
        <w:t xml:space="preserve"> seek an extension of its construction deadlines.</w:t>
      </w:r>
      <w:r>
        <w:rPr>
          <w:rStyle w:val="FootnoteReference"/>
          <w:szCs w:val="22"/>
        </w:rPr>
        <w:footnoteReference w:id="69"/>
      </w:r>
      <w:r>
        <w:rPr>
          <w:szCs w:val="22"/>
        </w:rPr>
        <w:t xml:space="preserve">  Similar to HWA’s request, FCR seeks to extend both the interim and final construction deadlines to the respective expiration dates of its 13 licenses, which range from July 2019 to October 2021.</w:t>
      </w:r>
      <w:r>
        <w:rPr>
          <w:rStyle w:val="FootnoteReference"/>
          <w:szCs w:val="22"/>
        </w:rPr>
        <w:footnoteReference w:id="70"/>
      </w:r>
    </w:p>
    <w:p w14:paraId="1A9CD563" w14:textId="77777777" w:rsidR="004243C6" w:rsidRPr="007C7A29" w:rsidRDefault="004243C6" w:rsidP="004243C6">
      <w:pPr>
        <w:pStyle w:val="ParaNum"/>
        <w:widowControl/>
        <w:numPr>
          <w:ilvl w:val="0"/>
          <w:numId w:val="11"/>
        </w:numPr>
        <w:tabs>
          <w:tab w:val="left" w:pos="1080"/>
        </w:tabs>
      </w:pPr>
      <w:r>
        <w:rPr>
          <w:szCs w:val="22"/>
        </w:rPr>
        <w:t>HWA and FCR argue that they have been unable to meet the construction requirements due to the lack of commercially available equipment for operation in the M-LMS band, creating circumstances beyond their control that justify an extension and waiver of the construction rules.</w:t>
      </w:r>
      <w:r>
        <w:rPr>
          <w:rStyle w:val="FootnoteReference"/>
          <w:szCs w:val="22"/>
        </w:rPr>
        <w:footnoteReference w:id="71"/>
      </w:r>
      <w:r>
        <w:rPr>
          <w:szCs w:val="22"/>
        </w:rPr>
        <w:t xml:space="preserve">  HWA and FCR claim that, despite our statement in the </w:t>
      </w:r>
      <w:r>
        <w:rPr>
          <w:i/>
          <w:szCs w:val="22"/>
        </w:rPr>
        <w:t>2014 Extension Order</w:t>
      </w:r>
      <w:r>
        <w:rPr>
          <w:szCs w:val="22"/>
        </w:rPr>
        <w:t xml:space="preserve"> that certain licensees were able to commence operations within the existing M-LMS rules, nothing has changed in the equipment market and no commercially available equipment exists that is ready for deployment by licensees.</w:t>
      </w:r>
      <w:r>
        <w:rPr>
          <w:rStyle w:val="FootnoteReference"/>
          <w:szCs w:val="22"/>
        </w:rPr>
        <w:footnoteReference w:id="72"/>
      </w:r>
      <w:r>
        <w:rPr>
          <w:szCs w:val="22"/>
        </w:rPr>
        <w:t xml:space="preserve">  HWA and FCR claim that given the “unique” circumstances of the M-LMS band, the Commission</w:t>
      </w:r>
      <w:r w:rsidRPr="005D00C6">
        <w:t xml:space="preserve"> </w:t>
      </w:r>
      <w:r>
        <w:t>should extend the buildout requirements and allow the M-LMS equipment market to develop until the expiration dates of the licenses.</w:t>
      </w:r>
      <w:r>
        <w:rPr>
          <w:rStyle w:val="FootnoteReference"/>
          <w:szCs w:val="22"/>
        </w:rPr>
        <w:footnoteReference w:id="73"/>
      </w:r>
    </w:p>
    <w:p w14:paraId="0DB2EA4B" w14:textId="77777777" w:rsidR="004243C6" w:rsidRDefault="004243C6" w:rsidP="004243C6">
      <w:pPr>
        <w:pStyle w:val="ParaNum"/>
        <w:widowControl/>
        <w:numPr>
          <w:ilvl w:val="0"/>
          <w:numId w:val="11"/>
        </w:numPr>
        <w:tabs>
          <w:tab w:val="left" w:pos="1080"/>
        </w:tabs>
      </w:pPr>
      <w:r>
        <w:t>Pursuant to the Commission’s waiver standard,</w:t>
      </w:r>
      <w:r>
        <w:rPr>
          <w:rStyle w:val="FootnoteReference"/>
        </w:rPr>
        <w:footnoteReference w:id="74"/>
      </w:r>
      <w:r>
        <w:t xml:space="preserve"> HWA and FCR also argue that the underlying purpose of the buildout requirement would not be served by its application in this case, and that strict adherence to the rule would be inequitable, unduly burdensome, and contrary to public interest.</w:t>
      </w:r>
      <w:r>
        <w:rPr>
          <w:rStyle w:val="FootnoteReference"/>
        </w:rPr>
        <w:footnoteReference w:id="75"/>
      </w:r>
      <w:r>
        <w:t xml:space="preserve">  In support of their argument, HWA and FCR claim that while the underlying purpose of the construction requirements is to avoid spectrum warehousing and encourage deployment, M-LMS licensees are in a unique situation compared to licensees in other bands.</w:t>
      </w:r>
      <w:r>
        <w:rPr>
          <w:rStyle w:val="FootnoteReference"/>
        </w:rPr>
        <w:footnoteReference w:id="76"/>
      </w:r>
      <w:r>
        <w:t xml:space="preserve">  The lack of available equipment and the unwillingness of manufacturers to develop “new spread-spectrum equipment with an apparent limited market,” HWA and FCR claim, make it impossible for licensees to put the spectrum to use.</w:t>
      </w:r>
      <w:r>
        <w:rPr>
          <w:rStyle w:val="FootnoteReference"/>
        </w:rPr>
        <w:footnoteReference w:id="77"/>
      </w:r>
      <w:r>
        <w:t xml:space="preserve">  Additionally, while acknowledging Progeny’s ability to develop equipment capable of operating within M-LMS restrictions, the parties state that it would nevertheless be unduly burdensome to require licensees to similarly spend millions of dollars to develop equipment for operation in the band.</w:t>
      </w:r>
      <w:r>
        <w:rPr>
          <w:rStyle w:val="FootnoteReference"/>
        </w:rPr>
        <w:footnoteReference w:id="78"/>
      </w:r>
      <w:r>
        <w:t xml:space="preserve">  Instead, HWA and FCR argue that it is in the public interest to </w:t>
      </w:r>
      <w:r>
        <w:rPr>
          <w:szCs w:val="22"/>
        </w:rPr>
        <w:t>“dispense with the first and second build-out requirements, allow the market to develop, and examine the situation when the license renewal application is filed.”</w:t>
      </w:r>
      <w:r>
        <w:rPr>
          <w:rStyle w:val="FootnoteReference"/>
        </w:rPr>
        <w:footnoteReference w:id="79"/>
      </w:r>
    </w:p>
    <w:p w14:paraId="23D302FC" w14:textId="77777777" w:rsidR="004243C6" w:rsidRDefault="004243C6" w:rsidP="004243C6">
      <w:pPr>
        <w:pStyle w:val="ParaNum"/>
        <w:numPr>
          <w:ilvl w:val="0"/>
          <w:numId w:val="11"/>
        </w:numPr>
        <w:tabs>
          <w:tab w:val="left" w:pos="1080"/>
          <w:tab w:val="left" w:pos="1440"/>
        </w:tabs>
        <w:spacing w:after="220"/>
      </w:pPr>
      <w:r>
        <w:rPr>
          <w:i/>
        </w:rPr>
        <w:t>Skybridge/Telesaurus Extension and Waiver Request</w:t>
      </w:r>
      <w:r>
        <w:t xml:space="preserve">.  </w:t>
      </w:r>
      <w:r w:rsidRPr="00915EFF">
        <w:t>On September 2, 2016, Skybridge and Telesaurus, acting through a court-appointed receiver, jointly filed applications for extension of the construction deadlines for Skybridge’s 128 M-LMS licenses and one Telesaurus license.</w:t>
      </w:r>
      <w:r w:rsidRPr="00915EFF">
        <w:rPr>
          <w:vertAlign w:val="superscript"/>
        </w:rPr>
        <w:footnoteReference w:id="80"/>
      </w:r>
      <w:r w:rsidRPr="00915EFF">
        <w:t xml:space="preserve">  </w:t>
      </w:r>
      <w:r>
        <w:t>Skybridge and Telesaurus jointly</w:t>
      </w:r>
      <w:r w:rsidRPr="00915EFF">
        <w:t xml:space="preserve"> request an extension of the </w:t>
      </w:r>
      <w:r>
        <w:t>interim</w:t>
      </w:r>
      <w:r w:rsidRPr="00915EFF">
        <w:t xml:space="preserve"> construction deadline until September 4, 2018.</w:t>
      </w:r>
      <w:r w:rsidRPr="00915EFF">
        <w:rPr>
          <w:vertAlign w:val="superscript"/>
        </w:rPr>
        <w:footnoteReference w:id="81"/>
      </w:r>
      <w:r w:rsidRPr="00915EFF">
        <w:t xml:space="preserve">  </w:t>
      </w:r>
      <w:r>
        <w:t>In the alternative, Skybridge and Telesaurus</w:t>
      </w:r>
      <w:r w:rsidRPr="00915EFF">
        <w:t xml:space="preserve"> seek an extended timeframe for construction, if that relief is granted to PCS Partners, L.P. in response to its separate request for extension and waiver filed on April 15, 2016.</w:t>
      </w:r>
      <w:r w:rsidRPr="00915EFF">
        <w:rPr>
          <w:vertAlign w:val="superscript"/>
        </w:rPr>
        <w:footnoteReference w:id="82"/>
      </w:r>
      <w:r>
        <w:t xml:space="preserve">  Additionally, Skybridge and Telesaurus</w:t>
      </w:r>
      <w:r w:rsidRPr="00915EFF">
        <w:t xml:space="preserve"> </w:t>
      </w:r>
      <w:r>
        <w:t>request waiver of the Commission’s rule providing for automatic termination of license authorization where a licensee fails to meet construction requirements.</w:t>
      </w:r>
      <w:r>
        <w:rPr>
          <w:rStyle w:val="FootnoteReference"/>
        </w:rPr>
        <w:footnoteReference w:id="83"/>
      </w:r>
      <w:r>
        <w:t xml:space="preserve">  On March 16, 2017, the Receiver filed an application to assign to Progeny the Telesaurus license – Call Sign WQGN602 – that is the subject of the Skybridge/Telesaurus Request.</w:t>
      </w:r>
      <w:r>
        <w:rPr>
          <w:rStyle w:val="FootnoteReference"/>
        </w:rPr>
        <w:footnoteReference w:id="84"/>
      </w:r>
      <w:r>
        <w:t xml:space="preserve">  On the same day, the Receiver filed an amendment to the Skybridge/Telesaurus Request to extend the interim construction deadline for WQGN602 until April 3, 2020, which would coincide with the relief granted to Progeny in the </w:t>
      </w:r>
      <w:r>
        <w:rPr>
          <w:i/>
        </w:rPr>
        <w:t>2017 Progeny Extension Order</w:t>
      </w:r>
      <w:r>
        <w:t>.</w:t>
      </w:r>
      <w:r>
        <w:rPr>
          <w:rStyle w:val="FootnoteReference"/>
        </w:rPr>
        <w:footnoteReference w:id="85"/>
      </w:r>
    </w:p>
    <w:p w14:paraId="712638D0" w14:textId="77777777" w:rsidR="004243C6" w:rsidRDefault="004243C6" w:rsidP="004243C6">
      <w:pPr>
        <w:pStyle w:val="ParaNum"/>
        <w:numPr>
          <w:ilvl w:val="0"/>
          <w:numId w:val="11"/>
        </w:numPr>
        <w:tabs>
          <w:tab w:val="left" w:pos="1080"/>
          <w:tab w:val="left" w:pos="1440"/>
        </w:tabs>
        <w:spacing w:after="220"/>
      </w:pPr>
      <w:r>
        <w:t>In its request on behalf of Skybridge and Telesaurus, the Receiver claims that ongoing litigation involving the previous licensee, the terms of the court-mandated receivership, and the resulting hindrances to the Receiver’s discharge of her responsibilities constitute unique and challenging circumstances beyond the Receiver’s control that justify an extension of the interim buildout requirement and waiver of the automatic termination provision.</w:t>
      </w:r>
      <w:r>
        <w:rPr>
          <w:rStyle w:val="FootnoteReference"/>
        </w:rPr>
        <w:footnoteReference w:id="86"/>
      </w:r>
      <w:r>
        <w:t xml:space="preserve">  According to the request, the Receiver has worked diligently “to pursue strategic transactions that would put the licenses into service,” but has been diverted due to Havens’ ongoing legal challenges concerning the licenses and the receivership itself.</w:t>
      </w:r>
      <w:r>
        <w:rPr>
          <w:rStyle w:val="FootnoteReference"/>
        </w:rPr>
        <w:footnoteReference w:id="87"/>
      </w:r>
      <w:r>
        <w:t xml:space="preserve">  Citing to Bureau action in another receivership case,</w:t>
      </w:r>
      <w:r>
        <w:rPr>
          <w:rStyle w:val="FootnoteReference"/>
        </w:rPr>
        <w:footnoteReference w:id="88"/>
      </w:r>
      <w:r>
        <w:t xml:space="preserve"> the Receiver argues that relief is warranted where a former controlling owner’s interference and lack of cooperation prevent a court-appointed receiver from carrying out her duties and “taking actions necessary to preserve FCC licenses.”</w:t>
      </w:r>
      <w:r>
        <w:rPr>
          <w:rStyle w:val="FootnoteReference"/>
        </w:rPr>
        <w:footnoteReference w:id="89"/>
      </w:r>
      <w:r>
        <w:t xml:space="preserve">  The Receiver asserts she was also hindered in her pursuit of “strategic transactions” by the restrictions of the receivership itself, claiming she did not have the ability to market </w:t>
      </w:r>
      <w:r w:rsidRPr="0027706F">
        <w:rPr>
          <w:i/>
        </w:rPr>
        <w:t>all</w:t>
      </w:r>
      <w:r>
        <w:t xml:space="preserve"> of the M-LMS licenses </w:t>
      </w:r>
      <w:r w:rsidRPr="0027706F">
        <w:t>together</w:t>
      </w:r>
      <w:r>
        <w:t xml:space="preserve"> until July 11, 2016.</w:t>
      </w:r>
      <w:r>
        <w:rPr>
          <w:rStyle w:val="FootnoteReference"/>
        </w:rPr>
        <w:footnoteReference w:id="90"/>
      </w:r>
      <w:r>
        <w:t xml:space="preserve">  These developments, the Receiver claims, are “unquestionably unique circumstances, which were out of the Receiver’s control,” and therefore warrant an extension of the buildout requirements.</w:t>
      </w:r>
      <w:r>
        <w:rPr>
          <w:rStyle w:val="FootnoteReference"/>
        </w:rPr>
        <w:footnoteReference w:id="91"/>
      </w:r>
    </w:p>
    <w:p w14:paraId="625E7766" w14:textId="77777777" w:rsidR="004243C6" w:rsidRDefault="004243C6" w:rsidP="004243C6">
      <w:pPr>
        <w:pStyle w:val="ParaNum"/>
        <w:numPr>
          <w:ilvl w:val="0"/>
          <w:numId w:val="11"/>
        </w:numPr>
        <w:tabs>
          <w:tab w:val="left" w:pos="1080"/>
          <w:tab w:val="left" w:pos="1440"/>
        </w:tabs>
        <w:spacing w:after="220"/>
      </w:pPr>
      <w:r>
        <w:t>In support of its request for extension and waiver, the Receiver argues that a grant of the requested relief is in the public interest and that strict application of the construction and automatic cancellation provisions would frustrate the purpose of the rules.</w:t>
      </w:r>
      <w:r>
        <w:rPr>
          <w:rStyle w:val="FootnoteReference"/>
        </w:rPr>
        <w:footnoteReference w:id="92"/>
      </w:r>
      <w:r>
        <w:t xml:space="preserve">  According to the request, it is consistent with Commission precedent to permit a “temporary relaxation of construction deadlines where a short window of time would facilitate buildout or voluntary license sales and help achieve the Commission’s licensing goals.”</w:t>
      </w:r>
      <w:r>
        <w:rPr>
          <w:rStyle w:val="FootnoteReference"/>
        </w:rPr>
        <w:footnoteReference w:id="93"/>
      </w:r>
      <w:r>
        <w:t xml:space="preserve">  In addition to facilitating transactions to sell the licenses, the Receiver states the requested extension and waiver would have the additional public policy purpose of “honoring the Receiver’s duty to the state court” to preserve the companies and assets under her control.</w:t>
      </w:r>
      <w:r>
        <w:rPr>
          <w:rStyle w:val="FootnoteReference"/>
        </w:rPr>
        <w:footnoteReference w:id="94"/>
      </w:r>
      <w:r>
        <w:t xml:space="preserve">  The Receiver urges the Commission not to “value its formal procedural rules over the receiver’s obligations, or allow those rules to prevent a voluntary transfer that places a license in the hands of a responsible licensee.”</w:t>
      </w:r>
      <w:r>
        <w:rPr>
          <w:rStyle w:val="FootnoteReference"/>
        </w:rPr>
        <w:footnoteReference w:id="95"/>
      </w:r>
      <w:r>
        <w:t xml:space="preserve">  Regarding the Telesaurus license that it seeks to assign to Progeny, the Receiver argues there is good cause to extend the construction deadlines because Progeny will use the license to provide indoor location accuracy service.</w:t>
      </w:r>
      <w:r>
        <w:rPr>
          <w:rStyle w:val="FootnoteReference"/>
        </w:rPr>
        <w:footnoteReference w:id="96"/>
      </w:r>
      <w:r>
        <w:t xml:space="preserve">  Finally, the Receiver argues that a brief extension to allow her to “carry out existing plans for putting the frequency into use” is consistent with the </w:t>
      </w:r>
      <w:r>
        <w:rPr>
          <w:i/>
        </w:rPr>
        <w:t>2014 Extension Order</w:t>
      </w:r>
      <w:r>
        <w:t xml:space="preserve"> and the Commission’s interest in encouraging rapid deployment of service in the M-LMS band.</w:t>
      </w:r>
      <w:r>
        <w:rPr>
          <w:rStyle w:val="FootnoteReference"/>
        </w:rPr>
        <w:footnoteReference w:id="97"/>
      </w:r>
    </w:p>
    <w:p w14:paraId="5D177D5D" w14:textId="77777777" w:rsidR="004243C6" w:rsidRDefault="004243C6" w:rsidP="004243C6">
      <w:pPr>
        <w:pStyle w:val="ParaNum"/>
        <w:keepNext/>
        <w:widowControl/>
        <w:numPr>
          <w:ilvl w:val="0"/>
          <w:numId w:val="11"/>
        </w:numPr>
        <w:tabs>
          <w:tab w:val="left" w:pos="1080"/>
          <w:tab w:val="left" w:pos="1440"/>
        </w:tabs>
        <w:spacing w:after="220"/>
      </w:pPr>
      <w:r>
        <w:rPr>
          <w:i/>
        </w:rPr>
        <w:t>Comments and Replies</w:t>
      </w:r>
      <w:r>
        <w:t>.  On November 30, 2016, the Bureau placed the Extension and Waiver Requests on public notice for comment.</w:t>
      </w:r>
      <w:r>
        <w:rPr>
          <w:rStyle w:val="FootnoteReference"/>
        </w:rPr>
        <w:footnoteReference w:id="98"/>
      </w:r>
      <w:r>
        <w:t xml:space="preserve">  Of the eight commenting parties, five directly oppose the Extension and Waiver Requests.</w:t>
      </w:r>
      <w:r>
        <w:rPr>
          <w:rStyle w:val="FootnoteReference"/>
        </w:rPr>
        <w:footnoteReference w:id="99"/>
      </w:r>
      <w:r>
        <w:t xml:space="preserve">  The Receiver, HWA, and FCR filed in reply to the opposition.</w:t>
      </w:r>
      <w:r>
        <w:rPr>
          <w:rStyle w:val="FootnoteReference"/>
        </w:rPr>
        <w:footnoteReference w:id="100"/>
      </w:r>
      <w:r>
        <w:t xml:space="preserve">  Prior to the public notice, Havens filed a pleading in ULS for certain Skybridge and Telesaurus call signs, also requesting extension and waiver for the Skybridge and Telesaurus licenses involved in the instant case.</w:t>
      </w:r>
      <w:r>
        <w:rPr>
          <w:rStyle w:val="FootnoteReference"/>
        </w:rPr>
        <w:footnoteReference w:id="101"/>
      </w:r>
      <w:r>
        <w:t xml:space="preserve">  We treat the Havens filing as a comment (Havens Comment) and consider it only to the extent that it addresses the merits of the Skybridge/Telesaurus Request.</w:t>
      </w:r>
    </w:p>
    <w:p w14:paraId="6931358B" w14:textId="77777777" w:rsidR="004243C6" w:rsidRDefault="004243C6" w:rsidP="004243C6">
      <w:pPr>
        <w:pStyle w:val="ParaNum"/>
        <w:numPr>
          <w:ilvl w:val="0"/>
          <w:numId w:val="11"/>
        </w:numPr>
        <w:tabs>
          <w:tab w:val="left" w:pos="1080"/>
          <w:tab w:val="left" w:pos="1440"/>
        </w:tabs>
        <w:spacing w:after="220"/>
      </w:pPr>
      <w:r>
        <w:t>Commenters filing in opposition to the Extension and Waiver Requests argue that a grant of the requested relief would be contrary to the public interest, as it would encourage owners of licensed but unused spectrum to disregard their license requirements.</w:t>
      </w:r>
      <w:r>
        <w:rPr>
          <w:rStyle w:val="FootnoteReference"/>
        </w:rPr>
        <w:footnoteReference w:id="102"/>
      </w:r>
      <w:r>
        <w:t xml:space="preserve">  Given the previous extensions granted to M-LMS licensees and especially with regard to requests based on lack of available equipment, commenters urged us to act consistently with the </w:t>
      </w:r>
      <w:r>
        <w:rPr>
          <w:i/>
        </w:rPr>
        <w:t>2014 Extension Order</w:t>
      </w:r>
      <w:r>
        <w:t xml:space="preserve"> and deny the extensions.</w:t>
      </w:r>
      <w:r>
        <w:rPr>
          <w:rStyle w:val="FootnoteReference"/>
        </w:rPr>
        <w:footnoteReference w:id="103"/>
      </w:r>
      <w:r>
        <w:t xml:space="preserve">  A few commenters claim that denying the extensions will have the added benefit of providing regulatory certainty to “hundreds of millions of Part 15 devices presently deployed in the 902-928 MHz band.”</w:t>
      </w:r>
      <w:r>
        <w:rPr>
          <w:rStyle w:val="FootnoteReference"/>
        </w:rPr>
        <w:footnoteReference w:id="104"/>
      </w:r>
    </w:p>
    <w:p w14:paraId="1FE010C1" w14:textId="77777777" w:rsidR="004243C6" w:rsidRPr="00601B28" w:rsidRDefault="004243C6" w:rsidP="004243C6">
      <w:pPr>
        <w:pStyle w:val="ParaNum"/>
        <w:numPr>
          <w:ilvl w:val="0"/>
          <w:numId w:val="0"/>
        </w:numPr>
        <w:tabs>
          <w:tab w:val="left" w:pos="720"/>
        </w:tabs>
        <w:rPr>
          <w:b/>
        </w:rPr>
      </w:pPr>
      <w:r w:rsidRPr="00601B28">
        <w:rPr>
          <w:b/>
        </w:rPr>
        <w:t>II.</w:t>
      </w:r>
      <w:r>
        <w:rPr>
          <w:b/>
        </w:rPr>
        <w:tab/>
        <w:t>DISCUSSION</w:t>
      </w:r>
    </w:p>
    <w:p w14:paraId="71EF8E3B" w14:textId="77777777" w:rsidR="004243C6" w:rsidRDefault="004243C6" w:rsidP="004243C6">
      <w:pPr>
        <w:pStyle w:val="ParaNum"/>
        <w:numPr>
          <w:ilvl w:val="0"/>
          <w:numId w:val="11"/>
        </w:numPr>
        <w:tabs>
          <w:tab w:val="left" w:pos="1080"/>
          <w:tab w:val="left" w:pos="1440"/>
        </w:tabs>
        <w:spacing w:after="220"/>
      </w:pPr>
      <w:r>
        <w:rPr>
          <w:i/>
        </w:rPr>
        <w:t>Standard of Review.</w:t>
      </w:r>
      <w:r>
        <w:t xml:space="preserve">  Licensees may request an extension of time to construct pursuant to Section 1.946(e)</w:t>
      </w:r>
      <w:r>
        <w:rPr>
          <w:rStyle w:val="FootnoteReference"/>
        </w:rPr>
        <w:footnoteReference w:id="105"/>
      </w:r>
      <w:r>
        <w:t xml:space="preserve"> or Section 90.155(g),</w:t>
      </w:r>
      <w:r>
        <w:rPr>
          <w:rStyle w:val="FootnoteReference"/>
        </w:rPr>
        <w:footnoteReference w:id="106"/>
      </w:r>
      <w:r>
        <w:t xml:space="preserve"> or a waiver of the construction requirement under Section 1.925.</w:t>
      </w:r>
      <w:r>
        <w:rPr>
          <w:rStyle w:val="FootnoteReference"/>
        </w:rPr>
        <w:footnoteReference w:id="107"/>
      </w:r>
      <w:r w:rsidRPr="00F86D1E">
        <w:t xml:space="preserve"> </w:t>
      </w:r>
      <w:r>
        <w:t xml:space="preserve"> The Commission may grant an extension of time under Section 1.946(e) where the licensee demonstrates that the failure to complete construction is due to causes beyond its control,</w:t>
      </w:r>
      <w:r>
        <w:rPr>
          <w:rStyle w:val="FootnoteReference"/>
        </w:rPr>
        <w:footnoteReference w:id="108"/>
      </w:r>
      <w:r>
        <w:t xml:space="preserve"> or under Section 90.155(g) where the failure to commence operation is due to causes beyond its control.</w:t>
      </w:r>
      <w:r>
        <w:rPr>
          <w:rStyle w:val="FootnoteReference"/>
        </w:rPr>
        <w:footnoteReference w:id="109"/>
      </w:r>
      <w:r>
        <w:t xml:space="preserve">  Both rules specify types of circumstances that will not meet this requirement.</w:t>
      </w:r>
      <w:r>
        <w:rPr>
          <w:rStyle w:val="FootnoteReference"/>
        </w:rPr>
        <w:footnoteReference w:id="110"/>
      </w:r>
      <w:r>
        <w:t xml:space="preserve">  The Commission may grant a request for a waiver when:  (i) the underlying purpose of the rule(s)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bookmarkStart w:id="13" w:name="FN_FN45_"/>
      <w:bookmarkEnd w:id="13"/>
      <w:r>
        <w:rPr>
          <w:rStyle w:val="FootnoteReference"/>
        </w:rPr>
        <w:footnoteReference w:id="111"/>
      </w:r>
      <w:r>
        <w:t xml:space="preserve">  Under Section 1.3, the Commission may also grant waivers where good cause is shown.</w:t>
      </w:r>
      <w:r>
        <w:rPr>
          <w:rStyle w:val="FootnoteReference"/>
        </w:rPr>
        <w:footnoteReference w:id="112"/>
      </w:r>
      <w:r>
        <w:t xml:space="preserve">  As with other Commission rules, requests to waive a construction requirement must “meet a high hurdle at the starting gate.”</w:t>
      </w:r>
      <w:r>
        <w:rPr>
          <w:rStyle w:val="FootnoteReference"/>
        </w:rPr>
        <w:footnoteReference w:id="113"/>
      </w:r>
      <w:r>
        <w:t xml:space="preserve">  </w:t>
      </w:r>
      <w:r w:rsidRPr="004243C6">
        <w:rPr>
          <w:color w:val="000000"/>
        </w:rPr>
        <w:t xml:space="preserve">While each case must be determined in light of its specific circumstances, </w:t>
      </w:r>
      <w:r>
        <w:t>the Commission’s construction rules are intended to ensure intensive use of valuable spectrum.</w:t>
      </w:r>
      <w:r>
        <w:rPr>
          <w:rStyle w:val="FootnoteReference"/>
        </w:rPr>
        <w:footnoteReference w:id="114"/>
      </w:r>
      <w:r>
        <w:t xml:space="preserve">  Waiver of those requirements is infrequent, and it is only appropriate when consistent with that goal and the public interest.</w:t>
      </w:r>
      <w:r>
        <w:rPr>
          <w:rStyle w:val="FootnoteReference"/>
        </w:rPr>
        <w:footnoteReference w:id="115"/>
      </w:r>
      <w:r>
        <w:t xml:space="preserve">  We further </w:t>
      </w:r>
      <w:r w:rsidRPr="00B54FC7">
        <w:t xml:space="preserve">observe that </w:t>
      </w:r>
      <w:r w:rsidRPr="004243C6">
        <w:rPr>
          <w:color w:val="000000"/>
        </w:rPr>
        <w:t>it is a licensee’s responsibility to confirm that it can satisfy construction and service requirements in advance of acquiring spectrum, a fact of which we routinely remind licensees prior to auctioning licenses.</w:t>
      </w:r>
      <w:bookmarkStart w:id="14" w:name="_Ref495424345"/>
      <w:r w:rsidRPr="004243C6">
        <w:rPr>
          <w:rStyle w:val="FootnoteReference"/>
          <w:color w:val="000000"/>
        </w:rPr>
        <w:footnoteReference w:id="116"/>
      </w:r>
      <w:bookmarkEnd w:id="14"/>
    </w:p>
    <w:p w14:paraId="0E3070A3" w14:textId="77777777" w:rsidR="004243C6" w:rsidRDefault="004243C6" w:rsidP="004243C6">
      <w:pPr>
        <w:pStyle w:val="ParaNum"/>
        <w:numPr>
          <w:ilvl w:val="0"/>
          <w:numId w:val="11"/>
        </w:numPr>
        <w:tabs>
          <w:tab w:val="left" w:pos="1080"/>
          <w:tab w:val="left" w:pos="1440"/>
        </w:tabs>
        <w:spacing w:after="220"/>
      </w:pPr>
      <w:r>
        <w:rPr>
          <w:i/>
        </w:rPr>
        <w:t>Discussion</w:t>
      </w:r>
      <w:r>
        <w:t>.  After review of the record and for the reasons discussed below, we do not find that a further extension or a waiver of the construction deadlines is warranted.  We therefore deny the Extension and Waiver Requests and, pursuant to Section 1.946(c) of the Commission’s rules, the HWA, FCR, Skybridge, and Telesaurus licenses set forth in Appendix A automatically terminated as of September 4, 2016.</w:t>
      </w:r>
      <w:r>
        <w:rPr>
          <w:rStyle w:val="FootnoteReference"/>
        </w:rPr>
        <w:footnoteReference w:id="117"/>
      </w:r>
    </w:p>
    <w:p w14:paraId="735DD2C9" w14:textId="77777777" w:rsidR="004243C6" w:rsidRDefault="004243C6" w:rsidP="004243C6">
      <w:pPr>
        <w:pStyle w:val="ParaNum"/>
        <w:numPr>
          <w:ilvl w:val="0"/>
          <w:numId w:val="11"/>
        </w:numPr>
        <w:tabs>
          <w:tab w:val="left" w:pos="1080"/>
          <w:tab w:val="left" w:pos="1440"/>
        </w:tabs>
        <w:spacing w:after="220"/>
      </w:pPr>
      <w:r>
        <w:rPr>
          <w:i/>
        </w:rPr>
        <w:t>HWA/FCR Extension and Waiver Requests</w:t>
      </w:r>
      <w:r>
        <w:t>.  As discussed above, HWA and FCR argue that lack of commercially available equipment is a circumstance beyond the licensees’ control that caused their failure to meet the construction requirements and therefore warrant either an extension or a waiver of the rules.</w:t>
      </w:r>
      <w:r>
        <w:rPr>
          <w:rStyle w:val="FootnoteReference"/>
        </w:rPr>
        <w:footnoteReference w:id="118"/>
      </w:r>
      <w:r>
        <w:t xml:space="preserve">  However, in light of the </w:t>
      </w:r>
      <w:r>
        <w:rPr>
          <w:i/>
        </w:rPr>
        <w:t xml:space="preserve">2014 Extension Order </w:t>
      </w:r>
      <w:r>
        <w:t>and the underlying purpose of the construction requirements and our obligation to ensure that licensees effectively utilize spectrum,</w:t>
      </w:r>
      <w:r>
        <w:rPr>
          <w:rStyle w:val="FootnoteReference"/>
        </w:rPr>
        <w:footnoteReference w:id="119"/>
      </w:r>
      <w:r>
        <w:t xml:space="preserve"> we find that HWA and FCR fail to meet the extension and waiver standards and that: (1) a grant of the requested relief would frustrate the purpose of the rules and would be contrary to the public interest; and (2) there are neither unique nor unusual factual circumstances of the instant case such that application of the construction rule would be inequitable, unduly burdensome or contrary to the public interest, or that HWA and FCR had no reasonable alternative.</w:t>
      </w:r>
    </w:p>
    <w:p w14:paraId="716C6459" w14:textId="77777777" w:rsidR="004243C6" w:rsidRDefault="004243C6" w:rsidP="004243C6">
      <w:pPr>
        <w:pStyle w:val="ParaNum"/>
        <w:numPr>
          <w:ilvl w:val="0"/>
          <w:numId w:val="11"/>
        </w:numPr>
        <w:tabs>
          <w:tab w:val="left" w:pos="1080"/>
          <w:tab w:val="left" w:pos="1440"/>
        </w:tabs>
        <w:spacing w:after="220"/>
      </w:pPr>
      <w:r>
        <w:t xml:space="preserve">In the </w:t>
      </w:r>
      <w:r>
        <w:rPr>
          <w:i/>
        </w:rPr>
        <w:t>2014 Extension Order</w:t>
      </w:r>
      <w:r>
        <w:t>, we cautioned M-LMS licensees that we would not consider future requests for waiver or extension of either the interim or final construction deadline based on claims related to lack of equipment.</w:t>
      </w:r>
      <w:r>
        <w:rPr>
          <w:rStyle w:val="FootnoteReference"/>
        </w:rPr>
        <w:footnoteReference w:id="120"/>
      </w:r>
      <w:r>
        <w:t xml:space="preserve">  HWA and FCR do not make any claims of circumstances beyond their control warranting an extension other than the lack of available equipment in the M-LMS market.  Rather, HWA and FCR argue that the Bureau was mistaken when it stated that equipment capable of operating in the M-LMS band existed in 2014, and maintain that the equipment limitations persist in the M-LMS band.</w:t>
      </w:r>
      <w:r>
        <w:rPr>
          <w:rStyle w:val="FootnoteReference"/>
        </w:rPr>
        <w:footnoteReference w:id="121"/>
      </w:r>
      <w:r>
        <w:t xml:space="preserve">  To the extent they rely on such arguments, these requests amount essentially to an untimely petition for reconsideration of the </w:t>
      </w:r>
      <w:r w:rsidRPr="00AF6A96">
        <w:rPr>
          <w:i/>
        </w:rPr>
        <w:t>2014 Extension Order</w:t>
      </w:r>
      <w:r>
        <w:t xml:space="preserve"> and in any event, are unpersuasive because we expressly disclaimed that reason as a basis for granting the relief there or in the future and affirmed that posture as to petitions for reconsideration filed by Skybridge and Telesaurus, among others.</w:t>
      </w:r>
      <w:r>
        <w:rPr>
          <w:rStyle w:val="FootnoteReference"/>
        </w:rPr>
        <w:footnoteReference w:id="122"/>
      </w:r>
      <w:r>
        <w:t xml:space="preserve">  Moreover, we stated specifically in the </w:t>
      </w:r>
      <w:r>
        <w:rPr>
          <w:i/>
        </w:rPr>
        <w:t xml:space="preserve">2014 Extension </w:t>
      </w:r>
      <w:r w:rsidRPr="00FC5386">
        <w:rPr>
          <w:i/>
        </w:rPr>
        <w:t>Order</w:t>
      </w:r>
      <w:r>
        <w:t xml:space="preserve"> that our decision did not rely on the then-current state of equipment development.</w:t>
      </w:r>
      <w:r>
        <w:rPr>
          <w:rStyle w:val="FootnoteReference"/>
        </w:rPr>
        <w:footnoteReference w:id="123"/>
      </w:r>
      <w:r>
        <w:t xml:space="preserve">  HWA and FCR were on notice that </w:t>
      </w:r>
      <w:r w:rsidRPr="00765811">
        <w:t>even if</w:t>
      </w:r>
      <w:r>
        <w:t xml:space="preserve"> the equipment market did not develop consistent with their business plans, the licenses would nonetheless be subject to the September 4, 2016 and September 4, 2018 construction deadlines.</w:t>
      </w:r>
      <w:r>
        <w:rPr>
          <w:rStyle w:val="FootnoteReference"/>
        </w:rPr>
        <w:footnoteReference w:id="124"/>
      </w:r>
      <w:r>
        <w:t xml:space="preserve">  Given the numerous previous extensions granted to M-LMS licensees, the fact that the licenses were then already beyond their initial renewal deadline, and the removal of regulatory uncertainty following the Commission’s issuance of the </w:t>
      </w:r>
      <w:r>
        <w:rPr>
          <w:i/>
        </w:rPr>
        <w:t>2014 Termination Order</w:t>
      </w:r>
      <w:r>
        <w:t>, we specifically stated that, without new or unique circumstances, there would no longer be justification for granting further extension requests where our buildout requirements had not been met.</w:t>
      </w:r>
      <w:r>
        <w:rPr>
          <w:rStyle w:val="FootnoteReference"/>
        </w:rPr>
        <w:footnoteReference w:id="125"/>
      </w:r>
      <w:r>
        <w:t xml:space="preserve">  Therefore, consistent with the </w:t>
      </w:r>
      <w:r>
        <w:rPr>
          <w:i/>
        </w:rPr>
        <w:t>2014 Extension Order</w:t>
      </w:r>
      <w:r>
        <w:t>, and in the absence of new or unique circumstances, we find that HWA and FCR have failed to meet the standard for grant of an extension.</w:t>
      </w:r>
    </w:p>
    <w:p w14:paraId="6652A9EF" w14:textId="7AD19D26" w:rsidR="004243C6" w:rsidRDefault="004243C6" w:rsidP="004243C6">
      <w:pPr>
        <w:pStyle w:val="ParaNum"/>
        <w:numPr>
          <w:ilvl w:val="0"/>
          <w:numId w:val="11"/>
        </w:numPr>
        <w:tabs>
          <w:tab w:val="left" w:pos="1080"/>
          <w:tab w:val="left" w:pos="1440"/>
        </w:tabs>
        <w:spacing w:after="220"/>
      </w:pPr>
      <w:r>
        <w:t xml:space="preserve">We are also not persuaded by HWA and FCR’s argument that it would be unduly burdensome to require </w:t>
      </w:r>
      <w:bookmarkStart w:id="15" w:name="_Hlk498157770"/>
      <w:r>
        <w:t xml:space="preserve">HWA and FCR </w:t>
      </w:r>
      <w:bookmarkEnd w:id="15"/>
      <w:r>
        <w:t xml:space="preserve">to make the necessary financial investments to develop equipment capable of operating in the M-LMS band.  This argument is especially unpersuasive, without anything more, given that </w:t>
      </w:r>
      <w:r w:rsidR="003F5BD8" w:rsidRPr="003F5BD8">
        <w:t>HWA and FCR</w:t>
      </w:r>
      <w:r>
        <w:t xml:space="preserve"> were on notice that additional relief would not be forthcoming even if equipment were not available consistent with their business plans and, where at least one other licensee has developed equipment capable of operating in this band,</w:t>
      </w:r>
      <w:r>
        <w:rPr>
          <w:rStyle w:val="FootnoteReference"/>
        </w:rPr>
        <w:footnoteReference w:id="126"/>
      </w:r>
      <w:r>
        <w:t xml:space="preserve"> </w:t>
      </w:r>
      <w:r w:rsidR="00B8763A" w:rsidRPr="00B8763A">
        <w:t>HWA and FCR</w:t>
      </w:r>
      <w:r>
        <w:t xml:space="preserve"> nonetheless failed to demonstrate that they have met the construction requirement or taken concrete steps towards that end.  We reiterate that a Commission license does not constitute a guarantee of business success, and the Commission routinely cautions applicants of their responsibility to perform individual due diligence as they would with any new business venture, prior to participating in an auction.</w:t>
      </w:r>
      <w:r>
        <w:rPr>
          <w:rStyle w:val="FootnoteReference"/>
        </w:rPr>
        <w:footnoteReference w:id="127"/>
      </w:r>
      <w:r>
        <w:t xml:space="preserve">  HWA and FCR were on notice of the technical requirements and interference restrictions placed on operations in the 902-928 MHz frequency band.  </w:t>
      </w:r>
      <w:r w:rsidR="003F5BD8">
        <w:t>I</w:t>
      </w:r>
      <w:r>
        <w:t xml:space="preserve">n the more than 17 years since the initial auction of the M-LMS licenses, neither party has been able to put the spectrum to use.  HWA and FCR have not made any showing that a waiver of the construction requirements would facilitate deployment of services in the M-LMS band; indeed, the core of their argument is that there is no prospect for the development of equipment capable of operating in the M-LMS band.  Despite acknowledging Progeny’s equipment development efforts in this same band, HWA and FCR continued to make the business decision not to invest in developing equipment capable of operating in the M-LMS band.  Thus, it would not serve the underlying purpose of the construction requirements to grant another waiver of our rules.  As we stated in the </w:t>
      </w:r>
      <w:r>
        <w:rPr>
          <w:i/>
        </w:rPr>
        <w:t xml:space="preserve">2014 Extension </w:t>
      </w:r>
      <w:r w:rsidRPr="0082070D">
        <w:rPr>
          <w:i/>
        </w:rPr>
        <w:t>Order</w:t>
      </w:r>
      <w:r>
        <w:t>, i</w:t>
      </w:r>
      <w:r w:rsidRPr="0082070D">
        <w:t>t</w:t>
      </w:r>
      <w:r>
        <w:t xml:space="preserve"> would be contrary to the public interest to grant extensions and waivers in perpetuity where our buildout requirements have not been met and there is no assurance that they will ever be met.</w:t>
      </w:r>
      <w:r>
        <w:rPr>
          <w:rStyle w:val="FootnoteReference"/>
        </w:rPr>
        <w:footnoteReference w:id="128"/>
      </w:r>
      <w:r>
        <w:t xml:space="preserve">  We therefore find that HWA and FCR have failed to meet the standard for grant of a waiver.</w:t>
      </w:r>
    </w:p>
    <w:p w14:paraId="0C4E1C8E" w14:textId="77777777" w:rsidR="004243C6" w:rsidRDefault="004243C6" w:rsidP="004243C6">
      <w:pPr>
        <w:pStyle w:val="ParaNum"/>
        <w:numPr>
          <w:ilvl w:val="0"/>
          <w:numId w:val="11"/>
        </w:numPr>
        <w:tabs>
          <w:tab w:val="left" w:pos="1080"/>
          <w:tab w:val="left" w:pos="1440"/>
        </w:tabs>
        <w:spacing w:after="220"/>
      </w:pPr>
      <w:r>
        <w:rPr>
          <w:i/>
        </w:rPr>
        <w:t>Skybridge/Telesaurus Extension and Waiver Request</w:t>
      </w:r>
      <w:r>
        <w:t>.  As an initial procedural matter, we reject Havens’ view that, because certain proceedings forming in part the basis for the receivership remain pending with the Commission, in considering the merits of the extension requests, we must preserve the rights and interests of the eventual licensee – Havens – pending the resolution of those proceedings.</w:t>
      </w:r>
      <w:r>
        <w:rPr>
          <w:rStyle w:val="FootnoteReference"/>
        </w:rPr>
        <w:footnoteReference w:id="129"/>
      </w:r>
      <w:r>
        <w:t xml:space="preserve">  First, as stated above, Havens is not the licensee; a court appointed the Receiver to take control and possession of Skybridge and Telesaurus and the licenses held by those entities.</w:t>
      </w:r>
      <w:r>
        <w:rPr>
          <w:rStyle w:val="FootnoteReference"/>
        </w:rPr>
        <w:footnoteReference w:id="130"/>
      </w:r>
      <w:r>
        <w:t xml:space="preserve">  Second, the argument that we must look to the diligence and interests of </w:t>
      </w:r>
      <w:r w:rsidRPr="00472D45">
        <w:t xml:space="preserve">Havens </w:t>
      </w:r>
      <w:r>
        <w:t>as the eventual licensee is purely speculative; Havens presumes that the pending litigation over the receivership will be resolved in his favor and the licenses ultimately returned to his control.  Irrespective of the disposition of license ownership pending litigation, we will consider the Receiver’s properly filed extension request along with all other facts in the record relevant to our decision.  Therefore, contrary to Havens’ claims, the Sippel Order and “license-protection receivership” are not interlocutory for the purposes of this matter such that our ability to act is restrained.</w:t>
      </w:r>
      <w:r>
        <w:rPr>
          <w:rStyle w:val="FootnoteReference"/>
        </w:rPr>
        <w:footnoteReference w:id="131"/>
      </w:r>
      <w:r>
        <w:t xml:space="preserve">  Accordingly, we find the Skybridge/Telesaurus Request is both factually and procedurally ripe for resolution, and reiterate that we consider </w:t>
      </w:r>
      <w:r w:rsidRPr="006B1904">
        <w:t>the Havens Comment only to the extent that it is relevant to the merits of the Skybridge/Telesaurus Request.</w:t>
      </w:r>
      <w:r>
        <w:rPr>
          <w:rStyle w:val="FootnoteReference"/>
        </w:rPr>
        <w:footnoteReference w:id="132"/>
      </w:r>
    </w:p>
    <w:p w14:paraId="2BAA2830" w14:textId="77777777" w:rsidR="004243C6" w:rsidRDefault="004243C6" w:rsidP="004243C6">
      <w:pPr>
        <w:pStyle w:val="ParaNum"/>
        <w:numPr>
          <w:ilvl w:val="0"/>
          <w:numId w:val="11"/>
        </w:numPr>
        <w:tabs>
          <w:tab w:val="left" w:pos="1080"/>
          <w:tab w:val="left" w:pos="1440"/>
        </w:tabs>
        <w:spacing w:after="220"/>
      </w:pPr>
      <w:bookmarkStart w:id="16" w:name="_Ref472426679"/>
      <w:r>
        <w:t>As discussed above, the Receiver argues that ongoing litigation and various resulting hindrances to the Receiver’s discharge of her responsibilities as to the receivership constitute unique and challenging circumstances beyond the Receiver’s control that justify granting either an extension of the construction deadline or a waiver of the automatic termination provision where a licensee fails to meet coverage requirements.</w:t>
      </w:r>
      <w:r>
        <w:rPr>
          <w:rStyle w:val="FootnoteReference"/>
        </w:rPr>
        <w:footnoteReference w:id="133"/>
      </w:r>
      <w:r>
        <w:t xml:space="preserve">  We note at the outset that the Receiver must have shown that circumstances beyond her control prevented the timely construction, not the mere sale, of the licenses.  However, we find that neither the circumstances of the receivership nor the pre-receivership license history</w:t>
      </w:r>
      <w:r>
        <w:rPr>
          <w:rStyle w:val="FootnoteReference"/>
        </w:rPr>
        <w:footnoteReference w:id="134"/>
      </w:r>
      <w:r>
        <w:t xml:space="preserve"> warrant an extension of the construction deadlines and that a waiver of </w:t>
      </w:r>
      <w:r w:rsidRPr="00A25345">
        <w:t xml:space="preserve">the automatic </w:t>
      </w:r>
      <w:r>
        <w:t>termination provision would frustrate the purpose of the rules and would be contrary to the public interest.</w:t>
      </w:r>
      <w:bookmarkEnd w:id="16"/>
    </w:p>
    <w:p w14:paraId="39D4808C" w14:textId="0C400850" w:rsidR="004243C6" w:rsidRDefault="004243C6" w:rsidP="004243C6">
      <w:pPr>
        <w:pStyle w:val="ParaNum"/>
        <w:numPr>
          <w:ilvl w:val="0"/>
          <w:numId w:val="11"/>
        </w:numPr>
        <w:tabs>
          <w:tab w:val="left" w:pos="1080"/>
          <w:tab w:val="left" w:pos="1440"/>
        </w:tabs>
        <w:spacing w:after="220"/>
      </w:pPr>
      <w:r>
        <w:t>The Skybridge/Telesaurus Request is based on difficulties caused by the transfer of the licenses into receivership and the ensuing litigation, and requests additional time for the purpose of pursuing transactions for the sale of the licenses.  The Commission’s rules explicitly state that extension requests will not be granted for failure to meet a construction deadline solely because the licensee undergoes a transfer of control or because the licensee intends to assign the authorization.</w:t>
      </w:r>
      <w:r>
        <w:rPr>
          <w:rStyle w:val="FootnoteReference"/>
        </w:rPr>
        <w:footnoteReference w:id="135"/>
      </w:r>
      <w:r>
        <w:t xml:space="preserve">  Nonetheless, the Skybridge/Telesaurus Request looks to the </w:t>
      </w:r>
      <w:r>
        <w:rPr>
          <w:i/>
        </w:rPr>
        <w:t>2014 Extension Order</w:t>
      </w:r>
      <w:r>
        <w:t xml:space="preserve"> in support of its extension request, noting the Division offered a brief period for the licenses to “make appropriate business decisions regarding their M-LMS licenses, including deployment of services or, if necessary, </w:t>
      </w:r>
      <w:r w:rsidRPr="00F50DA5">
        <w:rPr>
          <w:i/>
        </w:rPr>
        <w:t>to engage in secondary market transactions</w:t>
      </w:r>
      <w:r>
        <w:t>.”</w:t>
      </w:r>
      <w:r>
        <w:rPr>
          <w:rStyle w:val="FootnoteReference"/>
        </w:rPr>
        <w:footnoteReference w:id="136"/>
      </w:r>
      <w:r>
        <w:t xml:space="preserve">  Citing to </w:t>
      </w:r>
      <w:r>
        <w:rPr>
          <w:i/>
        </w:rPr>
        <w:t>Goodman</w:t>
      </w:r>
      <w:r>
        <w:t>,</w:t>
      </w:r>
      <w:r>
        <w:rPr>
          <w:rStyle w:val="FootnoteReference"/>
        </w:rPr>
        <w:footnoteReference w:id="137"/>
      </w:r>
      <w:r>
        <w:t xml:space="preserve"> the Receiver argues that a brief further extension for Skybridge and Telesaurus would allow the licenses to realize the benefit of that relief granted in 2014.</w:t>
      </w:r>
      <w:r>
        <w:rPr>
          <w:rStyle w:val="FootnoteReference"/>
        </w:rPr>
        <w:footnoteReference w:id="138"/>
      </w:r>
      <w:r>
        <w:t xml:space="preserve">  Following the amendment of Commission rules to provide a one year construction deadline for future licensees in a certain 800 MHz band category, the Commission created parity in </w:t>
      </w:r>
      <w:r w:rsidRPr="00B52D12">
        <w:rPr>
          <w:i/>
        </w:rPr>
        <w:t>Goodman</w:t>
      </w:r>
      <w:r>
        <w:rPr>
          <w:i/>
        </w:rPr>
        <w:t xml:space="preserve"> </w:t>
      </w:r>
      <w:r>
        <w:t>by waiving its rules to extend by four months the prior eight-month construction deadline applicable to existing licensees.</w:t>
      </w:r>
      <w:r>
        <w:rPr>
          <w:rStyle w:val="FootnoteReference"/>
        </w:rPr>
        <w:footnoteReference w:id="139"/>
      </w:r>
      <w:r>
        <w:t xml:space="preserve">  This is distinguishable from the instant case, where Skybridge and Telesaurus (regardless of license control) and all other parties subject to the </w:t>
      </w:r>
      <w:r>
        <w:rPr>
          <w:i/>
        </w:rPr>
        <w:t>2014 Extension Order</w:t>
      </w:r>
      <w:r>
        <w:t xml:space="preserve"> have already had the benefit of the additional two years granted in 2014 and substantial previous M-LMS relief.  </w:t>
      </w:r>
      <w:r w:rsidR="00B80871">
        <w:t>Moreover</w:t>
      </w:r>
      <w:r w:rsidR="00161B07">
        <w:t>, w</w:t>
      </w:r>
      <w:r>
        <w:t xml:space="preserve">e are not persuaded that further relief is warranted solely because the entities were placed into receivership after the 2014 extension grant.  In addition to the fact that plans for the assignment of licenses cannot, and did not in 2014, form the sole basis for grant of an extension absent other factors warranting such relief, the Receiver has failed to demonstrate that any circumstances beyond the licensees’ control </w:t>
      </w:r>
      <w:r w:rsidRPr="007F77D2">
        <w:t xml:space="preserve">denied Skybridge and Telesaurus equal benefit of the previous relief granted to M-LMS licensees.  </w:t>
      </w:r>
    </w:p>
    <w:p w14:paraId="28543CCC" w14:textId="77777777" w:rsidR="004243C6" w:rsidRDefault="004243C6" w:rsidP="004243C6">
      <w:pPr>
        <w:pStyle w:val="ParaNum"/>
        <w:numPr>
          <w:ilvl w:val="0"/>
          <w:numId w:val="11"/>
        </w:numPr>
        <w:tabs>
          <w:tab w:val="left" w:pos="1080"/>
          <w:tab w:val="left" w:pos="1440"/>
        </w:tabs>
        <w:spacing w:after="220"/>
      </w:pPr>
      <w:r>
        <w:t>We also find unpersuasive the Receiver’s argument that her efforts to pursue transactions for the sale of the licenses were impeded by both the receivership limitations on her authority to market and sell the licenses and wrongful interference by Havens’ “frivolous” litigation.</w:t>
      </w:r>
      <w:r>
        <w:rPr>
          <w:rStyle w:val="FootnoteReference"/>
        </w:rPr>
        <w:footnoteReference w:id="140"/>
      </w:r>
      <w:r>
        <w:t xml:space="preserve">  First, the conditions of the receivership did not prohibit the Receiver from marketing the licenses for sale or lease; it required only that the Receiver obtain “prior approval” from the court before executing such sale or lease.</w:t>
      </w:r>
      <w:r>
        <w:rPr>
          <w:rStyle w:val="FootnoteReference"/>
        </w:rPr>
        <w:footnoteReference w:id="141"/>
      </w:r>
      <w:r>
        <w:t xml:space="preserve">  The Receiver claims she did not receive authority to market and sell </w:t>
      </w:r>
      <w:r w:rsidRPr="00765811">
        <w:t xml:space="preserve">all </w:t>
      </w:r>
      <w:r>
        <w:t>of the licenses together – i.e., the Skybridge/Telesaurus licenses with buildout deadlines in 2016 as well as the remaining disaggregated Telesaurus licenses – until July 2016, and that prior to then she believed the unavailability of complementary licenses would hinder the market for the Skybridge licenses.</w:t>
      </w:r>
      <w:r>
        <w:rPr>
          <w:rStyle w:val="FootnoteReference"/>
        </w:rPr>
        <w:footnoteReference w:id="142"/>
      </w:r>
      <w:r>
        <w:t xml:space="preserve">  However, it is the role of the Receiver, not the court, to request and obtain such authority.</w:t>
      </w:r>
      <w:r>
        <w:rPr>
          <w:rStyle w:val="FootnoteReference"/>
        </w:rPr>
        <w:footnoteReference w:id="143"/>
      </w:r>
      <w:r>
        <w:t xml:space="preserve">  As the court clarified in its July 2016 Order, the Receiver remained at all times authorized to market and propose for sale any licenses held by the receivership entities prior to seeking court approval for the finality of those transactions.</w:t>
      </w:r>
      <w:r>
        <w:rPr>
          <w:rStyle w:val="FootnoteReference"/>
        </w:rPr>
        <w:footnoteReference w:id="144"/>
      </w:r>
      <w:r>
        <w:t xml:space="preserve">  This is evidenced by the fact that the Receiver filed its application to assign to Progeny license WQGN602 with the Commission on March 16, 2017, over a month prior to filing a motion in the Alameda County Court for approval of the sale.</w:t>
      </w:r>
      <w:r>
        <w:rPr>
          <w:rStyle w:val="FootnoteReference"/>
        </w:rPr>
        <w:footnoteReference w:id="145"/>
      </w:r>
      <w:r>
        <w:t xml:space="preserve">  Furthermore, the Receiver’s business decision to delay sale of the licenses until all of the licenses could be marketed together cannot form the basis of an extension due to “circumstances beyond its control.”</w:t>
      </w:r>
      <w:r>
        <w:rPr>
          <w:rStyle w:val="FootnoteReference"/>
        </w:rPr>
        <w:footnoteReference w:id="146"/>
      </w:r>
      <w:r>
        <w:t xml:space="preserve">  Despite the Receiver’s reliance on </w:t>
      </w:r>
      <w:r>
        <w:rPr>
          <w:i/>
        </w:rPr>
        <w:t>LaRose</w:t>
      </w:r>
      <w:r w:rsidRPr="008C7901">
        <w:rPr>
          <w:rStyle w:val="FootnoteReference"/>
        </w:rPr>
        <w:footnoteReference w:id="147"/>
      </w:r>
      <w:r w:rsidRPr="008C7901">
        <w:t xml:space="preserve"> </w:t>
      </w:r>
      <w:r>
        <w:t>for the argument that “the Commission should not value its formal procedures over the Receiver’s obligations, or allow those rules to prevent a voluntary transfer” of the licenses,</w:t>
      </w:r>
      <w:r>
        <w:rPr>
          <w:rStyle w:val="FootnoteReference"/>
        </w:rPr>
        <w:footnoteReference w:id="148"/>
      </w:r>
      <w:r>
        <w:t xml:space="preserve"> nothing in the Commission’s rules or procedures prevented the Receiver from carrying out her duties.  After taking control of the Skybridge and Telesaurus licenses, the Receiver faced no impediments under the Commission’s rules or procedures as a result of the receivership that would have prevented her from timely constructing or assigning the licenses to a party to construct prior to the construction deadline.  The Receiver has therefore failed to demonstrate that these were obstacles to her ability to discharge her responsibilities under the receivership that prevented Skybridge and Telesaurus from meeting the construction requirements or timely executing the sale of the licenses prior to the construction deadline.</w:t>
      </w:r>
    </w:p>
    <w:p w14:paraId="42AD31F4" w14:textId="77777777" w:rsidR="004243C6" w:rsidRDefault="004243C6" w:rsidP="004243C6">
      <w:pPr>
        <w:pStyle w:val="ParaNum"/>
        <w:numPr>
          <w:ilvl w:val="0"/>
          <w:numId w:val="11"/>
        </w:numPr>
        <w:tabs>
          <w:tab w:val="left" w:pos="1080"/>
          <w:tab w:val="left" w:pos="1440"/>
        </w:tabs>
        <w:spacing w:after="220"/>
      </w:pPr>
      <w:r>
        <w:t xml:space="preserve">Furthermore, the Receiver’s reliance on </w:t>
      </w:r>
      <w:r>
        <w:rPr>
          <w:i/>
        </w:rPr>
        <w:t>Holland</w:t>
      </w:r>
      <w:r w:rsidRPr="00F672CE">
        <w:rPr>
          <w:rStyle w:val="FootnoteReference"/>
        </w:rPr>
        <w:footnoteReference w:id="149"/>
      </w:r>
      <w:r>
        <w:t xml:space="preserve"> for the proposition that Havens’ ongoing litigation against the receivership constitutes “improper interference with the receiver’s work” is misplaced.  In </w:t>
      </w:r>
      <w:r>
        <w:rPr>
          <w:i/>
        </w:rPr>
        <w:t>Holland</w:t>
      </w:r>
      <w:r>
        <w:t>, the Division granted a limited extension to give the receiver time to bring certain previously constructed licenses back into operation where the former controlling entity, against court orders, refused to execute powers of attorney or turn over other information necessary for the receiver to file assignment and renewal applications.</w:t>
      </w:r>
      <w:r>
        <w:rPr>
          <w:rStyle w:val="FootnoteReference"/>
        </w:rPr>
        <w:footnoteReference w:id="150"/>
      </w:r>
      <w:r>
        <w:t xml:space="preserve">  In contrast, while the litigation may have made it more </w:t>
      </w:r>
      <w:r w:rsidRPr="00765811">
        <w:t xml:space="preserve">difficult </w:t>
      </w:r>
      <w:r>
        <w:t>to manage the M-LMS licenses, the Skybridge/Telesaurus Request fails to demonstrate that Havens withheld any authorizations or information, or that he improperly interfered with the Receiver’s duties such that she was factually prevented from either constructing under the licenses or seeking to assign the licenses.</w:t>
      </w:r>
      <w:r>
        <w:rPr>
          <w:rStyle w:val="FootnoteReference"/>
        </w:rPr>
        <w:footnoteReference w:id="151"/>
      </w:r>
      <w:r>
        <w:t xml:space="preserve">  Indeed, the Skybridge/Telesaurus Request makes no showing of the specific “strategic transactions” the Receiver would have entered into prior to the construction deadline but-for Havens’ legal actions, nor does it give any concrete examples of how an extension would remove those impediments and facilitate such transactions.  While the Receiver seeks to assign one Telesaurus license to Progeny, that application was not filed until nearly six months after the construction deadline and the Telesaurus Extension and Waiver Amendment makes no showing that the conditions of the receivership prevented the Receiver from executing that sale prior to the construction deadline.  </w:t>
      </w:r>
      <w:r w:rsidRPr="0071572B">
        <w:t>Furthermore</w:t>
      </w:r>
      <w:r>
        <w:t xml:space="preserve">, approval of the assignment here would require grant of the Receiver’s amended request, which seeks substantially more extensive relief than originally requested, by asking that the construction deadlines for the Telesaurus license be extended to coincide with the extended deadlines granted to Progeny in the </w:t>
      </w:r>
      <w:r>
        <w:rPr>
          <w:i/>
        </w:rPr>
        <w:t>2017 Progeny Extension Order</w:t>
      </w:r>
      <w:r>
        <w:t>.</w:t>
      </w:r>
      <w:r>
        <w:rPr>
          <w:rStyle w:val="FootnoteReference"/>
        </w:rPr>
        <w:footnoteReference w:id="152"/>
      </w:r>
      <w:r>
        <w:t xml:space="preserve">  Because we find unpersuasive the Receiver’s argument that she was improperly prevented from executing a sale of the licenses resulting in timely construction prior to the construction deadline, we similarly find that the requested relief accompanying the application for assignment of the Telesaurus license is not warranted.  The Receiver has therefore failed to demonstrate that circumstances beyond the licensee’s control prevented it from executing a sale that would result in timely construction of the license.  </w:t>
      </w:r>
      <w:r w:rsidRPr="007F77D2">
        <w:t>For this reason and the reasons stated</w:t>
      </w:r>
      <w:r>
        <w:t xml:space="preserve"> above, we therefore deny the request for an extension of time and dismiss the application for assignment of the Telesaurus license to Progeny.</w:t>
      </w:r>
    </w:p>
    <w:p w14:paraId="0962414D" w14:textId="77777777" w:rsidR="004243C6" w:rsidRDefault="004243C6" w:rsidP="004243C6">
      <w:pPr>
        <w:pStyle w:val="ParaNum"/>
        <w:numPr>
          <w:ilvl w:val="0"/>
          <w:numId w:val="11"/>
        </w:numPr>
        <w:tabs>
          <w:tab w:val="left" w:pos="1080"/>
          <w:tab w:val="left" w:pos="1440"/>
        </w:tabs>
        <w:spacing w:after="220"/>
      </w:pPr>
      <w:bookmarkStart w:id="17" w:name="_Ref472426688"/>
      <w:r>
        <w:t xml:space="preserve">We similarly find that the Skybridge/Telesaurus Request fails to meet the standard for waiver of our rules providing </w:t>
      </w:r>
      <w:r w:rsidRPr="00A25345">
        <w:t xml:space="preserve">for automatic </w:t>
      </w:r>
      <w:r>
        <w:t>termination where a licensee fails to meet construction requirements.</w:t>
      </w:r>
      <w:r>
        <w:rPr>
          <w:rStyle w:val="FootnoteReference"/>
        </w:rPr>
        <w:footnoteReference w:id="153"/>
      </w:r>
      <w:r>
        <w:t xml:space="preserve">  As discussed above, after granting further extensions to M-LMS licensees in the </w:t>
      </w:r>
      <w:r w:rsidRPr="00582A29">
        <w:rPr>
          <w:i/>
        </w:rPr>
        <w:t>2014 Extension Order</w:t>
      </w:r>
      <w:r>
        <w:t>, we stated that in the future it would no longer be consistent with the purpose of our rules or in the public interest to grant extension and waiver requests in perpetuity where our buildout requirements have not been met.</w:t>
      </w:r>
      <w:r>
        <w:rPr>
          <w:rStyle w:val="FootnoteReference"/>
        </w:rPr>
        <w:footnoteReference w:id="154"/>
      </w:r>
      <w:r>
        <w:t xml:space="preserve">  </w:t>
      </w:r>
      <w:r w:rsidRPr="002F12EF">
        <w:t xml:space="preserve">The </w:t>
      </w:r>
      <w:r>
        <w:t>Commission’s</w:t>
      </w:r>
      <w:r w:rsidRPr="002F12EF">
        <w:t xml:space="preserve"> construction obligations serve the important purpose of ensuring that scarce spectrum resources are put to use and deployed in a manner that serves all communities</w:t>
      </w:r>
      <w:r>
        <w:t>.</w:t>
      </w:r>
      <w:r>
        <w:rPr>
          <w:rStyle w:val="FootnoteReference"/>
        </w:rPr>
        <w:footnoteReference w:id="155"/>
      </w:r>
      <w:r>
        <w:t xml:space="preserve"> </w:t>
      </w:r>
      <w:r w:rsidRPr="002F12EF">
        <w:t xml:space="preserve"> </w:t>
      </w:r>
      <w:r>
        <w:t>Irrespective of license ownership and control, for over 17 years Skybridge and Telesaurus have been unable to timely put the spectrum to use.  Neither the Skybridge/Telesaurus Request nor the Havens Comment persuade us that further relief is warranted.  We find it against the public interest and contrary to the plain language and underlying purpose of our rules to grant Skybridge and Telesaurus a waiver based on largely speculative plans to sell the licenses substantially beyond the already extended construction deadlines.  We reject the argument that the receivership and its attendant duties constitute a unique or unusual circumstance resulting in failure to meet the construction requirements such that relief might be warranted, and therefore find that Skybridge and Telesaurus have failed to meet the standard for either Section 1.925 or 1.3 of the Commission’s rules and deny the Skybridge/Telesaurus Request.</w:t>
      </w:r>
      <w:bookmarkEnd w:id="17"/>
    </w:p>
    <w:p w14:paraId="196FCA6B" w14:textId="77777777" w:rsidR="004243C6" w:rsidRPr="00DE268F" w:rsidRDefault="004243C6" w:rsidP="004243C6">
      <w:pPr>
        <w:pStyle w:val="ParaNum"/>
        <w:numPr>
          <w:ilvl w:val="0"/>
          <w:numId w:val="11"/>
        </w:numPr>
        <w:tabs>
          <w:tab w:val="left" w:pos="720"/>
          <w:tab w:val="left" w:pos="1080"/>
        </w:tabs>
        <w:spacing w:after="220"/>
        <w:rPr>
          <w:b/>
        </w:rPr>
      </w:pPr>
      <w:r>
        <w:t>In conclusion, for the reasons discussed above, we deny the requests of both HWA and FCR for an extension of time pursuant to Section 1.946(e) and Section 90.155(g) and their requests for a waiver of the construction requirements contained in Section 90.155(d).  We also deny the Skybridge/Telesaurus Request, as amended, for an extension of time pursuant to Section 1.946(e) and Section 90.155(g) and their request for waiver of Section 1.946(c).</w:t>
      </w:r>
    </w:p>
    <w:p w14:paraId="70B51B1F" w14:textId="77777777" w:rsidR="004243C6" w:rsidRDefault="004243C6" w:rsidP="004243C6">
      <w:pPr>
        <w:pStyle w:val="ParaNum"/>
        <w:numPr>
          <w:ilvl w:val="0"/>
          <w:numId w:val="0"/>
        </w:numPr>
        <w:tabs>
          <w:tab w:val="left" w:pos="720"/>
        </w:tabs>
        <w:rPr>
          <w:b/>
        </w:rPr>
      </w:pPr>
      <w:r>
        <w:rPr>
          <w:b/>
        </w:rPr>
        <w:t>III.</w:t>
      </w:r>
      <w:r>
        <w:rPr>
          <w:b/>
        </w:rPr>
        <w:tab/>
        <w:t>ORDERING CLAUSES</w:t>
      </w:r>
    </w:p>
    <w:p w14:paraId="6EDE7390" w14:textId="77777777" w:rsidR="004243C6" w:rsidRPr="00C45B86" w:rsidRDefault="004243C6" w:rsidP="004243C6">
      <w:pPr>
        <w:pStyle w:val="ParaNum"/>
        <w:numPr>
          <w:ilvl w:val="0"/>
          <w:numId w:val="11"/>
        </w:numPr>
        <w:tabs>
          <w:tab w:val="left" w:pos="720"/>
          <w:tab w:val="left" w:pos="1080"/>
        </w:tabs>
        <w:spacing w:after="220"/>
        <w:rPr>
          <w:b/>
        </w:rPr>
      </w:pPr>
      <w:r>
        <w:t xml:space="preserve">Accordingly, IT IS ORDERED that, pursuant to Sections 4(i) and 405 of the Communications Act of 1934, as amended, 47 U.S.C. </w:t>
      </w:r>
      <w:r w:rsidRPr="00FC17FA">
        <w:t xml:space="preserve">§§ </w:t>
      </w:r>
      <w:r>
        <w:t>154(i), 405, and Sections 1.925(b)(3), 1.946(e), and 90.155(d) of the Commission’s rules, 47 C.F.R. §§ 1.925(b)(3), 1.946(e), 90.155(d), the requests of Helen Wong-Armijo, filed on August 29, 2016, for extension and waiver of the interim construction deadline, and on September 12, 2016, for extension and waiver of the final construction deadline, as set forth in Appendix A, ARE DENIED.</w:t>
      </w:r>
    </w:p>
    <w:p w14:paraId="67044C87" w14:textId="77777777" w:rsidR="004243C6" w:rsidRPr="004370A8" w:rsidRDefault="004243C6" w:rsidP="004243C6">
      <w:pPr>
        <w:pStyle w:val="ParaNum"/>
        <w:numPr>
          <w:ilvl w:val="0"/>
          <w:numId w:val="11"/>
        </w:numPr>
        <w:tabs>
          <w:tab w:val="left" w:pos="720"/>
          <w:tab w:val="left" w:pos="1080"/>
        </w:tabs>
        <w:spacing w:after="220"/>
        <w:rPr>
          <w:b/>
        </w:rPr>
      </w:pPr>
      <w:r>
        <w:t xml:space="preserve">IT IS FURTHER ORDERED that, pursuant to Sections 4(i) and 405 of the Communications Act of 1934, as amended, 47 U.S.C. </w:t>
      </w:r>
      <w:r w:rsidRPr="00FC17FA">
        <w:t xml:space="preserve">§§ </w:t>
      </w:r>
      <w:r>
        <w:t>154(i), 405, and Sections 1.925(b)(3), 1.946(e), and 90.155(d) of the Commission’s rules, 47 C.F.R. §§ 1.925(b)(3), 1.946(e), 90.155(d), the requests of FCR, Inc., filed on August 31, 2016, for extension and waiver of the interim construction deadline, and on September 12, 2016, for extension and waiver of the final construction deadline, as set forth in Appendix A, ARE DENIED.</w:t>
      </w:r>
    </w:p>
    <w:p w14:paraId="2AF8C291" w14:textId="77777777" w:rsidR="004243C6" w:rsidRPr="002D5B7A" w:rsidRDefault="004243C6" w:rsidP="004243C6">
      <w:pPr>
        <w:pStyle w:val="ParaNum"/>
        <w:numPr>
          <w:ilvl w:val="0"/>
          <w:numId w:val="11"/>
        </w:numPr>
        <w:tabs>
          <w:tab w:val="left" w:pos="720"/>
          <w:tab w:val="left" w:pos="1080"/>
        </w:tabs>
        <w:spacing w:after="220"/>
      </w:pPr>
      <w:r>
        <w:t xml:space="preserve">IT IS FURTHER ORDERED that, pursuant to Sections 4(i) and 405 of the Communications Act of 1934, as amended, 47 U.S.C. </w:t>
      </w:r>
      <w:r w:rsidRPr="00FC17FA">
        <w:t xml:space="preserve">§§ </w:t>
      </w:r>
      <w:r>
        <w:t>154(i), 405, and Sections 1.3, 1.925(b)(3), 1.946(e), and 90.155(d) of the Commission’s rules, 47 C.F.R. §§ 1.3, 1.925(b)(3), 1.946(e), 90.155(d), the requests of Skybridge Spectrum Foundation and Telesaurus Holdings GB, LLC, filed on September 2, 2016, for extension of the interim construction deadline and waiver of the automatic termination provision, as set forth in Appendix A, ARE DENIED.</w:t>
      </w:r>
    </w:p>
    <w:p w14:paraId="244D0141" w14:textId="70B803AA" w:rsidR="004243C6" w:rsidRDefault="00A40249" w:rsidP="004243C6">
      <w:pPr>
        <w:pStyle w:val="ParaNum"/>
        <w:numPr>
          <w:ilvl w:val="0"/>
          <w:numId w:val="11"/>
        </w:numPr>
        <w:tabs>
          <w:tab w:val="left" w:pos="720"/>
          <w:tab w:val="left" w:pos="1080"/>
        </w:tabs>
        <w:spacing w:after="220"/>
      </w:pPr>
      <w:r>
        <w:t>ACCORDINGLY, pursuant to Section 1.946(c) of the Commission’s rules, 47 C.F.R. § 1.946(c), the Helen Wong-Armijo, FCR, Inc., Skybridge Spectrum Foundation, and Telesaurus Holdings GB, LLC licenses set forth in Appendix A automatically terminated as of September 4, 2016.</w:t>
      </w:r>
    </w:p>
    <w:p w14:paraId="3935E684" w14:textId="2BCEFB55" w:rsidR="004243C6" w:rsidRPr="002D5B7A" w:rsidRDefault="00A40249" w:rsidP="004243C6">
      <w:pPr>
        <w:pStyle w:val="ParaNum"/>
        <w:numPr>
          <w:ilvl w:val="0"/>
          <w:numId w:val="11"/>
        </w:numPr>
        <w:tabs>
          <w:tab w:val="left" w:pos="720"/>
          <w:tab w:val="left" w:pos="1080"/>
        </w:tabs>
        <w:spacing w:after="220"/>
      </w:pPr>
      <w:r>
        <w:t xml:space="preserve">IT IS FURTHER ORDERED that the applications of </w:t>
      </w:r>
      <w:r w:rsidR="00BF4601">
        <w:t xml:space="preserve">Skybridge Spectrum Foundation, filed on March 9, 2017, for renewal of licenses WQHU643 through WQHU675, and of </w:t>
      </w:r>
      <w:r>
        <w:t>Telesaurus Holdings GB, LLC, filed on March 9, 2017, for renewal of license WQGN602, and of Telesaurus Holdings GB, LLC and Progeny LMS, LLC, filed on March 16, 2017, for assignment of license WQGN602, as set forth in Appendix A, ARE DISMISSED as moot.</w:t>
      </w:r>
    </w:p>
    <w:p w14:paraId="63D92FDD" w14:textId="77777777" w:rsidR="004243C6" w:rsidRPr="006E6CFA" w:rsidRDefault="004243C6" w:rsidP="004243C6">
      <w:pPr>
        <w:pStyle w:val="ParaNum"/>
        <w:numPr>
          <w:ilvl w:val="0"/>
          <w:numId w:val="11"/>
        </w:numPr>
        <w:tabs>
          <w:tab w:val="left" w:pos="720"/>
          <w:tab w:val="left" w:pos="1080"/>
        </w:tabs>
        <w:spacing w:after="220"/>
        <w:rPr>
          <w:b/>
        </w:rPr>
      </w:pPr>
      <w:r>
        <w:t>These actions are taken under delegated authority pursuant to Sections 0.131 and 0.331 of the Commission’s rules, 47 C.F.R. §§ 0.131, 0.331.</w:t>
      </w:r>
    </w:p>
    <w:p w14:paraId="1E0E304A" w14:textId="77777777" w:rsidR="004243C6" w:rsidRDefault="004243C6" w:rsidP="004243C6">
      <w:pPr>
        <w:pStyle w:val="ParaNum"/>
        <w:numPr>
          <w:ilvl w:val="0"/>
          <w:numId w:val="0"/>
        </w:numPr>
        <w:tabs>
          <w:tab w:val="left" w:pos="720"/>
          <w:tab w:val="left" w:pos="1080"/>
        </w:tabs>
      </w:pPr>
    </w:p>
    <w:p w14:paraId="215F5C27" w14:textId="77777777" w:rsidR="004243C6" w:rsidRDefault="004243C6" w:rsidP="004243C6">
      <w:pPr>
        <w:pStyle w:val="ParaNum"/>
        <w:numPr>
          <w:ilvl w:val="0"/>
          <w:numId w:val="0"/>
        </w:numPr>
        <w:tabs>
          <w:tab w:val="left" w:pos="720"/>
          <w:tab w:val="left" w:pos="1080"/>
        </w:tabs>
        <w:ind w:left="4320"/>
      </w:pPr>
      <w:r>
        <w:t>FEDERAL COMMUNICATIONS COMMISSION</w:t>
      </w:r>
    </w:p>
    <w:p w14:paraId="625F12C4" w14:textId="77777777" w:rsidR="004243C6" w:rsidRDefault="004243C6" w:rsidP="004243C6">
      <w:pPr>
        <w:pStyle w:val="ParaNum"/>
        <w:numPr>
          <w:ilvl w:val="0"/>
          <w:numId w:val="0"/>
        </w:numPr>
        <w:tabs>
          <w:tab w:val="left" w:pos="720"/>
          <w:tab w:val="left" w:pos="1080"/>
        </w:tabs>
        <w:ind w:left="4320"/>
      </w:pPr>
    </w:p>
    <w:p w14:paraId="745FD7CB" w14:textId="77777777" w:rsidR="004243C6" w:rsidRDefault="004243C6" w:rsidP="004243C6">
      <w:pPr>
        <w:pStyle w:val="ParaNum"/>
        <w:numPr>
          <w:ilvl w:val="0"/>
          <w:numId w:val="0"/>
        </w:numPr>
        <w:tabs>
          <w:tab w:val="left" w:pos="720"/>
          <w:tab w:val="left" w:pos="1080"/>
        </w:tabs>
        <w:ind w:left="4320"/>
      </w:pPr>
    </w:p>
    <w:p w14:paraId="1BE68AD9" w14:textId="77777777" w:rsidR="004243C6" w:rsidRDefault="004243C6" w:rsidP="004243C6">
      <w:pPr>
        <w:pStyle w:val="ParaNum"/>
        <w:numPr>
          <w:ilvl w:val="0"/>
          <w:numId w:val="0"/>
        </w:numPr>
        <w:tabs>
          <w:tab w:val="left" w:pos="720"/>
          <w:tab w:val="left" w:pos="1080"/>
        </w:tabs>
        <w:spacing w:after="0"/>
        <w:ind w:left="4320"/>
      </w:pPr>
      <w:r>
        <w:t>Roger S. Noel</w:t>
      </w:r>
    </w:p>
    <w:p w14:paraId="7669634C" w14:textId="77777777" w:rsidR="004243C6" w:rsidRDefault="004243C6" w:rsidP="004243C6">
      <w:pPr>
        <w:pStyle w:val="ParaNum"/>
        <w:numPr>
          <w:ilvl w:val="0"/>
          <w:numId w:val="0"/>
        </w:numPr>
        <w:tabs>
          <w:tab w:val="left" w:pos="720"/>
          <w:tab w:val="left" w:pos="1080"/>
        </w:tabs>
        <w:spacing w:after="0"/>
        <w:ind w:left="4320"/>
      </w:pPr>
      <w:r>
        <w:t>Chief, Mobility Division</w:t>
      </w:r>
    </w:p>
    <w:p w14:paraId="44134ADA" w14:textId="77777777" w:rsidR="004243C6" w:rsidRDefault="004243C6" w:rsidP="004243C6">
      <w:pPr>
        <w:pStyle w:val="ParaNum"/>
        <w:numPr>
          <w:ilvl w:val="0"/>
          <w:numId w:val="0"/>
        </w:numPr>
        <w:tabs>
          <w:tab w:val="left" w:pos="720"/>
          <w:tab w:val="left" w:pos="1080"/>
        </w:tabs>
        <w:spacing w:after="0"/>
        <w:ind w:left="4320"/>
        <w:sectPr w:rsidR="004243C6" w:rsidSect="004243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docGrid w:linePitch="299"/>
        </w:sectPr>
      </w:pPr>
      <w:r>
        <w:t>Wireless Telecommunications Bureau</w:t>
      </w:r>
    </w:p>
    <w:p w14:paraId="332B6AEF" w14:textId="77777777" w:rsidR="004243C6" w:rsidRDefault="004243C6" w:rsidP="004243C6">
      <w:pPr>
        <w:pStyle w:val="ParaNum"/>
        <w:numPr>
          <w:ilvl w:val="0"/>
          <w:numId w:val="0"/>
        </w:numPr>
        <w:tabs>
          <w:tab w:val="left" w:pos="720"/>
          <w:tab w:val="left" w:pos="1080"/>
        </w:tabs>
        <w:spacing w:after="0"/>
        <w:jc w:val="center"/>
        <w:rPr>
          <w:b/>
        </w:rPr>
      </w:pPr>
      <w:r>
        <w:rPr>
          <w:b/>
        </w:rPr>
        <w:t>APPENDIX A</w:t>
      </w:r>
    </w:p>
    <w:p w14:paraId="23B20F38" w14:textId="77777777" w:rsidR="004243C6" w:rsidRDefault="004243C6" w:rsidP="004243C6">
      <w:pPr>
        <w:pStyle w:val="ParaNum"/>
        <w:numPr>
          <w:ilvl w:val="0"/>
          <w:numId w:val="0"/>
        </w:numPr>
        <w:tabs>
          <w:tab w:val="left" w:pos="720"/>
          <w:tab w:val="left" w:pos="1080"/>
        </w:tabs>
        <w:spacing w:after="0"/>
        <w:jc w:val="center"/>
        <w:rPr>
          <w:b/>
        </w:rPr>
      </w:pPr>
    </w:p>
    <w:p w14:paraId="00FE9A42" w14:textId="77777777" w:rsidR="004243C6" w:rsidRPr="0095783A" w:rsidRDefault="004243C6" w:rsidP="004243C6">
      <w:pPr>
        <w:pStyle w:val="ParaNum"/>
        <w:numPr>
          <w:ilvl w:val="0"/>
          <w:numId w:val="0"/>
        </w:numPr>
        <w:tabs>
          <w:tab w:val="left" w:pos="720"/>
          <w:tab w:val="left" w:pos="1080"/>
        </w:tabs>
        <w:spacing w:after="0"/>
        <w:rPr>
          <w:b/>
          <w:szCs w:val="22"/>
        </w:rPr>
      </w:pPr>
      <w:r w:rsidRPr="0095783A">
        <w:rPr>
          <w:b/>
          <w:szCs w:val="22"/>
        </w:rPr>
        <w:t>Helen Wong-Armijo Licenses:</w:t>
      </w:r>
    </w:p>
    <w:tbl>
      <w:tblPr>
        <w:tblW w:w="9540" w:type="dxa"/>
        <w:jc w:val="center"/>
        <w:tblLayout w:type="fixed"/>
        <w:tblLook w:val="04A0" w:firstRow="1" w:lastRow="0" w:firstColumn="1" w:lastColumn="0" w:noHBand="0" w:noVBand="1"/>
      </w:tblPr>
      <w:tblGrid>
        <w:gridCol w:w="1350"/>
        <w:gridCol w:w="1170"/>
        <w:gridCol w:w="1975"/>
        <w:gridCol w:w="1265"/>
        <w:gridCol w:w="990"/>
        <w:gridCol w:w="1080"/>
        <w:gridCol w:w="1710"/>
      </w:tblGrid>
      <w:tr w:rsidR="004243C6" w:rsidRPr="0095783A" w14:paraId="6AC300E6"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hideMark/>
          </w:tcPr>
          <w:p w14:paraId="42709152" w14:textId="77777777" w:rsidR="004243C6" w:rsidRPr="0095783A" w:rsidRDefault="004243C6" w:rsidP="004243C6">
            <w:pPr>
              <w:rPr>
                <w:b/>
                <w:bCs/>
                <w:szCs w:val="22"/>
              </w:rPr>
            </w:pPr>
            <w:r w:rsidRPr="0095783A">
              <w:rPr>
                <w:b/>
                <w:bCs/>
                <w:szCs w:val="22"/>
              </w:rPr>
              <w:br w:type="page"/>
              <w:t>File Number</w:t>
            </w:r>
          </w:p>
        </w:tc>
        <w:tc>
          <w:tcPr>
            <w:tcW w:w="1170" w:type="dxa"/>
            <w:tcBorders>
              <w:top w:val="single" w:sz="4" w:space="0" w:color="CCCCFF"/>
              <w:left w:val="nil"/>
              <w:bottom w:val="single" w:sz="4" w:space="0" w:color="CCCCFF"/>
              <w:right w:val="single" w:sz="4" w:space="0" w:color="CCCCFF"/>
            </w:tcBorders>
            <w:shd w:val="clear" w:color="FFFFFF" w:fill="FFFFFF"/>
            <w:vAlign w:val="center"/>
            <w:hideMark/>
          </w:tcPr>
          <w:p w14:paraId="7383CB3B" w14:textId="77777777" w:rsidR="004243C6" w:rsidRPr="0095783A" w:rsidRDefault="004243C6" w:rsidP="004243C6">
            <w:pPr>
              <w:rPr>
                <w:b/>
                <w:bCs/>
                <w:szCs w:val="22"/>
              </w:rPr>
            </w:pPr>
            <w:r w:rsidRPr="0095783A">
              <w:rPr>
                <w:b/>
                <w:bCs/>
                <w:szCs w:val="22"/>
              </w:rPr>
              <w:t>Call Sign</w:t>
            </w:r>
          </w:p>
        </w:tc>
        <w:tc>
          <w:tcPr>
            <w:tcW w:w="1975" w:type="dxa"/>
            <w:tcBorders>
              <w:top w:val="single" w:sz="4" w:space="0" w:color="CCCCFF"/>
              <w:left w:val="nil"/>
              <w:bottom w:val="single" w:sz="4" w:space="0" w:color="CCCCFF"/>
              <w:right w:val="single" w:sz="4" w:space="0" w:color="CCCCFF"/>
            </w:tcBorders>
            <w:shd w:val="clear" w:color="FFFFFF" w:fill="FFFFFF"/>
            <w:vAlign w:val="center"/>
            <w:hideMark/>
          </w:tcPr>
          <w:p w14:paraId="221896F0" w14:textId="77777777" w:rsidR="004243C6" w:rsidRPr="0095783A" w:rsidRDefault="004243C6" w:rsidP="004243C6">
            <w:pPr>
              <w:rPr>
                <w:b/>
                <w:bCs/>
                <w:szCs w:val="22"/>
              </w:rPr>
            </w:pPr>
            <w:r w:rsidRPr="0095783A">
              <w:rPr>
                <w:b/>
                <w:bCs/>
                <w:szCs w:val="22"/>
              </w:rPr>
              <w:t>Purpose</w:t>
            </w:r>
          </w:p>
        </w:tc>
        <w:tc>
          <w:tcPr>
            <w:tcW w:w="1265" w:type="dxa"/>
            <w:tcBorders>
              <w:top w:val="single" w:sz="4" w:space="0" w:color="CCCCFF"/>
              <w:left w:val="nil"/>
              <w:bottom w:val="single" w:sz="4" w:space="0" w:color="CCCCFF"/>
              <w:right w:val="single" w:sz="4" w:space="0" w:color="CCCCFF"/>
            </w:tcBorders>
            <w:shd w:val="clear" w:color="FFFFFF" w:fill="FFFFFF"/>
            <w:vAlign w:val="center"/>
            <w:hideMark/>
          </w:tcPr>
          <w:p w14:paraId="24633C72" w14:textId="77777777" w:rsidR="004243C6" w:rsidRPr="0095783A" w:rsidRDefault="004243C6" w:rsidP="004243C6">
            <w:pPr>
              <w:rPr>
                <w:b/>
                <w:bCs/>
                <w:szCs w:val="22"/>
              </w:rPr>
            </w:pPr>
            <w:r w:rsidRPr="0095783A">
              <w:rPr>
                <w:b/>
                <w:bCs/>
                <w:szCs w:val="22"/>
              </w:rPr>
              <w:t>Receipt Date</w:t>
            </w:r>
          </w:p>
        </w:tc>
        <w:tc>
          <w:tcPr>
            <w:tcW w:w="990" w:type="dxa"/>
            <w:tcBorders>
              <w:top w:val="single" w:sz="4" w:space="0" w:color="CCCCFF"/>
              <w:left w:val="nil"/>
              <w:bottom w:val="single" w:sz="4" w:space="0" w:color="CCCCFF"/>
              <w:right w:val="single" w:sz="4" w:space="0" w:color="CCCCFF"/>
            </w:tcBorders>
            <w:shd w:val="clear" w:color="FFFFFF" w:fill="FFFFFF"/>
            <w:vAlign w:val="bottom"/>
            <w:hideMark/>
          </w:tcPr>
          <w:p w14:paraId="0E12B14A" w14:textId="77777777" w:rsidR="004243C6" w:rsidRPr="0095783A" w:rsidRDefault="004243C6" w:rsidP="004243C6">
            <w:pPr>
              <w:rPr>
                <w:b/>
                <w:bCs/>
                <w:szCs w:val="22"/>
              </w:rPr>
            </w:pPr>
            <w:r w:rsidRPr="0095783A">
              <w:rPr>
                <w:b/>
                <w:bCs/>
                <w:szCs w:val="22"/>
              </w:rPr>
              <w:t>Radio Service Code</w:t>
            </w:r>
          </w:p>
        </w:tc>
        <w:tc>
          <w:tcPr>
            <w:tcW w:w="1080" w:type="dxa"/>
            <w:tcBorders>
              <w:top w:val="single" w:sz="4" w:space="0" w:color="CCCCFF"/>
              <w:left w:val="nil"/>
              <w:bottom w:val="single" w:sz="4" w:space="0" w:color="CCCCFF"/>
              <w:right w:val="single" w:sz="4" w:space="0" w:color="CCCCFF"/>
            </w:tcBorders>
            <w:shd w:val="clear" w:color="FFFFFF" w:fill="FFFFFF"/>
            <w:vAlign w:val="center"/>
            <w:hideMark/>
          </w:tcPr>
          <w:p w14:paraId="7E282F7B" w14:textId="77777777" w:rsidR="004243C6" w:rsidRPr="0095783A" w:rsidRDefault="004243C6" w:rsidP="004243C6">
            <w:pPr>
              <w:rPr>
                <w:b/>
                <w:bCs/>
                <w:szCs w:val="22"/>
              </w:rPr>
            </w:pPr>
            <w:r w:rsidRPr="0095783A">
              <w:rPr>
                <w:b/>
                <w:bCs/>
                <w:szCs w:val="22"/>
              </w:rPr>
              <w:t>Channel Block</w:t>
            </w:r>
          </w:p>
        </w:tc>
        <w:tc>
          <w:tcPr>
            <w:tcW w:w="1710" w:type="dxa"/>
            <w:tcBorders>
              <w:top w:val="single" w:sz="4" w:space="0" w:color="CCCCFF"/>
              <w:left w:val="nil"/>
              <w:bottom w:val="single" w:sz="4" w:space="0" w:color="CCCCFF"/>
              <w:right w:val="single" w:sz="4" w:space="0" w:color="CCCCFF"/>
            </w:tcBorders>
            <w:shd w:val="clear" w:color="FFFFFF" w:fill="FFFFFF"/>
            <w:vAlign w:val="center"/>
            <w:hideMark/>
          </w:tcPr>
          <w:p w14:paraId="66B28C73" w14:textId="77777777" w:rsidR="004243C6" w:rsidRPr="0095783A" w:rsidRDefault="004243C6" w:rsidP="004243C6">
            <w:pPr>
              <w:rPr>
                <w:b/>
                <w:bCs/>
                <w:szCs w:val="22"/>
              </w:rPr>
            </w:pPr>
            <w:r w:rsidRPr="0095783A">
              <w:rPr>
                <w:b/>
                <w:bCs/>
                <w:szCs w:val="22"/>
              </w:rPr>
              <w:t>Market Name</w:t>
            </w:r>
          </w:p>
        </w:tc>
      </w:tr>
      <w:tr w:rsidR="004243C6" w:rsidRPr="0095783A" w14:paraId="1A77278D"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60671B0" w14:textId="77777777" w:rsidR="004243C6" w:rsidRPr="0095783A" w:rsidRDefault="004243C6" w:rsidP="004243C6">
            <w:pPr>
              <w:rPr>
                <w:bCs/>
                <w:szCs w:val="22"/>
              </w:rPr>
            </w:pPr>
            <w:r w:rsidRPr="0095783A">
              <w:rPr>
                <w:bCs/>
                <w:szCs w:val="22"/>
              </w:rPr>
              <w:t>0007435092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04449A0" w14:textId="77777777" w:rsidR="004243C6" w:rsidRPr="0095783A" w:rsidRDefault="004243C6" w:rsidP="004243C6">
            <w:pPr>
              <w:rPr>
                <w:bCs/>
                <w:szCs w:val="22"/>
              </w:rPr>
            </w:pPr>
            <w:r w:rsidRPr="0095783A">
              <w:rPr>
                <w:bCs/>
                <w:szCs w:val="22"/>
              </w:rPr>
              <w:t>WPTH955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6C94D0C"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39DC1F7"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626FD31"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0CC2030"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1FB8DAE" w14:textId="77777777" w:rsidR="004243C6" w:rsidRPr="0095783A" w:rsidRDefault="004243C6" w:rsidP="004243C6">
            <w:pPr>
              <w:rPr>
                <w:bCs/>
                <w:szCs w:val="22"/>
              </w:rPr>
            </w:pPr>
            <w:r w:rsidRPr="0095783A">
              <w:rPr>
                <w:bCs/>
                <w:szCs w:val="22"/>
              </w:rPr>
              <w:t>Salisbury, MD-DE-VA</w:t>
            </w:r>
          </w:p>
        </w:tc>
      </w:tr>
      <w:tr w:rsidR="004243C6" w:rsidRPr="0095783A" w14:paraId="35F4EFDB"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8351B4F" w14:textId="77777777" w:rsidR="004243C6" w:rsidRPr="0095783A" w:rsidRDefault="004243C6" w:rsidP="004243C6">
            <w:pPr>
              <w:rPr>
                <w:bCs/>
                <w:szCs w:val="22"/>
              </w:rPr>
            </w:pPr>
            <w:r w:rsidRPr="0095783A">
              <w:rPr>
                <w:bCs/>
                <w:szCs w:val="22"/>
              </w:rPr>
              <w:t>0007450628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865880B" w14:textId="77777777" w:rsidR="004243C6" w:rsidRPr="0095783A" w:rsidRDefault="004243C6" w:rsidP="004243C6">
            <w:pPr>
              <w:rPr>
                <w:bCs/>
                <w:szCs w:val="22"/>
              </w:rPr>
            </w:pPr>
            <w:r w:rsidRPr="0095783A">
              <w:rPr>
                <w:bCs/>
                <w:szCs w:val="22"/>
              </w:rPr>
              <w:t>WPTH955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A20E42A"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ADDF4C0"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0034D41"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9B798D7"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36F7555" w14:textId="77777777" w:rsidR="004243C6" w:rsidRPr="0095783A" w:rsidRDefault="004243C6" w:rsidP="004243C6">
            <w:pPr>
              <w:rPr>
                <w:bCs/>
                <w:szCs w:val="22"/>
              </w:rPr>
            </w:pPr>
            <w:r w:rsidRPr="0095783A">
              <w:rPr>
                <w:bCs/>
                <w:szCs w:val="22"/>
              </w:rPr>
              <w:t>Salisbury, MD-DE-VA</w:t>
            </w:r>
          </w:p>
        </w:tc>
      </w:tr>
      <w:tr w:rsidR="004243C6" w:rsidRPr="0095783A" w14:paraId="0F1C62B4"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0A28452" w14:textId="77777777" w:rsidR="004243C6" w:rsidRPr="0095783A" w:rsidRDefault="004243C6" w:rsidP="004243C6">
            <w:pPr>
              <w:rPr>
                <w:bCs/>
                <w:szCs w:val="22"/>
              </w:rPr>
            </w:pPr>
            <w:r w:rsidRPr="0095783A">
              <w:rPr>
                <w:bCs/>
                <w:szCs w:val="22"/>
              </w:rPr>
              <w:t>0007435093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5BAF682" w14:textId="77777777" w:rsidR="004243C6" w:rsidRPr="0095783A" w:rsidRDefault="004243C6" w:rsidP="004243C6">
            <w:pPr>
              <w:rPr>
                <w:bCs/>
                <w:szCs w:val="22"/>
              </w:rPr>
            </w:pPr>
            <w:r w:rsidRPr="0095783A">
              <w:rPr>
                <w:bCs/>
                <w:szCs w:val="22"/>
              </w:rPr>
              <w:t>WPTH956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08FC653"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6B8239D"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13B002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F80870B"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0C98C69" w14:textId="77777777" w:rsidR="004243C6" w:rsidRPr="0095783A" w:rsidRDefault="004243C6" w:rsidP="004243C6">
            <w:pPr>
              <w:rPr>
                <w:bCs/>
                <w:szCs w:val="22"/>
              </w:rPr>
            </w:pPr>
            <w:r w:rsidRPr="0095783A">
              <w:rPr>
                <w:bCs/>
                <w:szCs w:val="22"/>
              </w:rPr>
              <w:t>Staunton, VA-WV</w:t>
            </w:r>
          </w:p>
        </w:tc>
      </w:tr>
      <w:tr w:rsidR="004243C6" w:rsidRPr="0095783A" w14:paraId="1B42C640"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F033C9A" w14:textId="77777777" w:rsidR="004243C6" w:rsidRPr="0095783A" w:rsidRDefault="004243C6" w:rsidP="004243C6">
            <w:pPr>
              <w:rPr>
                <w:bCs/>
                <w:szCs w:val="22"/>
              </w:rPr>
            </w:pPr>
            <w:r w:rsidRPr="0095783A">
              <w:rPr>
                <w:bCs/>
                <w:szCs w:val="22"/>
              </w:rPr>
              <w:t>0007450629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A38B60A" w14:textId="77777777" w:rsidR="004243C6" w:rsidRPr="0095783A" w:rsidRDefault="004243C6" w:rsidP="004243C6">
            <w:pPr>
              <w:rPr>
                <w:bCs/>
                <w:szCs w:val="22"/>
              </w:rPr>
            </w:pPr>
            <w:r w:rsidRPr="0095783A">
              <w:rPr>
                <w:bCs/>
                <w:szCs w:val="22"/>
              </w:rPr>
              <w:t>WPTH956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CAC6C27"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DBE2227"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2313A77"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59CAA4B"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63DC887" w14:textId="77777777" w:rsidR="004243C6" w:rsidRPr="0095783A" w:rsidRDefault="004243C6" w:rsidP="004243C6">
            <w:pPr>
              <w:rPr>
                <w:bCs/>
                <w:szCs w:val="22"/>
              </w:rPr>
            </w:pPr>
            <w:r w:rsidRPr="0095783A">
              <w:rPr>
                <w:bCs/>
                <w:szCs w:val="22"/>
              </w:rPr>
              <w:t>Staunton, VA-WV</w:t>
            </w:r>
          </w:p>
        </w:tc>
      </w:tr>
      <w:tr w:rsidR="004243C6" w:rsidRPr="0095783A" w14:paraId="611CF919"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BBC4B9B" w14:textId="77777777" w:rsidR="004243C6" w:rsidRPr="0095783A" w:rsidRDefault="004243C6" w:rsidP="004243C6">
            <w:pPr>
              <w:rPr>
                <w:bCs/>
                <w:szCs w:val="22"/>
              </w:rPr>
            </w:pPr>
            <w:r w:rsidRPr="0095783A">
              <w:rPr>
                <w:bCs/>
                <w:szCs w:val="22"/>
              </w:rPr>
              <w:t>0007435094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1AD68A7" w14:textId="77777777" w:rsidR="004243C6" w:rsidRPr="0095783A" w:rsidRDefault="004243C6" w:rsidP="004243C6">
            <w:pPr>
              <w:rPr>
                <w:bCs/>
                <w:szCs w:val="22"/>
              </w:rPr>
            </w:pPr>
            <w:r w:rsidRPr="0095783A">
              <w:rPr>
                <w:bCs/>
                <w:szCs w:val="22"/>
              </w:rPr>
              <w:t>WPTH957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494A582"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59E5A13"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6F24952"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7F38E07"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59C8813" w14:textId="77777777" w:rsidR="004243C6" w:rsidRPr="0095783A" w:rsidRDefault="004243C6" w:rsidP="004243C6">
            <w:pPr>
              <w:rPr>
                <w:bCs/>
                <w:szCs w:val="22"/>
              </w:rPr>
            </w:pPr>
            <w:r w:rsidRPr="0095783A">
              <w:rPr>
                <w:bCs/>
                <w:szCs w:val="22"/>
              </w:rPr>
              <w:t>Fayetteville, NC</w:t>
            </w:r>
          </w:p>
        </w:tc>
      </w:tr>
      <w:tr w:rsidR="004243C6" w:rsidRPr="0095783A" w14:paraId="2307DAB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F8D16C4" w14:textId="77777777" w:rsidR="004243C6" w:rsidRPr="0095783A" w:rsidRDefault="004243C6" w:rsidP="004243C6">
            <w:pPr>
              <w:rPr>
                <w:bCs/>
                <w:szCs w:val="22"/>
              </w:rPr>
            </w:pPr>
            <w:r w:rsidRPr="0095783A">
              <w:rPr>
                <w:bCs/>
                <w:szCs w:val="22"/>
              </w:rPr>
              <w:t>0007450630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2AF1925" w14:textId="77777777" w:rsidR="004243C6" w:rsidRPr="0095783A" w:rsidRDefault="004243C6" w:rsidP="004243C6">
            <w:pPr>
              <w:rPr>
                <w:bCs/>
                <w:szCs w:val="22"/>
              </w:rPr>
            </w:pPr>
            <w:r w:rsidRPr="0095783A">
              <w:rPr>
                <w:bCs/>
                <w:szCs w:val="22"/>
              </w:rPr>
              <w:t>WPTH957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2648645"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57FD924"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4B9E5EA"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AB5FF73"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315B684" w14:textId="77777777" w:rsidR="004243C6" w:rsidRPr="0095783A" w:rsidRDefault="004243C6" w:rsidP="004243C6">
            <w:pPr>
              <w:rPr>
                <w:bCs/>
                <w:szCs w:val="22"/>
              </w:rPr>
            </w:pPr>
            <w:r w:rsidRPr="0095783A">
              <w:rPr>
                <w:bCs/>
                <w:szCs w:val="22"/>
              </w:rPr>
              <w:t>Fayetteville, NC</w:t>
            </w:r>
          </w:p>
        </w:tc>
      </w:tr>
      <w:tr w:rsidR="004243C6" w:rsidRPr="0095783A" w14:paraId="1382CC40"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F5D9223" w14:textId="77777777" w:rsidR="004243C6" w:rsidRPr="0095783A" w:rsidRDefault="004243C6" w:rsidP="004243C6">
            <w:pPr>
              <w:rPr>
                <w:bCs/>
                <w:szCs w:val="22"/>
              </w:rPr>
            </w:pPr>
            <w:r w:rsidRPr="0095783A">
              <w:rPr>
                <w:bCs/>
                <w:szCs w:val="22"/>
              </w:rPr>
              <w:t>0007435095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3BC40C0" w14:textId="77777777" w:rsidR="004243C6" w:rsidRPr="0095783A" w:rsidRDefault="004243C6" w:rsidP="004243C6">
            <w:pPr>
              <w:rPr>
                <w:bCs/>
                <w:szCs w:val="22"/>
              </w:rPr>
            </w:pPr>
            <w:r w:rsidRPr="0095783A">
              <w:rPr>
                <w:bCs/>
                <w:szCs w:val="22"/>
              </w:rPr>
              <w:t>WPTH958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80CDF4B"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0DEF60C"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491EDDE"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D5F50BC"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CA93C80" w14:textId="77777777" w:rsidR="004243C6" w:rsidRPr="0095783A" w:rsidRDefault="004243C6" w:rsidP="004243C6">
            <w:pPr>
              <w:rPr>
                <w:bCs/>
                <w:szCs w:val="22"/>
              </w:rPr>
            </w:pPr>
            <w:r w:rsidRPr="0095783A">
              <w:rPr>
                <w:bCs/>
                <w:szCs w:val="22"/>
              </w:rPr>
              <w:t>Fayetteville, NC</w:t>
            </w:r>
          </w:p>
        </w:tc>
      </w:tr>
      <w:tr w:rsidR="004243C6" w:rsidRPr="0095783A" w14:paraId="2A89C4FA"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BE26D3F" w14:textId="77777777" w:rsidR="004243C6" w:rsidRPr="0095783A" w:rsidRDefault="004243C6" w:rsidP="004243C6">
            <w:pPr>
              <w:rPr>
                <w:bCs/>
                <w:szCs w:val="22"/>
              </w:rPr>
            </w:pPr>
            <w:r w:rsidRPr="0095783A">
              <w:rPr>
                <w:bCs/>
                <w:szCs w:val="22"/>
              </w:rPr>
              <w:t>0007450631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885D3FD" w14:textId="77777777" w:rsidR="004243C6" w:rsidRPr="0095783A" w:rsidRDefault="004243C6" w:rsidP="004243C6">
            <w:pPr>
              <w:rPr>
                <w:bCs/>
                <w:szCs w:val="22"/>
              </w:rPr>
            </w:pPr>
            <w:r w:rsidRPr="0095783A">
              <w:rPr>
                <w:bCs/>
                <w:szCs w:val="22"/>
              </w:rPr>
              <w:t>WPTH958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1228367"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417CEE0"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06833A6"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8926410"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3157DD9" w14:textId="77777777" w:rsidR="004243C6" w:rsidRPr="0095783A" w:rsidRDefault="004243C6" w:rsidP="004243C6">
            <w:pPr>
              <w:rPr>
                <w:bCs/>
                <w:szCs w:val="22"/>
              </w:rPr>
            </w:pPr>
            <w:r w:rsidRPr="0095783A">
              <w:rPr>
                <w:bCs/>
                <w:szCs w:val="22"/>
              </w:rPr>
              <w:t>Fayetteville, NC</w:t>
            </w:r>
          </w:p>
        </w:tc>
      </w:tr>
      <w:tr w:rsidR="004243C6" w:rsidRPr="0095783A" w14:paraId="3A610D90"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25667D1" w14:textId="77777777" w:rsidR="004243C6" w:rsidRPr="0095783A" w:rsidRDefault="004243C6" w:rsidP="004243C6">
            <w:pPr>
              <w:rPr>
                <w:bCs/>
                <w:szCs w:val="22"/>
              </w:rPr>
            </w:pPr>
            <w:r w:rsidRPr="0095783A">
              <w:rPr>
                <w:bCs/>
                <w:szCs w:val="22"/>
              </w:rPr>
              <w:t>0007435096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7D96ADB" w14:textId="77777777" w:rsidR="004243C6" w:rsidRPr="0095783A" w:rsidRDefault="004243C6" w:rsidP="004243C6">
            <w:pPr>
              <w:rPr>
                <w:bCs/>
                <w:szCs w:val="22"/>
              </w:rPr>
            </w:pPr>
            <w:r w:rsidRPr="0095783A">
              <w:rPr>
                <w:bCs/>
                <w:szCs w:val="22"/>
              </w:rPr>
              <w:t>WPTH959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AE53AA9"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70853D7"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5852F0E"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16AFEA9"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0B85351" w14:textId="77777777" w:rsidR="004243C6" w:rsidRPr="0095783A" w:rsidRDefault="004243C6" w:rsidP="004243C6">
            <w:pPr>
              <w:rPr>
                <w:bCs/>
                <w:szCs w:val="22"/>
              </w:rPr>
            </w:pPr>
            <w:r w:rsidRPr="0095783A">
              <w:rPr>
                <w:bCs/>
                <w:szCs w:val="22"/>
              </w:rPr>
              <w:t>Dothan, AL-FL-GA</w:t>
            </w:r>
          </w:p>
        </w:tc>
      </w:tr>
      <w:tr w:rsidR="004243C6" w:rsidRPr="0095783A" w14:paraId="02FA16CF"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8522910" w14:textId="77777777" w:rsidR="004243C6" w:rsidRPr="0095783A" w:rsidRDefault="004243C6" w:rsidP="004243C6">
            <w:pPr>
              <w:rPr>
                <w:bCs/>
                <w:szCs w:val="22"/>
              </w:rPr>
            </w:pPr>
            <w:r w:rsidRPr="0095783A">
              <w:rPr>
                <w:bCs/>
                <w:szCs w:val="22"/>
              </w:rPr>
              <w:t>0007450632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2FE0A94" w14:textId="77777777" w:rsidR="004243C6" w:rsidRPr="0095783A" w:rsidRDefault="004243C6" w:rsidP="004243C6">
            <w:pPr>
              <w:rPr>
                <w:bCs/>
                <w:szCs w:val="22"/>
              </w:rPr>
            </w:pPr>
            <w:r w:rsidRPr="0095783A">
              <w:rPr>
                <w:bCs/>
                <w:szCs w:val="22"/>
              </w:rPr>
              <w:t>WPTH959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6E89959"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44FAD0B"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FAE644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04AA7A1"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B0D942B" w14:textId="77777777" w:rsidR="004243C6" w:rsidRPr="0095783A" w:rsidRDefault="004243C6" w:rsidP="004243C6">
            <w:pPr>
              <w:rPr>
                <w:bCs/>
                <w:szCs w:val="22"/>
              </w:rPr>
            </w:pPr>
            <w:r w:rsidRPr="0095783A">
              <w:rPr>
                <w:bCs/>
                <w:szCs w:val="22"/>
              </w:rPr>
              <w:t>Dothan, AL-FL-GA</w:t>
            </w:r>
          </w:p>
        </w:tc>
      </w:tr>
      <w:tr w:rsidR="004243C6" w:rsidRPr="0095783A" w14:paraId="65A1EF05"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F49A6F0" w14:textId="77777777" w:rsidR="004243C6" w:rsidRPr="0095783A" w:rsidRDefault="004243C6" w:rsidP="004243C6">
            <w:pPr>
              <w:rPr>
                <w:bCs/>
                <w:szCs w:val="22"/>
              </w:rPr>
            </w:pPr>
            <w:r w:rsidRPr="0095783A">
              <w:rPr>
                <w:bCs/>
                <w:szCs w:val="22"/>
              </w:rPr>
              <w:t>0007435097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79637AE" w14:textId="77777777" w:rsidR="004243C6" w:rsidRPr="0095783A" w:rsidRDefault="004243C6" w:rsidP="004243C6">
            <w:pPr>
              <w:rPr>
                <w:bCs/>
                <w:szCs w:val="22"/>
              </w:rPr>
            </w:pPr>
            <w:r w:rsidRPr="0095783A">
              <w:rPr>
                <w:bCs/>
                <w:szCs w:val="22"/>
              </w:rPr>
              <w:t>WPTH960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8E2EDAC"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4C4A2B1"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6A25DE2"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DF86B11"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E3014FD" w14:textId="77777777" w:rsidR="004243C6" w:rsidRPr="0095783A" w:rsidRDefault="004243C6" w:rsidP="004243C6">
            <w:pPr>
              <w:rPr>
                <w:bCs/>
                <w:szCs w:val="22"/>
              </w:rPr>
            </w:pPr>
            <w:r w:rsidRPr="0095783A">
              <w:rPr>
                <w:bCs/>
                <w:szCs w:val="22"/>
              </w:rPr>
              <w:t>Dothan, AL-FL-GA</w:t>
            </w:r>
          </w:p>
        </w:tc>
      </w:tr>
      <w:tr w:rsidR="004243C6" w:rsidRPr="0095783A" w14:paraId="197B6AE5"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05B8D1A" w14:textId="77777777" w:rsidR="004243C6" w:rsidRPr="0095783A" w:rsidRDefault="004243C6" w:rsidP="004243C6">
            <w:pPr>
              <w:rPr>
                <w:bCs/>
                <w:szCs w:val="22"/>
              </w:rPr>
            </w:pPr>
            <w:r w:rsidRPr="0095783A">
              <w:rPr>
                <w:bCs/>
                <w:szCs w:val="22"/>
              </w:rPr>
              <w:t>0007450633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340E2B5" w14:textId="77777777" w:rsidR="004243C6" w:rsidRPr="0095783A" w:rsidRDefault="004243C6" w:rsidP="004243C6">
            <w:pPr>
              <w:rPr>
                <w:bCs/>
                <w:szCs w:val="22"/>
              </w:rPr>
            </w:pPr>
            <w:r w:rsidRPr="0095783A">
              <w:rPr>
                <w:bCs/>
                <w:szCs w:val="22"/>
              </w:rPr>
              <w:t>WPTH960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B45FF71"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76542AF"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2BBE2A2"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CF21707"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E6A2789" w14:textId="77777777" w:rsidR="004243C6" w:rsidRPr="0095783A" w:rsidRDefault="004243C6" w:rsidP="004243C6">
            <w:pPr>
              <w:rPr>
                <w:bCs/>
                <w:szCs w:val="22"/>
              </w:rPr>
            </w:pPr>
            <w:r w:rsidRPr="0095783A">
              <w:rPr>
                <w:bCs/>
                <w:szCs w:val="22"/>
              </w:rPr>
              <w:t>Dothan, AL-FL-GA</w:t>
            </w:r>
          </w:p>
        </w:tc>
      </w:tr>
      <w:tr w:rsidR="004243C6" w:rsidRPr="0095783A" w14:paraId="2651E18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EC0888B" w14:textId="77777777" w:rsidR="004243C6" w:rsidRPr="0095783A" w:rsidRDefault="004243C6" w:rsidP="004243C6">
            <w:pPr>
              <w:rPr>
                <w:bCs/>
                <w:szCs w:val="22"/>
              </w:rPr>
            </w:pPr>
            <w:r w:rsidRPr="0095783A">
              <w:rPr>
                <w:bCs/>
                <w:szCs w:val="22"/>
              </w:rPr>
              <w:t>0007435098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B42FC90" w14:textId="77777777" w:rsidR="004243C6" w:rsidRPr="0095783A" w:rsidRDefault="004243C6" w:rsidP="004243C6">
            <w:pPr>
              <w:rPr>
                <w:bCs/>
                <w:szCs w:val="22"/>
              </w:rPr>
            </w:pPr>
            <w:r w:rsidRPr="0095783A">
              <w:rPr>
                <w:bCs/>
                <w:szCs w:val="22"/>
              </w:rPr>
              <w:t>WPTH961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3DFDF67"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E8A4A01"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A461588"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DB4BDFA"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9E8E2CE" w14:textId="77777777" w:rsidR="004243C6" w:rsidRPr="0095783A" w:rsidRDefault="004243C6" w:rsidP="004243C6">
            <w:pPr>
              <w:rPr>
                <w:bCs/>
                <w:szCs w:val="22"/>
              </w:rPr>
            </w:pPr>
            <w:r w:rsidRPr="0095783A">
              <w:rPr>
                <w:bCs/>
                <w:szCs w:val="22"/>
              </w:rPr>
              <w:t>Albany, GA</w:t>
            </w:r>
          </w:p>
        </w:tc>
      </w:tr>
      <w:tr w:rsidR="004243C6" w:rsidRPr="0095783A" w14:paraId="1A40F73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E452EEA" w14:textId="77777777" w:rsidR="004243C6" w:rsidRPr="0095783A" w:rsidRDefault="004243C6" w:rsidP="004243C6">
            <w:pPr>
              <w:rPr>
                <w:bCs/>
                <w:szCs w:val="22"/>
              </w:rPr>
            </w:pPr>
            <w:r w:rsidRPr="0095783A">
              <w:rPr>
                <w:bCs/>
                <w:szCs w:val="22"/>
              </w:rPr>
              <w:t>0007450634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F25960F" w14:textId="77777777" w:rsidR="004243C6" w:rsidRPr="0095783A" w:rsidRDefault="004243C6" w:rsidP="004243C6">
            <w:pPr>
              <w:rPr>
                <w:bCs/>
                <w:szCs w:val="22"/>
              </w:rPr>
            </w:pPr>
            <w:r w:rsidRPr="0095783A">
              <w:rPr>
                <w:bCs/>
                <w:szCs w:val="22"/>
              </w:rPr>
              <w:t>WPTH961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FFA8920"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96B7BFF"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B80CAA5"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6EAC9B8"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849975F" w14:textId="77777777" w:rsidR="004243C6" w:rsidRPr="0095783A" w:rsidRDefault="004243C6" w:rsidP="004243C6">
            <w:pPr>
              <w:rPr>
                <w:bCs/>
                <w:szCs w:val="22"/>
              </w:rPr>
            </w:pPr>
            <w:r w:rsidRPr="0095783A">
              <w:rPr>
                <w:bCs/>
                <w:szCs w:val="22"/>
              </w:rPr>
              <w:t>Albany, GA</w:t>
            </w:r>
          </w:p>
        </w:tc>
      </w:tr>
      <w:tr w:rsidR="004243C6" w:rsidRPr="0095783A" w14:paraId="771E824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9581148" w14:textId="77777777" w:rsidR="004243C6" w:rsidRPr="0095783A" w:rsidRDefault="004243C6" w:rsidP="004243C6">
            <w:pPr>
              <w:rPr>
                <w:bCs/>
                <w:szCs w:val="22"/>
              </w:rPr>
            </w:pPr>
            <w:r w:rsidRPr="0095783A">
              <w:rPr>
                <w:bCs/>
                <w:szCs w:val="22"/>
              </w:rPr>
              <w:t>0007435099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29BC202" w14:textId="77777777" w:rsidR="004243C6" w:rsidRPr="0095783A" w:rsidRDefault="004243C6" w:rsidP="004243C6">
            <w:pPr>
              <w:rPr>
                <w:bCs/>
                <w:szCs w:val="22"/>
              </w:rPr>
            </w:pPr>
            <w:r w:rsidRPr="0095783A">
              <w:rPr>
                <w:bCs/>
                <w:szCs w:val="22"/>
              </w:rPr>
              <w:t>WPTH962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C6EB22D"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DB62DF4"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10DE007"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C584616"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1856FCB" w14:textId="77777777" w:rsidR="004243C6" w:rsidRPr="0095783A" w:rsidRDefault="004243C6" w:rsidP="004243C6">
            <w:pPr>
              <w:rPr>
                <w:bCs/>
                <w:szCs w:val="22"/>
              </w:rPr>
            </w:pPr>
            <w:r w:rsidRPr="0095783A">
              <w:rPr>
                <w:bCs/>
                <w:szCs w:val="22"/>
              </w:rPr>
              <w:t>Albany, GA</w:t>
            </w:r>
          </w:p>
        </w:tc>
      </w:tr>
      <w:tr w:rsidR="004243C6" w:rsidRPr="0095783A" w14:paraId="0D8562C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877EAB4" w14:textId="77777777" w:rsidR="004243C6" w:rsidRPr="0095783A" w:rsidRDefault="004243C6" w:rsidP="004243C6">
            <w:pPr>
              <w:rPr>
                <w:bCs/>
                <w:szCs w:val="22"/>
              </w:rPr>
            </w:pPr>
            <w:r w:rsidRPr="0095783A">
              <w:rPr>
                <w:bCs/>
                <w:szCs w:val="22"/>
              </w:rPr>
              <w:t>0007450635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B73E0C4" w14:textId="77777777" w:rsidR="004243C6" w:rsidRPr="0095783A" w:rsidRDefault="004243C6" w:rsidP="004243C6">
            <w:pPr>
              <w:rPr>
                <w:bCs/>
                <w:szCs w:val="22"/>
              </w:rPr>
            </w:pPr>
            <w:r w:rsidRPr="0095783A">
              <w:rPr>
                <w:bCs/>
                <w:szCs w:val="22"/>
              </w:rPr>
              <w:t>WPTH962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782B631"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C943A5C"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D8FBCFB"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E51AFB1"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ECDF039" w14:textId="77777777" w:rsidR="004243C6" w:rsidRPr="0095783A" w:rsidRDefault="004243C6" w:rsidP="004243C6">
            <w:pPr>
              <w:rPr>
                <w:bCs/>
                <w:szCs w:val="22"/>
              </w:rPr>
            </w:pPr>
            <w:r w:rsidRPr="0095783A">
              <w:rPr>
                <w:bCs/>
                <w:szCs w:val="22"/>
              </w:rPr>
              <w:t>Albany, GA</w:t>
            </w:r>
          </w:p>
        </w:tc>
      </w:tr>
      <w:tr w:rsidR="004243C6" w:rsidRPr="0095783A" w14:paraId="0C1B46B7"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12BE667" w14:textId="77777777" w:rsidR="004243C6" w:rsidRPr="0095783A" w:rsidRDefault="004243C6" w:rsidP="004243C6">
            <w:pPr>
              <w:rPr>
                <w:bCs/>
                <w:szCs w:val="22"/>
              </w:rPr>
            </w:pPr>
            <w:r w:rsidRPr="0095783A">
              <w:rPr>
                <w:bCs/>
                <w:szCs w:val="22"/>
              </w:rPr>
              <w:t>0007435100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C32E366" w14:textId="77777777" w:rsidR="004243C6" w:rsidRPr="0095783A" w:rsidRDefault="004243C6" w:rsidP="004243C6">
            <w:pPr>
              <w:rPr>
                <w:bCs/>
                <w:szCs w:val="22"/>
              </w:rPr>
            </w:pPr>
            <w:r w:rsidRPr="0095783A">
              <w:rPr>
                <w:bCs/>
                <w:szCs w:val="22"/>
              </w:rPr>
              <w:t>WPTH963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74A7BB2"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F784BFC"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507C0B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579E35D"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0140BF3" w14:textId="77777777" w:rsidR="004243C6" w:rsidRPr="0095783A" w:rsidRDefault="004243C6" w:rsidP="004243C6">
            <w:pPr>
              <w:rPr>
                <w:bCs/>
                <w:szCs w:val="22"/>
              </w:rPr>
            </w:pPr>
            <w:r w:rsidRPr="0095783A">
              <w:rPr>
                <w:bCs/>
                <w:szCs w:val="22"/>
              </w:rPr>
              <w:t>Columbus, GA-AL</w:t>
            </w:r>
          </w:p>
        </w:tc>
      </w:tr>
      <w:tr w:rsidR="004243C6" w:rsidRPr="0095783A" w14:paraId="7137345E"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D74A15E" w14:textId="77777777" w:rsidR="004243C6" w:rsidRPr="0095783A" w:rsidRDefault="004243C6" w:rsidP="004243C6">
            <w:pPr>
              <w:rPr>
                <w:bCs/>
                <w:szCs w:val="22"/>
              </w:rPr>
            </w:pPr>
            <w:r w:rsidRPr="0095783A">
              <w:rPr>
                <w:bCs/>
                <w:szCs w:val="22"/>
              </w:rPr>
              <w:t>0007450636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E5F402E" w14:textId="77777777" w:rsidR="004243C6" w:rsidRPr="0095783A" w:rsidRDefault="004243C6" w:rsidP="004243C6">
            <w:pPr>
              <w:rPr>
                <w:bCs/>
                <w:szCs w:val="22"/>
              </w:rPr>
            </w:pPr>
            <w:r w:rsidRPr="0095783A">
              <w:rPr>
                <w:bCs/>
                <w:szCs w:val="22"/>
              </w:rPr>
              <w:t>WPTH963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72E04EB"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B7F8DE6"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773AB49"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B7EFDBD"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1D91CEB" w14:textId="77777777" w:rsidR="004243C6" w:rsidRPr="0095783A" w:rsidRDefault="004243C6" w:rsidP="004243C6">
            <w:pPr>
              <w:rPr>
                <w:bCs/>
                <w:szCs w:val="22"/>
              </w:rPr>
            </w:pPr>
            <w:r w:rsidRPr="0095783A">
              <w:rPr>
                <w:bCs/>
                <w:szCs w:val="22"/>
              </w:rPr>
              <w:t>Columbus, GA-AL</w:t>
            </w:r>
          </w:p>
        </w:tc>
      </w:tr>
      <w:tr w:rsidR="004243C6" w:rsidRPr="0095783A" w14:paraId="1CC82A26"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DE0E18C" w14:textId="77777777" w:rsidR="004243C6" w:rsidRPr="0095783A" w:rsidRDefault="004243C6" w:rsidP="004243C6">
            <w:pPr>
              <w:rPr>
                <w:bCs/>
                <w:szCs w:val="22"/>
              </w:rPr>
            </w:pPr>
            <w:r w:rsidRPr="0095783A">
              <w:rPr>
                <w:bCs/>
                <w:szCs w:val="22"/>
              </w:rPr>
              <w:t>0007435101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739AB2C" w14:textId="77777777" w:rsidR="004243C6" w:rsidRPr="0095783A" w:rsidRDefault="004243C6" w:rsidP="004243C6">
            <w:pPr>
              <w:rPr>
                <w:bCs/>
                <w:szCs w:val="22"/>
              </w:rPr>
            </w:pPr>
            <w:r w:rsidRPr="0095783A">
              <w:rPr>
                <w:bCs/>
                <w:szCs w:val="22"/>
              </w:rPr>
              <w:t>WPTH964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A68A5CE"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BAD9C1E"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E4ADAEE"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8BDA07F"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DC2FF47" w14:textId="77777777" w:rsidR="004243C6" w:rsidRPr="0095783A" w:rsidRDefault="004243C6" w:rsidP="004243C6">
            <w:pPr>
              <w:rPr>
                <w:bCs/>
                <w:szCs w:val="22"/>
              </w:rPr>
            </w:pPr>
            <w:r w:rsidRPr="0095783A">
              <w:rPr>
                <w:bCs/>
                <w:szCs w:val="22"/>
              </w:rPr>
              <w:t>Columbus, GA-AL</w:t>
            </w:r>
          </w:p>
        </w:tc>
      </w:tr>
      <w:tr w:rsidR="004243C6" w:rsidRPr="0095783A" w14:paraId="6FD7FAA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605C819" w14:textId="77777777" w:rsidR="004243C6" w:rsidRPr="0095783A" w:rsidRDefault="004243C6" w:rsidP="004243C6">
            <w:pPr>
              <w:rPr>
                <w:bCs/>
                <w:szCs w:val="22"/>
              </w:rPr>
            </w:pPr>
            <w:r w:rsidRPr="0095783A">
              <w:rPr>
                <w:bCs/>
                <w:szCs w:val="22"/>
              </w:rPr>
              <w:t>0007450637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6DA4E2E" w14:textId="77777777" w:rsidR="004243C6" w:rsidRPr="0095783A" w:rsidRDefault="004243C6" w:rsidP="004243C6">
            <w:pPr>
              <w:rPr>
                <w:bCs/>
                <w:szCs w:val="22"/>
              </w:rPr>
            </w:pPr>
            <w:r w:rsidRPr="0095783A">
              <w:rPr>
                <w:bCs/>
                <w:szCs w:val="22"/>
              </w:rPr>
              <w:t>WPTH964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FF63884"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3E2F8D2"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570541A"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1572BAF"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833A1ED" w14:textId="77777777" w:rsidR="004243C6" w:rsidRPr="0095783A" w:rsidRDefault="004243C6" w:rsidP="004243C6">
            <w:pPr>
              <w:rPr>
                <w:bCs/>
                <w:szCs w:val="22"/>
              </w:rPr>
            </w:pPr>
            <w:r w:rsidRPr="0095783A">
              <w:rPr>
                <w:bCs/>
                <w:szCs w:val="22"/>
              </w:rPr>
              <w:t>Columbus, GA-AL</w:t>
            </w:r>
          </w:p>
        </w:tc>
      </w:tr>
      <w:tr w:rsidR="004243C6" w:rsidRPr="0095783A" w14:paraId="65A9C3FE"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BB6E44E" w14:textId="77777777" w:rsidR="004243C6" w:rsidRPr="0095783A" w:rsidRDefault="004243C6" w:rsidP="004243C6">
            <w:pPr>
              <w:rPr>
                <w:bCs/>
                <w:szCs w:val="22"/>
              </w:rPr>
            </w:pPr>
            <w:r w:rsidRPr="0095783A">
              <w:rPr>
                <w:bCs/>
                <w:szCs w:val="22"/>
              </w:rPr>
              <w:t>0007435102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2615AE1" w14:textId="77777777" w:rsidR="004243C6" w:rsidRPr="0095783A" w:rsidRDefault="004243C6" w:rsidP="004243C6">
            <w:pPr>
              <w:rPr>
                <w:bCs/>
                <w:szCs w:val="22"/>
              </w:rPr>
            </w:pPr>
            <w:r w:rsidRPr="0095783A">
              <w:rPr>
                <w:bCs/>
                <w:szCs w:val="22"/>
              </w:rPr>
              <w:t>WPTH965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BE83BB6"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7478405"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DA0718E"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F314833"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0ABB0C8" w14:textId="77777777" w:rsidR="004243C6" w:rsidRPr="0095783A" w:rsidRDefault="004243C6" w:rsidP="004243C6">
            <w:pPr>
              <w:rPr>
                <w:bCs/>
                <w:szCs w:val="22"/>
              </w:rPr>
            </w:pPr>
            <w:r w:rsidRPr="0095783A">
              <w:rPr>
                <w:bCs/>
                <w:szCs w:val="22"/>
              </w:rPr>
              <w:t>Asheville, NC</w:t>
            </w:r>
          </w:p>
        </w:tc>
      </w:tr>
      <w:tr w:rsidR="004243C6" w:rsidRPr="0095783A" w14:paraId="039E8275"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CD0D139" w14:textId="77777777" w:rsidR="004243C6" w:rsidRPr="0095783A" w:rsidRDefault="004243C6" w:rsidP="004243C6">
            <w:pPr>
              <w:rPr>
                <w:bCs/>
                <w:szCs w:val="22"/>
              </w:rPr>
            </w:pPr>
            <w:r w:rsidRPr="0095783A">
              <w:rPr>
                <w:bCs/>
                <w:szCs w:val="22"/>
              </w:rPr>
              <w:t>0007450638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1F74B67" w14:textId="77777777" w:rsidR="004243C6" w:rsidRPr="0095783A" w:rsidRDefault="004243C6" w:rsidP="004243C6">
            <w:pPr>
              <w:rPr>
                <w:bCs/>
                <w:szCs w:val="22"/>
              </w:rPr>
            </w:pPr>
            <w:r w:rsidRPr="0095783A">
              <w:rPr>
                <w:bCs/>
                <w:szCs w:val="22"/>
              </w:rPr>
              <w:t>WPTH965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7148422"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91E04C2"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FA982C8"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50B199B"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5E23F2C" w14:textId="77777777" w:rsidR="004243C6" w:rsidRPr="0095783A" w:rsidRDefault="004243C6" w:rsidP="004243C6">
            <w:pPr>
              <w:rPr>
                <w:bCs/>
                <w:szCs w:val="22"/>
              </w:rPr>
            </w:pPr>
            <w:r w:rsidRPr="0095783A">
              <w:rPr>
                <w:bCs/>
                <w:szCs w:val="22"/>
              </w:rPr>
              <w:t>Asheville, NC</w:t>
            </w:r>
          </w:p>
        </w:tc>
      </w:tr>
      <w:tr w:rsidR="004243C6" w:rsidRPr="0095783A" w14:paraId="5C5655D0"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2FF8590" w14:textId="77777777" w:rsidR="004243C6" w:rsidRPr="0095783A" w:rsidRDefault="004243C6" w:rsidP="004243C6">
            <w:pPr>
              <w:rPr>
                <w:bCs/>
                <w:szCs w:val="22"/>
              </w:rPr>
            </w:pPr>
            <w:r w:rsidRPr="0095783A">
              <w:rPr>
                <w:bCs/>
                <w:szCs w:val="22"/>
              </w:rPr>
              <w:t>0007435103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FB3D4F4" w14:textId="77777777" w:rsidR="004243C6" w:rsidRPr="0095783A" w:rsidRDefault="004243C6" w:rsidP="004243C6">
            <w:pPr>
              <w:rPr>
                <w:bCs/>
                <w:szCs w:val="22"/>
              </w:rPr>
            </w:pPr>
            <w:r w:rsidRPr="0095783A">
              <w:rPr>
                <w:bCs/>
                <w:szCs w:val="22"/>
              </w:rPr>
              <w:t>WPTH966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0FD875B"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93E8B6B"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F776E26"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3C97F52"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4264C9F" w14:textId="77777777" w:rsidR="004243C6" w:rsidRPr="0095783A" w:rsidRDefault="004243C6" w:rsidP="004243C6">
            <w:pPr>
              <w:rPr>
                <w:bCs/>
                <w:szCs w:val="22"/>
              </w:rPr>
            </w:pPr>
            <w:r w:rsidRPr="0095783A">
              <w:rPr>
                <w:bCs/>
                <w:szCs w:val="22"/>
              </w:rPr>
              <w:t>Asheville, NC</w:t>
            </w:r>
          </w:p>
        </w:tc>
      </w:tr>
      <w:tr w:rsidR="004243C6" w:rsidRPr="0095783A" w14:paraId="0E194F5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726F589" w14:textId="77777777" w:rsidR="004243C6" w:rsidRPr="0095783A" w:rsidRDefault="004243C6" w:rsidP="004243C6">
            <w:pPr>
              <w:rPr>
                <w:bCs/>
                <w:szCs w:val="22"/>
              </w:rPr>
            </w:pPr>
            <w:r w:rsidRPr="0095783A">
              <w:rPr>
                <w:bCs/>
                <w:szCs w:val="22"/>
              </w:rPr>
              <w:t>0007450639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CA674F8" w14:textId="77777777" w:rsidR="004243C6" w:rsidRPr="0095783A" w:rsidRDefault="004243C6" w:rsidP="004243C6">
            <w:pPr>
              <w:rPr>
                <w:bCs/>
                <w:szCs w:val="22"/>
              </w:rPr>
            </w:pPr>
            <w:r w:rsidRPr="0095783A">
              <w:rPr>
                <w:bCs/>
                <w:szCs w:val="22"/>
              </w:rPr>
              <w:t>WPTH966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8E20CAA"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30C7C92"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113CA52"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F45B177"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FB5D781" w14:textId="77777777" w:rsidR="004243C6" w:rsidRPr="0095783A" w:rsidRDefault="004243C6" w:rsidP="004243C6">
            <w:pPr>
              <w:rPr>
                <w:bCs/>
                <w:szCs w:val="22"/>
              </w:rPr>
            </w:pPr>
            <w:r w:rsidRPr="0095783A">
              <w:rPr>
                <w:bCs/>
                <w:szCs w:val="22"/>
              </w:rPr>
              <w:t>Asheville, NC</w:t>
            </w:r>
          </w:p>
        </w:tc>
      </w:tr>
      <w:tr w:rsidR="004243C6" w:rsidRPr="0095783A" w14:paraId="30ED5177"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C04E65C" w14:textId="77777777" w:rsidR="004243C6" w:rsidRPr="0095783A" w:rsidRDefault="004243C6" w:rsidP="004243C6">
            <w:pPr>
              <w:rPr>
                <w:bCs/>
                <w:szCs w:val="22"/>
              </w:rPr>
            </w:pPr>
            <w:r w:rsidRPr="0095783A">
              <w:rPr>
                <w:bCs/>
                <w:szCs w:val="22"/>
              </w:rPr>
              <w:t>0007435104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3065500" w14:textId="77777777" w:rsidR="004243C6" w:rsidRPr="0095783A" w:rsidRDefault="004243C6" w:rsidP="004243C6">
            <w:pPr>
              <w:rPr>
                <w:bCs/>
                <w:szCs w:val="22"/>
              </w:rPr>
            </w:pPr>
            <w:r w:rsidRPr="0095783A">
              <w:rPr>
                <w:bCs/>
                <w:szCs w:val="22"/>
              </w:rPr>
              <w:t>WPTH967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4F7CB54"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13FFF54"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F32FAA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1C5C668"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B596E67" w14:textId="77777777" w:rsidR="004243C6" w:rsidRPr="0095783A" w:rsidRDefault="004243C6" w:rsidP="004243C6">
            <w:pPr>
              <w:rPr>
                <w:bCs/>
                <w:szCs w:val="22"/>
              </w:rPr>
            </w:pPr>
            <w:r w:rsidRPr="0095783A">
              <w:rPr>
                <w:bCs/>
                <w:szCs w:val="22"/>
              </w:rPr>
              <w:t>Hickory-Morganton, NC-TN</w:t>
            </w:r>
          </w:p>
        </w:tc>
      </w:tr>
      <w:tr w:rsidR="004243C6" w:rsidRPr="0095783A" w14:paraId="12DEB7A7"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B5B1960" w14:textId="77777777" w:rsidR="004243C6" w:rsidRPr="0095783A" w:rsidRDefault="004243C6" w:rsidP="004243C6">
            <w:pPr>
              <w:rPr>
                <w:bCs/>
                <w:szCs w:val="22"/>
              </w:rPr>
            </w:pPr>
            <w:r w:rsidRPr="0095783A">
              <w:rPr>
                <w:bCs/>
                <w:szCs w:val="22"/>
              </w:rPr>
              <w:t>0007450640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0E934DF" w14:textId="77777777" w:rsidR="004243C6" w:rsidRPr="0095783A" w:rsidRDefault="004243C6" w:rsidP="004243C6">
            <w:pPr>
              <w:rPr>
                <w:bCs/>
                <w:szCs w:val="22"/>
              </w:rPr>
            </w:pPr>
            <w:r w:rsidRPr="0095783A">
              <w:rPr>
                <w:bCs/>
                <w:szCs w:val="22"/>
              </w:rPr>
              <w:t>WPTH967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D9DFCF1"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0FD90A8"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AA32E1B"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12CC10A"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CF66071" w14:textId="77777777" w:rsidR="004243C6" w:rsidRPr="0095783A" w:rsidRDefault="004243C6" w:rsidP="004243C6">
            <w:pPr>
              <w:rPr>
                <w:bCs/>
                <w:szCs w:val="22"/>
              </w:rPr>
            </w:pPr>
            <w:r w:rsidRPr="0095783A">
              <w:rPr>
                <w:bCs/>
                <w:szCs w:val="22"/>
              </w:rPr>
              <w:t>Hickory-Morganton, NC-TN</w:t>
            </w:r>
          </w:p>
        </w:tc>
      </w:tr>
      <w:tr w:rsidR="004243C6" w:rsidRPr="0095783A" w14:paraId="3D5431FD"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5384B07" w14:textId="77777777" w:rsidR="004243C6" w:rsidRPr="0095783A" w:rsidRDefault="004243C6" w:rsidP="004243C6">
            <w:pPr>
              <w:rPr>
                <w:bCs/>
                <w:szCs w:val="22"/>
              </w:rPr>
            </w:pPr>
            <w:r w:rsidRPr="0095783A">
              <w:rPr>
                <w:bCs/>
                <w:szCs w:val="22"/>
              </w:rPr>
              <w:t>0007435105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BA2F859" w14:textId="77777777" w:rsidR="004243C6" w:rsidRPr="0095783A" w:rsidRDefault="004243C6" w:rsidP="004243C6">
            <w:pPr>
              <w:rPr>
                <w:bCs/>
                <w:szCs w:val="22"/>
              </w:rPr>
            </w:pPr>
            <w:r w:rsidRPr="0095783A">
              <w:rPr>
                <w:bCs/>
                <w:szCs w:val="22"/>
              </w:rPr>
              <w:t>WPTH968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61E6000"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655A888"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F2F3CA7"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236A4F1"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56275F6" w14:textId="77777777" w:rsidR="004243C6" w:rsidRPr="0095783A" w:rsidRDefault="004243C6" w:rsidP="004243C6">
            <w:pPr>
              <w:rPr>
                <w:bCs/>
                <w:szCs w:val="22"/>
              </w:rPr>
            </w:pPr>
            <w:r w:rsidRPr="0095783A">
              <w:rPr>
                <w:bCs/>
                <w:szCs w:val="22"/>
              </w:rPr>
              <w:t>Hickory-Morganton, NC-TN</w:t>
            </w:r>
          </w:p>
        </w:tc>
      </w:tr>
      <w:tr w:rsidR="004243C6" w:rsidRPr="0095783A" w14:paraId="1EBD548A"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20E85A8" w14:textId="77777777" w:rsidR="004243C6" w:rsidRPr="0095783A" w:rsidRDefault="004243C6" w:rsidP="004243C6">
            <w:pPr>
              <w:rPr>
                <w:bCs/>
                <w:szCs w:val="22"/>
              </w:rPr>
            </w:pPr>
            <w:r w:rsidRPr="0095783A">
              <w:rPr>
                <w:bCs/>
                <w:szCs w:val="22"/>
              </w:rPr>
              <w:t>0007450641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22A7A8F" w14:textId="77777777" w:rsidR="004243C6" w:rsidRPr="0095783A" w:rsidRDefault="004243C6" w:rsidP="004243C6">
            <w:pPr>
              <w:rPr>
                <w:bCs/>
                <w:szCs w:val="22"/>
              </w:rPr>
            </w:pPr>
            <w:r w:rsidRPr="0095783A">
              <w:rPr>
                <w:bCs/>
                <w:szCs w:val="22"/>
              </w:rPr>
              <w:t>WPTH968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2ACBBCF"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7ADB158"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D7938D7"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E86489B"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09C1423" w14:textId="77777777" w:rsidR="004243C6" w:rsidRPr="0095783A" w:rsidRDefault="004243C6" w:rsidP="004243C6">
            <w:pPr>
              <w:rPr>
                <w:bCs/>
                <w:szCs w:val="22"/>
              </w:rPr>
            </w:pPr>
            <w:r w:rsidRPr="0095783A">
              <w:rPr>
                <w:bCs/>
                <w:szCs w:val="22"/>
              </w:rPr>
              <w:t>Hickory-Morganton, NC-TN</w:t>
            </w:r>
          </w:p>
        </w:tc>
      </w:tr>
      <w:tr w:rsidR="004243C6" w:rsidRPr="0095783A" w14:paraId="31943BD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060F318" w14:textId="77777777" w:rsidR="004243C6" w:rsidRPr="0095783A" w:rsidRDefault="004243C6" w:rsidP="004243C6">
            <w:pPr>
              <w:rPr>
                <w:bCs/>
                <w:szCs w:val="22"/>
              </w:rPr>
            </w:pPr>
            <w:r w:rsidRPr="0095783A">
              <w:rPr>
                <w:bCs/>
                <w:szCs w:val="22"/>
              </w:rPr>
              <w:t>0007435106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25ACC12" w14:textId="77777777" w:rsidR="004243C6" w:rsidRPr="0095783A" w:rsidRDefault="004243C6" w:rsidP="004243C6">
            <w:pPr>
              <w:rPr>
                <w:bCs/>
                <w:szCs w:val="22"/>
              </w:rPr>
            </w:pPr>
            <w:r w:rsidRPr="0095783A">
              <w:rPr>
                <w:bCs/>
                <w:szCs w:val="22"/>
              </w:rPr>
              <w:t>WPTH969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05374AD"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CAFFC26"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6690C8F"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71379C1"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132B69C" w14:textId="77777777" w:rsidR="004243C6" w:rsidRPr="0095783A" w:rsidRDefault="004243C6" w:rsidP="004243C6">
            <w:pPr>
              <w:rPr>
                <w:bCs/>
                <w:szCs w:val="22"/>
              </w:rPr>
            </w:pPr>
            <w:r w:rsidRPr="0095783A">
              <w:rPr>
                <w:bCs/>
                <w:szCs w:val="22"/>
              </w:rPr>
              <w:t>Wheeling, WV-OH</w:t>
            </w:r>
          </w:p>
        </w:tc>
      </w:tr>
      <w:tr w:rsidR="004243C6" w:rsidRPr="0095783A" w14:paraId="64DA942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EC77CCC" w14:textId="77777777" w:rsidR="004243C6" w:rsidRPr="0095783A" w:rsidRDefault="004243C6" w:rsidP="004243C6">
            <w:pPr>
              <w:rPr>
                <w:bCs/>
                <w:szCs w:val="22"/>
              </w:rPr>
            </w:pPr>
            <w:r w:rsidRPr="0095783A">
              <w:rPr>
                <w:bCs/>
                <w:szCs w:val="22"/>
              </w:rPr>
              <w:t>0007450642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60B569A" w14:textId="77777777" w:rsidR="004243C6" w:rsidRPr="0095783A" w:rsidRDefault="004243C6" w:rsidP="004243C6">
            <w:pPr>
              <w:rPr>
                <w:bCs/>
                <w:szCs w:val="22"/>
              </w:rPr>
            </w:pPr>
            <w:r w:rsidRPr="0095783A">
              <w:rPr>
                <w:bCs/>
                <w:szCs w:val="22"/>
              </w:rPr>
              <w:t>WPTH969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C06507F"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94B1052"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FBE011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73DA1F5"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27B077A" w14:textId="77777777" w:rsidR="004243C6" w:rsidRPr="0095783A" w:rsidRDefault="004243C6" w:rsidP="004243C6">
            <w:pPr>
              <w:rPr>
                <w:bCs/>
                <w:szCs w:val="22"/>
              </w:rPr>
            </w:pPr>
            <w:r w:rsidRPr="0095783A">
              <w:rPr>
                <w:bCs/>
                <w:szCs w:val="22"/>
              </w:rPr>
              <w:t>Wheeling, WV-OH</w:t>
            </w:r>
          </w:p>
        </w:tc>
      </w:tr>
      <w:tr w:rsidR="004243C6" w:rsidRPr="0095783A" w14:paraId="4205C2F0"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071BAC3" w14:textId="77777777" w:rsidR="004243C6" w:rsidRPr="0095783A" w:rsidRDefault="004243C6" w:rsidP="004243C6">
            <w:pPr>
              <w:rPr>
                <w:bCs/>
                <w:szCs w:val="22"/>
              </w:rPr>
            </w:pPr>
            <w:r w:rsidRPr="0095783A">
              <w:rPr>
                <w:bCs/>
                <w:szCs w:val="22"/>
              </w:rPr>
              <w:t>0007435107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6169F96" w14:textId="77777777" w:rsidR="004243C6" w:rsidRPr="0095783A" w:rsidRDefault="004243C6" w:rsidP="004243C6">
            <w:pPr>
              <w:rPr>
                <w:bCs/>
                <w:szCs w:val="22"/>
              </w:rPr>
            </w:pPr>
            <w:r w:rsidRPr="0095783A">
              <w:rPr>
                <w:bCs/>
                <w:szCs w:val="22"/>
              </w:rPr>
              <w:t>WPTH970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CF501AC"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E4E2EED"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86B1548"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F1C6D88"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0A2D658" w14:textId="77777777" w:rsidR="004243C6" w:rsidRPr="0095783A" w:rsidRDefault="004243C6" w:rsidP="004243C6">
            <w:pPr>
              <w:rPr>
                <w:bCs/>
                <w:szCs w:val="22"/>
              </w:rPr>
            </w:pPr>
            <w:r w:rsidRPr="0095783A">
              <w:rPr>
                <w:bCs/>
                <w:szCs w:val="22"/>
              </w:rPr>
              <w:t>Wheeling, WV-OH</w:t>
            </w:r>
          </w:p>
        </w:tc>
      </w:tr>
      <w:tr w:rsidR="004243C6" w:rsidRPr="0095783A" w14:paraId="1AEB26A4"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2144A46" w14:textId="77777777" w:rsidR="004243C6" w:rsidRPr="0095783A" w:rsidRDefault="004243C6" w:rsidP="004243C6">
            <w:pPr>
              <w:rPr>
                <w:bCs/>
                <w:szCs w:val="22"/>
              </w:rPr>
            </w:pPr>
            <w:r w:rsidRPr="0095783A">
              <w:rPr>
                <w:bCs/>
                <w:szCs w:val="22"/>
              </w:rPr>
              <w:t>0007450643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F725E83" w14:textId="77777777" w:rsidR="004243C6" w:rsidRPr="0095783A" w:rsidRDefault="004243C6" w:rsidP="004243C6">
            <w:pPr>
              <w:rPr>
                <w:bCs/>
                <w:szCs w:val="22"/>
              </w:rPr>
            </w:pPr>
            <w:r w:rsidRPr="0095783A">
              <w:rPr>
                <w:bCs/>
                <w:szCs w:val="22"/>
              </w:rPr>
              <w:t>WPTH970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1A07D77"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4FA08B5"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72CF6B9"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301F17F"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C9A6A42" w14:textId="77777777" w:rsidR="004243C6" w:rsidRPr="0095783A" w:rsidRDefault="004243C6" w:rsidP="004243C6">
            <w:pPr>
              <w:rPr>
                <w:bCs/>
                <w:szCs w:val="22"/>
              </w:rPr>
            </w:pPr>
            <w:r w:rsidRPr="0095783A">
              <w:rPr>
                <w:bCs/>
                <w:szCs w:val="22"/>
              </w:rPr>
              <w:t>Wheeling, WV-OH</w:t>
            </w:r>
          </w:p>
        </w:tc>
      </w:tr>
      <w:tr w:rsidR="004243C6" w:rsidRPr="0095783A" w14:paraId="5E9482AA"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A36320D" w14:textId="77777777" w:rsidR="004243C6" w:rsidRPr="0095783A" w:rsidRDefault="004243C6" w:rsidP="004243C6">
            <w:pPr>
              <w:rPr>
                <w:bCs/>
                <w:szCs w:val="22"/>
              </w:rPr>
            </w:pPr>
            <w:r w:rsidRPr="0095783A">
              <w:rPr>
                <w:bCs/>
                <w:szCs w:val="22"/>
              </w:rPr>
              <w:t>0007435108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C2AF9B6" w14:textId="77777777" w:rsidR="004243C6" w:rsidRPr="0095783A" w:rsidRDefault="004243C6" w:rsidP="004243C6">
            <w:pPr>
              <w:rPr>
                <w:bCs/>
                <w:szCs w:val="22"/>
              </w:rPr>
            </w:pPr>
            <w:r w:rsidRPr="0095783A">
              <w:rPr>
                <w:bCs/>
                <w:szCs w:val="22"/>
              </w:rPr>
              <w:t>WPTH971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7BA7E8E"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895D359"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6D9B4E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8FEDFC3"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4DAF277" w14:textId="77777777" w:rsidR="004243C6" w:rsidRPr="0095783A" w:rsidRDefault="004243C6" w:rsidP="004243C6">
            <w:pPr>
              <w:rPr>
                <w:bCs/>
                <w:szCs w:val="22"/>
              </w:rPr>
            </w:pPr>
            <w:r w:rsidRPr="0095783A">
              <w:rPr>
                <w:bCs/>
                <w:szCs w:val="22"/>
              </w:rPr>
              <w:t>Northern Michigan, MI</w:t>
            </w:r>
          </w:p>
        </w:tc>
      </w:tr>
      <w:tr w:rsidR="004243C6" w:rsidRPr="0095783A" w14:paraId="319669AE"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2659FE2" w14:textId="77777777" w:rsidR="004243C6" w:rsidRPr="0095783A" w:rsidRDefault="004243C6" w:rsidP="004243C6">
            <w:pPr>
              <w:rPr>
                <w:bCs/>
                <w:szCs w:val="22"/>
              </w:rPr>
            </w:pPr>
            <w:r w:rsidRPr="0095783A">
              <w:rPr>
                <w:bCs/>
                <w:szCs w:val="22"/>
              </w:rPr>
              <w:t>0007450644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FB358B4" w14:textId="77777777" w:rsidR="004243C6" w:rsidRPr="0095783A" w:rsidRDefault="004243C6" w:rsidP="004243C6">
            <w:pPr>
              <w:rPr>
                <w:bCs/>
                <w:szCs w:val="22"/>
              </w:rPr>
            </w:pPr>
            <w:r w:rsidRPr="0095783A">
              <w:rPr>
                <w:bCs/>
                <w:szCs w:val="22"/>
              </w:rPr>
              <w:t>WPTH971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E5E9C53"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EA01011"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D953604"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0460921"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9D8EA04" w14:textId="77777777" w:rsidR="004243C6" w:rsidRPr="0095783A" w:rsidRDefault="004243C6" w:rsidP="004243C6">
            <w:pPr>
              <w:rPr>
                <w:bCs/>
                <w:szCs w:val="22"/>
              </w:rPr>
            </w:pPr>
            <w:r w:rsidRPr="0095783A">
              <w:rPr>
                <w:bCs/>
                <w:szCs w:val="22"/>
              </w:rPr>
              <w:t>Northern Michigan, MI</w:t>
            </w:r>
          </w:p>
        </w:tc>
      </w:tr>
      <w:tr w:rsidR="004243C6" w:rsidRPr="0095783A" w14:paraId="5AE830A4"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2611254" w14:textId="77777777" w:rsidR="004243C6" w:rsidRPr="0095783A" w:rsidRDefault="004243C6" w:rsidP="004243C6">
            <w:pPr>
              <w:rPr>
                <w:bCs/>
                <w:szCs w:val="22"/>
              </w:rPr>
            </w:pPr>
            <w:r w:rsidRPr="0095783A">
              <w:rPr>
                <w:bCs/>
                <w:szCs w:val="22"/>
              </w:rPr>
              <w:t>0007435109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10915EE" w14:textId="77777777" w:rsidR="004243C6" w:rsidRPr="0095783A" w:rsidRDefault="004243C6" w:rsidP="004243C6">
            <w:pPr>
              <w:rPr>
                <w:bCs/>
                <w:szCs w:val="22"/>
              </w:rPr>
            </w:pPr>
            <w:r w:rsidRPr="0095783A">
              <w:rPr>
                <w:bCs/>
                <w:szCs w:val="22"/>
              </w:rPr>
              <w:t>WPTH972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49B1737"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CD664F5"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7EBEBE2"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0C5380F"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9047423" w14:textId="77777777" w:rsidR="004243C6" w:rsidRPr="0095783A" w:rsidRDefault="004243C6" w:rsidP="004243C6">
            <w:pPr>
              <w:rPr>
                <w:bCs/>
                <w:szCs w:val="22"/>
              </w:rPr>
            </w:pPr>
            <w:r w:rsidRPr="0095783A">
              <w:rPr>
                <w:bCs/>
                <w:szCs w:val="22"/>
              </w:rPr>
              <w:t>Appleton-Oshkosh-Neenah, WI</w:t>
            </w:r>
          </w:p>
        </w:tc>
      </w:tr>
      <w:tr w:rsidR="004243C6" w:rsidRPr="0095783A" w14:paraId="2ADBEFE0"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89ED9D3" w14:textId="77777777" w:rsidR="004243C6" w:rsidRPr="0095783A" w:rsidRDefault="004243C6" w:rsidP="004243C6">
            <w:pPr>
              <w:rPr>
                <w:bCs/>
                <w:szCs w:val="22"/>
              </w:rPr>
            </w:pPr>
            <w:r w:rsidRPr="0095783A">
              <w:rPr>
                <w:bCs/>
                <w:szCs w:val="22"/>
              </w:rPr>
              <w:t>0007450645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11729C1" w14:textId="77777777" w:rsidR="004243C6" w:rsidRPr="0095783A" w:rsidRDefault="004243C6" w:rsidP="004243C6">
            <w:pPr>
              <w:rPr>
                <w:bCs/>
                <w:szCs w:val="22"/>
              </w:rPr>
            </w:pPr>
            <w:r w:rsidRPr="0095783A">
              <w:rPr>
                <w:bCs/>
                <w:szCs w:val="22"/>
              </w:rPr>
              <w:t>WPTH972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0A98A23"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3251CF5"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1D4BE57"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996F98D"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FF09047" w14:textId="77777777" w:rsidR="004243C6" w:rsidRPr="0095783A" w:rsidRDefault="004243C6" w:rsidP="004243C6">
            <w:pPr>
              <w:rPr>
                <w:bCs/>
                <w:szCs w:val="22"/>
              </w:rPr>
            </w:pPr>
            <w:r w:rsidRPr="0095783A">
              <w:rPr>
                <w:bCs/>
                <w:szCs w:val="22"/>
              </w:rPr>
              <w:t>Appleton-Oshkosh-Neenah, WI</w:t>
            </w:r>
          </w:p>
        </w:tc>
      </w:tr>
      <w:tr w:rsidR="004243C6" w:rsidRPr="0095783A" w14:paraId="70F000EA"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28E366C" w14:textId="77777777" w:rsidR="004243C6" w:rsidRPr="0095783A" w:rsidRDefault="004243C6" w:rsidP="004243C6">
            <w:pPr>
              <w:rPr>
                <w:bCs/>
                <w:szCs w:val="22"/>
              </w:rPr>
            </w:pPr>
            <w:r w:rsidRPr="0095783A">
              <w:rPr>
                <w:bCs/>
                <w:szCs w:val="22"/>
              </w:rPr>
              <w:t>0007435110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4CAA31A" w14:textId="77777777" w:rsidR="004243C6" w:rsidRPr="0095783A" w:rsidRDefault="004243C6" w:rsidP="004243C6">
            <w:pPr>
              <w:rPr>
                <w:bCs/>
                <w:szCs w:val="22"/>
              </w:rPr>
            </w:pPr>
            <w:r w:rsidRPr="0095783A">
              <w:rPr>
                <w:bCs/>
                <w:szCs w:val="22"/>
              </w:rPr>
              <w:t>WPTH973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CDFFC6D"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7E3D597"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A85BC3A"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792C3A8"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468BB8D" w14:textId="77777777" w:rsidR="004243C6" w:rsidRPr="0095783A" w:rsidRDefault="004243C6" w:rsidP="004243C6">
            <w:pPr>
              <w:rPr>
                <w:bCs/>
                <w:szCs w:val="22"/>
              </w:rPr>
            </w:pPr>
            <w:r w:rsidRPr="0095783A">
              <w:rPr>
                <w:bCs/>
                <w:szCs w:val="22"/>
              </w:rPr>
              <w:t>Appleton-Oshkosh-Neenah, WI</w:t>
            </w:r>
          </w:p>
        </w:tc>
      </w:tr>
      <w:tr w:rsidR="004243C6" w:rsidRPr="0095783A" w14:paraId="1D8B838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25FF20A" w14:textId="77777777" w:rsidR="004243C6" w:rsidRPr="0095783A" w:rsidRDefault="004243C6" w:rsidP="004243C6">
            <w:pPr>
              <w:rPr>
                <w:bCs/>
                <w:szCs w:val="22"/>
              </w:rPr>
            </w:pPr>
            <w:r w:rsidRPr="0095783A">
              <w:rPr>
                <w:bCs/>
                <w:szCs w:val="22"/>
              </w:rPr>
              <w:t>0007450646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5D54C29" w14:textId="77777777" w:rsidR="004243C6" w:rsidRPr="0095783A" w:rsidRDefault="004243C6" w:rsidP="004243C6">
            <w:pPr>
              <w:rPr>
                <w:bCs/>
                <w:szCs w:val="22"/>
              </w:rPr>
            </w:pPr>
            <w:r w:rsidRPr="0095783A">
              <w:rPr>
                <w:bCs/>
                <w:szCs w:val="22"/>
              </w:rPr>
              <w:t>WPTH973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2D7BBA1"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945D757"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7632C3B"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2A47E39"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B8AF951" w14:textId="77777777" w:rsidR="004243C6" w:rsidRPr="0095783A" w:rsidRDefault="004243C6" w:rsidP="004243C6">
            <w:pPr>
              <w:rPr>
                <w:bCs/>
                <w:szCs w:val="22"/>
              </w:rPr>
            </w:pPr>
            <w:r w:rsidRPr="0095783A">
              <w:rPr>
                <w:bCs/>
                <w:szCs w:val="22"/>
              </w:rPr>
              <w:t>Appleton-Oshkosh-Neenah, WI</w:t>
            </w:r>
          </w:p>
        </w:tc>
      </w:tr>
      <w:tr w:rsidR="004243C6" w:rsidRPr="0095783A" w14:paraId="080DD616"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C40A5A3" w14:textId="77777777" w:rsidR="004243C6" w:rsidRPr="0095783A" w:rsidRDefault="004243C6" w:rsidP="004243C6">
            <w:pPr>
              <w:rPr>
                <w:bCs/>
                <w:szCs w:val="22"/>
              </w:rPr>
            </w:pPr>
            <w:r w:rsidRPr="0095783A">
              <w:rPr>
                <w:bCs/>
                <w:szCs w:val="22"/>
              </w:rPr>
              <w:t>0007435111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71F136A" w14:textId="77777777" w:rsidR="004243C6" w:rsidRPr="0095783A" w:rsidRDefault="004243C6" w:rsidP="004243C6">
            <w:pPr>
              <w:rPr>
                <w:bCs/>
                <w:szCs w:val="22"/>
              </w:rPr>
            </w:pPr>
            <w:r w:rsidRPr="0095783A">
              <w:rPr>
                <w:bCs/>
                <w:szCs w:val="22"/>
              </w:rPr>
              <w:t>WPTH974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E38A1FF"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DABA156"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C5910B9"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FE350B0"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E9B54B7" w14:textId="77777777" w:rsidR="004243C6" w:rsidRPr="0095783A" w:rsidRDefault="004243C6" w:rsidP="004243C6">
            <w:pPr>
              <w:rPr>
                <w:bCs/>
                <w:szCs w:val="22"/>
              </w:rPr>
            </w:pPr>
            <w:r w:rsidRPr="0095783A">
              <w:rPr>
                <w:bCs/>
                <w:szCs w:val="22"/>
              </w:rPr>
              <w:t>Traverse City, MI</w:t>
            </w:r>
          </w:p>
        </w:tc>
      </w:tr>
      <w:tr w:rsidR="004243C6" w:rsidRPr="0095783A" w14:paraId="452D8A25"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5DAC929" w14:textId="77777777" w:rsidR="004243C6" w:rsidRPr="0095783A" w:rsidRDefault="004243C6" w:rsidP="004243C6">
            <w:pPr>
              <w:rPr>
                <w:bCs/>
                <w:szCs w:val="22"/>
              </w:rPr>
            </w:pPr>
            <w:r w:rsidRPr="0095783A">
              <w:rPr>
                <w:bCs/>
                <w:szCs w:val="22"/>
              </w:rPr>
              <w:t>0007450647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563E218" w14:textId="77777777" w:rsidR="004243C6" w:rsidRPr="0095783A" w:rsidRDefault="004243C6" w:rsidP="004243C6">
            <w:pPr>
              <w:rPr>
                <w:bCs/>
                <w:szCs w:val="22"/>
              </w:rPr>
            </w:pPr>
            <w:r w:rsidRPr="0095783A">
              <w:rPr>
                <w:bCs/>
                <w:szCs w:val="22"/>
              </w:rPr>
              <w:t>WPTH974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3E56F09"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3E18E93"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F27833B"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9E24295"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82100EF" w14:textId="77777777" w:rsidR="004243C6" w:rsidRPr="0095783A" w:rsidRDefault="004243C6" w:rsidP="004243C6">
            <w:pPr>
              <w:rPr>
                <w:bCs/>
                <w:szCs w:val="22"/>
              </w:rPr>
            </w:pPr>
            <w:r w:rsidRPr="0095783A">
              <w:rPr>
                <w:bCs/>
                <w:szCs w:val="22"/>
              </w:rPr>
              <w:t>Traverse City, MI</w:t>
            </w:r>
          </w:p>
        </w:tc>
      </w:tr>
      <w:tr w:rsidR="004243C6" w:rsidRPr="0095783A" w14:paraId="5DC537F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F19858E" w14:textId="77777777" w:rsidR="004243C6" w:rsidRPr="0095783A" w:rsidRDefault="004243C6" w:rsidP="004243C6">
            <w:pPr>
              <w:rPr>
                <w:bCs/>
                <w:szCs w:val="22"/>
              </w:rPr>
            </w:pPr>
            <w:r w:rsidRPr="0095783A">
              <w:rPr>
                <w:bCs/>
                <w:szCs w:val="22"/>
              </w:rPr>
              <w:t>0007435112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12589CE" w14:textId="77777777" w:rsidR="004243C6" w:rsidRPr="0095783A" w:rsidRDefault="004243C6" w:rsidP="004243C6">
            <w:pPr>
              <w:rPr>
                <w:bCs/>
                <w:szCs w:val="22"/>
              </w:rPr>
            </w:pPr>
            <w:r w:rsidRPr="0095783A">
              <w:rPr>
                <w:bCs/>
                <w:szCs w:val="22"/>
              </w:rPr>
              <w:t>WPTH975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82468FE"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7DCCB36"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C6CC8E2"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4636005"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3675217" w14:textId="77777777" w:rsidR="004243C6" w:rsidRPr="0095783A" w:rsidRDefault="004243C6" w:rsidP="004243C6">
            <w:pPr>
              <w:rPr>
                <w:bCs/>
                <w:szCs w:val="22"/>
              </w:rPr>
            </w:pPr>
            <w:r w:rsidRPr="0095783A">
              <w:rPr>
                <w:bCs/>
                <w:szCs w:val="22"/>
              </w:rPr>
              <w:t>Paducah, KY-IL</w:t>
            </w:r>
          </w:p>
        </w:tc>
      </w:tr>
      <w:tr w:rsidR="004243C6" w:rsidRPr="0095783A" w14:paraId="104740C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201B3A8" w14:textId="77777777" w:rsidR="004243C6" w:rsidRPr="0095783A" w:rsidRDefault="004243C6" w:rsidP="004243C6">
            <w:pPr>
              <w:rPr>
                <w:bCs/>
                <w:szCs w:val="22"/>
              </w:rPr>
            </w:pPr>
            <w:r w:rsidRPr="0095783A">
              <w:rPr>
                <w:bCs/>
                <w:szCs w:val="22"/>
              </w:rPr>
              <w:t>0007450648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6563090" w14:textId="77777777" w:rsidR="004243C6" w:rsidRPr="0095783A" w:rsidRDefault="004243C6" w:rsidP="004243C6">
            <w:pPr>
              <w:rPr>
                <w:bCs/>
                <w:szCs w:val="22"/>
              </w:rPr>
            </w:pPr>
            <w:r w:rsidRPr="0095783A">
              <w:rPr>
                <w:bCs/>
                <w:szCs w:val="22"/>
              </w:rPr>
              <w:t>WPTH975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391D9F4"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D635715"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7109AC5"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30E3EC0"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48A14A9" w14:textId="77777777" w:rsidR="004243C6" w:rsidRPr="0095783A" w:rsidRDefault="004243C6" w:rsidP="004243C6">
            <w:pPr>
              <w:rPr>
                <w:bCs/>
                <w:szCs w:val="22"/>
              </w:rPr>
            </w:pPr>
            <w:r w:rsidRPr="0095783A">
              <w:rPr>
                <w:bCs/>
                <w:szCs w:val="22"/>
              </w:rPr>
              <w:t>Paducah, KY-IL</w:t>
            </w:r>
          </w:p>
        </w:tc>
      </w:tr>
      <w:tr w:rsidR="004243C6" w:rsidRPr="0095783A" w14:paraId="0196D3F8"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88C1025" w14:textId="77777777" w:rsidR="004243C6" w:rsidRPr="0095783A" w:rsidRDefault="004243C6" w:rsidP="004243C6">
            <w:pPr>
              <w:rPr>
                <w:bCs/>
                <w:szCs w:val="22"/>
              </w:rPr>
            </w:pPr>
            <w:r w:rsidRPr="0095783A">
              <w:rPr>
                <w:bCs/>
                <w:szCs w:val="22"/>
              </w:rPr>
              <w:t>0007435113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05421B9" w14:textId="77777777" w:rsidR="004243C6" w:rsidRPr="0095783A" w:rsidRDefault="004243C6" w:rsidP="004243C6">
            <w:pPr>
              <w:rPr>
                <w:bCs/>
                <w:szCs w:val="22"/>
              </w:rPr>
            </w:pPr>
            <w:r w:rsidRPr="0095783A">
              <w:rPr>
                <w:bCs/>
                <w:szCs w:val="22"/>
              </w:rPr>
              <w:t>WPTH976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69E9E95"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E3694F1"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EFCC116"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188332B"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11FF215" w14:textId="77777777" w:rsidR="004243C6" w:rsidRPr="0095783A" w:rsidRDefault="004243C6" w:rsidP="004243C6">
            <w:pPr>
              <w:rPr>
                <w:bCs/>
                <w:szCs w:val="22"/>
              </w:rPr>
            </w:pPr>
            <w:r w:rsidRPr="0095783A">
              <w:rPr>
                <w:bCs/>
                <w:szCs w:val="22"/>
              </w:rPr>
              <w:t>Greenville, MS</w:t>
            </w:r>
          </w:p>
        </w:tc>
      </w:tr>
      <w:tr w:rsidR="004243C6" w:rsidRPr="0095783A" w14:paraId="1224C2BE"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24E7763" w14:textId="77777777" w:rsidR="004243C6" w:rsidRPr="0095783A" w:rsidRDefault="004243C6" w:rsidP="004243C6">
            <w:pPr>
              <w:rPr>
                <w:bCs/>
                <w:szCs w:val="22"/>
              </w:rPr>
            </w:pPr>
            <w:r w:rsidRPr="0095783A">
              <w:rPr>
                <w:bCs/>
                <w:szCs w:val="22"/>
              </w:rPr>
              <w:t>0007450649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746BD79" w14:textId="77777777" w:rsidR="004243C6" w:rsidRPr="0095783A" w:rsidRDefault="004243C6" w:rsidP="004243C6">
            <w:pPr>
              <w:rPr>
                <w:bCs/>
                <w:szCs w:val="22"/>
              </w:rPr>
            </w:pPr>
            <w:r w:rsidRPr="0095783A">
              <w:rPr>
                <w:bCs/>
                <w:szCs w:val="22"/>
              </w:rPr>
              <w:t>WPTH976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FDFAC41"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2DFFAF3"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5AB251A"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1BB34B4"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5E1CA90" w14:textId="77777777" w:rsidR="004243C6" w:rsidRPr="0095783A" w:rsidRDefault="004243C6" w:rsidP="004243C6">
            <w:pPr>
              <w:rPr>
                <w:bCs/>
                <w:szCs w:val="22"/>
              </w:rPr>
            </w:pPr>
            <w:r w:rsidRPr="0095783A">
              <w:rPr>
                <w:bCs/>
                <w:szCs w:val="22"/>
              </w:rPr>
              <w:t>Greenville, MS</w:t>
            </w:r>
          </w:p>
        </w:tc>
      </w:tr>
      <w:tr w:rsidR="004243C6" w:rsidRPr="0095783A" w14:paraId="7472A6E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74FB0FE" w14:textId="77777777" w:rsidR="004243C6" w:rsidRPr="0095783A" w:rsidRDefault="004243C6" w:rsidP="004243C6">
            <w:pPr>
              <w:rPr>
                <w:bCs/>
                <w:szCs w:val="22"/>
              </w:rPr>
            </w:pPr>
            <w:r w:rsidRPr="0095783A">
              <w:rPr>
                <w:bCs/>
                <w:szCs w:val="22"/>
              </w:rPr>
              <w:t>0007435114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745BC11" w14:textId="77777777" w:rsidR="004243C6" w:rsidRPr="0095783A" w:rsidRDefault="004243C6" w:rsidP="004243C6">
            <w:pPr>
              <w:rPr>
                <w:bCs/>
                <w:szCs w:val="22"/>
              </w:rPr>
            </w:pPr>
            <w:r w:rsidRPr="0095783A">
              <w:rPr>
                <w:bCs/>
                <w:szCs w:val="22"/>
              </w:rPr>
              <w:t>WPTH977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94CB012"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E0B587C"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44E84DB"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34BB069"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9BB6086" w14:textId="77777777" w:rsidR="004243C6" w:rsidRPr="0095783A" w:rsidRDefault="004243C6" w:rsidP="004243C6">
            <w:pPr>
              <w:rPr>
                <w:bCs/>
                <w:szCs w:val="22"/>
              </w:rPr>
            </w:pPr>
            <w:r w:rsidRPr="0095783A">
              <w:rPr>
                <w:bCs/>
                <w:szCs w:val="22"/>
              </w:rPr>
              <w:t>Montgomery, AL</w:t>
            </w:r>
          </w:p>
        </w:tc>
      </w:tr>
      <w:tr w:rsidR="004243C6" w:rsidRPr="0095783A" w14:paraId="729767F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D791165" w14:textId="77777777" w:rsidR="004243C6" w:rsidRPr="0095783A" w:rsidRDefault="004243C6" w:rsidP="004243C6">
            <w:pPr>
              <w:rPr>
                <w:bCs/>
                <w:szCs w:val="22"/>
              </w:rPr>
            </w:pPr>
            <w:r w:rsidRPr="0095783A">
              <w:rPr>
                <w:bCs/>
                <w:szCs w:val="22"/>
              </w:rPr>
              <w:t>0007450650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89D3093" w14:textId="77777777" w:rsidR="004243C6" w:rsidRPr="0095783A" w:rsidRDefault="004243C6" w:rsidP="004243C6">
            <w:pPr>
              <w:rPr>
                <w:bCs/>
                <w:szCs w:val="22"/>
              </w:rPr>
            </w:pPr>
            <w:r w:rsidRPr="0095783A">
              <w:rPr>
                <w:bCs/>
                <w:szCs w:val="22"/>
              </w:rPr>
              <w:t>WPTH977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15D4C00"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3395240"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9152836"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BB4539E"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FF8B07D" w14:textId="77777777" w:rsidR="004243C6" w:rsidRPr="0095783A" w:rsidRDefault="004243C6" w:rsidP="004243C6">
            <w:pPr>
              <w:rPr>
                <w:bCs/>
                <w:szCs w:val="22"/>
              </w:rPr>
            </w:pPr>
            <w:r w:rsidRPr="0095783A">
              <w:rPr>
                <w:bCs/>
                <w:szCs w:val="22"/>
              </w:rPr>
              <w:t>Montgomery, AL</w:t>
            </w:r>
          </w:p>
        </w:tc>
      </w:tr>
      <w:tr w:rsidR="004243C6" w:rsidRPr="0095783A" w14:paraId="303836C0"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57BCC7D" w14:textId="77777777" w:rsidR="004243C6" w:rsidRPr="0095783A" w:rsidRDefault="004243C6" w:rsidP="004243C6">
            <w:pPr>
              <w:rPr>
                <w:bCs/>
                <w:szCs w:val="22"/>
              </w:rPr>
            </w:pPr>
            <w:r w:rsidRPr="0095783A">
              <w:rPr>
                <w:bCs/>
                <w:szCs w:val="22"/>
              </w:rPr>
              <w:t>0007435115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960B0F2" w14:textId="77777777" w:rsidR="004243C6" w:rsidRPr="0095783A" w:rsidRDefault="004243C6" w:rsidP="004243C6">
            <w:pPr>
              <w:rPr>
                <w:bCs/>
                <w:szCs w:val="22"/>
              </w:rPr>
            </w:pPr>
            <w:r w:rsidRPr="0095783A">
              <w:rPr>
                <w:bCs/>
                <w:szCs w:val="22"/>
              </w:rPr>
              <w:t>WPTH978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D713671"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B425090"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A197109"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D126679"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5F201B5" w14:textId="77777777" w:rsidR="004243C6" w:rsidRPr="0095783A" w:rsidRDefault="004243C6" w:rsidP="004243C6">
            <w:pPr>
              <w:rPr>
                <w:bCs/>
                <w:szCs w:val="22"/>
              </w:rPr>
            </w:pPr>
            <w:r w:rsidRPr="0095783A">
              <w:rPr>
                <w:bCs/>
                <w:szCs w:val="22"/>
              </w:rPr>
              <w:t>Montgomery, AL</w:t>
            </w:r>
          </w:p>
        </w:tc>
      </w:tr>
      <w:tr w:rsidR="004243C6" w:rsidRPr="0095783A" w14:paraId="5B27FA04"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7992DDA" w14:textId="77777777" w:rsidR="004243C6" w:rsidRPr="0095783A" w:rsidRDefault="004243C6" w:rsidP="004243C6">
            <w:pPr>
              <w:rPr>
                <w:bCs/>
                <w:szCs w:val="22"/>
              </w:rPr>
            </w:pPr>
            <w:r w:rsidRPr="0095783A">
              <w:rPr>
                <w:bCs/>
                <w:szCs w:val="22"/>
              </w:rPr>
              <w:t>0007450651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A80F6AF" w14:textId="77777777" w:rsidR="004243C6" w:rsidRPr="0095783A" w:rsidRDefault="004243C6" w:rsidP="004243C6">
            <w:pPr>
              <w:rPr>
                <w:bCs/>
                <w:szCs w:val="22"/>
              </w:rPr>
            </w:pPr>
            <w:r w:rsidRPr="0095783A">
              <w:rPr>
                <w:bCs/>
                <w:szCs w:val="22"/>
              </w:rPr>
              <w:t>WPTH978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0848664"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7249CF9"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2A6AC7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F33FB71"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8421B8E" w14:textId="77777777" w:rsidR="004243C6" w:rsidRPr="0095783A" w:rsidRDefault="004243C6" w:rsidP="004243C6">
            <w:pPr>
              <w:rPr>
                <w:bCs/>
                <w:szCs w:val="22"/>
              </w:rPr>
            </w:pPr>
            <w:r w:rsidRPr="0095783A">
              <w:rPr>
                <w:bCs/>
                <w:szCs w:val="22"/>
              </w:rPr>
              <w:t>Montgomery, AL</w:t>
            </w:r>
          </w:p>
        </w:tc>
      </w:tr>
      <w:tr w:rsidR="004243C6" w:rsidRPr="0095783A" w14:paraId="6C5CD718"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7AF46B8" w14:textId="77777777" w:rsidR="004243C6" w:rsidRPr="0095783A" w:rsidRDefault="004243C6" w:rsidP="004243C6">
            <w:pPr>
              <w:rPr>
                <w:bCs/>
                <w:szCs w:val="22"/>
              </w:rPr>
            </w:pPr>
            <w:r w:rsidRPr="0095783A">
              <w:rPr>
                <w:bCs/>
                <w:szCs w:val="22"/>
              </w:rPr>
              <w:t>0007435116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A38BD77" w14:textId="77777777" w:rsidR="004243C6" w:rsidRPr="0095783A" w:rsidRDefault="004243C6" w:rsidP="004243C6">
            <w:pPr>
              <w:rPr>
                <w:bCs/>
                <w:szCs w:val="22"/>
              </w:rPr>
            </w:pPr>
            <w:r w:rsidRPr="0095783A">
              <w:rPr>
                <w:bCs/>
                <w:szCs w:val="22"/>
              </w:rPr>
              <w:t>WPTH979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DC92FAF"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A3721EA"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01D09F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51326A9"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ABEFF81" w14:textId="77777777" w:rsidR="004243C6" w:rsidRPr="0095783A" w:rsidRDefault="004243C6" w:rsidP="004243C6">
            <w:pPr>
              <w:rPr>
                <w:bCs/>
                <w:szCs w:val="22"/>
              </w:rPr>
            </w:pPr>
            <w:r w:rsidRPr="0095783A">
              <w:rPr>
                <w:bCs/>
                <w:szCs w:val="22"/>
              </w:rPr>
              <w:t>Biloxi-Gulfport-Pascagoula, MS</w:t>
            </w:r>
          </w:p>
        </w:tc>
      </w:tr>
      <w:tr w:rsidR="004243C6" w:rsidRPr="0095783A" w14:paraId="767D36F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0B4AEC0" w14:textId="77777777" w:rsidR="004243C6" w:rsidRPr="0095783A" w:rsidRDefault="004243C6" w:rsidP="004243C6">
            <w:pPr>
              <w:rPr>
                <w:bCs/>
                <w:szCs w:val="22"/>
              </w:rPr>
            </w:pPr>
            <w:r w:rsidRPr="0095783A">
              <w:rPr>
                <w:bCs/>
                <w:szCs w:val="22"/>
              </w:rPr>
              <w:t>0007450652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EA0DF7A" w14:textId="77777777" w:rsidR="004243C6" w:rsidRPr="0095783A" w:rsidRDefault="004243C6" w:rsidP="004243C6">
            <w:pPr>
              <w:rPr>
                <w:bCs/>
                <w:szCs w:val="22"/>
              </w:rPr>
            </w:pPr>
            <w:r w:rsidRPr="0095783A">
              <w:rPr>
                <w:bCs/>
                <w:szCs w:val="22"/>
              </w:rPr>
              <w:t>WPTH979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CAA4275"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AC45527"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9037A0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56E5078"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411B5EE" w14:textId="77777777" w:rsidR="004243C6" w:rsidRPr="0095783A" w:rsidRDefault="004243C6" w:rsidP="004243C6">
            <w:pPr>
              <w:rPr>
                <w:bCs/>
                <w:szCs w:val="22"/>
              </w:rPr>
            </w:pPr>
            <w:r w:rsidRPr="0095783A">
              <w:rPr>
                <w:bCs/>
                <w:szCs w:val="22"/>
              </w:rPr>
              <w:t>Biloxi-Gulfport-Pascagoula, MS</w:t>
            </w:r>
          </w:p>
        </w:tc>
      </w:tr>
      <w:tr w:rsidR="004243C6" w:rsidRPr="0095783A" w14:paraId="5DD69E9E"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CB36559" w14:textId="77777777" w:rsidR="004243C6" w:rsidRPr="0095783A" w:rsidRDefault="004243C6" w:rsidP="004243C6">
            <w:pPr>
              <w:rPr>
                <w:bCs/>
                <w:szCs w:val="22"/>
              </w:rPr>
            </w:pPr>
            <w:r w:rsidRPr="0095783A">
              <w:rPr>
                <w:bCs/>
                <w:szCs w:val="22"/>
              </w:rPr>
              <w:t>0007435117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943CE4A" w14:textId="77777777" w:rsidR="004243C6" w:rsidRPr="0095783A" w:rsidRDefault="004243C6" w:rsidP="004243C6">
            <w:pPr>
              <w:rPr>
                <w:bCs/>
                <w:szCs w:val="22"/>
              </w:rPr>
            </w:pPr>
            <w:r w:rsidRPr="0095783A">
              <w:rPr>
                <w:bCs/>
                <w:szCs w:val="22"/>
              </w:rPr>
              <w:t>WPTH980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94DC73F"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7E197F9"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4900E5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583D6A3"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DCDDE50" w14:textId="77777777" w:rsidR="004243C6" w:rsidRPr="0095783A" w:rsidRDefault="004243C6" w:rsidP="004243C6">
            <w:pPr>
              <w:rPr>
                <w:bCs/>
                <w:szCs w:val="22"/>
              </w:rPr>
            </w:pPr>
            <w:r w:rsidRPr="0095783A">
              <w:rPr>
                <w:bCs/>
                <w:szCs w:val="22"/>
              </w:rPr>
              <w:t>Biloxi-Gulfport-Pascagoula, MS</w:t>
            </w:r>
          </w:p>
        </w:tc>
      </w:tr>
      <w:tr w:rsidR="004243C6" w:rsidRPr="0095783A" w14:paraId="5D434189"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D900179" w14:textId="77777777" w:rsidR="004243C6" w:rsidRPr="0095783A" w:rsidRDefault="004243C6" w:rsidP="004243C6">
            <w:pPr>
              <w:rPr>
                <w:bCs/>
                <w:szCs w:val="22"/>
              </w:rPr>
            </w:pPr>
            <w:r w:rsidRPr="0095783A">
              <w:rPr>
                <w:bCs/>
                <w:szCs w:val="22"/>
              </w:rPr>
              <w:t>0007450653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8952BE9" w14:textId="77777777" w:rsidR="004243C6" w:rsidRPr="0095783A" w:rsidRDefault="004243C6" w:rsidP="004243C6">
            <w:pPr>
              <w:rPr>
                <w:bCs/>
                <w:szCs w:val="22"/>
              </w:rPr>
            </w:pPr>
            <w:r w:rsidRPr="0095783A">
              <w:rPr>
                <w:bCs/>
                <w:szCs w:val="22"/>
              </w:rPr>
              <w:t>WPTH980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DC2893F"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B181C89"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70BAE21"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623F34B"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C394CC7" w14:textId="77777777" w:rsidR="004243C6" w:rsidRPr="0095783A" w:rsidRDefault="004243C6" w:rsidP="004243C6">
            <w:pPr>
              <w:rPr>
                <w:bCs/>
                <w:szCs w:val="22"/>
              </w:rPr>
            </w:pPr>
            <w:r w:rsidRPr="0095783A">
              <w:rPr>
                <w:bCs/>
                <w:szCs w:val="22"/>
              </w:rPr>
              <w:t>Biloxi-Gulfport-Pascagoula, MS</w:t>
            </w:r>
          </w:p>
        </w:tc>
      </w:tr>
      <w:tr w:rsidR="004243C6" w:rsidRPr="0095783A" w14:paraId="74811680"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8361D67" w14:textId="77777777" w:rsidR="004243C6" w:rsidRPr="0095783A" w:rsidRDefault="004243C6" w:rsidP="004243C6">
            <w:pPr>
              <w:rPr>
                <w:bCs/>
                <w:szCs w:val="22"/>
              </w:rPr>
            </w:pPr>
            <w:r w:rsidRPr="0095783A">
              <w:rPr>
                <w:bCs/>
                <w:szCs w:val="22"/>
              </w:rPr>
              <w:t>0007435118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F12E331" w14:textId="77777777" w:rsidR="004243C6" w:rsidRPr="0095783A" w:rsidRDefault="004243C6" w:rsidP="004243C6">
            <w:pPr>
              <w:rPr>
                <w:bCs/>
                <w:szCs w:val="22"/>
              </w:rPr>
            </w:pPr>
            <w:r w:rsidRPr="0095783A">
              <w:rPr>
                <w:bCs/>
                <w:szCs w:val="22"/>
              </w:rPr>
              <w:t>WPTH981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2A2A27F"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440B7DB"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1DA1E9B"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7D4F62D"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FF4FC54" w14:textId="77777777" w:rsidR="004243C6" w:rsidRPr="0095783A" w:rsidRDefault="004243C6" w:rsidP="004243C6">
            <w:pPr>
              <w:rPr>
                <w:bCs/>
                <w:szCs w:val="22"/>
              </w:rPr>
            </w:pPr>
            <w:r w:rsidRPr="0095783A">
              <w:rPr>
                <w:bCs/>
                <w:szCs w:val="22"/>
              </w:rPr>
              <w:t>Beaumont-Port Arthur, TX</w:t>
            </w:r>
          </w:p>
        </w:tc>
      </w:tr>
      <w:tr w:rsidR="004243C6" w:rsidRPr="0095783A" w14:paraId="07B4F7FE"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7493399" w14:textId="77777777" w:rsidR="004243C6" w:rsidRPr="0095783A" w:rsidRDefault="004243C6" w:rsidP="004243C6">
            <w:pPr>
              <w:rPr>
                <w:bCs/>
                <w:szCs w:val="22"/>
              </w:rPr>
            </w:pPr>
            <w:r w:rsidRPr="0095783A">
              <w:rPr>
                <w:bCs/>
                <w:szCs w:val="22"/>
              </w:rPr>
              <w:t>0007450654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E4D3B3D" w14:textId="77777777" w:rsidR="004243C6" w:rsidRPr="0095783A" w:rsidRDefault="004243C6" w:rsidP="004243C6">
            <w:pPr>
              <w:rPr>
                <w:bCs/>
                <w:szCs w:val="22"/>
              </w:rPr>
            </w:pPr>
            <w:r w:rsidRPr="0095783A">
              <w:rPr>
                <w:bCs/>
                <w:szCs w:val="22"/>
              </w:rPr>
              <w:t>WPTH981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3E67804"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B96F7CF"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9ADAF8B"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7343E31"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A429759" w14:textId="77777777" w:rsidR="004243C6" w:rsidRPr="0095783A" w:rsidRDefault="004243C6" w:rsidP="004243C6">
            <w:pPr>
              <w:rPr>
                <w:bCs/>
                <w:szCs w:val="22"/>
              </w:rPr>
            </w:pPr>
            <w:r w:rsidRPr="0095783A">
              <w:rPr>
                <w:bCs/>
                <w:szCs w:val="22"/>
              </w:rPr>
              <w:t>Beaumont-Port Arthur, TX</w:t>
            </w:r>
          </w:p>
        </w:tc>
      </w:tr>
      <w:tr w:rsidR="004243C6" w:rsidRPr="0095783A" w14:paraId="61BA1EDA"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49A89C4" w14:textId="77777777" w:rsidR="004243C6" w:rsidRPr="0095783A" w:rsidRDefault="004243C6" w:rsidP="004243C6">
            <w:pPr>
              <w:rPr>
                <w:bCs/>
                <w:szCs w:val="22"/>
              </w:rPr>
            </w:pPr>
            <w:r w:rsidRPr="0095783A">
              <w:rPr>
                <w:bCs/>
                <w:szCs w:val="22"/>
              </w:rPr>
              <w:t>0007435119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7A3EA68" w14:textId="77777777" w:rsidR="004243C6" w:rsidRPr="0095783A" w:rsidRDefault="004243C6" w:rsidP="004243C6">
            <w:pPr>
              <w:rPr>
                <w:bCs/>
                <w:szCs w:val="22"/>
              </w:rPr>
            </w:pPr>
            <w:r w:rsidRPr="0095783A">
              <w:rPr>
                <w:bCs/>
                <w:szCs w:val="22"/>
              </w:rPr>
              <w:t>WPTH982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6649F8D"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D49C328"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1D0B4B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EB0B800"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C8FBFB3" w14:textId="77777777" w:rsidR="004243C6" w:rsidRPr="0095783A" w:rsidRDefault="004243C6" w:rsidP="004243C6">
            <w:pPr>
              <w:rPr>
                <w:bCs/>
                <w:szCs w:val="22"/>
              </w:rPr>
            </w:pPr>
            <w:r w:rsidRPr="0095783A">
              <w:rPr>
                <w:bCs/>
                <w:szCs w:val="22"/>
              </w:rPr>
              <w:t>Beaumont-Port Arthur, TX</w:t>
            </w:r>
          </w:p>
        </w:tc>
      </w:tr>
      <w:tr w:rsidR="004243C6" w:rsidRPr="0095783A" w14:paraId="1B43439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C3E6F88" w14:textId="77777777" w:rsidR="004243C6" w:rsidRPr="0095783A" w:rsidRDefault="004243C6" w:rsidP="004243C6">
            <w:pPr>
              <w:rPr>
                <w:bCs/>
                <w:szCs w:val="22"/>
              </w:rPr>
            </w:pPr>
            <w:r w:rsidRPr="0095783A">
              <w:rPr>
                <w:bCs/>
                <w:szCs w:val="22"/>
              </w:rPr>
              <w:t>0007450655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249822F" w14:textId="77777777" w:rsidR="004243C6" w:rsidRPr="0095783A" w:rsidRDefault="004243C6" w:rsidP="004243C6">
            <w:pPr>
              <w:rPr>
                <w:bCs/>
                <w:szCs w:val="22"/>
              </w:rPr>
            </w:pPr>
            <w:r w:rsidRPr="0095783A">
              <w:rPr>
                <w:bCs/>
                <w:szCs w:val="22"/>
              </w:rPr>
              <w:t>WPTH982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9140D62"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15226F1"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7ACCA3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AD556B8"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56CD564" w14:textId="77777777" w:rsidR="004243C6" w:rsidRPr="0095783A" w:rsidRDefault="004243C6" w:rsidP="004243C6">
            <w:pPr>
              <w:rPr>
                <w:bCs/>
                <w:szCs w:val="22"/>
              </w:rPr>
            </w:pPr>
            <w:r w:rsidRPr="0095783A">
              <w:rPr>
                <w:bCs/>
                <w:szCs w:val="22"/>
              </w:rPr>
              <w:t>Beaumont-Port Arthur, TX</w:t>
            </w:r>
          </w:p>
        </w:tc>
      </w:tr>
      <w:tr w:rsidR="004243C6" w:rsidRPr="0095783A" w14:paraId="29884D16"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E8568D2" w14:textId="77777777" w:rsidR="004243C6" w:rsidRPr="0095783A" w:rsidRDefault="004243C6" w:rsidP="004243C6">
            <w:pPr>
              <w:rPr>
                <w:bCs/>
                <w:szCs w:val="22"/>
              </w:rPr>
            </w:pPr>
            <w:r w:rsidRPr="0095783A">
              <w:rPr>
                <w:bCs/>
                <w:szCs w:val="22"/>
              </w:rPr>
              <w:t>0007435120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F13467C" w14:textId="77777777" w:rsidR="004243C6" w:rsidRPr="0095783A" w:rsidRDefault="004243C6" w:rsidP="004243C6">
            <w:pPr>
              <w:rPr>
                <w:bCs/>
                <w:szCs w:val="22"/>
              </w:rPr>
            </w:pPr>
            <w:r w:rsidRPr="0095783A">
              <w:rPr>
                <w:bCs/>
                <w:szCs w:val="22"/>
              </w:rPr>
              <w:t>WPTH983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183E92E"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C952CEE"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1E9682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24E50C1"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17CBDC1" w14:textId="77777777" w:rsidR="004243C6" w:rsidRPr="0095783A" w:rsidRDefault="004243C6" w:rsidP="004243C6">
            <w:pPr>
              <w:rPr>
                <w:bCs/>
                <w:szCs w:val="22"/>
              </w:rPr>
            </w:pPr>
            <w:r w:rsidRPr="0095783A">
              <w:rPr>
                <w:bCs/>
                <w:szCs w:val="22"/>
              </w:rPr>
              <w:t>Monroe, LA</w:t>
            </w:r>
          </w:p>
        </w:tc>
      </w:tr>
      <w:tr w:rsidR="004243C6" w:rsidRPr="0095783A" w14:paraId="7ED50B1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D0212C4" w14:textId="77777777" w:rsidR="004243C6" w:rsidRPr="0095783A" w:rsidRDefault="004243C6" w:rsidP="004243C6">
            <w:pPr>
              <w:rPr>
                <w:bCs/>
                <w:szCs w:val="22"/>
              </w:rPr>
            </w:pPr>
            <w:r w:rsidRPr="0095783A">
              <w:rPr>
                <w:bCs/>
                <w:szCs w:val="22"/>
              </w:rPr>
              <w:t>0007450656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396E361" w14:textId="77777777" w:rsidR="004243C6" w:rsidRPr="0095783A" w:rsidRDefault="004243C6" w:rsidP="004243C6">
            <w:pPr>
              <w:rPr>
                <w:bCs/>
                <w:szCs w:val="22"/>
              </w:rPr>
            </w:pPr>
            <w:r w:rsidRPr="0095783A">
              <w:rPr>
                <w:bCs/>
                <w:szCs w:val="22"/>
              </w:rPr>
              <w:t>WPTH983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E9DA6FA"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11B9B24"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B1B7124"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6D073B5"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5F3A385" w14:textId="77777777" w:rsidR="004243C6" w:rsidRPr="0095783A" w:rsidRDefault="004243C6" w:rsidP="004243C6">
            <w:pPr>
              <w:rPr>
                <w:bCs/>
                <w:szCs w:val="22"/>
              </w:rPr>
            </w:pPr>
            <w:r w:rsidRPr="0095783A">
              <w:rPr>
                <w:bCs/>
                <w:szCs w:val="22"/>
              </w:rPr>
              <w:t>Monroe, LA</w:t>
            </w:r>
          </w:p>
        </w:tc>
      </w:tr>
      <w:tr w:rsidR="004243C6" w:rsidRPr="0095783A" w14:paraId="1644C6C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E167EA4" w14:textId="77777777" w:rsidR="004243C6" w:rsidRPr="0095783A" w:rsidRDefault="004243C6" w:rsidP="004243C6">
            <w:pPr>
              <w:rPr>
                <w:bCs/>
                <w:szCs w:val="22"/>
              </w:rPr>
            </w:pPr>
            <w:r w:rsidRPr="0095783A">
              <w:rPr>
                <w:bCs/>
                <w:szCs w:val="22"/>
              </w:rPr>
              <w:t>0007435121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0052FF8" w14:textId="77777777" w:rsidR="004243C6" w:rsidRPr="0095783A" w:rsidRDefault="004243C6" w:rsidP="004243C6">
            <w:pPr>
              <w:rPr>
                <w:bCs/>
                <w:szCs w:val="22"/>
              </w:rPr>
            </w:pPr>
            <w:r w:rsidRPr="0095783A">
              <w:rPr>
                <w:bCs/>
                <w:szCs w:val="22"/>
              </w:rPr>
              <w:t>WPTH984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20E277D"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40DE3EB"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3ED6B7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63F82F4"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D8F8742" w14:textId="77777777" w:rsidR="004243C6" w:rsidRPr="0095783A" w:rsidRDefault="004243C6" w:rsidP="004243C6">
            <w:pPr>
              <w:rPr>
                <w:bCs/>
                <w:szCs w:val="22"/>
              </w:rPr>
            </w:pPr>
            <w:r w:rsidRPr="0095783A">
              <w:rPr>
                <w:bCs/>
                <w:szCs w:val="22"/>
              </w:rPr>
              <w:t>Monroe, LA</w:t>
            </w:r>
          </w:p>
        </w:tc>
      </w:tr>
      <w:tr w:rsidR="004243C6" w:rsidRPr="0095783A" w14:paraId="069FEB1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78B2F16" w14:textId="77777777" w:rsidR="004243C6" w:rsidRPr="0095783A" w:rsidRDefault="004243C6" w:rsidP="004243C6">
            <w:pPr>
              <w:rPr>
                <w:bCs/>
                <w:szCs w:val="22"/>
              </w:rPr>
            </w:pPr>
            <w:r w:rsidRPr="0095783A">
              <w:rPr>
                <w:bCs/>
                <w:szCs w:val="22"/>
              </w:rPr>
              <w:t>0007450657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19A5AEC" w14:textId="77777777" w:rsidR="004243C6" w:rsidRPr="0095783A" w:rsidRDefault="004243C6" w:rsidP="004243C6">
            <w:pPr>
              <w:rPr>
                <w:bCs/>
                <w:szCs w:val="22"/>
              </w:rPr>
            </w:pPr>
            <w:r w:rsidRPr="0095783A">
              <w:rPr>
                <w:bCs/>
                <w:szCs w:val="22"/>
              </w:rPr>
              <w:t>WPTH984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99EFA34"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2F1A15D"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AC84C04"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119307D"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E65E8C6" w14:textId="77777777" w:rsidR="004243C6" w:rsidRPr="0095783A" w:rsidRDefault="004243C6" w:rsidP="004243C6">
            <w:pPr>
              <w:rPr>
                <w:bCs/>
                <w:szCs w:val="22"/>
              </w:rPr>
            </w:pPr>
            <w:r w:rsidRPr="0095783A">
              <w:rPr>
                <w:bCs/>
                <w:szCs w:val="22"/>
              </w:rPr>
              <w:t>Monroe, LA</w:t>
            </w:r>
          </w:p>
        </w:tc>
      </w:tr>
      <w:tr w:rsidR="004243C6" w:rsidRPr="0095783A" w14:paraId="08896046"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009BDAC" w14:textId="77777777" w:rsidR="004243C6" w:rsidRPr="0095783A" w:rsidRDefault="004243C6" w:rsidP="004243C6">
            <w:pPr>
              <w:rPr>
                <w:bCs/>
                <w:szCs w:val="22"/>
              </w:rPr>
            </w:pPr>
            <w:r w:rsidRPr="0095783A">
              <w:rPr>
                <w:bCs/>
                <w:szCs w:val="22"/>
              </w:rPr>
              <w:t>0007435122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0BE48CC" w14:textId="77777777" w:rsidR="004243C6" w:rsidRPr="0095783A" w:rsidRDefault="004243C6" w:rsidP="004243C6">
            <w:pPr>
              <w:rPr>
                <w:bCs/>
                <w:szCs w:val="22"/>
              </w:rPr>
            </w:pPr>
            <w:r w:rsidRPr="0095783A">
              <w:rPr>
                <w:bCs/>
                <w:szCs w:val="22"/>
              </w:rPr>
              <w:t>WPTH985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EFBA7BB"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75E80D0"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F8050C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8A8ACE1"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9FCF680" w14:textId="77777777" w:rsidR="004243C6" w:rsidRPr="0095783A" w:rsidRDefault="004243C6" w:rsidP="004243C6">
            <w:pPr>
              <w:rPr>
                <w:bCs/>
                <w:szCs w:val="22"/>
              </w:rPr>
            </w:pPr>
            <w:r w:rsidRPr="0095783A">
              <w:rPr>
                <w:bCs/>
                <w:szCs w:val="22"/>
              </w:rPr>
              <w:t>Fort Smith, AR-OK</w:t>
            </w:r>
          </w:p>
        </w:tc>
      </w:tr>
      <w:tr w:rsidR="004243C6" w:rsidRPr="0095783A" w14:paraId="22A7D384"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93F13C1" w14:textId="77777777" w:rsidR="004243C6" w:rsidRPr="0095783A" w:rsidRDefault="004243C6" w:rsidP="004243C6">
            <w:pPr>
              <w:rPr>
                <w:bCs/>
                <w:szCs w:val="22"/>
              </w:rPr>
            </w:pPr>
            <w:r w:rsidRPr="0095783A">
              <w:rPr>
                <w:bCs/>
                <w:szCs w:val="22"/>
              </w:rPr>
              <w:t>0007450658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3E5A10A" w14:textId="77777777" w:rsidR="004243C6" w:rsidRPr="0095783A" w:rsidRDefault="004243C6" w:rsidP="004243C6">
            <w:pPr>
              <w:rPr>
                <w:bCs/>
                <w:szCs w:val="22"/>
              </w:rPr>
            </w:pPr>
            <w:r w:rsidRPr="0095783A">
              <w:rPr>
                <w:bCs/>
                <w:szCs w:val="22"/>
              </w:rPr>
              <w:t>WPTH985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B5FD2E0"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629B7D6"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97E6C2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206EA3B"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E54B4C5" w14:textId="77777777" w:rsidR="004243C6" w:rsidRPr="0095783A" w:rsidRDefault="004243C6" w:rsidP="004243C6">
            <w:pPr>
              <w:rPr>
                <w:bCs/>
                <w:szCs w:val="22"/>
              </w:rPr>
            </w:pPr>
            <w:r w:rsidRPr="0095783A">
              <w:rPr>
                <w:bCs/>
                <w:szCs w:val="22"/>
              </w:rPr>
              <w:t>Fort Smith, AR-OK</w:t>
            </w:r>
          </w:p>
        </w:tc>
      </w:tr>
      <w:tr w:rsidR="004243C6" w:rsidRPr="0095783A" w14:paraId="4399675D"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B6A42A7" w14:textId="77777777" w:rsidR="004243C6" w:rsidRPr="0095783A" w:rsidRDefault="004243C6" w:rsidP="004243C6">
            <w:pPr>
              <w:rPr>
                <w:bCs/>
                <w:szCs w:val="22"/>
              </w:rPr>
            </w:pPr>
            <w:r w:rsidRPr="0095783A">
              <w:rPr>
                <w:bCs/>
                <w:szCs w:val="22"/>
              </w:rPr>
              <w:t>0007435123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68BB006" w14:textId="77777777" w:rsidR="004243C6" w:rsidRPr="0095783A" w:rsidRDefault="004243C6" w:rsidP="004243C6">
            <w:pPr>
              <w:rPr>
                <w:bCs/>
                <w:szCs w:val="22"/>
              </w:rPr>
            </w:pPr>
            <w:r w:rsidRPr="0095783A">
              <w:rPr>
                <w:bCs/>
                <w:szCs w:val="22"/>
              </w:rPr>
              <w:t>WPTH986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7ECA83A"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CFE8EF0"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CBE6D2C"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06EFE9D"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D2A8767" w14:textId="77777777" w:rsidR="004243C6" w:rsidRPr="0095783A" w:rsidRDefault="004243C6" w:rsidP="004243C6">
            <w:pPr>
              <w:rPr>
                <w:bCs/>
                <w:szCs w:val="22"/>
              </w:rPr>
            </w:pPr>
            <w:r w:rsidRPr="0095783A">
              <w:rPr>
                <w:bCs/>
                <w:szCs w:val="22"/>
              </w:rPr>
              <w:t>Fayetteville-Springdale-Rogers</w:t>
            </w:r>
          </w:p>
        </w:tc>
      </w:tr>
      <w:tr w:rsidR="004243C6" w:rsidRPr="0095783A" w14:paraId="4C51C245"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F1F38AB" w14:textId="77777777" w:rsidR="004243C6" w:rsidRPr="0095783A" w:rsidRDefault="004243C6" w:rsidP="004243C6">
            <w:pPr>
              <w:rPr>
                <w:bCs/>
                <w:szCs w:val="22"/>
              </w:rPr>
            </w:pPr>
            <w:r w:rsidRPr="0095783A">
              <w:rPr>
                <w:bCs/>
                <w:szCs w:val="22"/>
              </w:rPr>
              <w:t>0007450659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BCDE8D1" w14:textId="77777777" w:rsidR="004243C6" w:rsidRPr="0095783A" w:rsidRDefault="004243C6" w:rsidP="004243C6">
            <w:pPr>
              <w:rPr>
                <w:bCs/>
                <w:szCs w:val="22"/>
              </w:rPr>
            </w:pPr>
            <w:r w:rsidRPr="0095783A">
              <w:rPr>
                <w:bCs/>
                <w:szCs w:val="22"/>
              </w:rPr>
              <w:t>WPTH986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5695498"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4DF2DAC"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0E8134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2374A27"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E249415" w14:textId="77777777" w:rsidR="004243C6" w:rsidRPr="0095783A" w:rsidRDefault="004243C6" w:rsidP="004243C6">
            <w:pPr>
              <w:rPr>
                <w:bCs/>
                <w:szCs w:val="22"/>
              </w:rPr>
            </w:pPr>
            <w:r w:rsidRPr="0095783A">
              <w:rPr>
                <w:bCs/>
                <w:szCs w:val="22"/>
              </w:rPr>
              <w:t>Fayetteville-Springdale-Rogers</w:t>
            </w:r>
          </w:p>
        </w:tc>
      </w:tr>
      <w:tr w:rsidR="004243C6" w:rsidRPr="0095783A" w14:paraId="29B3D909"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796A655" w14:textId="77777777" w:rsidR="004243C6" w:rsidRPr="0095783A" w:rsidRDefault="004243C6" w:rsidP="004243C6">
            <w:pPr>
              <w:rPr>
                <w:bCs/>
                <w:szCs w:val="22"/>
              </w:rPr>
            </w:pPr>
            <w:r w:rsidRPr="0095783A">
              <w:rPr>
                <w:bCs/>
                <w:szCs w:val="22"/>
              </w:rPr>
              <w:t>0007435124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977FFD7" w14:textId="77777777" w:rsidR="004243C6" w:rsidRPr="0095783A" w:rsidRDefault="004243C6" w:rsidP="004243C6">
            <w:pPr>
              <w:rPr>
                <w:bCs/>
                <w:szCs w:val="22"/>
              </w:rPr>
            </w:pPr>
            <w:r w:rsidRPr="0095783A">
              <w:rPr>
                <w:bCs/>
                <w:szCs w:val="22"/>
              </w:rPr>
              <w:t>WPTH987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B9EC9C6"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5AF95A2"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C0C467C"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DF8ECB3"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19D46DA" w14:textId="77777777" w:rsidR="004243C6" w:rsidRPr="0095783A" w:rsidRDefault="004243C6" w:rsidP="004243C6">
            <w:pPr>
              <w:rPr>
                <w:bCs/>
                <w:szCs w:val="22"/>
              </w:rPr>
            </w:pPr>
            <w:r w:rsidRPr="0095783A">
              <w:rPr>
                <w:bCs/>
                <w:szCs w:val="22"/>
              </w:rPr>
              <w:t>Joplin, MO-KS-OK</w:t>
            </w:r>
          </w:p>
        </w:tc>
      </w:tr>
      <w:tr w:rsidR="004243C6" w:rsidRPr="0095783A" w14:paraId="0BFE5FB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399FED1" w14:textId="77777777" w:rsidR="004243C6" w:rsidRPr="0095783A" w:rsidRDefault="004243C6" w:rsidP="004243C6">
            <w:pPr>
              <w:rPr>
                <w:bCs/>
                <w:szCs w:val="22"/>
              </w:rPr>
            </w:pPr>
            <w:r w:rsidRPr="0095783A">
              <w:rPr>
                <w:bCs/>
                <w:szCs w:val="22"/>
              </w:rPr>
              <w:t>0007450660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5D17BE1" w14:textId="77777777" w:rsidR="004243C6" w:rsidRPr="0095783A" w:rsidRDefault="004243C6" w:rsidP="004243C6">
            <w:pPr>
              <w:rPr>
                <w:bCs/>
                <w:szCs w:val="22"/>
              </w:rPr>
            </w:pPr>
            <w:r w:rsidRPr="0095783A">
              <w:rPr>
                <w:bCs/>
                <w:szCs w:val="22"/>
              </w:rPr>
              <w:t>WPTH987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08A4C92"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4A82AD2"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27F9374"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348B44B"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7394AFC" w14:textId="77777777" w:rsidR="004243C6" w:rsidRPr="0095783A" w:rsidRDefault="004243C6" w:rsidP="004243C6">
            <w:pPr>
              <w:rPr>
                <w:bCs/>
                <w:szCs w:val="22"/>
              </w:rPr>
            </w:pPr>
            <w:r w:rsidRPr="0095783A">
              <w:rPr>
                <w:bCs/>
                <w:szCs w:val="22"/>
              </w:rPr>
              <w:t>Joplin, MO-KS-OK</w:t>
            </w:r>
          </w:p>
        </w:tc>
      </w:tr>
      <w:tr w:rsidR="004243C6" w:rsidRPr="0095783A" w14:paraId="3D4C1499"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8A9F858" w14:textId="77777777" w:rsidR="004243C6" w:rsidRPr="0095783A" w:rsidRDefault="004243C6" w:rsidP="004243C6">
            <w:pPr>
              <w:rPr>
                <w:bCs/>
                <w:szCs w:val="22"/>
              </w:rPr>
            </w:pPr>
            <w:r w:rsidRPr="0095783A">
              <w:rPr>
                <w:bCs/>
                <w:szCs w:val="22"/>
              </w:rPr>
              <w:t>0007435125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BA92926" w14:textId="77777777" w:rsidR="004243C6" w:rsidRPr="0095783A" w:rsidRDefault="004243C6" w:rsidP="004243C6">
            <w:pPr>
              <w:rPr>
                <w:bCs/>
                <w:szCs w:val="22"/>
              </w:rPr>
            </w:pPr>
            <w:r w:rsidRPr="0095783A">
              <w:rPr>
                <w:bCs/>
                <w:szCs w:val="22"/>
              </w:rPr>
              <w:t>WPTH988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39C8732"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6FB74B0"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7B85083"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4F5A3DC"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E9BE278" w14:textId="77777777" w:rsidR="004243C6" w:rsidRPr="0095783A" w:rsidRDefault="004243C6" w:rsidP="004243C6">
            <w:pPr>
              <w:rPr>
                <w:bCs/>
                <w:szCs w:val="22"/>
              </w:rPr>
            </w:pPr>
            <w:r w:rsidRPr="0095783A">
              <w:rPr>
                <w:bCs/>
                <w:szCs w:val="22"/>
              </w:rPr>
              <w:t>Jonesboro, AR-MO</w:t>
            </w:r>
          </w:p>
        </w:tc>
      </w:tr>
      <w:tr w:rsidR="004243C6" w:rsidRPr="0095783A" w14:paraId="4116C140"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ABF06ED" w14:textId="77777777" w:rsidR="004243C6" w:rsidRPr="0095783A" w:rsidRDefault="004243C6" w:rsidP="004243C6">
            <w:pPr>
              <w:rPr>
                <w:bCs/>
                <w:szCs w:val="22"/>
              </w:rPr>
            </w:pPr>
            <w:r w:rsidRPr="0095783A">
              <w:rPr>
                <w:bCs/>
                <w:szCs w:val="22"/>
              </w:rPr>
              <w:t>0007450661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D7987AA" w14:textId="77777777" w:rsidR="004243C6" w:rsidRPr="0095783A" w:rsidRDefault="004243C6" w:rsidP="004243C6">
            <w:pPr>
              <w:rPr>
                <w:bCs/>
                <w:szCs w:val="22"/>
              </w:rPr>
            </w:pPr>
            <w:r w:rsidRPr="0095783A">
              <w:rPr>
                <w:bCs/>
                <w:szCs w:val="22"/>
              </w:rPr>
              <w:t>WPTH988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A566F3B"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0F6089F"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9B57B9A"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253937E"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B4E2CBA" w14:textId="77777777" w:rsidR="004243C6" w:rsidRPr="0095783A" w:rsidRDefault="004243C6" w:rsidP="004243C6">
            <w:pPr>
              <w:rPr>
                <w:bCs/>
                <w:szCs w:val="22"/>
              </w:rPr>
            </w:pPr>
            <w:r w:rsidRPr="0095783A">
              <w:rPr>
                <w:bCs/>
                <w:szCs w:val="22"/>
              </w:rPr>
              <w:t>Jonesboro, AR-MO</w:t>
            </w:r>
          </w:p>
        </w:tc>
      </w:tr>
      <w:tr w:rsidR="004243C6" w:rsidRPr="0095783A" w14:paraId="583D276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1007A63" w14:textId="77777777" w:rsidR="004243C6" w:rsidRPr="0095783A" w:rsidRDefault="004243C6" w:rsidP="004243C6">
            <w:pPr>
              <w:rPr>
                <w:bCs/>
                <w:szCs w:val="22"/>
              </w:rPr>
            </w:pPr>
            <w:r w:rsidRPr="0095783A">
              <w:rPr>
                <w:bCs/>
                <w:szCs w:val="22"/>
              </w:rPr>
              <w:t>0007435126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A63DC0B" w14:textId="77777777" w:rsidR="004243C6" w:rsidRPr="0095783A" w:rsidRDefault="004243C6" w:rsidP="004243C6">
            <w:pPr>
              <w:rPr>
                <w:bCs/>
                <w:szCs w:val="22"/>
              </w:rPr>
            </w:pPr>
            <w:r w:rsidRPr="0095783A">
              <w:rPr>
                <w:bCs/>
                <w:szCs w:val="22"/>
              </w:rPr>
              <w:t>WPTH989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3FD4EB0"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7C094B9"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2164E6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CCBA7E7"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BF52FF3" w14:textId="77777777" w:rsidR="004243C6" w:rsidRPr="0095783A" w:rsidRDefault="004243C6" w:rsidP="004243C6">
            <w:pPr>
              <w:rPr>
                <w:bCs/>
                <w:szCs w:val="22"/>
              </w:rPr>
            </w:pPr>
            <w:r w:rsidRPr="0095783A">
              <w:rPr>
                <w:bCs/>
                <w:szCs w:val="22"/>
              </w:rPr>
              <w:t>Springfield, IL-MO</w:t>
            </w:r>
          </w:p>
        </w:tc>
      </w:tr>
      <w:tr w:rsidR="004243C6" w:rsidRPr="0095783A" w14:paraId="00FEB17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D1CDDF4" w14:textId="77777777" w:rsidR="004243C6" w:rsidRPr="0095783A" w:rsidRDefault="004243C6" w:rsidP="004243C6">
            <w:pPr>
              <w:rPr>
                <w:bCs/>
                <w:szCs w:val="22"/>
              </w:rPr>
            </w:pPr>
            <w:r w:rsidRPr="0095783A">
              <w:rPr>
                <w:bCs/>
                <w:szCs w:val="22"/>
              </w:rPr>
              <w:t>0007450662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77B9D14" w14:textId="77777777" w:rsidR="004243C6" w:rsidRPr="0095783A" w:rsidRDefault="004243C6" w:rsidP="004243C6">
            <w:pPr>
              <w:rPr>
                <w:bCs/>
                <w:szCs w:val="22"/>
              </w:rPr>
            </w:pPr>
            <w:r w:rsidRPr="0095783A">
              <w:rPr>
                <w:bCs/>
                <w:szCs w:val="22"/>
              </w:rPr>
              <w:t>WPTH989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C45CE05"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CFD9A24"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80F2886"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8928788"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86620A1" w14:textId="77777777" w:rsidR="004243C6" w:rsidRPr="0095783A" w:rsidRDefault="004243C6" w:rsidP="004243C6">
            <w:pPr>
              <w:rPr>
                <w:bCs/>
                <w:szCs w:val="22"/>
              </w:rPr>
            </w:pPr>
            <w:r w:rsidRPr="0095783A">
              <w:rPr>
                <w:bCs/>
                <w:szCs w:val="22"/>
              </w:rPr>
              <w:t>Springfield, IL-MO</w:t>
            </w:r>
          </w:p>
        </w:tc>
      </w:tr>
      <w:tr w:rsidR="004243C6" w:rsidRPr="0095783A" w14:paraId="6E15BE34"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5EB923A" w14:textId="77777777" w:rsidR="004243C6" w:rsidRPr="0095783A" w:rsidRDefault="004243C6" w:rsidP="004243C6">
            <w:pPr>
              <w:rPr>
                <w:bCs/>
                <w:szCs w:val="22"/>
              </w:rPr>
            </w:pPr>
            <w:r w:rsidRPr="0095783A">
              <w:rPr>
                <w:bCs/>
                <w:szCs w:val="22"/>
              </w:rPr>
              <w:t>0007435127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9558D0A" w14:textId="77777777" w:rsidR="004243C6" w:rsidRPr="0095783A" w:rsidRDefault="004243C6" w:rsidP="004243C6">
            <w:pPr>
              <w:rPr>
                <w:bCs/>
                <w:szCs w:val="22"/>
              </w:rPr>
            </w:pPr>
            <w:r w:rsidRPr="0095783A">
              <w:rPr>
                <w:bCs/>
                <w:szCs w:val="22"/>
              </w:rPr>
              <w:t>WPTH990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210B95C"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6A3DAA9"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7084FE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4ED0CFC"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517D366" w14:textId="77777777" w:rsidR="004243C6" w:rsidRPr="0095783A" w:rsidRDefault="004243C6" w:rsidP="004243C6">
            <w:pPr>
              <w:rPr>
                <w:bCs/>
                <w:szCs w:val="22"/>
              </w:rPr>
            </w:pPr>
            <w:r w:rsidRPr="0095783A">
              <w:rPr>
                <w:bCs/>
                <w:szCs w:val="22"/>
              </w:rPr>
              <w:t>Springfield, IL-MO</w:t>
            </w:r>
          </w:p>
        </w:tc>
      </w:tr>
      <w:tr w:rsidR="004243C6" w:rsidRPr="0095783A" w14:paraId="15426D4B"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32EBC0A" w14:textId="77777777" w:rsidR="004243C6" w:rsidRPr="0095783A" w:rsidRDefault="004243C6" w:rsidP="004243C6">
            <w:pPr>
              <w:rPr>
                <w:bCs/>
                <w:szCs w:val="22"/>
              </w:rPr>
            </w:pPr>
            <w:r w:rsidRPr="0095783A">
              <w:rPr>
                <w:bCs/>
                <w:szCs w:val="22"/>
              </w:rPr>
              <w:t>0007450663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2F09BE2" w14:textId="77777777" w:rsidR="004243C6" w:rsidRPr="0095783A" w:rsidRDefault="004243C6" w:rsidP="004243C6">
            <w:pPr>
              <w:rPr>
                <w:bCs/>
                <w:szCs w:val="22"/>
              </w:rPr>
            </w:pPr>
            <w:r w:rsidRPr="0095783A">
              <w:rPr>
                <w:bCs/>
                <w:szCs w:val="22"/>
              </w:rPr>
              <w:t>WPTH990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398F52F"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E02DBE0"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EB9E503"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C936641"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DC68E01" w14:textId="77777777" w:rsidR="004243C6" w:rsidRPr="0095783A" w:rsidRDefault="004243C6" w:rsidP="004243C6">
            <w:pPr>
              <w:rPr>
                <w:bCs/>
                <w:szCs w:val="22"/>
              </w:rPr>
            </w:pPr>
            <w:r w:rsidRPr="0095783A">
              <w:rPr>
                <w:bCs/>
                <w:szCs w:val="22"/>
              </w:rPr>
              <w:t>Springfield, IL-MO</w:t>
            </w:r>
          </w:p>
        </w:tc>
      </w:tr>
      <w:tr w:rsidR="004243C6" w:rsidRPr="0095783A" w14:paraId="0CE54DB8"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067A12D" w14:textId="77777777" w:rsidR="004243C6" w:rsidRPr="0095783A" w:rsidRDefault="004243C6" w:rsidP="004243C6">
            <w:pPr>
              <w:rPr>
                <w:bCs/>
                <w:szCs w:val="22"/>
              </w:rPr>
            </w:pPr>
            <w:r w:rsidRPr="0095783A">
              <w:rPr>
                <w:bCs/>
                <w:szCs w:val="22"/>
              </w:rPr>
              <w:t>0007435128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29F0767" w14:textId="77777777" w:rsidR="004243C6" w:rsidRPr="0095783A" w:rsidRDefault="004243C6" w:rsidP="004243C6">
            <w:pPr>
              <w:rPr>
                <w:bCs/>
                <w:szCs w:val="22"/>
              </w:rPr>
            </w:pPr>
            <w:r w:rsidRPr="0095783A">
              <w:rPr>
                <w:bCs/>
                <w:szCs w:val="22"/>
              </w:rPr>
              <w:t>WPTH991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9EBBBE7"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39483AD"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38C804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022FEDC"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998258C" w14:textId="77777777" w:rsidR="004243C6" w:rsidRPr="0095783A" w:rsidRDefault="004243C6" w:rsidP="004243C6">
            <w:pPr>
              <w:rPr>
                <w:bCs/>
                <w:szCs w:val="22"/>
              </w:rPr>
            </w:pPr>
            <w:r w:rsidRPr="0095783A">
              <w:rPr>
                <w:bCs/>
                <w:szCs w:val="22"/>
              </w:rPr>
              <w:t>Columbia, MO</w:t>
            </w:r>
          </w:p>
        </w:tc>
      </w:tr>
      <w:tr w:rsidR="004243C6" w:rsidRPr="0095783A" w14:paraId="1AB24EC7"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3E347DC" w14:textId="77777777" w:rsidR="004243C6" w:rsidRPr="0095783A" w:rsidRDefault="004243C6" w:rsidP="004243C6">
            <w:pPr>
              <w:rPr>
                <w:bCs/>
                <w:szCs w:val="22"/>
              </w:rPr>
            </w:pPr>
            <w:r w:rsidRPr="0095783A">
              <w:rPr>
                <w:bCs/>
                <w:szCs w:val="22"/>
              </w:rPr>
              <w:t>0007450664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148AFB8" w14:textId="77777777" w:rsidR="004243C6" w:rsidRPr="0095783A" w:rsidRDefault="004243C6" w:rsidP="004243C6">
            <w:pPr>
              <w:rPr>
                <w:bCs/>
                <w:szCs w:val="22"/>
              </w:rPr>
            </w:pPr>
            <w:r w:rsidRPr="0095783A">
              <w:rPr>
                <w:bCs/>
                <w:szCs w:val="22"/>
              </w:rPr>
              <w:t>WPTH991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C89F5CA"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3A73F52"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234E6DC"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2895700"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9DB3CA4" w14:textId="77777777" w:rsidR="004243C6" w:rsidRPr="0095783A" w:rsidRDefault="004243C6" w:rsidP="004243C6">
            <w:pPr>
              <w:rPr>
                <w:bCs/>
                <w:szCs w:val="22"/>
              </w:rPr>
            </w:pPr>
            <w:r w:rsidRPr="0095783A">
              <w:rPr>
                <w:bCs/>
                <w:szCs w:val="22"/>
              </w:rPr>
              <w:t>Columbia, MO</w:t>
            </w:r>
          </w:p>
        </w:tc>
      </w:tr>
      <w:tr w:rsidR="004243C6" w:rsidRPr="0095783A" w14:paraId="26FE5C7E"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584E1B0" w14:textId="77777777" w:rsidR="004243C6" w:rsidRPr="0095783A" w:rsidRDefault="004243C6" w:rsidP="004243C6">
            <w:pPr>
              <w:rPr>
                <w:bCs/>
                <w:szCs w:val="22"/>
              </w:rPr>
            </w:pPr>
            <w:r w:rsidRPr="0095783A">
              <w:rPr>
                <w:bCs/>
                <w:szCs w:val="22"/>
              </w:rPr>
              <w:t>0007435129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5D2FC06" w14:textId="77777777" w:rsidR="004243C6" w:rsidRPr="0095783A" w:rsidRDefault="004243C6" w:rsidP="004243C6">
            <w:pPr>
              <w:rPr>
                <w:bCs/>
                <w:szCs w:val="22"/>
              </w:rPr>
            </w:pPr>
            <w:r w:rsidRPr="0095783A">
              <w:rPr>
                <w:bCs/>
                <w:szCs w:val="22"/>
              </w:rPr>
              <w:t>WPTH992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A1B38E9"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1632E77"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4FA73AE"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734BBFF"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D1CDAB0" w14:textId="77777777" w:rsidR="004243C6" w:rsidRPr="0095783A" w:rsidRDefault="004243C6" w:rsidP="004243C6">
            <w:pPr>
              <w:rPr>
                <w:bCs/>
                <w:szCs w:val="22"/>
              </w:rPr>
            </w:pPr>
            <w:r w:rsidRPr="0095783A">
              <w:rPr>
                <w:bCs/>
                <w:szCs w:val="22"/>
              </w:rPr>
              <w:t>Cedar Rapids, IA</w:t>
            </w:r>
          </w:p>
        </w:tc>
      </w:tr>
      <w:tr w:rsidR="004243C6" w:rsidRPr="0095783A" w14:paraId="462455D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72F1D5A" w14:textId="77777777" w:rsidR="004243C6" w:rsidRPr="0095783A" w:rsidRDefault="004243C6" w:rsidP="004243C6">
            <w:pPr>
              <w:rPr>
                <w:bCs/>
                <w:szCs w:val="22"/>
              </w:rPr>
            </w:pPr>
            <w:r w:rsidRPr="0095783A">
              <w:rPr>
                <w:bCs/>
                <w:szCs w:val="22"/>
              </w:rPr>
              <w:t>0007450665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585B56D" w14:textId="77777777" w:rsidR="004243C6" w:rsidRPr="0095783A" w:rsidRDefault="004243C6" w:rsidP="004243C6">
            <w:pPr>
              <w:rPr>
                <w:bCs/>
                <w:szCs w:val="22"/>
              </w:rPr>
            </w:pPr>
            <w:r w:rsidRPr="0095783A">
              <w:rPr>
                <w:bCs/>
                <w:szCs w:val="22"/>
              </w:rPr>
              <w:t>WPTH992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58DE51F"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F9BBDE4"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4D08F52"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0171F2C"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213A16C" w14:textId="77777777" w:rsidR="004243C6" w:rsidRPr="0095783A" w:rsidRDefault="004243C6" w:rsidP="004243C6">
            <w:pPr>
              <w:rPr>
                <w:bCs/>
                <w:szCs w:val="22"/>
              </w:rPr>
            </w:pPr>
            <w:r w:rsidRPr="0095783A">
              <w:rPr>
                <w:bCs/>
                <w:szCs w:val="22"/>
              </w:rPr>
              <w:t>Cedar Rapids, IA</w:t>
            </w:r>
          </w:p>
        </w:tc>
      </w:tr>
      <w:tr w:rsidR="004243C6" w:rsidRPr="0095783A" w14:paraId="15EE77FE"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AFD2BDC" w14:textId="77777777" w:rsidR="004243C6" w:rsidRPr="0095783A" w:rsidRDefault="004243C6" w:rsidP="004243C6">
            <w:pPr>
              <w:rPr>
                <w:bCs/>
                <w:szCs w:val="22"/>
              </w:rPr>
            </w:pPr>
            <w:r w:rsidRPr="0095783A">
              <w:rPr>
                <w:bCs/>
                <w:szCs w:val="22"/>
              </w:rPr>
              <w:t>0007435130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D888E35" w14:textId="77777777" w:rsidR="004243C6" w:rsidRPr="0095783A" w:rsidRDefault="004243C6" w:rsidP="004243C6">
            <w:pPr>
              <w:rPr>
                <w:bCs/>
                <w:szCs w:val="22"/>
              </w:rPr>
            </w:pPr>
            <w:r w:rsidRPr="0095783A">
              <w:rPr>
                <w:bCs/>
                <w:szCs w:val="22"/>
              </w:rPr>
              <w:t>WPTH993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AC467AF"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BCA9C03"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6CFE718"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0E172E9"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40243C3" w14:textId="77777777" w:rsidR="004243C6" w:rsidRPr="0095783A" w:rsidRDefault="004243C6" w:rsidP="004243C6">
            <w:pPr>
              <w:rPr>
                <w:bCs/>
                <w:szCs w:val="22"/>
              </w:rPr>
            </w:pPr>
            <w:r w:rsidRPr="0095783A">
              <w:rPr>
                <w:bCs/>
                <w:szCs w:val="22"/>
              </w:rPr>
              <w:t>La Crosse, WI-MN</w:t>
            </w:r>
          </w:p>
        </w:tc>
      </w:tr>
      <w:tr w:rsidR="004243C6" w:rsidRPr="0095783A" w14:paraId="05DF5DE7"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87E1154" w14:textId="77777777" w:rsidR="004243C6" w:rsidRPr="0095783A" w:rsidRDefault="004243C6" w:rsidP="004243C6">
            <w:pPr>
              <w:rPr>
                <w:bCs/>
                <w:szCs w:val="22"/>
              </w:rPr>
            </w:pPr>
            <w:r w:rsidRPr="0095783A">
              <w:rPr>
                <w:bCs/>
                <w:szCs w:val="22"/>
              </w:rPr>
              <w:t>0007450666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76BBD5A" w14:textId="77777777" w:rsidR="004243C6" w:rsidRPr="0095783A" w:rsidRDefault="004243C6" w:rsidP="004243C6">
            <w:pPr>
              <w:rPr>
                <w:bCs/>
                <w:szCs w:val="22"/>
              </w:rPr>
            </w:pPr>
            <w:r w:rsidRPr="0095783A">
              <w:rPr>
                <w:bCs/>
                <w:szCs w:val="22"/>
              </w:rPr>
              <w:t>WPTH993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B4BE6A9"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9DCA761"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10E00BE"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13F3DF6"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238BE09" w14:textId="77777777" w:rsidR="004243C6" w:rsidRPr="0095783A" w:rsidRDefault="004243C6" w:rsidP="004243C6">
            <w:pPr>
              <w:rPr>
                <w:bCs/>
                <w:szCs w:val="22"/>
              </w:rPr>
            </w:pPr>
            <w:r w:rsidRPr="0095783A">
              <w:rPr>
                <w:bCs/>
                <w:szCs w:val="22"/>
              </w:rPr>
              <w:t>La Crosse, WI-MN</w:t>
            </w:r>
          </w:p>
        </w:tc>
      </w:tr>
      <w:tr w:rsidR="004243C6" w:rsidRPr="0095783A" w14:paraId="17F41F64"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52224E2" w14:textId="77777777" w:rsidR="004243C6" w:rsidRPr="0095783A" w:rsidRDefault="004243C6" w:rsidP="004243C6">
            <w:pPr>
              <w:rPr>
                <w:bCs/>
                <w:szCs w:val="22"/>
              </w:rPr>
            </w:pPr>
            <w:r w:rsidRPr="0095783A">
              <w:rPr>
                <w:bCs/>
                <w:szCs w:val="22"/>
              </w:rPr>
              <w:t>0007435131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9EDD441" w14:textId="77777777" w:rsidR="004243C6" w:rsidRPr="0095783A" w:rsidRDefault="004243C6" w:rsidP="004243C6">
            <w:pPr>
              <w:rPr>
                <w:bCs/>
                <w:szCs w:val="22"/>
              </w:rPr>
            </w:pPr>
            <w:r w:rsidRPr="0095783A">
              <w:rPr>
                <w:bCs/>
                <w:szCs w:val="22"/>
              </w:rPr>
              <w:t>WPTH994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3F4BFDE"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F7183F6"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0E045D2"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6E32769"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36BC1BC" w14:textId="77777777" w:rsidR="004243C6" w:rsidRPr="0095783A" w:rsidRDefault="004243C6" w:rsidP="004243C6">
            <w:pPr>
              <w:rPr>
                <w:bCs/>
                <w:szCs w:val="22"/>
              </w:rPr>
            </w:pPr>
            <w:r w:rsidRPr="0095783A">
              <w:rPr>
                <w:bCs/>
                <w:szCs w:val="22"/>
              </w:rPr>
              <w:t>Rochester, MN-IA-WI</w:t>
            </w:r>
          </w:p>
        </w:tc>
      </w:tr>
      <w:tr w:rsidR="004243C6" w:rsidRPr="0095783A" w14:paraId="318CD3D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B650DDB" w14:textId="77777777" w:rsidR="004243C6" w:rsidRPr="0095783A" w:rsidRDefault="004243C6" w:rsidP="004243C6">
            <w:pPr>
              <w:rPr>
                <w:bCs/>
                <w:szCs w:val="22"/>
              </w:rPr>
            </w:pPr>
            <w:r w:rsidRPr="0095783A">
              <w:rPr>
                <w:bCs/>
                <w:szCs w:val="22"/>
              </w:rPr>
              <w:t>0007450667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ED14BD2" w14:textId="77777777" w:rsidR="004243C6" w:rsidRPr="0095783A" w:rsidRDefault="004243C6" w:rsidP="004243C6">
            <w:pPr>
              <w:rPr>
                <w:bCs/>
                <w:szCs w:val="22"/>
              </w:rPr>
            </w:pPr>
            <w:r w:rsidRPr="0095783A">
              <w:rPr>
                <w:bCs/>
                <w:szCs w:val="22"/>
              </w:rPr>
              <w:t>WPTH994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E569924"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B3E02D2"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4FF1F28"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A5B3ECF"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9858004" w14:textId="77777777" w:rsidR="004243C6" w:rsidRPr="0095783A" w:rsidRDefault="004243C6" w:rsidP="004243C6">
            <w:pPr>
              <w:rPr>
                <w:bCs/>
                <w:szCs w:val="22"/>
              </w:rPr>
            </w:pPr>
            <w:r w:rsidRPr="0095783A">
              <w:rPr>
                <w:bCs/>
                <w:szCs w:val="22"/>
              </w:rPr>
              <w:t>Rochester, MN-IA-WI</w:t>
            </w:r>
          </w:p>
        </w:tc>
      </w:tr>
      <w:tr w:rsidR="004243C6" w:rsidRPr="0095783A" w14:paraId="2B3B1E0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2A70C3D" w14:textId="77777777" w:rsidR="004243C6" w:rsidRPr="0095783A" w:rsidRDefault="004243C6" w:rsidP="004243C6">
            <w:pPr>
              <w:rPr>
                <w:bCs/>
                <w:szCs w:val="22"/>
              </w:rPr>
            </w:pPr>
            <w:r w:rsidRPr="0095783A">
              <w:rPr>
                <w:bCs/>
                <w:szCs w:val="22"/>
              </w:rPr>
              <w:t>0007435132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D8D37AE" w14:textId="77777777" w:rsidR="004243C6" w:rsidRPr="0095783A" w:rsidRDefault="004243C6" w:rsidP="004243C6">
            <w:pPr>
              <w:rPr>
                <w:bCs/>
                <w:szCs w:val="22"/>
              </w:rPr>
            </w:pPr>
            <w:r w:rsidRPr="0095783A">
              <w:rPr>
                <w:bCs/>
                <w:szCs w:val="22"/>
              </w:rPr>
              <w:t>WPTH995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D9DFEE9"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148DBF5"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32AF907"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2A07623"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0E0CD91" w14:textId="77777777" w:rsidR="004243C6" w:rsidRPr="0095783A" w:rsidRDefault="004243C6" w:rsidP="004243C6">
            <w:pPr>
              <w:rPr>
                <w:bCs/>
                <w:szCs w:val="22"/>
              </w:rPr>
            </w:pPr>
            <w:r w:rsidRPr="0095783A">
              <w:rPr>
                <w:bCs/>
                <w:szCs w:val="22"/>
              </w:rPr>
              <w:t>Wausau, WI</w:t>
            </w:r>
          </w:p>
        </w:tc>
      </w:tr>
      <w:tr w:rsidR="004243C6" w:rsidRPr="0095783A" w14:paraId="141B7F5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5FACD2E" w14:textId="77777777" w:rsidR="004243C6" w:rsidRPr="0095783A" w:rsidRDefault="004243C6" w:rsidP="004243C6">
            <w:pPr>
              <w:rPr>
                <w:bCs/>
                <w:szCs w:val="22"/>
              </w:rPr>
            </w:pPr>
            <w:r w:rsidRPr="0095783A">
              <w:rPr>
                <w:bCs/>
                <w:szCs w:val="22"/>
              </w:rPr>
              <w:t>0007450668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19E15C2" w14:textId="77777777" w:rsidR="004243C6" w:rsidRPr="0095783A" w:rsidRDefault="004243C6" w:rsidP="004243C6">
            <w:pPr>
              <w:rPr>
                <w:bCs/>
                <w:szCs w:val="22"/>
              </w:rPr>
            </w:pPr>
            <w:r w:rsidRPr="0095783A">
              <w:rPr>
                <w:bCs/>
                <w:szCs w:val="22"/>
              </w:rPr>
              <w:t>WPTH995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8B58839"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737B6E5"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F702DE9"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D9DF865"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04F0FBD" w14:textId="77777777" w:rsidR="004243C6" w:rsidRPr="0095783A" w:rsidRDefault="004243C6" w:rsidP="004243C6">
            <w:pPr>
              <w:rPr>
                <w:bCs/>
                <w:szCs w:val="22"/>
              </w:rPr>
            </w:pPr>
            <w:r w:rsidRPr="0095783A">
              <w:rPr>
                <w:bCs/>
                <w:szCs w:val="22"/>
              </w:rPr>
              <w:t>Wausau, WI</w:t>
            </w:r>
          </w:p>
        </w:tc>
      </w:tr>
      <w:tr w:rsidR="004243C6" w:rsidRPr="0095783A" w14:paraId="01D0FCA9"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DF19AA6" w14:textId="77777777" w:rsidR="004243C6" w:rsidRPr="0095783A" w:rsidRDefault="004243C6" w:rsidP="004243C6">
            <w:pPr>
              <w:rPr>
                <w:bCs/>
                <w:szCs w:val="22"/>
              </w:rPr>
            </w:pPr>
            <w:r w:rsidRPr="0095783A">
              <w:rPr>
                <w:bCs/>
                <w:szCs w:val="22"/>
              </w:rPr>
              <w:t>0007435133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8C6D548" w14:textId="77777777" w:rsidR="004243C6" w:rsidRPr="0095783A" w:rsidRDefault="004243C6" w:rsidP="004243C6">
            <w:pPr>
              <w:rPr>
                <w:bCs/>
                <w:szCs w:val="22"/>
              </w:rPr>
            </w:pPr>
            <w:r w:rsidRPr="0095783A">
              <w:rPr>
                <w:bCs/>
                <w:szCs w:val="22"/>
              </w:rPr>
              <w:t>WPTH996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EF0F21D"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C851CE6"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9B27FA4"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FD7997C"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D27FAE4" w14:textId="77777777" w:rsidR="004243C6" w:rsidRPr="0095783A" w:rsidRDefault="004243C6" w:rsidP="004243C6">
            <w:pPr>
              <w:rPr>
                <w:bCs/>
                <w:szCs w:val="22"/>
              </w:rPr>
            </w:pPr>
            <w:r w:rsidRPr="0095783A">
              <w:rPr>
                <w:bCs/>
                <w:szCs w:val="22"/>
              </w:rPr>
              <w:t>Wausau, WI</w:t>
            </w:r>
          </w:p>
        </w:tc>
      </w:tr>
      <w:tr w:rsidR="004243C6" w:rsidRPr="0095783A" w14:paraId="2341733E"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9798E60" w14:textId="77777777" w:rsidR="004243C6" w:rsidRPr="0095783A" w:rsidRDefault="004243C6" w:rsidP="004243C6">
            <w:pPr>
              <w:rPr>
                <w:bCs/>
                <w:szCs w:val="22"/>
              </w:rPr>
            </w:pPr>
            <w:r w:rsidRPr="0095783A">
              <w:rPr>
                <w:bCs/>
                <w:szCs w:val="22"/>
              </w:rPr>
              <w:t>0007450669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757CE72" w14:textId="77777777" w:rsidR="004243C6" w:rsidRPr="0095783A" w:rsidRDefault="004243C6" w:rsidP="004243C6">
            <w:pPr>
              <w:rPr>
                <w:bCs/>
                <w:szCs w:val="22"/>
              </w:rPr>
            </w:pPr>
            <w:r w:rsidRPr="0095783A">
              <w:rPr>
                <w:bCs/>
                <w:szCs w:val="22"/>
              </w:rPr>
              <w:t>WPTH996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E97C686"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FA7FE15"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ACB720C"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9E33178"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BED8CDB" w14:textId="77777777" w:rsidR="004243C6" w:rsidRPr="0095783A" w:rsidRDefault="004243C6" w:rsidP="004243C6">
            <w:pPr>
              <w:rPr>
                <w:bCs/>
                <w:szCs w:val="22"/>
              </w:rPr>
            </w:pPr>
            <w:r w:rsidRPr="0095783A">
              <w:rPr>
                <w:bCs/>
                <w:szCs w:val="22"/>
              </w:rPr>
              <w:t>Wausau, WI</w:t>
            </w:r>
          </w:p>
        </w:tc>
      </w:tr>
      <w:tr w:rsidR="004243C6" w:rsidRPr="0095783A" w14:paraId="25A0CDB8"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0EEE884" w14:textId="77777777" w:rsidR="004243C6" w:rsidRPr="0095783A" w:rsidRDefault="004243C6" w:rsidP="004243C6">
            <w:pPr>
              <w:rPr>
                <w:bCs/>
                <w:szCs w:val="22"/>
              </w:rPr>
            </w:pPr>
            <w:r w:rsidRPr="0095783A">
              <w:rPr>
                <w:bCs/>
                <w:szCs w:val="22"/>
              </w:rPr>
              <w:t>0007435134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85AE560" w14:textId="77777777" w:rsidR="004243C6" w:rsidRPr="0095783A" w:rsidRDefault="004243C6" w:rsidP="004243C6">
            <w:pPr>
              <w:rPr>
                <w:bCs/>
                <w:szCs w:val="22"/>
              </w:rPr>
            </w:pPr>
            <w:r w:rsidRPr="0095783A">
              <w:rPr>
                <w:bCs/>
                <w:szCs w:val="22"/>
              </w:rPr>
              <w:t>WPTH997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21E4A0D"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F0B94B5"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A54E899"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66C37BC"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0A2EE68" w14:textId="77777777" w:rsidR="004243C6" w:rsidRPr="0095783A" w:rsidRDefault="004243C6" w:rsidP="004243C6">
            <w:pPr>
              <w:rPr>
                <w:bCs/>
                <w:szCs w:val="22"/>
              </w:rPr>
            </w:pPr>
            <w:r w:rsidRPr="0095783A">
              <w:rPr>
                <w:bCs/>
                <w:szCs w:val="22"/>
              </w:rPr>
              <w:t>Duluth-Superior, MN-WI</w:t>
            </w:r>
          </w:p>
        </w:tc>
      </w:tr>
      <w:tr w:rsidR="004243C6" w:rsidRPr="0095783A" w14:paraId="137DFBEB"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500DFB1" w14:textId="77777777" w:rsidR="004243C6" w:rsidRPr="0095783A" w:rsidRDefault="004243C6" w:rsidP="004243C6">
            <w:pPr>
              <w:rPr>
                <w:bCs/>
                <w:szCs w:val="22"/>
              </w:rPr>
            </w:pPr>
            <w:r w:rsidRPr="0095783A">
              <w:rPr>
                <w:bCs/>
                <w:szCs w:val="22"/>
              </w:rPr>
              <w:t>0007450670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D924698" w14:textId="77777777" w:rsidR="004243C6" w:rsidRPr="0095783A" w:rsidRDefault="004243C6" w:rsidP="004243C6">
            <w:pPr>
              <w:rPr>
                <w:bCs/>
                <w:szCs w:val="22"/>
              </w:rPr>
            </w:pPr>
            <w:r w:rsidRPr="0095783A">
              <w:rPr>
                <w:bCs/>
                <w:szCs w:val="22"/>
              </w:rPr>
              <w:t>WPTH997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FAAFF06"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E065FCC"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595EE0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3DA3381"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4F699FA" w14:textId="77777777" w:rsidR="004243C6" w:rsidRPr="0095783A" w:rsidRDefault="004243C6" w:rsidP="004243C6">
            <w:pPr>
              <w:rPr>
                <w:bCs/>
                <w:szCs w:val="22"/>
              </w:rPr>
            </w:pPr>
            <w:r w:rsidRPr="0095783A">
              <w:rPr>
                <w:bCs/>
                <w:szCs w:val="22"/>
              </w:rPr>
              <w:t>Duluth-Superior, MN-WI</w:t>
            </w:r>
          </w:p>
        </w:tc>
      </w:tr>
      <w:tr w:rsidR="004243C6" w:rsidRPr="0095783A" w14:paraId="7C8665A9"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3360FA8" w14:textId="77777777" w:rsidR="004243C6" w:rsidRPr="0095783A" w:rsidRDefault="004243C6" w:rsidP="004243C6">
            <w:pPr>
              <w:rPr>
                <w:bCs/>
                <w:szCs w:val="22"/>
              </w:rPr>
            </w:pPr>
            <w:r w:rsidRPr="0095783A">
              <w:rPr>
                <w:bCs/>
                <w:szCs w:val="22"/>
              </w:rPr>
              <w:t>0007435135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C037D18" w14:textId="77777777" w:rsidR="004243C6" w:rsidRPr="0095783A" w:rsidRDefault="004243C6" w:rsidP="004243C6">
            <w:pPr>
              <w:rPr>
                <w:bCs/>
                <w:szCs w:val="22"/>
              </w:rPr>
            </w:pPr>
            <w:r w:rsidRPr="0095783A">
              <w:rPr>
                <w:bCs/>
                <w:szCs w:val="22"/>
              </w:rPr>
              <w:t>WPTH998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CE2CC20"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3BDA943"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E134DAC"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597B3A0"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7D2C96E" w14:textId="77777777" w:rsidR="004243C6" w:rsidRPr="0095783A" w:rsidRDefault="004243C6" w:rsidP="004243C6">
            <w:pPr>
              <w:rPr>
                <w:bCs/>
                <w:szCs w:val="22"/>
              </w:rPr>
            </w:pPr>
            <w:r w:rsidRPr="0095783A">
              <w:rPr>
                <w:bCs/>
                <w:szCs w:val="22"/>
              </w:rPr>
              <w:t>Duluth-Superior, MN-WI</w:t>
            </w:r>
          </w:p>
        </w:tc>
      </w:tr>
      <w:tr w:rsidR="004243C6" w:rsidRPr="0095783A" w14:paraId="6D44E8D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AF70964" w14:textId="77777777" w:rsidR="004243C6" w:rsidRPr="0095783A" w:rsidRDefault="004243C6" w:rsidP="004243C6">
            <w:pPr>
              <w:rPr>
                <w:bCs/>
                <w:szCs w:val="22"/>
              </w:rPr>
            </w:pPr>
            <w:r w:rsidRPr="0095783A">
              <w:rPr>
                <w:bCs/>
                <w:szCs w:val="22"/>
              </w:rPr>
              <w:t>0007450671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2302B0E" w14:textId="77777777" w:rsidR="004243C6" w:rsidRPr="0095783A" w:rsidRDefault="004243C6" w:rsidP="004243C6">
            <w:pPr>
              <w:rPr>
                <w:bCs/>
                <w:szCs w:val="22"/>
              </w:rPr>
            </w:pPr>
            <w:r w:rsidRPr="0095783A">
              <w:rPr>
                <w:bCs/>
                <w:szCs w:val="22"/>
              </w:rPr>
              <w:t>WPTH998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CF076E1"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00D5176"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9FADD6C"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80D4058"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F6A54D3" w14:textId="77777777" w:rsidR="004243C6" w:rsidRPr="0095783A" w:rsidRDefault="004243C6" w:rsidP="004243C6">
            <w:pPr>
              <w:rPr>
                <w:bCs/>
                <w:szCs w:val="22"/>
              </w:rPr>
            </w:pPr>
            <w:r w:rsidRPr="0095783A">
              <w:rPr>
                <w:bCs/>
                <w:szCs w:val="22"/>
              </w:rPr>
              <w:t>Duluth-Superior, MN-WI</w:t>
            </w:r>
          </w:p>
        </w:tc>
      </w:tr>
      <w:tr w:rsidR="004243C6" w:rsidRPr="0095783A" w14:paraId="4C8E63CD"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7A62155" w14:textId="77777777" w:rsidR="004243C6" w:rsidRPr="0095783A" w:rsidRDefault="004243C6" w:rsidP="004243C6">
            <w:pPr>
              <w:rPr>
                <w:bCs/>
                <w:szCs w:val="22"/>
              </w:rPr>
            </w:pPr>
            <w:r w:rsidRPr="0095783A">
              <w:rPr>
                <w:bCs/>
                <w:szCs w:val="22"/>
              </w:rPr>
              <w:t>0007435136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B597274" w14:textId="77777777" w:rsidR="004243C6" w:rsidRPr="0095783A" w:rsidRDefault="004243C6" w:rsidP="004243C6">
            <w:pPr>
              <w:rPr>
                <w:bCs/>
                <w:szCs w:val="22"/>
              </w:rPr>
            </w:pPr>
            <w:r w:rsidRPr="0095783A">
              <w:rPr>
                <w:bCs/>
                <w:szCs w:val="22"/>
              </w:rPr>
              <w:t>WPTH999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18884F1"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D60B8E3"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2A1C42B"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2EF73A0"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73377F9" w14:textId="77777777" w:rsidR="004243C6" w:rsidRPr="0095783A" w:rsidRDefault="004243C6" w:rsidP="004243C6">
            <w:pPr>
              <w:rPr>
                <w:bCs/>
                <w:szCs w:val="22"/>
              </w:rPr>
            </w:pPr>
            <w:r w:rsidRPr="0095783A">
              <w:rPr>
                <w:bCs/>
                <w:szCs w:val="22"/>
              </w:rPr>
              <w:t>Grand Forks, ND-MN</w:t>
            </w:r>
          </w:p>
        </w:tc>
      </w:tr>
      <w:tr w:rsidR="004243C6" w:rsidRPr="0095783A" w14:paraId="410704A8"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D977FE0" w14:textId="77777777" w:rsidR="004243C6" w:rsidRPr="0095783A" w:rsidRDefault="004243C6" w:rsidP="004243C6">
            <w:pPr>
              <w:rPr>
                <w:bCs/>
                <w:szCs w:val="22"/>
              </w:rPr>
            </w:pPr>
            <w:r w:rsidRPr="0095783A">
              <w:rPr>
                <w:bCs/>
                <w:szCs w:val="22"/>
              </w:rPr>
              <w:t>0007450672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8116408" w14:textId="77777777" w:rsidR="004243C6" w:rsidRPr="0095783A" w:rsidRDefault="004243C6" w:rsidP="004243C6">
            <w:pPr>
              <w:rPr>
                <w:bCs/>
                <w:szCs w:val="22"/>
              </w:rPr>
            </w:pPr>
            <w:r w:rsidRPr="0095783A">
              <w:rPr>
                <w:bCs/>
                <w:szCs w:val="22"/>
              </w:rPr>
              <w:t>WPTH999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E374E77"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AC9F09D"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0209884"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D87E5DB"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189DD99" w14:textId="77777777" w:rsidR="004243C6" w:rsidRPr="0095783A" w:rsidRDefault="004243C6" w:rsidP="004243C6">
            <w:pPr>
              <w:rPr>
                <w:bCs/>
                <w:szCs w:val="22"/>
              </w:rPr>
            </w:pPr>
            <w:r w:rsidRPr="0095783A">
              <w:rPr>
                <w:bCs/>
                <w:szCs w:val="22"/>
              </w:rPr>
              <w:t>Grand Forks, ND-MN</w:t>
            </w:r>
          </w:p>
        </w:tc>
      </w:tr>
      <w:tr w:rsidR="004243C6" w:rsidRPr="0095783A" w14:paraId="21EA4A17"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54A8536" w14:textId="77777777" w:rsidR="004243C6" w:rsidRPr="0095783A" w:rsidRDefault="004243C6" w:rsidP="004243C6">
            <w:pPr>
              <w:rPr>
                <w:bCs/>
                <w:szCs w:val="22"/>
              </w:rPr>
            </w:pPr>
            <w:r w:rsidRPr="0095783A">
              <w:rPr>
                <w:bCs/>
                <w:szCs w:val="22"/>
              </w:rPr>
              <w:t>0007435137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6E53CD6" w14:textId="77777777" w:rsidR="004243C6" w:rsidRPr="0095783A" w:rsidRDefault="004243C6" w:rsidP="004243C6">
            <w:pPr>
              <w:rPr>
                <w:bCs/>
                <w:szCs w:val="22"/>
              </w:rPr>
            </w:pPr>
            <w:r w:rsidRPr="0095783A">
              <w:rPr>
                <w:bCs/>
                <w:szCs w:val="22"/>
              </w:rPr>
              <w:t>WPTI200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35BBDE0"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19015F0"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FA670A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F3D8A8B"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6F8CD56" w14:textId="77777777" w:rsidR="004243C6" w:rsidRPr="0095783A" w:rsidRDefault="004243C6" w:rsidP="004243C6">
            <w:pPr>
              <w:rPr>
                <w:bCs/>
                <w:szCs w:val="22"/>
              </w:rPr>
            </w:pPr>
            <w:r w:rsidRPr="0095783A">
              <w:rPr>
                <w:bCs/>
                <w:szCs w:val="22"/>
              </w:rPr>
              <w:t>Minot, ND</w:t>
            </w:r>
          </w:p>
        </w:tc>
      </w:tr>
      <w:tr w:rsidR="004243C6" w:rsidRPr="0095783A" w14:paraId="27C1CC2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42912C6" w14:textId="77777777" w:rsidR="004243C6" w:rsidRPr="0095783A" w:rsidRDefault="004243C6" w:rsidP="004243C6">
            <w:pPr>
              <w:rPr>
                <w:bCs/>
                <w:szCs w:val="22"/>
              </w:rPr>
            </w:pPr>
            <w:r w:rsidRPr="0095783A">
              <w:rPr>
                <w:bCs/>
                <w:szCs w:val="22"/>
              </w:rPr>
              <w:t>0007450673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6C1F52C" w14:textId="77777777" w:rsidR="004243C6" w:rsidRPr="0095783A" w:rsidRDefault="004243C6" w:rsidP="004243C6">
            <w:pPr>
              <w:rPr>
                <w:bCs/>
                <w:szCs w:val="22"/>
              </w:rPr>
            </w:pPr>
            <w:r w:rsidRPr="0095783A">
              <w:rPr>
                <w:bCs/>
                <w:szCs w:val="22"/>
              </w:rPr>
              <w:t>WPTI200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9E75825"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B2D885D"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CD53A9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B368946"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63D4660" w14:textId="77777777" w:rsidR="004243C6" w:rsidRPr="0095783A" w:rsidRDefault="004243C6" w:rsidP="004243C6">
            <w:pPr>
              <w:rPr>
                <w:bCs/>
                <w:szCs w:val="22"/>
              </w:rPr>
            </w:pPr>
            <w:r w:rsidRPr="0095783A">
              <w:rPr>
                <w:bCs/>
                <w:szCs w:val="22"/>
              </w:rPr>
              <w:t>Minot, ND</w:t>
            </w:r>
          </w:p>
        </w:tc>
      </w:tr>
      <w:tr w:rsidR="004243C6" w:rsidRPr="0095783A" w14:paraId="04AEFA2A"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0C1068C" w14:textId="77777777" w:rsidR="004243C6" w:rsidRPr="0095783A" w:rsidRDefault="004243C6" w:rsidP="004243C6">
            <w:pPr>
              <w:rPr>
                <w:bCs/>
                <w:szCs w:val="22"/>
              </w:rPr>
            </w:pPr>
            <w:r w:rsidRPr="0095783A">
              <w:rPr>
                <w:bCs/>
                <w:szCs w:val="22"/>
              </w:rPr>
              <w:t>0007435138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8250CAB" w14:textId="77777777" w:rsidR="004243C6" w:rsidRPr="0095783A" w:rsidRDefault="004243C6" w:rsidP="004243C6">
            <w:pPr>
              <w:rPr>
                <w:bCs/>
                <w:szCs w:val="22"/>
              </w:rPr>
            </w:pPr>
            <w:r w:rsidRPr="0095783A">
              <w:rPr>
                <w:bCs/>
                <w:szCs w:val="22"/>
              </w:rPr>
              <w:t>WPTI201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063AD7F"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B03D5DF"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D30CC11"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4116BFD"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B688B25" w14:textId="77777777" w:rsidR="004243C6" w:rsidRPr="0095783A" w:rsidRDefault="004243C6" w:rsidP="004243C6">
            <w:pPr>
              <w:rPr>
                <w:bCs/>
                <w:szCs w:val="22"/>
              </w:rPr>
            </w:pPr>
            <w:r w:rsidRPr="0095783A">
              <w:rPr>
                <w:bCs/>
                <w:szCs w:val="22"/>
              </w:rPr>
              <w:t>Bismarck, ND-MT-SD</w:t>
            </w:r>
          </w:p>
        </w:tc>
      </w:tr>
      <w:tr w:rsidR="004243C6" w:rsidRPr="0095783A" w14:paraId="4FA332A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7BFCA11" w14:textId="77777777" w:rsidR="004243C6" w:rsidRPr="0095783A" w:rsidRDefault="004243C6" w:rsidP="004243C6">
            <w:pPr>
              <w:rPr>
                <w:bCs/>
                <w:szCs w:val="22"/>
              </w:rPr>
            </w:pPr>
            <w:r w:rsidRPr="0095783A">
              <w:rPr>
                <w:bCs/>
                <w:szCs w:val="22"/>
              </w:rPr>
              <w:t>0007450674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3B7B97B" w14:textId="77777777" w:rsidR="004243C6" w:rsidRPr="0095783A" w:rsidRDefault="004243C6" w:rsidP="004243C6">
            <w:pPr>
              <w:rPr>
                <w:bCs/>
                <w:szCs w:val="22"/>
              </w:rPr>
            </w:pPr>
            <w:r w:rsidRPr="0095783A">
              <w:rPr>
                <w:bCs/>
                <w:szCs w:val="22"/>
              </w:rPr>
              <w:t>WPTI201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A536C37"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D6B4D3A"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87E7C58"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7750062"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E9C5CDB" w14:textId="77777777" w:rsidR="004243C6" w:rsidRPr="0095783A" w:rsidRDefault="004243C6" w:rsidP="004243C6">
            <w:pPr>
              <w:rPr>
                <w:bCs/>
                <w:szCs w:val="22"/>
              </w:rPr>
            </w:pPr>
            <w:r w:rsidRPr="0095783A">
              <w:rPr>
                <w:bCs/>
                <w:szCs w:val="22"/>
              </w:rPr>
              <w:t>Bismarck, ND-MT-SD</w:t>
            </w:r>
          </w:p>
        </w:tc>
      </w:tr>
      <w:tr w:rsidR="004243C6" w:rsidRPr="0095783A" w14:paraId="0AF6F6E9"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2DBC6BA" w14:textId="77777777" w:rsidR="004243C6" w:rsidRPr="0095783A" w:rsidRDefault="004243C6" w:rsidP="004243C6">
            <w:pPr>
              <w:rPr>
                <w:bCs/>
                <w:szCs w:val="22"/>
              </w:rPr>
            </w:pPr>
            <w:r w:rsidRPr="0095783A">
              <w:rPr>
                <w:bCs/>
                <w:szCs w:val="22"/>
              </w:rPr>
              <w:t>0007435139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463AA09" w14:textId="77777777" w:rsidR="004243C6" w:rsidRPr="0095783A" w:rsidRDefault="004243C6" w:rsidP="004243C6">
            <w:pPr>
              <w:rPr>
                <w:bCs/>
                <w:szCs w:val="22"/>
              </w:rPr>
            </w:pPr>
            <w:r w:rsidRPr="0095783A">
              <w:rPr>
                <w:bCs/>
                <w:szCs w:val="22"/>
              </w:rPr>
              <w:t>WPTI202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E7ED449"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2A2FD7D"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1E37FC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FA8AC56"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4E832EF" w14:textId="77777777" w:rsidR="004243C6" w:rsidRPr="0095783A" w:rsidRDefault="004243C6" w:rsidP="004243C6">
            <w:pPr>
              <w:rPr>
                <w:bCs/>
                <w:szCs w:val="22"/>
              </w:rPr>
            </w:pPr>
            <w:r w:rsidRPr="0095783A">
              <w:rPr>
                <w:bCs/>
                <w:szCs w:val="22"/>
              </w:rPr>
              <w:t>Fargo-Moorhead, ND-MN</w:t>
            </w:r>
          </w:p>
        </w:tc>
      </w:tr>
      <w:tr w:rsidR="004243C6" w:rsidRPr="0095783A" w14:paraId="19A62D06"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F6AF454" w14:textId="77777777" w:rsidR="004243C6" w:rsidRPr="0095783A" w:rsidRDefault="004243C6" w:rsidP="004243C6">
            <w:pPr>
              <w:rPr>
                <w:bCs/>
                <w:szCs w:val="22"/>
              </w:rPr>
            </w:pPr>
            <w:r w:rsidRPr="0095783A">
              <w:rPr>
                <w:bCs/>
                <w:szCs w:val="22"/>
              </w:rPr>
              <w:t>0007450675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52C1063" w14:textId="77777777" w:rsidR="004243C6" w:rsidRPr="0095783A" w:rsidRDefault="004243C6" w:rsidP="004243C6">
            <w:pPr>
              <w:rPr>
                <w:bCs/>
                <w:szCs w:val="22"/>
              </w:rPr>
            </w:pPr>
            <w:r w:rsidRPr="0095783A">
              <w:rPr>
                <w:bCs/>
                <w:szCs w:val="22"/>
              </w:rPr>
              <w:t>WPTI202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67D5F97"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2C8CB1F"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C251EA2"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714F36E"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9CBC735" w14:textId="77777777" w:rsidR="004243C6" w:rsidRPr="0095783A" w:rsidRDefault="004243C6" w:rsidP="004243C6">
            <w:pPr>
              <w:rPr>
                <w:bCs/>
                <w:szCs w:val="22"/>
              </w:rPr>
            </w:pPr>
            <w:r w:rsidRPr="0095783A">
              <w:rPr>
                <w:bCs/>
                <w:szCs w:val="22"/>
              </w:rPr>
              <w:t>Fargo-Moorhead, ND-MN</w:t>
            </w:r>
          </w:p>
        </w:tc>
      </w:tr>
      <w:tr w:rsidR="004243C6" w:rsidRPr="0095783A" w14:paraId="32954494"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71A00E5" w14:textId="77777777" w:rsidR="004243C6" w:rsidRPr="0095783A" w:rsidRDefault="004243C6" w:rsidP="004243C6">
            <w:pPr>
              <w:rPr>
                <w:bCs/>
                <w:szCs w:val="22"/>
              </w:rPr>
            </w:pPr>
            <w:r w:rsidRPr="0095783A">
              <w:rPr>
                <w:bCs/>
                <w:szCs w:val="22"/>
              </w:rPr>
              <w:t>0007435140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BA11021" w14:textId="77777777" w:rsidR="004243C6" w:rsidRPr="0095783A" w:rsidRDefault="004243C6" w:rsidP="004243C6">
            <w:pPr>
              <w:rPr>
                <w:bCs/>
                <w:szCs w:val="22"/>
              </w:rPr>
            </w:pPr>
            <w:r w:rsidRPr="0095783A">
              <w:rPr>
                <w:bCs/>
                <w:szCs w:val="22"/>
              </w:rPr>
              <w:t>WPTI203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CF4B201"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25DBF68"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184D9F7"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0AAA2C3"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D32D800" w14:textId="77777777" w:rsidR="004243C6" w:rsidRPr="0095783A" w:rsidRDefault="004243C6" w:rsidP="004243C6">
            <w:pPr>
              <w:rPr>
                <w:bCs/>
                <w:szCs w:val="22"/>
              </w:rPr>
            </w:pPr>
            <w:r w:rsidRPr="0095783A">
              <w:rPr>
                <w:bCs/>
                <w:szCs w:val="22"/>
              </w:rPr>
              <w:t>Aberdeen, SD</w:t>
            </w:r>
          </w:p>
        </w:tc>
      </w:tr>
      <w:tr w:rsidR="004243C6" w:rsidRPr="0095783A" w14:paraId="5F84D96D"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374ADAC" w14:textId="77777777" w:rsidR="004243C6" w:rsidRPr="0095783A" w:rsidRDefault="004243C6" w:rsidP="004243C6">
            <w:pPr>
              <w:rPr>
                <w:bCs/>
                <w:szCs w:val="22"/>
              </w:rPr>
            </w:pPr>
            <w:r w:rsidRPr="0095783A">
              <w:rPr>
                <w:bCs/>
                <w:szCs w:val="22"/>
              </w:rPr>
              <w:t>0007450676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E375309" w14:textId="77777777" w:rsidR="004243C6" w:rsidRPr="0095783A" w:rsidRDefault="004243C6" w:rsidP="004243C6">
            <w:pPr>
              <w:rPr>
                <w:bCs/>
                <w:szCs w:val="22"/>
              </w:rPr>
            </w:pPr>
            <w:r w:rsidRPr="0095783A">
              <w:rPr>
                <w:bCs/>
                <w:szCs w:val="22"/>
              </w:rPr>
              <w:t>WPTI203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B7958E9"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954B7EA"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2205A9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E40DAE7"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91AADA9" w14:textId="77777777" w:rsidR="004243C6" w:rsidRPr="0095783A" w:rsidRDefault="004243C6" w:rsidP="004243C6">
            <w:pPr>
              <w:rPr>
                <w:bCs/>
                <w:szCs w:val="22"/>
              </w:rPr>
            </w:pPr>
            <w:r w:rsidRPr="0095783A">
              <w:rPr>
                <w:bCs/>
                <w:szCs w:val="22"/>
              </w:rPr>
              <w:t>Aberdeen, SD</w:t>
            </w:r>
          </w:p>
        </w:tc>
      </w:tr>
      <w:tr w:rsidR="004243C6" w:rsidRPr="0095783A" w14:paraId="43D1850F"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6960ACF" w14:textId="77777777" w:rsidR="004243C6" w:rsidRPr="0095783A" w:rsidRDefault="004243C6" w:rsidP="004243C6">
            <w:pPr>
              <w:rPr>
                <w:bCs/>
                <w:szCs w:val="22"/>
              </w:rPr>
            </w:pPr>
            <w:r w:rsidRPr="0095783A">
              <w:rPr>
                <w:bCs/>
                <w:szCs w:val="22"/>
              </w:rPr>
              <w:t>0007435141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529635E" w14:textId="77777777" w:rsidR="004243C6" w:rsidRPr="0095783A" w:rsidRDefault="004243C6" w:rsidP="004243C6">
            <w:pPr>
              <w:rPr>
                <w:bCs/>
                <w:szCs w:val="22"/>
              </w:rPr>
            </w:pPr>
            <w:r w:rsidRPr="0095783A">
              <w:rPr>
                <w:bCs/>
                <w:szCs w:val="22"/>
              </w:rPr>
              <w:t>WPTI204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FD5E184"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B397306"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5FE808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F9487BE"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0284450" w14:textId="77777777" w:rsidR="004243C6" w:rsidRPr="0095783A" w:rsidRDefault="004243C6" w:rsidP="004243C6">
            <w:pPr>
              <w:rPr>
                <w:bCs/>
                <w:szCs w:val="22"/>
              </w:rPr>
            </w:pPr>
            <w:r w:rsidRPr="0095783A">
              <w:rPr>
                <w:bCs/>
                <w:szCs w:val="22"/>
              </w:rPr>
              <w:t>Rapid City, SD-MT-ND-NE</w:t>
            </w:r>
          </w:p>
        </w:tc>
      </w:tr>
      <w:tr w:rsidR="004243C6" w:rsidRPr="0095783A" w14:paraId="39070379"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7EA5BAD" w14:textId="77777777" w:rsidR="004243C6" w:rsidRPr="0095783A" w:rsidRDefault="004243C6" w:rsidP="004243C6">
            <w:pPr>
              <w:rPr>
                <w:bCs/>
                <w:szCs w:val="22"/>
              </w:rPr>
            </w:pPr>
            <w:r w:rsidRPr="0095783A">
              <w:rPr>
                <w:bCs/>
                <w:szCs w:val="22"/>
              </w:rPr>
              <w:t>0007450677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4CBE3C6" w14:textId="77777777" w:rsidR="004243C6" w:rsidRPr="0095783A" w:rsidRDefault="004243C6" w:rsidP="004243C6">
            <w:pPr>
              <w:rPr>
                <w:bCs/>
                <w:szCs w:val="22"/>
              </w:rPr>
            </w:pPr>
            <w:r w:rsidRPr="0095783A">
              <w:rPr>
                <w:bCs/>
                <w:szCs w:val="22"/>
              </w:rPr>
              <w:t>WPTI204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CEDFA4C"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0A80782"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934CE29"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9D5BCC2"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7B72B5B" w14:textId="77777777" w:rsidR="004243C6" w:rsidRPr="0095783A" w:rsidRDefault="004243C6" w:rsidP="004243C6">
            <w:pPr>
              <w:rPr>
                <w:bCs/>
                <w:szCs w:val="22"/>
              </w:rPr>
            </w:pPr>
            <w:r w:rsidRPr="0095783A">
              <w:rPr>
                <w:bCs/>
                <w:szCs w:val="22"/>
              </w:rPr>
              <w:t>Rapid City, SD-MT-ND-NE</w:t>
            </w:r>
          </w:p>
        </w:tc>
      </w:tr>
      <w:tr w:rsidR="004243C6" w:rsidRPr="0095783A" w14:paraId="51B6BDFB"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D1D0263" w14:textId="77777777" w:rsidR="004243C6" w:rsidRPr="0095783A" w:rsidRDefault="004243C6" w:rsidP="004243C6">
            <w:pPr>
              <w:rPr>
                <w:bCs/>
                <w:szCs w:val="22"/>
              </w:rPr>
            </w:pPr>
            <w:r w:rsidRPr="0095783A">
              <w:rPr>
                <w:bCs/>
                <w:szCs w:val="22"/>
              </w:rPr>
              <w:t>0007435142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CF16A1B" w14:textId="77777777" w:rsidR="004243C6" w:rsidRPr="0095783A" w:rsidRDefault="004243C6" w:rsidP="004243C6">
            <w:pPr>
              <w:rPr>
                <w:bCs/>
                <w:szCs w:val="22"/>
              </w:rPr>
            </w:pPr>
            <w:r w:rsidRPr="0095783A">
              <w:rPr>
                <w:bCs/>
                <w:szCs w:val="22"/>
              </w:rPr>
              <w:t>WPTI205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48054FE"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A495D2E"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B887D7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E40EF5B"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C2B3C57" w14:textId="77777777" w:rsidR="004243C6" w:rsidRPr="0095783A" w:rsidRDefault="004243C6" w:rsidP="004243C6">
            <w:pPr>
              <w:rPr>
                <w:bCs/>
                <w:szCs w:val="22"/>
              </w:rPr>
            </w:pPr>
            <w:r w:rsidRPr="0095783A">
              <w:rPr>
                <w:bCs/>
                <w:szCs w:val="22"/>
              </w:rPr>
              <w:t>Sioux City, IA-NE-SD</w:t>
            </w:r>
          </w:p>
        </w:tc>
      </w:tr>
      <w:tr w:rsidR="004243C6" w:rsidRPr="0095783A" w14:paraId="040F1CD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AA32112" w14:textId="77777777" w:rsidR="004243C6" w:rsidRPr="0095783A" w:rsidRDefault="004243C6" w:rsidP="004243C6">
            <w:pPr>
              <w:rPr>
                <w:bCs/>
                <w:szCs w:val="22"/>
              </w:rPr>
            </w:pPr>
            <w:r w:rsidRPr="0095783A">
              <w:rPr>
                <w:bCs/>
                <w:szCs w:val="22"/>
              </w:rPr>
              <w:t>0007450678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F38960B" w14:textId="77777777" w:rsidR="004243C6" w:rsidRPr="0095783A" w:rsidRDefault="004243C6" w:rsidP="004243C6">
            <w:pPr>
              <w:rPr>
                <w:bCs/>
                <w:szCs w:val="22"/>
              </w:rPr>
            </w:pPr>
            <w:r w:rsidRPr="0095783A">
              <w:rPr>
                <w:bCs/>
                <w:szCs w:val="22"/>
              </w:rPr>
              <w:t>WPTI205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8E0EA0F"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77FEE8F"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1EFA4C3"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190AB40"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6068AFE" w14:textId="77777777" w:rsidR="004243C6" w:rsidRPr="0095783A" w:rsidRDefault="004243C6" w:rsidP="004243C6">
            <w:pPr>
              <w:rPr>
                <w:bCs/>
                <w:szCs w:val="22"/>
              </w:rPr>
            </w:pPr>
            <w:r w:rsidRPr="0095783A">
              <w:rPr>
                <w:bCs/>
                <w:szCs w:val="22"/>
              </w:rPr>
              <w:t>Sioux City, IA-NE-SD</w:t>
            </w:r>
          </w:p>
        </w:tc>
      </w:tr>
      <w:tr w:rsidR="004243C6" w:rsidRPr="0095783A" w14:paraId="1FBB0795"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2D1895E" w14:textId="77777777" w:rsidR="004243C6" w:rsidRPr="0095783A" w:rsidRDefault="004243C6" w:rsidP="004243C6">
            <w:pPr>
              <w:rPr>
                <w:bCs/>
                <w:szCs w:val="22"/>
              </w:rPr>
            </w:pPr>
            <w:r w:rsidRPr="0095783A">
              <w:rPr>
                <w:bCs/>
                <w:szCs w:val="22"/>
              </w:rPr>
              <w:t>0007435143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B8FB643" w14:textId="77777777" w:rsidR="004243C6" w:rsidRPr="0095783A" w:rsidRDefault="004243C6" w:rsidP="004243C6">
            <w:pPr>
              <w:rPr>
                <w:bCs/>
                <w:szCs w:val="22"/>
              </w:rPr>
            </w:pPr>
            <w:r w:rsidRPr="0095783A">
              <w:rPr>
                <w:bCs/>
                <w:szCs w:val="22"/>
              </w:rPr>
              <w:t>WPTI206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34FFD62"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EB878AA"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5F9BFF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9472985"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A10C0A2" w14:textId="77777777" w:rsidR="004243C6" w:rsidRPr="0095783A" w:rsidRDefault="004243C6" w:rsidP="004243C6">
            <w:pPr>
              <w:rPr>
                <w:bCs/>
                <w:szCs w:val="22"/>
              </w:rPr>
            </w:pPr>
            <w:r w:rsidRPr="0095783A">
              <w:rPr>
                <w:bCs/>
                <w:szCs w:val="22"/>
              </w:rPr>
              <w:t>Lincoln, NE</w:t>
            </w:r>
          </w:p>
        </w:tc>
      </w:tr>
      <w:tr w:rsidR="004243C6" w:rsidRPr="0095783A" w14:paraId="01064CD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51E94DA" w14:textId="77777777" w:rsidR="004243C6" w:rsidRPr="0095783A" w:rsidRDefault="004243C6" w:rsidP="004243C6">
            <w:pPr>
              <w:rPr>
                <w:bCs/>
                <w:szCs w:val="22"/>
              </w:rPr>
            </w:pPr>
            <w:r w:rsidRPr="0095783A">
              <w:rPr>
                <w:bCs/>
                <w:szCs w:val="22"/>
              </w:rPr>
              <w:t>0007450679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1415219" w14:textId="77777777" w:rsidR="004243C6" w:rsidRPr="0095783A" w:rsidRDefault="004243C6" w:rsidP="004243C6">
            <w:pPr>
              <w:rPr>
                <w:bCs/>
                <w:szCs w:val="22"/>
              </w:rPr>
            </w:pPr>
            <w:r w:rsidRPr="0095783A">
              <w:rPr>
                <w:bCs/>
                <w:szCs w:val="22"/>
              </w:rPr>
              <w:t>WPTI206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1F7804C"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F0196B6"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AFF994F"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AA959B1"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DE2CE03" w14:textId="77777777" w:rsidR="004243C6" w:rsidRPr="0095783A" w:rsidRDefault="004243C6" w:rsidP="004243C6">
            <w:pPr>
              <w:rPr>
                <w:bCs/>
                <w:szCs w:val="22"/>
              </w:rPr>
            </w:pPr>
            <w:r w:rsidRPr="0095783A">
              <w:rPr>
                <w:bCs/>
                <w:szCs w:val="22"/>
              </w:rPr>
              <w:t>Lincoln, NE</w:t>
            </w:r>
          </w:p>
        </w:tc>
      </w:tr>
      <w:tr w:rsidR="004243C6" w:rsidRPr="0095783A" w14:paraId="4534AB9F"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9BDADFD" w14:textId="77777777" w:rsidR="004243C6" w:rsidRPr="0095783A" w:rsidRDefault="004243C6" w:rsidP="004243C6">
            <w:pPr>
              <w:rPr>
                <w:bCs/>
                <w:szCs w:val="22"/>
              </w:rPr>
            </w:pPr>
            <w:r w:rsidRPr="0095783A">
              <w:rPr>
                <w:bCs/>
                <w:szCs w:val="22"/>
              </w:rPr>
              <w:t>0007435144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CC8A85E" w14:textId="77777777" w:rsidR="004243C6" w:rsidRPr="0095783A" w:rsidRDefault="004243C6" w:rsidP="004243C6">
            <w:pPr>
              <w:rPr>
                <w:bCs/>
                <w:szCs w:val="22"/>
              </w:rPr>
            </w:pPr>
            <w:r w:rsidRPr="0095783A">
              <w:rPr>
                <w:bCs/>
                <w:szCs w:val="22"/>
              </w:rPr>
              <w:t>WPTI207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8EFDAD8"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4AB48E5"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A18240E"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B2BDCAA"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CBD4CB6" w14:textId="77777777" w:rsidR="004243C6" w:rsidRPr="0095783A" w:rsidRDefault="004243C6" w:rsidP="004243C6">
            <w:pPr>
              <w:rPr>
                <w:bCs/>
                <w:szCs w:val="22"/>
              </w:rPr>
            </w:pPr>
            <w:r w:rsidRPr="0095783A">
              <w:rPr>
                <w:bCs/>
                <w:szCs w:val="22"/>
              </w:rPr>
              <w:t>Lincoln, NE</w:t>
            </w:r>
          </w:p>
        </w:tc>
      </w:tr>
      <w:tr w:rsidR="004243C6" w:rsidRPr="0095783A" w14:paraId="3A2951C8"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0A8D3DF" w14:textId="77777777" w:rsidR="004243C6" w:rsidRPr="0095783A" w:rsidRDefault="004243C6" w:rsidP="004243C6">
            <w:pPr>
              <w:rPr>
                <w:bCs/>
                <w:szCs w:val="22"/>
              </w:rPr>
            </w:pPr>
            <w:r w:rsidRPr="0095783A">
              <w:rPr>
                <w:bCs/>
                <w:szCs w:val="22"/>
              </w:rPr>
              <w:t>0007450680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7D4D513" w14:textId="77777777" w:rsidR="004243C6" w:rsidRPr="0095783A" w:rsidRDefault="004243C6" w:rsidP="004243C6">
            <w:pPr>
              <w:rPr>
                <w:bCs/>
                <w:szCs w:val="22"/>
              </w:rPr>
            </w:pPr>
            <w:r w:rsidRPr="0095783A">
              <w:rPr>
                <w:bCs/>
                <w:szCs w:val="22"/>
              </w:rPr>
              <w:t>WPTI207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AFF032E"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429EE47"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7A6E94A"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950B15F"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7B15C29" w14:textId="77777777" w:rsidR="004243C6" w:rsidRPr="0095783A" w:rsidRDefault="004243C6" w:rsidP="004243C6">
            <w:pPr>
              <w:rPr>
                <w:bCs/>
                <w:szCs w:val="22"/>
              </w:rPr>
            </w:pPr>
            <w:r w:rsidRPr="0095783A">
              <w:rPr>
                <w:bCs/>
                <w:szCs w:val="22"/>
              </w:rPr>
              <w:t>Lincoln, NE</w:t>
            </w:r>
          </w:p>
        </w:tc>
      </w:tr>
      <w:tr w:rsidR="004243C6" w:rsidRPr="0095783A" w14:paraId="05D8452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E334B08" w14:textId="77777777" w:rsidR="004243C6" w:rsidRPr="0095783A" w:rsidRDefault="004243C6" w:rsidP="004243C6">
            <w:pPr>
              <w:rPr>
                <w:bCs/>
                <w:szCs w:val="22"/>
              </w:rPr>
            </w:pPr>
            <w:r w:rsidRPr="0095783A">
              <w:rPr>
                <w:bCs/>
                <w:szCs w:val="22"/>
              </w:rPr>
              <w:t>0007435145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0D268E4" w14:textId="77777777" w:rsidR="004243C6" w:rsidRPr="0095783A" w:rsidRDefault="004243C6" w:rsidP="004243C6">
            <w:pPr>
              <w:rPr>
                <w:bCs/>
                <w:szCs w:val="22"/>
              </w:rPr>
            </w:pPr>
            <w:r w:rsidRPr="0095783A">
              <w:rPr>
                <w:bCs/>
                <w:szCs w:val="22"/>
              </w:rPr>
              <w:t>WPTI208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30EDDC0"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C5DF061"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ADBAD14"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88BAB37"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1341361" w14:textId="77777777" w:rsidR="004243C6" w:rsidRPr="0095783A" w:rsidRDefault="004243C6" w:rsidP="004243C6">
            <w:pPr>
              <w:rPr>
                <w:bCs/>
                <w:szCs w:val="22"/>
              </w:rPr>
            </w:pPr>
            <w:r w:rsidRPr="0095783A">
              <w:rPr>
                <w:bCs/>
                <w:szCs w:val="22"/>
              </w:rPr>
              <w:t>Grand Island, NE</w:t>
            </w:r>
          </w:p>
        </w:tc>
      </w:tr>
      <w:tr w:rsidR="004243C6" w:rsidRPr="0095783A" w14:paraId="7E92FC58"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4E0FB79" w14:textId="77777777" w:rsidR="004243C6" w:rsidRPr="0095783A" w:rsidRDefault="004243C6" w:rsidP="004243C6">
            <w:pPr>
              <w:rPr>
                <w:bCs/>
                <w:szCs w:val="22"/>
              </w:rPr>
            </w:pPr>
            <w:r w:rsidRPr="0095783A">
              <w:rPr>
                <w:bCs/>
                <w:szCs w:val="22"/>
              </w:rPr>
              <w:t>0007450681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61C2DCB" w14:textId="77777777" w:rsidR="004243C6" w:rsidRPr="0095783A" w:rsidRDefault="004243C6" w:rsidP="004243C6">
            <w:pPr>
              <w:rPr>
                <w:bCs/>
                <w:szCs w:val="22"/>
              </w:rPr>
            </w:pPr>
            <w:r w:rsidRPr="0095783A">
              <w:rPr>
                <w:bCs/>
                <w:szCs w:val="22"/>
              </w:rPr>
              <w:t>WPTI208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215A09C"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2BF4EAC"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039F9B2"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B2CFA02"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77FD81E" w14:textId="77777777" w:rsidR="004243C6" w:rsidRPr="0095783A" w:rsidRDefault="004243C6" w:rsidP="004243C6">
            <w:pPr>
              <w:rPr>
                <w:bCs/>
                <w:szCs w:val="22"/>
              </w:rPr>
            </w:pPr>
            <w:r w:rsidRPr="0095783A">
              <w:rPr>
                <w:bCs/>
                <w:szCs w:val="22"/>
              </w:rPr>
              <w:t>Grand Island, NE</w:t>
            </w:r>
          </w:p>
        </w:tc>
      </w:tr>
      <w:tr w:rsidR="004243C6" w:rsidRPr="0095783A" w14:paraId="068B5EB5"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7E7A923" w14:textId="77777777" w:rsidR="004243C6" w:rsidRPr="0095783A" w:rsidRDefault="004243C6" w:rsidP="004243C6">
            <w:pPr>
              <w:rPr>
                <w:bCs/>
                <w:szCs w:val="22"/>
              </w:rPr>
            </w:pPr>
            <w:r w:rsidRPr="0095783A">
              <w:rPr>
                <w:bCs/>
                <w:szCs w:val="22"/>
              </w:rPr>
              <w:t>0007435146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D509695" w14:textId="77777777" w:rsidR="004243C6" w:rsidRPr="0095783A" w:rsidRDefault="004243C6" w:rsidP="004243C6">
            <w:pPr>
              <w:rPr>
                <w:bCs/>
                <w:szCs w:val="22"/>
              </w:rPr>
            </w:pPr>
            <w:r w:rsidRPr="0095783A">
              <w:rPr>
                <w:bCs/>
                <w:szCs w:val="22"/>
              </w:rPr>
              <w:t>WPTI209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7AD9710"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9891ED9"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C714319"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027EEE0"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703C438" w14:textId="77777777" w:rsidR="004243C6" w:rsidRPr="0095783A" w:rsidRDefault="004243C6" w:rsidP="004243C6">
            <w:pPr>
              <w:rPr>
                <w:bCs/>
                <w:szCs w:val="22"/>
              </w:rPr>
            </w:pPr>
            <w:r w:rsidRPr="0095783A">
              <w:rPr>
                <w:bCs/>
                <w:szCs w:val="22"/>
              </w:rPr>
              <w:t>North Platte, NE-CO</w:t>
            </w:r>
          </w:p>
        </w:tc>
      </w:tr>
      <w:tr w:rsidR="004243C6" w:rsidRPr="0095783A" w14:paraId="75BCE95F"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BBCF6BD" w14:textId="77777777" w:rsidR="004243C6" w:rsidRPr="0095783A" w:rsidRDefault="004243C6" w:rsidP="004243C6">
            <w:pPr>
              <w:rPr>
                <w:bCs/>
                <w:szCs w:val="22"/>
              </w:rPr>
            </w:pPr>
            <w:r w:rsidRPr="0095783A">
              <w:rPr>
                <w:bCs/>
                <w:szCs w:val="22"/>
              </w:rPr>
              <w:t>0007450682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B528A69" w14:textId="77777777" w:rsidR="004243C6" w:rsidRPr="0095783A" w:rsidRDefault="004243C6" w:rsidP="004243C6">
            <w:pPr>
              <w:rPr>
                <w:bCs/>
                <w:szCs w:val="22"/>
              </w:rPr>
            </w:pPr>
            <w:r w:rsidRPr="0095783A">
              <w:rPr>
                <w:bCs/>
                <w:szCs w:val="22"/>
              </w:rPr>
              <w:t>WPTI209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8948A59"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58C7EFA"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9F02665"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CFDC7FB"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EEDD97A" w14:textId="77777777" w:rsidR="004243C6" w:rsidRPr="0095783A" w:rsidRDefault="004243C6" w:rsidP="004243C6">
            <w:pPr>
              <w:rPr>
                <w:bCs/>
                <w:szCs w:val="22"/>
              </w:rPr>
            </w:pPr>
            <w:r w:rsidRPr="0095783A">
              <w:rPr>
                <w:bCs/>
                <w:szCs w:val="22"/>
              </w:rPr>
              <w:t>North Platte, NE-CO</w:t>
            </w:r>
          </w:p>
        </w:tc>
      </w:tr>
      <w:tr w:rsidR="004243C6" w:rsidRPr="0095783A" w14:paraId="0A7865A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B51C95C" w14:textId="77777777" w:rsidR="004243C6" w:rsidRPr="0095783A" w:rsidRDefault="004243C6" w:rsidP="004243C6">
            <w:pPr>
              <w:rPr>
                <w:bCs/>
                <w:szCs w:val="22"/>
              </w:rPr>
            </w:pPr>
            <w:r w:rsidRPr="0095783A">
              <w:rPr>
                <w:bCs/>
                <w:szCs w:val="22"/>
              </w:rPr>
              <w:t>0007435147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BA6C555" w14:textId="77777777" w:rsidR="004243C6" w:rsidRPr="0095783A" w:rsidRDefault="004243C6" w:rsidP="004243C6">
            <w:pPr>
              <w:rPr>
                <w:bCs/>
                <w:szCs w:val="22"/>
              </w:rPr>
            </w:pPr>
            <w:r w:rsidRPr="0095783A">
              <w:rPr>
                <w:bCs/>
                <w:szCs w:val="22"/>
              </w:rPr>
              <w:t>WPTI210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7ED31E9"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1A07DEE"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50BD578"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2095DC5"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C5F2E1A" w14:textId="77777777" w:rsidR="004243C6" w:rsidRPr="0095783A" w:rsidRDefault="004243C6" w:rsidP="004243C6">
            <w:pPr>
              <w:rPr>
                <w:bCs/>
                <w:szCs w:val="22"/>
              </w:rPr>
            </w:pPr>
            <w:r w:rsidRPr="0095783A">
              <w:rPr>
                <w:bCs/>
                <w:szCs w:val="22"/>
              </w:rPr>
              <w:t>Topeka, KS</w:t>
            </w:r>
          </w:p>
        </w:tc>
      </w:tr>
      <w:tr w:rsidR="004243C6" w:rsidRPr="0095783A" w14:paraId="604B8396"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7DF7E38" w14:textId="77777777" w:rsidR="004243C6" w:rsidRPr="0095783A" w:rsidRDefault="004243C6" w:rsidP="004243C6">
            <w:pPr>
              <w:rPr>
                <w:bCs/>
                <w:szCs w:val="22"/>
              </w:rPr>
            </w:pPr>
            <w:r w:rsidRPr="0095783A">
              <w:rPr>
                <w:bCs/>
                <w:szCs w:val="22"/>
              </w:rPr>
              <w:t>0007450683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3FA150A" w14:textId="77777777" w:rsidR="004243C6" w:rsidRPr="0095783A" w:rsidRDefault="004243C6" w:rsidP="004243C6">
            <w:pPr>
              <w:rPr>
                <w:bCs/>
                <w:szCs w:val="22"/>
              </w:rPr>
            </w:pPr>
            <w:r w:rsidRPr="0095783A">
              <w:rPr>
                <w:bCs/>
                <w:szCs w:val="22"/>
              </w:rPr>
              <w:t>WPTI210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C0613A7"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02C9A2C"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A238624"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FDDEC18"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FB72677" w14:textId="77777777" w:rsidR="004243C6" w:rsidRPr="0095783A" w:rsidRDefault="004243C6" w:rsidP="004243C6">
            <w:pPr>
              <w:rPr>
                <w:bCs/>
                <w:szCs w:val="22"/>
              </w:rPr>
            </w:pPr>
            <w:r w:rsidRPr="0095783A">
              <w:rPr>
                <w:bCs/>
                <w:szCs w:val="22"/>
              </w:rPr>
              <w:t>Topeka, KS</w:t>
            </w:r>
          </w:p>
        </w:tc>
      </w:tr>
      <w:tr w:rsidR="004243C6" w:rsidRPr="0095783A" w14:paraId="35FF0F0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C04021C" w14:textId="77777777" w:rsidR="004243C6" w:rsidRPr="0095783A" w:rsidRDefault="004243C6" w:rsidP="004243C6">
            <w:pPr>
              <w:rPr>
                <w:bCs/>
                <w:szCs w:val="22"/>
              </w:rPr>
            </w:pPr>
            <w:r w:rsidRPr="0095783A">
              <w:rPr>
                <w:bCs/>
                <w:szCs w:val="22"/>
              </w:rPr>
              <w:t>0007435148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0D1C63C" w14:textId="77777777" w:rsidR="004243C6" w:rsidRPr="0095783A" w:rsidRDefault="004243C6" w:rsidP="004243C6">
            <w:pPr>
              <w:rPr>
                <w:bCs/>
                <w:szCs w:val="22"/>
              </w:rPr>
            </w:pPr>
            <w:r w:rsidRPr="0095783A">
              <w:rPr>
                <w:bCs/>
                <w:szCs w:val="22"/>
              </w:rPr>
              <w:t>WPTI211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AAED260"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FC979E7"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F566245"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004B242"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F374280" w14:textId="77777777" w:rsidR="004243C6" w:rsidRPr="0095783A" w:rsidRDefault="004243C6" w:rsidP="004243C6">
            <w:pPr>
              <w:rPr>
                <w:bCs/>
                <w:szCs w:val="22"/>
              </w:rPr>
            </w:pPr>
            <w:r w:rsidRPr="0095783A">
              <w:rPr>
                <w:bCs/>
                <w:szCs w:val="22"/>
              </w:rPr>
              <w:t>Topeka, KS</w:t>
            </w:r>
          </w:p>
        </w:tc>
      </w:tr>
      <w:tr w:rsidR="004243C6" w:rsidRPr="0095783A" w14:paraId="7BF7590B"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4EF5F6D" w14:textId="77777777" w:rsidR="004243C6" w:rsidRPr="0095783A" w:rsidRDefault="004243C6" w:rsidP="004243C6">
            <w:pPr>
              <w:rPr>
                <w:bCs/>
                <w:szCs w:val="22"/>
              </w:rPr>
            </w:pPr>
            <w:r w:rsidRPr="0095783A">
              <w:rPr>
                <w:bCs/>
                <w:szCs w:val="22"/>
              </w:rPr>
              <w:t>0007450684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E2C85B4" w14:textId="77777777" w:rsidR="004243C6" w:rsidRPr="0095783A" w:rsidRDefault="004243C6" w:rsidP="004243C6">
            <w:pPr>
              <w:rPr>
                <w:bCs/>
                <w:szCs w:val="22"/>
              </w:rPr>
            </w:pPr>
            <w:r w:rsidRPr="0095783A">
              <w:rPr>
                <w:bCs/>
                <w:szCs w:val="22"/>
              </w:rPr>
              <w:t>WPTI211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D123191"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E046616"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9CD2EB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F86CCD8"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16D5F8D" w14:textId="77777777" w:rsidR="004243C6" w:rsidRPr="0095783A" w:rsidRDefault="004243C6" w:rsidP="004243C6">
            <w:pPr>
              <w:rPr>
                <w:bCs/>
                <w:szCs w:val="22"/>
              </w:rPr>
            </w:pPr>
            <w:r w:rsidRPr="0095783A">
              <w:rPr>
                <w:bCs/>
                <w:szCs w:val="22"/>
              </w:rPr>
              <w:t>Topeka, KS</w:t>
            </w:r>
          </w:p>
        </w:tc>
      </w:tr>
      <w:tr w:rsidR="004243C6" w:rsidRPr="0095783A" w14:paraId="049FAB0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B1FFD5F" w14:textId="77777777" w:rsidR="004243C6" w:rsidRPr="0095783A" w:rsidRDefault="004243C6" w:rsidP="004243C6">
            <w:pPr>
              <w:rPr>
                <w:bCs/>
                <w:szCs w:val="22"/>
              </w:rPr>
            </w:pPr>
            <w:r w:rsidRPr="0095783A">
              <w:rPr>
                <w:bCs/>
                <w:szCs w:val="22"/>
              </w:rPr>
              <w:t>0007435149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5480172" w14:textId="77777777" w:rsidR="004243C6" w:rsidRPr="0095783A" w:rsidRDefault="004243C6" w:rsidP="004243C6">
            <w:pPr>
              <w:rPr>
                <w:bCs/>
                <w:szCs w:val="22"/>
              </w:rPr>
            </w:pPr>
            <w:r w:rsidRPr="0095783A">
              <w:rPr>
                <w:bCs/>
                <w:szCs w:val="22"/>
              </w:rPr>
              <w:t>WPTI212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66C6DBE"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8BB11A0"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BA00DC6"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63D5F49"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B7D6530" w14:textId="77777777" w:rsidR="004243C6" w:rsidRPr="0095783A" w:rsidRDefault="004243C6" w:rsidP="004243C6">
            <w:pPr>
              <w:rPr>
                <w:bCs/>
                <w:szCs w:val="22"/>
              </w:rPr>
            </w:pPr>
            <w:r w:rsidRPr="0095783A">
              <w:rPr>
                <w:bCs/>
                <w:szCs w:val="22"/>
              </w:rPr>
              <w:t>Western Oklahoma, OK</w:t>
            </w:r>
          </w:p>
        </w:tc>
      </w:tr>
      <w:tr w:rsidR="004243C6" w:rsidRPr="0095783A" w14:paraId="0FFAE27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C719F35" w14:textId="77777777" w:rsidR="004243C6" w:rsidRPr="0095783A" w:rsidRDefault="004243C6" w:rsidP="004243C6">
            <w:pPr>
              <w:rPr>
                <w:bCs/>
                <w:szCs w:val="22"/>
              </w:rPr>
            </w:pPr>
            <w:r w:rsidRPr="0095783A">
              <w:rPr>
                <w:bCs/>
                <w:szCs w:val="22"/>
              </w:rPr>
              <w:t>0007450685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DF5A8C5" w14:textId="77777777" w:rsidR="004243C6" w:rsidRPr="0095783A" w:rsidRDefault="004243C6" w:rsidP="004243C6">
            <w:pPr>
              <w:rPr>
                <w:bCs/>
                <w:szCs w:val="22"/>
              </w:rPr>
            </w:pPr>
            <w:r w:rsidRPr="0095783A">
              <w:rPr>
                <w:bCs/>
                <w:szCs w:val="22"/>
              </w:rPr>
              <w:t>WPTI212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458526D"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B5EF6AB"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529B425"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BF0C7DB"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F30034A" w14:textId="77777777" w:rsidR="004243C6" w:rsidRPr="0095783A" w:rsidRDefault="004243C6" w:rsidP="004243C6">
            <w:pPr>
              <w:rPr>
                <w:bCs/>
                <w:szCs w:val="22"/>
              </w:rPr>
            </w:pPr>
            <w:r w:rsidRPr="0095783A">
              <w:rPr>
                <w:bCs/>
                <w:szCs w:val="22"/>
              </w:rPr>
              <w:t>Western Oklahoma, OK</w:t>
            </w:r>
          </w:p>
        </w:tc>
      </w:tr>
      <w:tr w:rsidR="004243C6" w:rsidRPr="0095783A" w14:paraId="76934166"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6CF7628" w14:textId="77777777" w:rsidR="004243C6" w:rsidRPr="0095783A" w:rsidRDefault="004243C6" w:rsidP="004243C6">
            <w:pPr>
              <w:rPr>
                <w:bCs/>
                <w:szCs w:val="22"/>
              </w:rPr>
            </w:pPr>
            <w:r w:rsidRPr="0095783A">
              <w:rPr>
                <w:bCs/>
                <w:szCs w:val="22"/>
              </w:rPr>
              <w:t>0007435150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FF49E77" w14:textId="77777777" w:rsidR="004243C6" w:rsidRPr="0095783A" w:rsidRDefault="004243C6" w:rsidP="004243C6">
            <w:pPr>
              <w:rPr>
                <w:bCs/>
                <w:szCs w:val="22"/>
              </w:rPr>
            </w:pPr>
            <w:r w:rsidRPr="0095783A">
              <w:rPr>
                <w:bCs/>
                <w:szCs w:val="22"/>
              </w:rPr>
              <w:t>WPTI213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6703570"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9BEED6A"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CA6F2A5"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BB77697"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84D3FBE" w14:textId="77777777" w:rsidR="004243C6" w:rsidRPr="0095783A" w:rsidRDefault="004243C6" w:rsidP="004243C6">
            <w:pPr>
              <w:rPr>
                <w:bCs/>
                <w:szCs w:val="22"/>
              </w:rPr>
            </w:pPr>
            <w:r w:rsidRPr="0095783A">
              <w:rPr>
                <w:bCs/>
                <w:szCs w:val="22"/>
              </w:rPr>
              <w:t>Abilene, TX</w:t>
            </w:r>
          </w:p>
        </w:tc>
      </w:tr>
      <w:tr w:rsidR="004243C6" w:rsidRPr="0095783A" w14:paraId="680B0804"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A40DD0B" w14:textId="77777777" w:rsidR="004243C6" w:rsidRPr="0095783A" w:rsidRDefault="004243C6" w:rsidP="004243C6">
            <w:pPr>
              <w:rPr>
                <w:bCs/>
                <w:szCs w:val="22"/>
              </w:rPr>
            </w:pPr>
            <w:r w:rsidRPr="0095783A">
              <w:rPr>
                <w:bCs/>
                <w:szCs w:val="22"/>
              </w:rPr>
              <w:t>0007450686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56CB38D" w14:textId="77777777" w:rsidR="004243C6" w:rsidRPr="0095783A" w:rsidRDefault="004243C6" w:rsidP="004243C6">
            <w:pPr>
              <w:rPr>
                <w:bCs/>
                <w:szCs w:val="22"/>
              </w:rPr>
            </w:pPr>
            <w:r w:rsidRPr="0095783A">
              <w:rPr>
                <w:bCs/>
                <w:szCs w:val="22"/>
              </w:rPr>
              <w:t>WPTI213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6313024"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810C21A"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5F31DF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AD04665"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329721A" w14:textId="77777777" w:rsidR="004243C6" w:rsidRPr="0095783A" w:rsidRDefault="004243C6" w:rsidP="004243C6">
            <w:pPr>
              <w:rPr>
                <w:bCs/>
                <w:szCs w:val="22"/>
              </w:rPr>
            </w:pPr>
            <w:r w:rsidRPr="0095783A">
              <w:rPr>
                <w:bCs/>
                <w:szCs w:val="22"/>
              </w:rPr>
              <w:t>Abilene, TX</w:t>
            </w:r>
          </w:p>
        </w:tc>
      </w:tr>
      <w:tr w:rsidR="004243C6" w:rsidRPr="0095783A" w14:paraId="40509E69"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A3F609E" w14:textId="77777777" w:rsidR="004243C6" w:rsidRPr="0095783A" w:rsidRDefault="004243C6" w:rsidP="004243C6">
            <w:pPr>
              <w:rPr>
                <w:bCs/>
                <w:szCs w:val="22"/>
              </w:rPr>
            </w:pPr>
            <w:r w:rsidRPr="0095783A">
              <w:rPr>
                <w:bCs/>
                <w:szCs w:val="22"/>
              </w:rPr>
              <w:t>0007435151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C6A4BBD" w14:textId="77777777" w:rsidR="004243C6" w:rsidRPr="0095783A" w:rsidRDefault="004243C6" w:rsidP="004243C6">
            <w:pPr>
              <w:rPr>
                <w:bCs/>
                <w:szCs w:val="22"/>
              </w:rPr>
            </w:pPr>
            <w:r w:rsidRPr="0095783A">
              <w:rPr>
                <w:bCs/>
                <w:szCs w:val="22"/>
              </w:rPr>
              <w:t>WPTI214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4E8704B"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428D6E4"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DC8ED6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0476228"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D8D49AF" w14:textId="77777777" w:rsidR="004243C6" w:rsidRPr="0095783A" w:rsidRDefault="004243C6" w:rsidP="004243C6">
            <w:pPr>
              <w:rPr>
                <w:bCs/>
                <w:szCs w:val="22"/>
              </w:rPr>
            </w:pPr>
            <w:r w:rsidRPr="0095783A">
              <w:rPr>
                <w:bCs/>
                <w:szCs w:val="22"/>
              </w:rPr>
              <w:t>San Angelo, TX</w:t>
            </w:r>
          </w:p>
        </w:tc>
      </w:tr>
      <w:tr w:rsidR="004243C6" w:rsidRPr="0095783A" w14:paraId="655DD30E"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FD9F038" w14:textId="77777777" w:rsidR="004243C6" w:rsidRPr="0095783A" w:rsidRDefault="004243C6" w:rsidP="004243C6">
            <w:pPr>
              <w:rPr>
                <w:bCs/>
                <w:szCs w:val="22"/>
              </w:rPr>
            </w:pPr>
            <w:r w:rsidRPr="0095783A">
              <w:rPr>
                <w:bCs/>
                <w:szCs w:val="22"/>
              </w:rPr>
              <w:t>0007450687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6E17887" w14:textId="77777777" w:rsidR="004243C6" w:rsidRPr="0095783A" w:rsidRDefault="004243C6" w:rsidP="004243C6">
            <w:pPr>
              <w:rPr>
                <w:bCs/>
                <w:szCs w:val="22"/>
              </w:rPr>
            </w:pPr>
            <w:r w:rsidRPr="0095783A">
              <w:rPr>
                <w:bCs/>
                <w:szCs w:val="22"/>
              </w:rPr>
              <w:t>WPTI214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2D980F9"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D35B78F"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0CFC065"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D149531"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9AC62F9" w14:textId="77777777" w:rsidR="004243C6" w:rsidRPr="0095783A" w:rsidRDefault="004243C6" w:rsidP="004243C6">
            <w:pPr>
              <w:rPr>
                <w:bCs/>
                <w:szCs w:val="22"/>
              </w:rPr>
            </w:pPr>
            <w:r w:rsidRPr="0095783A">
              <w:rPr>
                <w:bCs/>
                <w:szCs w:val="22"/>
              </w:rPr>
              <w:t>San Angelo, TX</w:t>
            </w:r>
          </w:p>
        </w:tc>
      </w:tr>
      <w:tr w:rsidR="004243C6" w:rsidRPr="0095783A" w14:paraId="0779560B"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B76AFCD" w14:textId="77777777" w:rsidR="004243C6" w:rsidRPr="0095783A" w:rsidRDefault="004243C6" w:rsidP="004243C6">
            <w:pPr>
              <w:rPr>
                <w:bCs/>
                <w:szCs w:val="22"/>
              </w:rPr>
            </w:pPr>
            <w:r w:rsidRPr="0095783A">
              <w:rPr>
                <w:bCs/>
                <w:szCs w:val="22"/>
              </w:rPr>
              <w:t>0007435152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3434501" w14:textId="77777777" w:rsidR="004243C6" w:rsidRPr="0095783A" w:rsidRDefault="004243C6" w:rsidP="004243C6">
            <w:pPr>
              <w:rPr>
                <w:bCs/>
                <w:szCs w:val="22"/>
              </w:rPr>
            </w:pPr>
            <w:r w:rsidRPr="0095783A">
              <w:rPr>
                <w:bCs/>
                <w:szCs w:val="22"/>
              </w:rPr>
              <w:t>WPTI215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6BB2907"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521E084"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FAEDBE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2361BDB"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0D78796" w14:textId="77777777" w:rsidR="004243C6" w:rsidRPr="0095783A" w:rsidRDefault="004243C6" w:rsidP="004243C6">
            <w:pPr>
              <w:rPr>
                <w:bCs/>
                <w:szCs w:val="22"/>
              </w:rPr>
            </w:pPr>
            <w:r w:rsidRPr="0095783A">
              <w:rPr>
                <w:bCs/>
                <w:szCs w:val="22"/>
              </w:rPr>
              <w:t>Odessa-Midland, TX</w:t>
            </w:r>
          </w:p>
        </w:tc>
      </w:tr>
      <w:tr w:rsidR="004243C6" w:rsidRPr="0095783A" w14:paraId="2C5D21F4"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4E6A196" w14:textId="77777777" w:rsidR="004243C6" w:rsidRPr="0095783A" w:rsidRDefault="004243C6" w:rsidP="004243C6">
            <w:pPr>
              <w:rPr>
                <w:bCs/>
                <w:szCs w:val="22"/>
              </w:rPr>
            </w:pPr>
            <w:r w:rsidRPr="0095783A">
              <w:rPr>
                <w:bCs/>
                <w:szCs w:val="22"/>
              </w:rPr>
              <w:t>0007450688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ED1DD2C" w14:textId="77777777" w:rsidR="004243C6" w:rsidRPr="0095783A" w:rsidRDefault="004243C6" w:rsidP="004243C6">
            <w:pPr>
              <w:rPr>
                <w:bCs/>
                <w:szCs w:val="22"/>
              </w:rPr>
            </w:pPr>
            <w:r w:rsidRPr="0095783A">
              <w:rPr>
                <w:bCs/>
                <w:szCs w:val="22"/>
              </w:rPr>
              <w:t>WPTI215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41EA71E"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6FE0456"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9F93A4C"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93E5465"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73877EA" w14:textId="77777777" w:rsidR="004243C6" w:rsidRPr="0095783A" w:rsidRDefault="004243C6" w:rsidP="004243C6">
            <w:pPr>
              <w:rPr>
                <w:bCs/>
                <w:szCs w:val="22"/>
              </w:rPr>
            </w:pPr>
            <w:r w:rsidRPr="0095783A">
              <w:rPr>
                <w:bCs/>
                <w:szCs w:val="22"/>
              </w:rPr>
              <w:t>Odessa-Midland, TX</w:t>
            </w:r>
          </w:p>
        </w:tc>
      </w:tr>
      <w:tr w:rsidR="004243C6" w:rsidRPr="0095783A" w14:paraId="45B0B010"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BEC4E3B" w14:textId="77777777" w:rsidR="004243C6" w:rsidRPr="0095783A" w:rsidRDefault="004243C6" w:rsidP="004243C6">
            <w:pPr>
              <w:rPr>
                <w:bCs/>
                <w:szCs w:val="22"/>
              </w:rPr>
            </w:pPr>
            <w:r w:rsidRPr="0095783A">
              <w:rPr>
                <w:bCs/>
                <w:szCs w:val="22"/>
              </w:rPr>
              <w:t>0007435153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381F6F1" w14:textId="77777777" w:rsidR="004243C6" w:rsidRPr="0095783A" w:rsidRDefault="004243C6" w:rsidP="004243C6">
            <w:pPr>
              <w:rPr>
                <w:bCs/>
                <w:szCs w:val="22"/>
              </w:rPr>
            </w:pPr>
            <w:r w:rsidRPr="0095783A">
              <w:rPr>
                <w:bCs/>
                <w:szCs w:val="22"/>
              </w:rPr>
              <w:t>WPTI216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BEB364C"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98EC4AB"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51BC3C3"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532028E"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A98DF06" w14:textId="77777777" w:rsidR="004243C6" w:rsidRPr="0095783A" w:rsidRDefault="004243C6" w:rsidP="004243C6">
            <w:pPr>
              <w:rPr>
                <w:bCs/>
                <w:szCs w:val="22"/>
              </w:rPr>
            </w:pPr>
            <w:r w:rsidRPr="0095783A">
              <w:rPr>
                <w:bCs/>
                <w:szCs w:val="22"/>
              </w:rPr>
              <w:t>Odessa-Midland, TX</w:t>
            </w:r>
          </w:p>
        </w:tc>
      </w:tr>
      <w:tr w:rsidR="004243C6" w:rsidRPr="0095783A" w14:paraId="79236405"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65F2936" w14:textId="77777777" w:rsidR="004243C6" w:rsidRPr="0095783A" w:rsidRDefault="004243C6" w:rsidP="004243C6">
            <w:pPr>
              <w:rPr>
                <w:bCs/>
                <w:szCs w:val="22"/>
              </w:rPr>
            </w:pPr>
            <w:r w:rsidRPr="0095783A">
              <w:rPr>
                <w:bCs/>
                <w:szCs w:val="22"/>
              </w:rPr>
              <w:t>0007450689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BBCB677" w14:textId="77777777" w:rsidR="004243C6" w:rsidRPr="0095783A" w:rsidRDefault="004243C6" w:rsidP="004243C6">
            <w:pPr>
              <w:rPr>
                <w:bCs/>
                <w:szCs w:val="22"/>
              </w:rPr>
            </w:pPr>
            <w:r w:rsidRPr="0095783A">
              <w:rPr>
                <w:bCs/>
                <w:szCs w:val="22"/>
              </w:rPr>
              <w:t>WPTI216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1B0AF67"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245B06C"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68E0D4E"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2A153A9"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2134AA5" w14:textId="77777777" w:rsidR="004243C6" w:rsidRPr="0095783A" w:rsidRDefault="004243C6" w:rsidP="004243C6">
            <w:pPr>
              <w:rPr>
                <w:bCs/>
                <w:szCs w:val="22"/>
              </w:rPr>
            </w:pPr>
            <w:r w:rsidRPr="0095783A">
              <w:rPr>
                <w:bCs/>
                <w:szCs w:val="22"/>
              </w:rPr>
              <w:t>Odessa-Midland, TX</w:t>
            </w:r>
          </w:p>
        </w:tc>
      </w:tr>
      <w:tr w:rsidR="004243C6" w:rsidRPr="0095783A" w14:paraId="7CE16D34"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DC109FA" w14:textId="77777777" w:rsidR="004243C6" w:rsidRPr="0095783A" w:rsidRDefault="004243C6" w:rsidP="004243C6">
            <w:pPr>
              <w:rPr>
                <w:bCs/>
                <w:szCs w:val="22"/>
              </w:rPr>
            </w:pPr>
            <w:r w:rsidRPr="0095783A">
              <w:rPr>
                <w:bCs/>
                <w:szCs w:val="22"/>
              </w:rPr>
              <w:t>0007435154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1A8A6E4" w14:textId="77777777" w:rsidR="004243C6" w:rsidRPr="0095783A" w:rsidRDefault="004243C6" w:rsidP="004243C6">
            <w:pPr>
              <w:rPr>
                <w:bCs/>
                <w:szCs w:val="22"/>
              </w:rPr>
            </w:pPr>
            <w:r w:rsidRPr="0095783A">
              <w:rPr>
                <w:bCs/>
                <w:szCs w:val="22"/>
              </w:rPr>
              <w:t>WPTI217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E176852"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309F66A"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03F3E89"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54EFBB0"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21A7AAF" w14:textId="77777777" w:rsidR="004243C6" w:rsidRPr="0095783A" w:rsidRDefault="004243C6" w:rsidP="004243C6">
            <w:pPr>
              <w:rPr>
                <w:bCs/>
                <w:szCs w:val="22"/>
              </w:rPr>
            </w:pPr>
            <w:r w:rsidRPr="0095783A">
              <w:rPr>
                <w:bCs/>
                <w:szCs w:val="22"/>
              </w:rPr>
              <w:t>Hobbs, NM-TX</w:t>
            </w:r>
          </w:p>
        </w:tc>
      </w:tr>
      <w:tr w:rsidR="004243C6" w:rsidRPr="0095783A" w14:paraId="317F071F"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F2757CD" w14:textId="77777777" w:rsidR="004243C6" w:rsidRPr="0095783A" w:rsidRDefault="004243C6" w:rsidP="004243C6">
            <w:pPr>
              <w:rPr>
                <w:bCs/>
                <w:szCs w:val="22"/>
              </w:rPr>
            </w:pPr>
            <w:r w:rsidRPr="0095783A">
              <w:rPr>
                <w:bCs/>
                <w:szCs w:val="22"/>
              </w:rPr>
              <w:t>0007450690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36053AD" w14:textId="77777777" w:rsidR="004243C6" w:rsidRPr="0095783A" w:rsidRDefault="004243C6" w:rsidP="004243C6">
            <w:pPr>
              <w:rPr>
                <w:bCs/>
                <w:szCs w:val="22"/>
              </w:rPr>
            </w:pPr>
            <w:r w:rsidRPr="0095783A">
              <w:rPr>
                <w:bCs/>
                <w:szCs w:val="22"/>
              </w:rPr>
              <w:t>WPTI217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176E598"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952D894"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A4B6FDF"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B0F8A23"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E334F89" w14:textId="77777777" w:rsidR="004243C6" w:rsidRPr="0095783A" w:rsidRDefault="004243C6" w:rsidP="004243C6">
            <w:pPr>
              <w:rPr>
                <w:bCs/>
                <w:szCs w:val="22"/>
              </w:rPr>
            </w:pPr>
            <w:r w:rsidRPr="0095783A">
              <w:rPr>
                <w:bCs/>
                <w:szCs w:val="22"/>
              </w:rPr>
              <w:t>Hobbs, NM-TX</w:t>
            </w:r>
          </w:p>
        </w:tc>
      </w:tr>
      <w:tr w:rsidR="004243C6" w:rsidRPr="0095783A" w14:paraId="011D822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1410D9F" w14:textId="77777777" w:rsidR="004243C6" w:rsidRPr="0095783A" w:rsidRDefault="004243C6" w:rsidP="004243C6">
            <w:pPr>
              <w:rPr>
                <w:bCs/>
                <w:szCs w:val="22"/>
              </w:rPr>
            </w:pPr>
            <w:r w:rsidRPr="0095783A">
              <w:rPr>
                <w:bCs/>
                <w:szCs w:val="22"/>
              </w:rPr>
              <w:t>0007435155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7B47309" w14:textId="77777777" w:rsidR="004243C6" w:rsidRPr="0095783A" w:rsidRDefault="004243C6" w:rsidP="004243C6">
            <w:pPr>
              <w:rPr>
                <w:bCs/>
                <w:szCs w:val="22"/>
              </w:rPr>
            </w:pPr>
            <w:r w:rsidRPr="0095783A">
              <w:rPr>
                <w:bCs/>
                <w:szCs w:val="22"/>
              </w:rPr>
              <w:t>WPTI218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0AE1E3A"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2CA5783"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78BF829"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FBBFFE2"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A545A6B" w14:textId="77777777" w:rsidR="004243C6" w:rsidRPr="0095783A" w:rsidRDefault="004243C6" w:rsidP="004243C6">
            <w:pPr>
              <w:rPr>
                <w:bCs/>
                <w:szCs w:val="22"/>
              </w:rPr>
            </w:pPr>
            <w:r w:rsidRPr="0095783A">
              <w:rPr>
                <w:bCs/>
                <w:szCs w:val="22"/>
              </w:rPr>
              <w:t>Lubbock, TX</w:t>
            </w:r>
          </w:p>
        </w:tc>
      </w:tr>
      <w:tr w:rsidR="004243C6" w:rsidRPr="0095783A" w14:paraId="7F8439B5"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415FBDC" w14:textId="77777777" w:rsidR="004243C6" w:rsidRPr="0095783A" w:rsidRDefault="004243C6" w:rsidP="004243C6">
            <w:pPr>
              <w:rPr>
                <w:bCs/>
                <w:szCs w:val="22"/>
              </w:rPr>
            </w:pPr>
            <w:r w:rsidRPr="0095783A">
              <w:rPr>
                <w:bCs/>
                <w:szCs w:val="22"/>
              </w:rPr>
              <w:t>0007450691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A6C18E4" w14:textId="77777777" w:rsidR="004243C6" w:rsidRPr="0095783A" w:rsidRDefault="004243C6" w:rsidP="004243C6">
            <w:pPr>
              <w:rPr>
                <w:bCs/>
                <w:szCs w:val="22"/>
              </w:rPr>
            </w:pPr>
            <w:r w:rsidRPr="0095783A">
              <w:rPr>
                <w:bCs/>
                <w:szCs w:val="22"/>
              </w:rPr>
              <w:t>WPTI218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003AC55"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7F719FD"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DACC1F9"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79A36BC"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232BCDD" w14:textId="77777777" w:rsidR="004243C6" w:rsidRPr="0095783A" w:rsidRDefault="004243C6" w:rsidP="004243C6">
            <w:pPr>
              <w:rPr>
                <w:bCs/>
                <w:szCs w:val="22"/>
              </w:rPr>
            </w:pPr>
            <w:r w:rsidRPr="0095783A">
              <w:rPr>
                <w:bCs/>
                <w:szCs w:val="22"/>
              </w:rPr>
              <w:t>Lubbock, TX</w:t>
            </w:r>
          </w:p>
        </w:tc>
      </w:tr>
      <w:tr w:rsidR="004243C6" w:rsidRPr="0095783A" w14:paraId="097896CF"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EA6C347" w14:textId="77777777" w:rsidR="004243C6" w:rsidRPr="0095783A" w:rsidRDefault="004243C6" w:rsidP="004243C6">
            <w:pPr>
              <w:rPr>
                <w:bCs/>
                <w:szCs w:val="22"/>
              </w:rPr>
            </w:pPr>
            <w:r w:rsidRPr="0095783A">
              <w:rPr>
                <w:bCs/>
                <w:szCs w:val="22"/>
              </w:rPr>
              <w:t>0007435156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E9E2B46" w14:textId="77777777" w:rsidR="004243C6" w:rsidRPr="0095783A" w:rsidRDefault="004243C6" w:rsidP="004243C6">
            <w:pPr>
              <w:rPr>
                <w:bCs/>
                <w:szCs w:val="22"/>
              </w:rPr>
            </w:pPr>
            <w:r w:rsidRPr="0095783A">
              <w:rPr>
                <w:bCs/>
                <w:szCs w:val="22"/>
              </w:rPr>
              <w:t>WPTI219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4EEE3EA"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BAA466C"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E5C82D7"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E143145"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7B302A0" w14:textId="77777777" w:rsidR="004243C6" w:rsidRPr="0095783A" w:rsidRDefault="004243C6" w:rsidP="004243C6">
            <w:pPr>
              <w:rPr>
                <w:bCs/>
                <w:szCs w:val="22"/>
              </w:rPr>
            </w:pPr>
            <w:r w:rsidRPr="0095783A">
              <w:rPr>
                <w:bCs/>
                <w:szCs w:val="22"/>
              </w:rPr>
              <w:t>Lubbock, TX</w:t>
            </w:r>
          </w:p>
        </w:tc>
      </w:tr>
      <w:tr w:rsidR="004243C6" w:rsidRPr="0095783A" w14:paraId="61BBA3D0"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23E3F24" w14:textId="77777777" w:rsidR="004243C6" w:rsidRPr="0095783A" w:rsidRDefault="004243C6" w:rsidP="004243C6">
            <w:pPr>
              <w:rPr>
                <w:bCs/>
                <w:szCs w:val="22"/>
              </w:rPr>
            </w:pPr>
            <w:r w:rsidRPr="0095783A">
              <w:rPr>
                <w:bCs/>
                <w:szCs w:val="22"/>
              </w:rPr>
              <w:t>0007450692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9092DE8" w14:textId="77777777" w:rsidR="004243C6" w:rsidRPr="0095783A" w:rsidRDefault="004243C6" w:rsidP="004243C6">
            <w:pPr>
              <w:rPr>
                <w:bCs/>
                <w:szCs w:val="22"/>
              </w:rPr>
            </w:pPr>
            <w:r w:rsidRPr="0095783A">
              <w:rPr>
                <w:bCs/>
                <w:szCs w:val="22"/>
              </w:rPr>
              <w:t>WPTI219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032F16D"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D64BBC3"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C840786"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02177CB"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EFD97F6" w14:textId="77777777" w:rsidR="004243C6" w:rsidRPr="0095783A" w:rsidRDefault="004243C6" w:rsidP="004243C6">
            <w:pPr>
              <w:rPr>
                <w:bCs/>
                <w:szCs w:val="22"/>
              </w:rPr>
            </w:pPr>
            <w:r w:rsidRPr="0095783A">
              <w:rPr>
                <w:bCs/>
                <w:szCs w:val="22"/>
              </w:rPr>
              <w:t>Lubbock, TX</w:t>
            </w:r>
          </w:p>
        </w:tc>
      </w:tr>
      <w:tr w:rsidR="004243C6" w:rsidRPr="0095783A" w14:paraId="6BFE41E7"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6884EAE" w14:textId="77777777" w:rsidR="004243C6" w:rsidRPr="0095783A" w:rsidRDefault="004243C6" w:rsidP="004243C6">
            <w:pPr>
              <w:rPr>
                <w:bCs/>
                <w:szCs w:val="22"/>
              </w:rPr>
            </w:pPr>
            <w:r w:rsidRPr="0095783A">
              <w:rPr>
                <w:bCs/>
                <w:szCs w:val="22"/>
              </w:rPr>
              <w:t>0007435157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63F6D88" w14:textId="77777777" w:rsidR="004243C6" w:rsidRPr="0095783A" w:rsidRDefault="004243C6" w:rsidP="004243C6">
            <w:pPr>
              <w:rPr>
                <w:bCs/>
                <w:szCs w:val="22"/>
              </w:rPr>
            </w:pPr>
            <w:r w:rsidRPr="0095783A">
              <w:rPr>
                <w:bCs/>
                <w:szCs w:val="22"/>
              </w:rPr>
              <w:t>WPTI220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A59F238"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7AE12D4"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C15299B"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2E9E9EF"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2C072BB" w14:textId="77777777" w:rsidR="004243C6" w:rsidRPr="0095783A" w:rsidRDefault="004243C6" w:rsidP="004243C6">
            <w:pPr>
              <w:rPr>
                <w:bCs/>
                <w:szCs w:val="22"/>
              </w:rPr>
            </w:pPr>
            <w:r w:rsidRPr="0095783A">
              <w:rPr>
                <w:bCs/>
                <w:szCs w:val="22"/>
              </w:rPr>
              <w:t>Amarillo, TX-NM</w:t>
            </w:r>
          </w:p>
        </w:tc>
      </w:tr>
      <w:tr w:rsidR="004243C6" w:rsidRPr="0095783A" w14:paraId="60938D4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433302F" w14:textId="77777777" w:rsidR="004243C6" w:rsidRPr="0095783A" w:rsidRDefault="004243C6" w:rsidP="004243C6">
            <w:pPr>
              <w:rPr>
                <w:bCs/>
                <w:szCs w:val="22"/>
              </w:rPr>
            </w:pPr>
            <w:r w:rsidRPr="0095783A">
              <w:rPr>
                <w:bCs/>
                <w:szCs w:val="22"/>
              </w:rPr>
              <w:t>0007450693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ACC38E5" w14:textId="77777777" w:rsidR="004243C6" w:rsidRPr="0095783A" w:rsidRDefault="004243C6" w:rsidP="004243C6">
            <w:pPr>
              <w:rPr>
                <w:bCs/>
                <w:szCs w:val="22"/>
              </w:rPr>
            </w:pPr>
            <w:r w:rsidRPr="0095783A">
              <w:rPr>
                <w:bCs/>
                <w:szCs w:val="22"/>
              </w:rPr>
              <w:t>WPTI220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7AF570C"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CAB477D"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1E28856"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A9523E1"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68E6A5F" w14:textId="77777777" w:rsidR="004243C6" w:rsidRPr="0095783A" w:rsidRDefault="004243C6" w:rsidP="004243C6">
            <w:pPr>
              <w:rPr>
                <w:bCs/>
                <w:szCs w:val="22"/>
              </w:rPr>
            </w:pPr>
            <w:r w:rsidRPr="0095783A">
              <w:rPr>
                <w:bCs/>
                <w:szCs w:val="22"/>
              </w:rPr>
              <w:t>Amarillo, TX-NM</w:t>
            </w:r>
          </w:p>
        </w:tc>
      </w:tr>
      <w:tr w:rsidR="004243C6" w:rsidRPr="0095783A" w14:paraId="7AFEAAF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79F1983" w14:textId="77777777" w:rsidR="004243C6" w:rsidRPr="0095783A" w:rsidRDefault="004243C6" w:rsidP="004243C6">
            <w:pPr>
              <w:rPr>
                <w:bCs/>
                <w:szCs w:val="22"/>
              </w:rPr>
            </w:pPr>
            <w:r w:rsidRPr="0095783A">
              <w:rPr>
                <w:bCs/>
                <w:szCs w:val="22"/>
              </w:rPr>
              <w:t>0007435158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DA265B8" w14:textId="77777777" w:rsidR="004243C6" w:rsidRPr="0095783A" w:rsidRDefault="004243C6" w:rsidP="004243C6">
            <w:pPr>
              <w:rPr>
                <w:bCs/>
                <w:szCs w:val="22"/>
              </w:rPr>
            </w:pPr>
            <w:r w:rsidRPr="0095783A">
              <w:rPr>
                <w:bCs/>
                <w:szCs w:val="22"/>
              </w:rPr>
              <w:t>WPTI221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A252759"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E636390"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5EF6A2C"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CC8F22D"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3FF7A2C" w14:textId="77777777" w:rsidR="004243C6" w:rsidRPr="0095783A" w:rsidRDefault="004243C6" w:rsidP="004243C6">
            <w:pPr>
              <w:rPr>
                <w:bCs/>
                <w:szCs w:val="22"/>
              </w:rPr>
            </w:pPr>
            <w:r w:rsidRPr="0095783A">
              <w:rPr>
                <w:bCs/>
                <w:szCs w:val="22"/>
              </w:rPr>
              <w:t>Amarillo, TX-NM</w:t>
            </w:r>
          </w:p>
        </w:tc>
      </w:tr>
      <w:tr w:rsidR="004243C6" w:rsidRPr="0095783A" w14:paraId="3C886FB4"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6F0F243" w14:textId="77777777" w:rsidR="004243C6" w:rsidRPr="0095783A" w:rsidRDefault="004243C6" w:rsidP="004243C6">
            <w:pPr>
              <w:rPr>
                <w:bCs/>
                <w:szCs w:val="22"/>
              </w:rPr>
            </w:pPr>
            <w:r w:rsidRPr="0095783A">
              <w:rPr>
                <w:bCs/>
                <w:szCs w:val="22"/>
              </w:rPr>
              <w:t>0007450694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48AC0FE" w14:textId="77777777" w:rsidR="004243C6" w:rsidRPr="0095783A" w:rsidRDefault="004243C6" w:rsidP="004243C6">
            <w:pPr>
              <w:rPr>
                <w:bCs/>
                <w:szCs w:val="22"/>
              </w:rPr>
            </w:pPr>
            <w:r w:rsidRPr="0095783A">
              <w:rPr>
                <w:bCs/>
                <w:szCs w:val="22"/>
              </w:rPr>
              <w:t>WPTI221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A1AA325"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AF1983B"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16A0ED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CC7134E"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C3C9E0E" w14:textId="77777777" w:rsidR="004243C6" w:rsidRPr="0095783A" w:rsidRDefault="004243C6" w:rsidP="004243C6">
            <w:pPr>
              <w:rPr>
                <w:bCs/>
                <w:szCs w:val="22"/>
              </w:rPr>
            </w:pPr>
            <w:r w:rsidRPr="0095783A">
              <w:rPr>
                <w:bCs/>
                <w:szCs w:val="22"/>
              </w:rPr>
              <w:t>Amarillo, TX-NM</w:t>
            </w:r>
          </w:p>
        </w:tc>
      </w:tr>
      <w:tr w:rsidR="004243C6" w:rsidRPr="0095783A" w14:paraId="6839104E"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9322687" w14:textId="77777777" w:rsidR="004243C6" w:rsidRPr="0095783A" w:rsidRDefault="004243C6" w:rsidP="004243C6">
            <w:pPr>
              <w:rPr>
                <w:bCs/>
                <w:szCs w:val="22"/>
              </w:rPr>
            </w:pPr>
            <w:r w:rsidRPr="0095783A">
              <w:rPr>
                <w:bCs/>
                <w:szCs w:val="22"/>
              </w:rPr>
              <w:t>0007435159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3FCF696" w14:textId="77777777" w:rsidR="004243C6" w:rsidRPr="0095783A" w:rsidRDefault="004243C6" w:rsidP="004243C6">
            <w:pPr>
              <w:rPr>
                <w:bCs/>
                <w:szCs w:val="22"/>
              </w:rPr>
            </w:pPr>
            <w:r w:rsidRPr="0095783A">
              <w:rPr>
                <w:bCs/>
                <w:szCs w:val="22"/>
              </w:rPr>
              <w:t>WPTI222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A8CC7C3"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5D853A4"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70D7F37"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BD62324"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10F04D3" w14:textId="77777777" w:rsidR="004243C6" w:rsidRPr="0095783A" w:rsidRDefault="004243C6" w:rsidP="004243C6">
            <w:pPr>
              <w:rPr>
                <w:bCs/>
                <w:szCs w:val="22"/>
              </w:rPr>
            </w:pPr>
            <w:r w:rsidRPr="0095783A">
              <w:rPr>
                <w:bCs/>
                <w:szCs w:val="22"/>
              </w:rPr>
              <w:t>Santa Fe, NM</w:t>
            </w:r>
          </w:p>
        </w:tc>
      </w:tr>
      <w:tr w:rsidR="004243C6" w:rsidRPr="0095783A" w14:paraId="3C507EFA"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03371B3" w14:textId="77777777" w:rsidR="004243C6" w:rsidRPr="0095783A" w:rsidRDefault="004243C6" w:rsidP="004243C6">
            <w:pPr>
              <w:rPr>
                <w:bCs/>
                <w:szCs w:val="22"/>
              </w:rPr>
            </w:pPr>
            <w:r w:rsidRPr="0095783A">
              <w:rPr>
                <w:bCs/>
                <w:szCs w:val="22"/>
              </w:rPr>
              <w:t>0007450695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09DD96A" w14:textId="77777777" w:rsidR="004243C6" w:rsidRPr="0095783A" w:rsidRDefault="004243C6" w:rsidP="004243C6">
            <w:pPr>
              <w:rPr>
                <w:bCs/>
                <w:szCs w:val="22"/>
              </w:rPr>
            </w:pPr>
            <w:r w:rsidRPr="0095783A">
              <w:rPr>
                <w:bCs/>
                <w:szCs w:val="22"/>
              </w:rPr>
              <w:t>WPTI222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2AA74E0"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0528627"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8F13DC4"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9DB597F"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F056069" w14:textId="77777777" w:rsidR="004243C6" w:rsidRPr="0095783A" w:rsidRDefault="004243C6" w:rsidP="004243C6">
            <w:pPr>
              <w:rPr>
                <w:bCs/>
                <w:szCs w:val="22"/>
              </w:rPr>
            </w:pPr>
            <w:r w:rsidRPr="0095783A">
              <w:rPr>
                <w:bCs/>
                <w:szCs w:val="22"/>
              </w:rPr>
              <w:t>Santa Fe, NM</w:t>
            </w:r>
          </w:p>
        </w:tc>
      </w:tr>
      <w:tr w:rsidR="004243C6" w:rsidRPr="0095783A" w14:paraId="1035826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72406C6" w14:textId="77777777" w:rsidR="004243C6" w:rsidRPr="0095783A" w:rsidRDefault="004243C6" w:rsidP="004243C6">
            <w:pPr>
              <w:rPr>
                <w:bCs/>
                <w:szCs w:val="22"/>
              </w:rPr>
            </w:pPr>
            <w:r w:rsidRPr="0095783A">
              <w:rPr>
                <w:bCs/>
                <w:szCs w:val="22"/>
              </w:rPr>
              <w:t>0007435160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C24BE7C" w14:textId="77777777" w:rsidR="004243C6" w:rsidRPr="0095783A" w:rsidRDefault="004243C6" w:rsidP="004243C6">
            <w:pPr>
              <w:rPr>
                <w:bCs/>
                <w:szCs w:val="22"/>
              </w:rPr>
            </w:pPr>
            <w:r w:rsidRPr="0095783A">
              <w:rPr>
                <w:bCs/>
                <w:szCs w:val="22"/>
              </w:rPr>
              <w:t>WPTI223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8AC6BE4"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9B409A8"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AE34739"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C3043B5"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2A21CBE" w14:textId="77777777" w:rsidR="004243C6" w:rsidRPr="0095783A" w:rsidRDefault="004243C6" w:rsidP="004243C6">
            <w:pPr>
              <w:rPr>
                <w:bCs/>
                <w:szCs w:val="22"/>
              </w:rPr>
            </w:pPr>
            <w:r w:rsidRPr="0095783A">
              <w:rPr>
                <w:bCs/>
                <w:szCs w:val="22"/>
              </w:rPr>
              <w:t>Pueblo, CO-NM</w:t>
            </w:r>
          </w:p>
        </w:tc>
      </w:tr>
      <w:tr w:rsidR="004243C6" w:rsidRPr="0095783A" w14:paraId="2035D65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FD7CFE0" w14:textId="77777777" w:rsidR="004243C6" w:rsidRPr="0095783A" w:rsidRDefault="004243C6" w:rsidP="004243C6">
            <w:pPr>
              <w:rPr>
                <w:bCs/>
                <w:szCs w:val="22"/>
              </w:rPr>
            </w:pPr>
            <w:r w:rsidRPr="0095783A">
              <w:rPr>
                <w:bCs/>
                <w:szCs w:val="22"/>
              </w:rPr>
              <w:t>0007450696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54EC241" w14:textId="77777777" w:rsidR="004243C6" w:rsidRPr="0095783A" w:rsidRDefault="004243C6" w:rsidP="004243C6">
            <w:pPr>
              <w:rPr>
                <w:bCs/>
                <w:szCs w:val="22"/>
              </w:rPr>
            </w:pPr>
            <w:r w:rsidRPr="0095783A">
              <w:rPr>
                <w:bCs/>
                <w:szCs w:val="22"/>
              </w:rPr>
              <w:t>WPTI223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97F1772"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BB35678"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A08FC5B"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5C602D4"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8675BB4" w14:textId="77777777" w:rsidR="004243C6" w:rsidRPr="0095783A" w:rsidRDefault="004243C6" w:rsidP="004243C6">
            <w:pPr>
              <w:rPr>
                <w:bCs/>
                <w:szCs w:val="22"/>
              </w:rPr>
            </w:pPr>
            <w:r w:rsidRPr="0095783A">
              <w:rPr>
                <w:bCs/>
                <w:szCs w:val="22"/>
              </w:rPr>
              <w:t>Pueblo, CO-NM</w:t>
            </w:r>
          </w:p>
        </w:tc>
      </w:tr>
      <w:tr w:rsidR="004243C6" w:rsidRPr="0095783A" w14:paraId="50A019AD"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C6BB7AB" w14:textId="77777777" w:rsidR="004243C6" w:rsidRPr="0095783A" w:rsidRDefault="004243C6" w:rsidP="004243C6">
            <w:pPr>
              <w:rPr>
                <w:bCs/>
                <w:szCs w:val="22"/>
              </w:rPr>
            </w:pPr>
            <w:r w:rsidRPr="0095783A">
              <w:rPr>
                <w:bCs/>
                <w:szCs w:val="22"/>
              </w:rPr>
              <w:t>0007435161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B71F795" w14:textId="77777777" w:rsidR="004243C6" w:rsidRPr="0095783A" w:rsidRDefault="004243C6" w:rsidP="004243C6">
            <w:pPr>
              <w:rPr>
                <w:bCs/>
                <w:szCs w:val="22"/>
              </w:rPr>
            </w:pPr>
            <w:r w:rsidRPr="0095783A">
              <w:rPr>
                <w:bCs/>
                <w:szCs w:val="22"/>
              </w:rPr>
              <w:t>WPTI224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E33EE83"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951FA31"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8F82B81"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3A9B773"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0EF8A7A" w14:textId="77777777" w:rsidR="004243C6" w:rsidRPr="0095783A" w:rsidRDefault="004243C6" w:rsidP="004243C6">
            <w:pPr>
              <w:rPr>
                <w:bCs/>
                <w:szCs w:val="22"/>
              </w:rPr>
            </w:pPr>
            <w:r w:rsidRPr="0095783A">
              <w:rPr>
                <w:bCs/>
                <w:szCs w:val="22"/>
              </w:rPr>
              <w:t>Scottsbluff, NE-WY</w:t>
            </w:r>
          </w:p>
        </w:tc>
      </w:tr>
      <w:tr w:rsidR="004243C6" w:rsidRPr="0095783A" w14:paraId="0FD842D8"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905D3E5" w14:textId="77777777" w:rsidR="004243C6" w:rsidRPr="0095783A" w:rsidRDefault="004243C6" w:rsidP="004243C6">
            <w:pPr>
              <w:rPr>
                <w:bCs/>
                <w:szCs w:val="22"/>
              </w:rPr>
            </w:pPr>
            <w:r w:rsidRPr="0095783A">
              <w:rPr>
                <w:bCs/>
                <w:szCs w:val="22"/>
              </w:rPr>
              <w:t>0007450697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F9ECE0F" w14:textId="77777777" w:rsidR="004243C6" w:rsidRPr="0095783A" w:rsidRDefault="004243C6" w:rsidP="004243C6">
            <w:pPr>
              <w:rPr>
                <w:bCs/>
                <w:szCs w:val="22"/>
              </w:rPr>
            </w:pPr>
            <w:r w:rsidRPr="0095783A">
              <w:rPr>
                <w:bCs/>
                <w:szCs w:val="22"/>
              </w:rPr>
              <w:t>WPTI224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A53F56E"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1FB70F3"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628FB03"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D3268AC"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1E66C5E" w14:textId="77777777" w:rsidR="004243C6" w:rsidRPr="0095783A" w:rsidRDefault="004243C6" w:rsidP="004243C6">
            <w:pPr>
              <w:rPr>
                <w:bCs/>
                <w:szCs w:val="22"/>
              </w:rPr>
            </w:pPr>
            <w:r w:rsidRPr="0095783A">
              <w:rPr>
                <w:bCs/>
                <w:szCs w:val="22"/>
              </w:rPr>
              <w:t>Scottsbluff, NE-WY</w:t>
            </w:r>
          </w:p>
        </w:tc>
      </w:tr>
      <w:tr w:rsidR="004243C6" w:rsidRPr="0095783A" w14:paraId="4F8B34C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6891322" w14:textId="77777777" w:rsidR="004243C6" w:rsidRPr="0095783A" w:rsidRDefault="004243C6" w:rsidP="004243C6">
            <w:pPr>
              <w:rPr>
                <w:bCs/>
                <w:szCs w:val="22"/>
              </w:rPr>
            </w:pPr>
            <w:r w:rsidRPr="0095783A">
              <w:rPr>
                <w:bCs/>
                <w:szCs w:val="22"/>
              </w:rPr>
              <w:t>0007435162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3B0082D" w14:textId="77777777" w:rsidR="004243C6" w:rsidRPr="0095783A" w:rsidRDefault="004243C6" w:rsidP="004243C6">
            <w:pPr>
              <w:rPr>
                <w:bCs/>
                <w:szCs w:val="22"/>
              </w:rPr>
            </w:pPr>
            <w:r w:rsidRPr="0095783A">
              <w:rPr>
                <w:bCs/>
                <w:szCs w:val="22"/>
              </w:rPr>
              <w:t>WPTI225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3364D8A"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5495A89"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A23047A"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C6F7377"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AAD9071" w14:textId="77777777" w:rsidR="004243C6" w:rsidRPr="0095783A" w:rsidRDefault="004243C6" w:rsidP="004243C6">
            <w:pPr>
              <w:rPr>
                <w:bCs/>
                <w:szCs w:val="22"/>
              </w:rPr>
            </w:pPr>
            <w:r w:rsidRPr="0095783A">
              <w:rPr>
                <w:bCs/>
                <w:szCs w:val="22"/>
              </w:rPr>
              <w:t>Casper, WY-ID-UT</w:t>
            </w:r>
          </w:p>
        </w:tc>
      </w:tr>
      <w:tr w:rsidR="004243C6" w:rsidRPr="0095783A" w14:paraId="7BC7B89B"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A740464" w14:textId="77777777" w:rsidR="004243C6" w:rsidRPr="0095783A" w:rsidRDefault="004243C6" w:rsidP="004243C6">
            <w:pPr>
              <w:rPr>
                <w:bCs/>
                <w:szCs w:val="22"/>
              </w:rPr>
            </w:pPr>
            <w:r w:rsidRPr="0095783A">
              <w:rPr>
                <w:bCs/>
                <w:szCs w:val="22"/>
              </w:rPr>
              <w:t>0007450698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FD94B37" w14:textId="77777777" w:rsidR="004243C6" w:rsidRPr="0095783A" w:rsidRDefault="004243C6" w:rsidP="004243C6">
            <w:pPr>
              <w:rPr>
                <w:bCs/>
                <w:szCs w:val="22"/>
              </w:rPr>
            </w:pPr>
            <w:r w:rsidRPr="0095783A">
              <w:rPr>
                <w:bCs/>
                <w:szCs w:val="22"/>
              </w:rPr>
              <w:t>WPTI225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E27637C"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820521C"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AFAA948"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D3CEFF7"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5CEDB81" w14:textId="77777777" w:rsidR="004243C6" w:rsidRPr="0095783A" w:rsidRDefault="004243C6" w:rsidP="004243C6">
            <w:pPr>
              <w:rPr>
                <w:bCs/>
                <w:szCs w:val="22"/>
              </w:rPr>
            </w:pPr>
            <w:r w:rsidRPr="0095783A">
              <w:rPr>
                <w:bCs/>
                <w:szCs w:val="22"/>
              </w:rPr>
              <w:t>Casper, WY-ID-UT</w:t>
            </w:r>
          </w:p>
        </w:tc>
      </w:tr>
      <w:tr w:rsidR="004243C6" w:rsidRPr="0095783A" w14:paraId="0BC968B0"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801FCDC" w14:textId="77777777" w:rsidR="004243C6" w:rsidRPr="0095783A" w:rsidRDefault="004243C6" w:rsidP="004243C6">
            <w:pPr>
              <w:rPr>
                <w:bCs/>
                <w:szCs w:val="22"/>
              </w:rPr>
            </w:pPr>
            <w:r w:rsidRPr="0095783A">
              <w:rPr>
                <w:bCs/>
                <w:szCs w:val="22"/>
              </w:rPr>
              <w:t>0007435163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F4E42C9" w14:textId="77777777" w:rsidR="004243C6" w:rsidRPr="0095783A" w:rsidRDefault="004243C6" w:rsidP="004243C6">
            <w:pPr>
              <w:rPr>
                <w:bCs/>
                <w:szCs w:val="22"/>
              </w:rPr>
            </w:pPr>
            <w:r w:rsidRPr="0095783A">
              <w:rPr>
                <w:bCs/>
                <w:szCs w:val="22"/>
              </w:rPr>
              <w:t>WPTI226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8650212"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60D3958"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45D9F6A"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6B9730E"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37FE036" w14:textId="77777777" w:rsidR="004243C6" w:rsidRPr="0095783A" w:rsidRDefault="004243C6" w:rsidP="004243C6">
            <w:pPr>
              <w:rPr>
                <w:bCs/>
                <w:szCs w:val="22"/>
              </w:rPr>
            </w:pPr>
            <w:r w:rsidRPr="0095783A">
              <w:rPr>
                <w:bCs/>
                <w:szCs w:val="22"/>
              </w:rPr>
              <w:t>Casper, WY-ID-UT</w:t>
            </w:r>
          </w:p>
        </w:tc>
      </w:tr>
      <w:tr w:rsidR="004243C6" w:rsidRPr="0095783A" w14:paraId="7C9CA94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8C1DF29" w14:textId="77777777" w:rsidR="004243C6" w:rsidRPr="0095783A" w:rsidRDefault="004243C6" w:rsidP="004243C6">
            <w:pPr>
              <w:rPr>
                <w:bCs/>
                <w:szCs w:val="22"/>
              </w:rPr>
            </w:pPr>
            <w:r w:rsidRPr="0095783A">
              <w:rPr>
                <w:bCs/>
                <w:szCs w:val="22"/>
              </w:rPr>
              <w:t>0007450699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09AFCB6" w14:textId="77777777" w:rsidR="004243C6" w:rsidRPr="0095783A" w:rsidRDefault="004243C6" w:rsidP="004243C6">
            <w:pPr>
              <w:rPr>
                <w:bCs/>
                <w:szCs w:val="22"/>
              </w:rPr>
            </w:pPr>
            <w:r w:rsidRPr="0095783A">
              <w:rPr>
                <w:bCs/>
                <w:szCs w:val="22"/>
              </w:rPr>
              <w:t>WPTI226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4DDC3A2"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AA6FECF"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38A26AF"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5FAFF76"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9271D52" w14:textId="77777777" w:rsidR="004243C6" w:rsidRPr="0095783A" w:rsidRDefault="004243C6" w:rsidP="004243C6">
            <w:pPr>
              <w:rPr>
                <w:bCs/>
                <w:szCs w:val="22"/>
              </w:rPr>
            </w:pPr>
            <w:r w:rsidRPr="0095783A">
              <w:rPr>
                <w:bCs/>
                <w:szCs w:val="22"/>
              </w:rPr>
              <w:t>Casper, WY-ID-UT</w:t>
            </w:r>
          </w:p>
        </w:tc>
      </w:tr>
      <w:tr w:rsidR="004243C6" w:rsidRPr="0095783A" w14:paraId="3740D92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11613FB" w14:textId="77777777" w:rsidR="004243C6" w:rsidRPr="0095783A" w:rsidRDefault="004243C6" w:rsidP="004243C6">
            <w:pPr>
              <w:rPr>
                <w:bCs/>
                <w:szCs w:val="22"/>
              </w:rPr>
            </w:pPr>
            <w:r w:rsidRPr="0095783A">
              <w:rPr>
                <w:bCs/>
                <w:szCs w:val="22"/>
              </w:rPr>
              <w:t>0007435164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7095747" w14:textId="77777777" w:rsidR="004243C6" w:rsidRPr="0095783A" w:rsidRDefault="004243C6" w:rsidP="004243C6">
            <w:pPr>
              <w:rPr>
                <w:bCs/>
                <w:szCs w:val="22"/>
              </w:rPr>
            </w:pPr>
            <w:r w:rsidRPr="0095783A">
              <w:rPr>
                <w:bCs/>
                <w:szCs w:val="22"/>
              </w:rPr>
              <w:t>WPTI227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C66297D"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652936D"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8EE8F8B"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305A443"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A7B4CE0" w14:textId="77777777" w:rsidR="004243C6" w:rsidRPr="0095783A" w:rsidRDefault="004243C6" w:rsidP="004243C6">
            <w:pPr>
              <w:rPr>
                <w:bCs/>
                <w:szCs w:val="22"/>
              </w:rPr>
            </w:pPr>
            <w:r w:rsidRPr="0095783A">
              <w:rPr>
                <w:bCs/>
                <w:szCs w:val="22"/>
              </w:rPr>
              <w:t>Billings, MT-WY</w:t>
            </w:r>
          </w:p>
        </w:tc>
      </w:tr>
      <w:tr w:rsidR="004243C6" w:rsidRPr="0095783A" w14:paraId="0AAD468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DD6E12E" w14:textId="77777777" w:rsidR="004243C6" w:rsidRPr="0095783A" w:rsidRDefault="004243C6" w:rsidP="004243C6">
            <w:pPr>
              <w:rPr>
                <w:bCs/>
                <w:szCs w:val="22"/>
              </w:rPr>
            </w:pPr>
            <w:r w:rsidRPr="0095783A">
              <w:rPr>
                <w:bCs/>
                <w:szCs w:val="22"/>
              </w:rPr>
              <w:t>0007450700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7898B96" w14:textId="77777777" w:rsidR="004243C6" w:rsidRPr="0095783A" w:rsidRDefault="004243C6" w:rsidP="004243C6">
            <w:pPr>
              <w:rPr>
                <w:bCs/>
                <w:szCs w:val="22"/>
              </w:rPr>
            </w:pPr>
            <w:r w:rsidRPr="0095783A">
              <w:rPr>
                <w:bCs/>
                <w:szCs w:val="22"/>
              </w:rPr>
              <w:t>WPTI227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2BCC639"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F0D2C2F"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764D8BF"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2DC07C7"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E2348D0" w14:textId="77777777" w:rsidR="004243C6" w:rsidRPr="0095783A" w:rsidRDefault="004243C6" w:rsidP="004243C6">
            <w:pPr>
              <w:rPr>
                <w:bCs/>
                <w:szCs w:val="22"/>
              </w:rPr>
            </w:pPr>
            <w:r w:rsidRPr="0095783A">
              <w:rPr>
                <w:bCs/>
                <w:szCs w:val="22"/>
              </w:rPr>
              <w:t>Billings, MT-WY</w:t>
            </w:r>
          </w:p>
        </w:tc>
      </w:tr>
      <w:tr w:rsidR="004243C6" w:rsidRPr="0095783A" w14:paraId="66A2F079"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4768EC4" w14:textId="77777777" w:rsidR="004243C6" w:rsidRPr="0095783A" w:rsidRDefault="004243C6" w:rsidP="004243C6">
            <w:pPr>
              <w:rPr>
                <w:bCs/>
                <w:szCs w:val="22"/>
              </w:rPr>
            </w:pPr>
            <w:r w:rsidRPr="0095783A">
              <w:rPr>
                <w:bCs/>
                <w:szCs w:val="22"/>
              </w:rPr>
              <w:t>0007435165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34FCF1E" w14:textId="77777777" w:rsidR="004243C6" w:rsidRPr="0095783A" w:rsidRDefault="004243C6" w:rsidP="004243C6">
            <w:pPr>
              <w:rPr>
                <w:bCs/>
                <w:szCs w:val="22"/>
              </w:rPr>
            </w:pPr>
            <w:r w:rsidRPr="0095783A">
              <w:rPr>
                <w:bCs/>
                <w:szCs w:val="22"/>
              </w:rPr>
              <w:t>WPTI228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7C98A89"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9D4A567"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DDA2F05"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64A9B0D"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72AF919" w14:textId="77777777" w:rsidR="004243C6" w:rsidRPr="0095783A" w:rsidRDefault="004243C6" w:rsidP="004243C6">
            <w:pPr>
              <w:rPr>
                <w:bCs/>
                <w:szCs w:val="22"/>
              </w:rPr>
            </w:pPr>
            <w:r w:rsidRPr="0095783A">
              <w:rPr>
                <w:bCs/>
                <w:szCs w:val="22"/>
              </w:rPr>
              <w:t>Billings, MT-WY</w:t>
            </w:r>
          </w:p>
        </w:tc>
      </w:tr>
      <w:tr w:rsidR="004243C6" w:rsidRPr="0095783A" w14:paraId="07490D8D"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3F03B3C" w14:textId="77777777" w:rsidR="004243C6" w:rsidRPr="0095783A" w:rsidRDefault="004243C6" w:rsidP="004243C6">
            <w:pPr>
              <w:rPr>
                <w:bCs/>
                <w:szCs w:val="22"/>
              </w:rPr>
            </w:pPr>
            <w:r w:rsidRPr="0095783A">
              <w:rPr>
                <w:bCs/>
                <w:szCs w:val="22"/>
              </w:rPr>
              <w:t>0007450701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21D2825" w14:textId="77777777" w:rsidR="004243C6" w:rsidRPr="0095783A" w:rsidRDefault="004243C6" w:rsidP="004243C6">
            <w:pPr>
              <w:rPr>
                <w:bCs/>
                <w:szCs w:val="22"/>
              </w:rPr>
            </w:pPr>
            <w:r w:rsidRPr="0095783A">
              <w:rPr>
                <w:bCs/>
                <w:szCs w:val="22"/>
              </w:rPr>
              <w:t>WPTI228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399C186"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CA2005C"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DF48942"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9429FE4"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BFCAB6B" w14:textId="77777777" w:rsidR="004243C6" w:rsidRPr="0095783A" w:rsidRDefault="004243C6" w:rsidP="004243C6">
            <w:pPr>
              <w:rPr>
                <w:bCs/>
                <w:szCs w:val="22"/>
              </w:rPr>
            </w:pPr>
            <w:r w:rsidRPr="0095783A">
              <w:rPr>
                <w:bCs/>
                <w:szCs w:val="22"/>
              </w:rPr>
              <w:t>Billings, MT-WY</w:t>
            </w:r>
          </w:p>
        </w:tc>
      </w:tr>
      <w:tr w:rsidR="004243C6" w:rsidRPr="0095783A" w14:paraId="4B4E8C25"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899A05C" w14:textId="77777777" w:rsidR="004243C6" w:rsidRPr="0095783A" w:rsidRDefault="004243C6" w:rsidP="004243C6">
            <w:pPr>
              <w:rPr>
                <w:bCs/>
                <w:szCs w:val="22"/>
              </w:rPr>
            </w:pPr>
            <w:r w:rsidRPr="0095783A">
              <w:rPr>
                <w:bCs/>
                <w:szCs w:val="22"/>
              </w:rPr>
              <w:t>0007435166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8A99D7F" w14:textId="77777777" w:rsidR="004243C6" w:rsidRPr="0095783A" w:rsidRDefault="004243C6" w:rsidP="004243C6">
            <w:pPr>
              <w:rPr>
                <w:bCs/>
                <w:szCs w:val="22"/>
              </w:rPr>
            </w:pPr>
            <w:r w:rsidRPr="0095783A">
              <w:rPr>
                <w:bCs/>
                <w:szCs w:val="22"/>
              </w:rPr>
              <w:t>WPTI229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E0BF430"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BA3DA96"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8057DCA"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5B78B4C"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D679F14" w14:textId="77777777" w:rsidR="004243C6" w:rsidRPr="0095783A" w:rsidRDefault="004243C6" w:rsidP="004243C6">
            <w:pPr>
              <w:rPr>
                <w:bCs/>
                <w:szCs w:val="22"/>
              </w:rPr>
            </w:pPr>
            <w:r w:rsidRPr="0095783A">
              <w:rPr>
                <w:bCs/>
                <w:szCs w:val="22"/>
              </w:rPr>
              <w:t>Great Falls, MT</w:t>
            </w:r>
          </w:p>
        </w:tc>
      </w:tr>
      <w:tr w:rsidR="004243C6" w:rsidRPr="0095783A" w14:paraId="63498677"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F634507" w14:textId="77777777" w:rsidR="004243C6" w:rsidRPr="0095783A" w:rsidRDefault="004243C6" w:rsidP="004243C6">
            <w:pPr>
              <w:rPr>
                <w:bCs/>
                <w:szCs w:val="22"/>
              </w:rPr>
            </w:pPr>
            <w:r w:rsidRPr="0095783A">
              <w:rPr>
                <w:bCs/>
                <w:szCs w:val="22"/>
              </w:rPr>
              <w:t>0007450702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E5BF25D" w14:textId="77777777" w:rsidR="004243C6" w:rsidRPr="0095783A" w:rsidRDefault="004243C6" w:rsidP="004243C6">
            <w:pPr>
              <w:rPr>
                <w:bCs/>
                <w:szCs w:val="22"/>
              </w:rPr>
            </w:pPr>
            <w:r w:rsidRPr="0095783A">
              <w:rPr>
                <w:bCs/>
                <w:szCs w:val="22"/>
              </w:rPr>
              <w:t>WPTI229</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86DA4F0"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515D6C25"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80AA2EF"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B1955FC"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6047000" w14:textId="77777777" w:rsidR="004243C6" w:rsidRPr="0095783A" w:rsidRDefault="004243C6" w:rsidP="004243C6">
            <w:pPr>
              <w:rPr>
                <w:bCs/>
                <w:szCs w:val="22"/>
              </w:rPr>
            </w:pPr>
            <w:r w:rsidRPr="0095783A">
              <w:rPr>
                <w:bCs/>
                <w:szCs w:val="22"/>
              </w:rPr>
              <w:t>Great Falls, MT</w:t>
            </w:r>
          </w:p>
        </w:tc>
      </w:tr>
      <w:tr w:rsidR="004243C6" w:rsidRPr="0095783A" w14:paraId="180277D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6B8749A" w14:textId="77777777" w:rsidR="004243C6" w:rsidRPr="0095783A" w:rsidRDefault="004243C6" w:rsidP="004243C6">
            <w:pPr>
              <w:rPr>
                <w:bCs/>
                <w:szCs w:val="22"/>
              </w:rPr>
            </w:pPr>
            <w:r w:rsidRPr="0095783A">
              <w:rPr>
                <w:bCs/>
                <w:szCs w:val="22"/>
              </w:rPr>
              <w:t>0007435167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D5DE49A" w14:textId="77777777" w:rsidR="004243C6" w:rsidRPr="0095783A" w:rsidRDefault="004243C6" w:rsidP="004243C6">
            <w:pPr>
              <w:rPr>
                <w:bCs/>
                <w:szCs w:val="22"/>
              </w:rPr>
            </w:pPr>
            <w:r w:rsidRPr="0095783A">
              <w:rPr>
                <w:bCs/>
                <w:szCs w:val="22"/>
              </w:rPr>
              <w:t>WPTI230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617CBAD"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9ED7C9E"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6D2B242"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C0D674A"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59406F80" w14:textId="77777777" w:rsidR="004243C6" w:rsidRPr="0095783A" w:rsidRDefault="004243C6" w:rsidP="004243C6">
            <w:pPr>
              <w:rPr>
                <w:bCs/>
                <w:szCs w:val="22"/>
              </w:rPr>
            </w:pPr>
            <w:r w:rsidRPr="0095783A">
              <w:rPr>
                <w:bCs/>
                <w:szCs w:val="22"/>
              </w:rPr>
              <w:t>Missoula, MT</w:t>
            </w:r>
          </w:p>
        </w:tc>
      </w:tr>
      <w:tr w:rsidR="004243C6" w:rsidRPr="0095783A" w14:paraId="78BE992E"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1BB3922" w14:textId="77777777" w:rsidR="004243C6" w:rsidRPr="0095783A" w:rsidRDefault="004243C6" w:rsidP="004243C6">
            <w:pPr>
              <w:rPr>
                <w:bCs/>
                <w:szCs w:val="22"/>
              </w:rPr>
            </w:pPr>
            <w:r w:rsidRPr="0095783A">
              <w:rPr>
                <w:bCs/>
                <w:szCs w:val="22"/>
              </w:rPr>
              <w:t>0007450703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68BADA2" w14:textId="77777777" w:rsidR="004243C6" w:rsidRPr="0095783A" w:rsidRDefault="004243C6" w:rsidP="004243C6">
            <w:pPr>
              <w:rPr>
                <w:bCs/>
                <w:szCs w:val="22"/>
              </w:rPr>
            </w:pPr>
            <w:r w:rsidRPr="0095783A">
              <w:rPr>
                <w:bCs/>
                <w:szCs w:val="22"/>
              </w:rPr>
              <w:t>WPTI230</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7910959"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22091F2"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68BB8FE"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944DE6F"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2163366" w14:textId="77777777" w:rsidR="004243C6" w:rsidRPr="0095783A" w:rsidRDefault="004243C6" w:rsidP="004243C6">
            <w:pPr>
              <w:rPr>
                <w:bCs/>
                <w:szCs w:val="22"/>
              </w:rPr>
            </w:pPr>
            <w:r w:rsidRPr="0095783A">
              <w:rPr>
                <w:bCs/>
                <w:szCs w:val="22"/>
              </w:rPr>
              <w:t>Missoula, MT</w:t>
            </w:r>
          </w:p>
        </w:tc>
      </w:tr>
      <w:tr w:rsidR="004243C6" w:rsidRPr="0095783A" w14:paraId="4B1268D5"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30784B4" w14:textId="77777777" w:rsidR="004243C6" w:rsidRPr="0095783A" w:rsidRDefault="004243C6" w:rsidP="004243C6">
            <w:pPr>
              <w:rPr>
                <w:bCs/>
                <w:szCs w:val="22"/>
              </w:rPr>
            </w:pPr>
            <w:r w:rsidRPr="0095783A">
              <w:rPr>
                <w:bCs/>
                <w:szCs w:val="22"/>
              </w:rPr>
              <w:t>0007435168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27AC522" w14:textId="77777777" w:rsidR="004243C6" w:rsidRPr="0095783A" w:rsidRDefault="004243C6" w:rsidP="004243C6">
            <w:pPr>
              <w:rPr>
                <w:bCs/>
                <w:szCs w:val="22"/>
              </w:rPr>
            </w:pPr>
            <w:r w:rsidRPr="0095783A">
              <w:rPr>
                <w:bCs/>
                <w:szCs w:val="22"/>
              </w:rPr>
              <w:t>WPTI231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AE977BB"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9A2F443"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B817213"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0022488"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D40693F" w14:textId="77777777" w:rsidR="004243C6" w:rsidRPr="0095783A" w:rsidRDefault="004243C6" w:rsidP="004243C6">
            <w:pPr>
              <w:rPr>
                <w:bCs/>
                <w:szCs w:val="22"/>
              </w:rPr>
            </w:pPr>
            <w:r w:rsidRPr="0095783A">
              <w:rPr>
                <w:bCs/>
                <w:szCs w:val="22"/>
              </w:rPr>
              <w:t>Idaho Falls, ID-WY</w:t>
            </w:r>
          </w:p>
        </w:tc>
      </w:tr>
      <w:tr w:rsidR="004243C6" w:rsidRPr="0095783A" w14:paraId="4F2F6300"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C4C9025" w14:textId="77777777" w:rsidR="004243C6" w:rsidRPr="0095783A" w:rsidRDefault="004243C6" w:rsidP="004243C6">
            <w:pPr>
              <w:rPr>
                <w:bCs/>
                <w:szCs w:val="22"/>
              </w:rPr>
            </w:pPr>
            <w:r w:rsidRPr="0095783A">
              <w:rPr>
                <w:bCs/>
                <w:szCs w:val="22"/>
              </w:rPr>
              <w:t>0007450704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04289F9" w14:textId="77777777" w:rsidR="004243C6" w:rsidRPr="0095783A" w:rsidRDefault="004243C6" w:rsidP="004243C6">
            <w:pPr>
              <w:rPr>
                <w:bCs/>
                <w:szCs w:val="22"/>
              </w:rPr>
            </w:pPr>
            <w:r w:rsidRPr="0095783A">
              <w:rPr>
                <w:bCs/>
                <w:szCs w:val="22"/>
              </w:rPr>
              <w:t>WPTI231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3B3E794"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7C7F59A"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D25F0D0"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3940334"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04B98BD" w14:textId="77777777" w:rsidR="004243C6" w:rsidRPr="0095783A" w:rsidRDefault="004243C6" w:rsidP="004243C6">
            <w:pPr>
              <w:rPr>
                <w:bCs/>
                <w:szCs w:val="22"/>
              </w:rPr>
            </w:pPr>
            <w:r w:rsidRPr="0095783A">
              <w:rPr>
                <w:bCs/>
                <w:szCs w:val="22"/>
              </w:rPr>
              <w:t>Idaho Falls, ID-WY</w:t>
            </w:r>
          </w:p>
        </w:tc>
      </w:tr>
      <w:tr w:rsidR="004243C6" w:rsidRPr="0095783A" w14:paraId="442F552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7F5D6C2" w14:textId="77777777" w:rsidR="004243C6" w:rsidRPr="0095783A" w:rsidRDefault="004243C6" w:rsidP="004243C6">
            <w:pPr>
              <w:rPr>
                <w:bCs/>
                <w:szCs w:val="22"/>
              </w:rPr>
            </w:pPr>
            <w:r w:rsidRPr="0095783A">
              <w:rPr>
                <w:bCs/>
                <w:szCs w:val="22"/>
              </w:rPr>
              <w:t>0007435169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D3CAF8F" w14:textId="77777777" w:rsidR="004243C6" w:rsidRPr="0095783A" w:rsidRDefault="004243C6" w:rsidP="004243C6">
            <w:pPr>
              <w:rPr>
                <w:bCs/>
                <w:szCs w:val="22"/>
              </w:rPr>
            </w:pPr>
            <w:r w:rsidRPr="0095783A">
              <w:rPr>
                <w:bCs/>
                <w:szCs w:val="22"/>
              </w:rPr>
              <w:t>WPTI232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C27EE0B"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2E407D2"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10CC574"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1FFB588"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9E3D356" w14:textId="77777777" w:rsidR="004243C6" w:rsidRPr="0095783A" w:rsidRDefault="004243C6" w:rsidP="004243C6">
            <w:pPr>
              <w:rPr>
                <w:bCs/>
                <w:szCs w:val="22"/>
              </w:rPr>
            </w:pPr>
            <w:r w:rsidRPr="0095783A">
              <w:rPr>
                <w:bCs/>
                <w:szCs w:val="22"/>
              </w:rPr>
              <w:t>Twin Falls, ID</w:t>
            </w:r>
          </w:p>
        </w:tc>
      </w:tr>
      <w:tr w:rsidR="004243C6" w:rsidRPr="0095783A" w14:paraId="362D2B4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6E35C0A" w14:textId="77777777" w:rsidR="004243C6" w:rsidRPr="0095783A" w:rsidRDefault="004243C6" w:rsidP="004243C6">
            <w:pPr>
              <w:rPr>
                <w:bCs/>
                <w:szCs w:val="22"/>
              </w:rPr>
            </w:pPr>
            <w:r w:rsidRPr="0095783A">
              <w:rPr>
                <w:bCs/>
                <w:szCs w:val="22"/>
              </w:rPr>
              <w:t>0007450705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B4ECA6B" w14:textId="77777777" w:rsidR="004243C6" w:rsidRPr="0095783A" w:rsidRDefault="004243C6" w:rsidP="004243C6">
            <w:pPr>
              <w:rPr>
                <w:bCs/>
                <w:szCs w:val="22"/>
              </w:rPr>
            </w:pPr>
            <w:r w:rsidRPr="0095783A">
              <w:rPr>
                <w:bCs/>
                <w:szCs w:val="22"/>
              </w:rPr>
              <w:t>WPTI232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8B83C18"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EE63AAA"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1654C58"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62EBBD6"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9E8E1DA" w14:textId="77777777" w:rsidR="004243C6" w:rsidRPr="0095783A" w:rsidRDefault="004243C6" w:rsidP="004243C6">
            <w:pPr>
              <w:rPr>
                <w:bCs/>
                <w:szCs w:val="22"/>
              </w:rPr>
            </w:pPr>
            <w:r w:rsidRPr="0095783A">
              <w:rPr>
                <w:bCs/>
                <w:szCs w:val="22"/>
              </w:rPr>
              <w:t>Twin Falls, ID</w:t>
            </w:r>
          </w:p>
        </w:tc>
      </w:tr>
      <w:tr w:rsidR="004243C6" w:rsidRPr="0095783A" w14:paraId="166F4474"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DE14C41" w14:textId="77777777" w:rsidR="004243C6" w:rsidRPr="0095783A" w:rsidRDefault="004243C6" w:rsidP="004243C6">
            <w:pPr>
              <w:rPr>
                <w:bCs/>
                <w:szCs w:val="22"/>
              </w:rPr>
            </w:pPr>
            <w:r w:rsidRPr="0095783A">
              <w:rPr>
                <w:bCs/>
                <w:szCs w:val="22"/>
              </w:rPr>
              <w:t>0007435170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7374C2E" w14:textId="77777777" w:rsidR="004243C6" w:rsidRPr="0095783A" w:rsidRDefault="004243C6" w:rsidP="004243C6">
            <w:pPr>
              <w:rPr>
                <w:bCs/>
                <w:szCs w:val="22"/>
              </w:rPr>
            </w:pPr>
            <w:r w:rsidRPr="0095783A">
              <w:rPr>
                <w:bCs/>
                <w:szCs w:val="22"/>
              </w:rPr>
              <w:t>WPTI233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F725036"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F7BF6BE"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1B5A9AB"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13AEC60"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1C8ADDE4" w14:textId="77777777" w:rsidR="004243C6" w:rsidRPr="0095783A" w:rsidRDefault="004243C6" w:rsidP="004243C6">
            <w:pPr>
              <w:rPr>
                <w:bCs/>
                <w:szCs w:val="22"/>
              </w:rPr>
            </w:pPr>
            <w:r w:rsidRPr="0095783A">
              <w:rPr>
                <w:bCs/>
                <w:szCs w:val="22"/>
              </w:rPr>
              <w:t>Flagstaff, AZ-UT</w:t>
            </w:r>
          </w:p>
        </w:tc>
      </w:tr>
      <w:tr w:rsidR="004243C6" w:rsidRPr="0095783A" w14:paraId="7B04533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5A1DAB3" w14:textId="77777777" w:rsidR="004243C6" w:rsidRPr="0095783A" w:rsidRDefault="004243C6" w:rsidP="004243C6">
            <w:pPr>
              <w:rPr>
                <w:bCs/>
                <w:szCs w:val="22"/>
              </w:rPr>
            </w:pPr>
            <w:r w:rsidRPr="0095783A">
              <w:rPr>
                <w:bCs/>
                <w:szCs w:val="22"/>
              </w:rPr>
              <w:t>0007450706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D4FE695" w14:textId="77777777" w:rsidR="004243C6" w:rsidRPr="0095783A" w:rsidRDefault="004243C6" w:rsidP="004243C6">
            <w:pPr>
              <w:rPr>
                <w:bCs/>
                <w:szCs w:val="22"/>
              </w:rPr>
            </w:pPr>
            <w:r w:rsidRPr="0095783A">
              <w:rPr>
                <w:bCs/>
                <w:szCs w:val="22"/>
              </w:rPr>
              <w:t>WPTI233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D4DCF00"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D0B09FF"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B8B2AB1"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4F1A4D7"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54D8C18" w14:textId="77777777" w:rsidR="004243C6" w:rsidRPr="0095783A" w:rsidRDefault="004243C6" w:rsidP="004243C6">
            <w:pPr>
              <w:rPr>
                <w:bCs/>
                <w:szCs w:val="22"/>
              </w:rPr>
            </w:pPr>
            <w:r w:rsidRPr="0095783A">
              <w:rPr>
                <w:bCs/>
                <w:szCs w:val="22"/>
              </w:rPr>
              <w:t>Flagstaff, AZ-UT</w:t>
            </w:r>
          </w:p>
        </w:tc>
      </w:tr>
      <w:tr w:rsidR="004243C6" w:rsidRPr="0095783A" w14:paraId="3DA5BEBB"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FF8CD9A" w14:textId="77777777" w:rsidR="004243C6" w:rsidRPr="0095783A" w:rsidRDefault="004243C6" w:rsidP="004243C6">
            <w:pPr>
              <w:rPr>
                <w:bCs/>
                <w:szCs w:val="22"/>
              </w:rPr>
            </w:pPr>
            <w:r w:rsidRPr="0095783A">
              <w:rPr>
                <w:bCs/>
                <w:szCs w:val="22"/>
              </w:rPr>
              <w:t>0007435171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6F47360" w14:textId="77777777" w:rsidR="004243C6" w:rsidRPr="0095783A" w:rsidRDefault="004243C6" w:rsidP="004243C6">
            <w:pPr>
              <w:rPr>
                <w:bCs/>
                <w:szCs w:val="22"/>
              </w:rPr>
            </w:pPr>
            <w:r w:rsidRPr="0095783A">
              <w:rPr>
                <w:bCs/>
                <w:szCs w:val="22"/>
              </w:rPr>
              <w:t>WPTI234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AFAE90A"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66CB0331"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546517C"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5B0BDFD"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287578BD" w14:textId="77777777" w:rsidR="004243C6" w:rsidRPr="0095783A" w:rsidRDefault="004243C6" w:rsidP="004243C6">
            <w:pPr>
              <w:rPr>
                <w:bCs/>
                <w:szCs w:val="22"/>
              </w:rPr>
            </w:pPr>
            <w:r w:rsidRPr="0095783A">
              <w:rPr>
                <w:bCs/>
                <w:szCs w:val="22"/>
              </w:rPr>
              <w:t>Flagstaff, AZ-UT</w:t>
            </w:r>
          </w:p>
        </w:tc>
      </w:tr>
      <w:tr w:rsidR="004243C6" w:rsidRPr="0095783A" w14:paraId="7BEF845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A92DE22" w14:textId="77777777" w:rsidR="004243C6" w:rsidRPr="0095783A" w:rsidRDefault="004243C6" w:rsidP="004243C6">
            <w:pPr>
              <w:rPr>
                <w:bCs/>
                <w:szCs w:val="22"/>
              </w:rPr>
            </w:pPr>
            <w:r w:rsidRPr="0095783A">
              <w:rPr>
                <w:bCs/>
                <w:szCs w:val="22"/>
              </w:rPr>
              <w:t>0007450707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F607BCC" w14:textId="77777777" w:rsidR="004243C6" w:rsidRPr="0095783A" w:rsidRDefault="004243C6" w:rsidP="004243C6">
            <w:pPr>
              <w:rPr>
                <w:bCs/>
                <w:szCs w:val="22"/>
              </w:rPr>
            </w:pPr>
            <w:r w:rsidRPr="0095783A">
              <w:rPr>
                <w:bCs/>
                <w:szCs w:val="22"/>
              </w:rPr>
              <w:t>WPTI234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379F27E"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785873C8"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45EBFB5"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1ED6CED"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C78A8C6" w14:textId="77777777" w:rsidR="004243C6" w:rsidRPr="0095783A" w:rsidRDefault="004243C6" w:rsidP="004243C6">
            <w:pPr>
              <w:rPr>
                <w:bCs/>
                <w:szCs w:val="22"/>
              </w:rPr>
            </w:pPr>
            <w:r w:rsidRPr="0095783A">
              <w:rPr>
                <w:bCs/>
                <w:szCs w:val="22"/>
              </w:rPr>
              <w:t>Flagstaff, AZ-UT</w:t>
            </w:r>
          </w:p>
        </w:tc>
      </w:tr>
      <w:tr w:rsidR="004243C6" w:rsidRPr="0095783A" w14:paraId="27CCD715"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EB46089" w14:textId="77777777" w:rsidR="004243C6" w:rsidRPr="0095783A" w:rsidRDefault="004243C6" w:rsidP="004243C6">
            <w:pPr>
              <w:rPr>
                <w:bCs/>
                <w:szCs w:val="22"/>
              </w:rPr>
            </w:pPr>
            <w:r w:rsidRPr="0095783A">
              <w:rPr>
                <w:bCs/>
                <w:szCs w:val="22"/>
              </w:rPr>
              <w:t>0007435172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8E82F53" w14:textId="77777777" w:rsidR="004243C6" w:rsidRPr="0095783A" w:rsidRDefault="004243C6" w:rsidP="004243C6">
            <w:pPr>
              <w:rPr>
                <w:bCs/>
                <w:szCs w:val="22"/>
              </w:rPr>
            </w:pPr>
            <w:r w:rsidRPr="0095783A">
              <w:rPr>
                <w:bCs/>
                <w:szCs w:val="22"/>
              </w:rPr>
              <w:t>WPTI235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E6C6EE6"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0E74F0A"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4CFF22C"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88A5D05"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6F1F88B7" w14:textId="77777777" w:rsidR="004243C6" w:rsidRPr="0095783A" w:rsidRDefault="004243C6" w:rsidP="004243C6">
            <w:pPr>
              <w:rPr>
                <w:bCs/>
                <w:szCs w:val="22"/>
              </w:rPr>
            </w:pPr>
            <w:r w:rsidRPr="0095783A">
              <w:rPr>
                <w:bCs/>
                <w:szCs w:val="22"/>
              </w:rPr>
              <w:t>Farmington, NM-CO</w:t>
            </w:r>
          </w:p>
        </w:tc>
      </w:tr>
      <w:tr w:rsidR="004243C6" w:rsidRPr="0095783A" w14:paraId="5938BB27"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8640B2E" w14:textId="77777777" w:rsidR="004243C6" w:rsidRPr="0095783A" w:rsidRDefault="004243C6" w:rsidP="004243C6">
            <w:pPr>
              <w:rPr>
                <w:bCs/>
                <w:szCs w:val="22"/>
              </w:rPr>
            </w:pPr>
            <w:r w:rsidRPr="0095783A">
              <w:rPr>
                <w:bCs/>
                <w:szCs w:val="22"/>
              </w:rPr>
              <w:t>0007450708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10DD9A6" w14:textId="77777777" w:rsidR="004243C6" w:rsidRPr="0095783A" w:rsidRDefault="004243C6" w:rsidP="004243C6">
            <w:pPr>
              <w:rPr>
                <w:bCs/>
                <w:szCs w:val="22"/>
              </w:rPr>
            </w:pPr>
            <w:r w:rsidRPr="0095783A">
              <w:rPr>
                <w:bCs/>
                <w:szCs w:val="22"/>
              </w:rPr>
              <w:t>WPTI235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B638B8B"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4ED5652"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0156753"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029A555"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8B880F9" w14:textId="77777777" w:rsidR="004243C6" w:rsidRPr="0095783A" w:rsidRDefault="004243C6" w:rsidP="004243C6">
            <w:pPr>
              <w:rPr>
                <w:bCs/>
                <w:szCs w:val="22"/>
              </w:rPr>
            </w:pPr>
            <w:r w:rsidRPr="0095783A">
              <w:rPr>
                <w:bCs/>
                <w:szCs w:val="22"/>
              </w:rPr>
              <w:t>Farmington, NM-CO</w:t>
            </w:r>
          </w:p>
        </w:tc>
      </w:tr>
      <w:tr w:rsidR="004243C6" w:rsidRPr="0095783A" w14:paraId="3D3C7C8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070BA2E" w14:textId="77777777" w:rsidR="004243C6" w:rsidRPr="0095783A" w:rsidRDefault="004243C6" w:rsidP="004243C6">
            <w:pPr>
              <w:rPr>
                <w:bCs/>
                <w:szCs w:val="22"/>
              </w:rPr>
            </w:pPr>
            <w:r w:rsidRPr="0095783A">
              <w:rPr>
                <w:bCs/>
                <w:szCs w:val="22"/>
              </w:rPr>
              <w:t>0007435173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FA36FF2" w14:textId="77777777" w:rsidR="004243C6" w:rsidRPr="0095783A" w:rsidRDefault="004243C6" w:rsidP="004243C6">
            <w:pPr>
              <w:rPr>
                <w:bCs/>
                <w:szCs w:val="22"/>
              </w:rPr>
            </w:pPr>
            <w:r w:rsidRPr="0095783A">
              <w:rPr>
                <w:bCs/>
                <w:szCs w:val="22"/>
              </w:rPr>
              <w:t>WPTI236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C0A6CDC"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26FEF483"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DF70F19"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A0AECD4"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02C4415" w14:textId="77777777" w:rsidR="004243C6" w:rsidRPr="0095783A" w:rsidRDefault="004243C6" w:rsidP="004243C6">
            <w:pPr>
              <w:rPr>
                <w:bCs/>
                <w:szCs w:val="22"/>
              </w:rPr>
            </w:pPr>
            <w:r w:rsidRPr="0095783A">
              <w:rPr>
                <w:bCs/>
                <w:szCs w:val="22"/>
              </w:rPr>
              <w:t>Redding, CA-OR</w:t>
            </w:r>
          </w:p>
        </w:tc>
      </w:tr>
      <w:tr w:rsidR="004243C6" w:rsidRPr="0095783A" w14:paraId="22EF06BE"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482D310" w14:textId="77777777" w:rsidR="004243C6" w:rsidRPr="0095783A" w:rsidRDefault="004243C6" w:rsidP="004243C6">
            <w:pPr>
              <w:rPr>
                <w:bCs/>
                <w:szCs w:val="22"/>
              </w:rPr>
            </w:pPr>
            <w:r w:rsidRPr="0095783A">
              <w:rPr>
                <w:bCs/>
                <w:szCs w:val="22"/>
              </w:rPr>
              <w:t>0007450709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9E7EAA0" w14:textId="77777777" w:rsidR="004243C6" w:rsidRPr="0095783A" w:rsidRDefault="004243C6" w:rsidP="004243C6">
            <w:pPr>
              <w:rPr>
                <w:bCs/>
                <w:szCs w:val="22"/>
              </w:rPr>
            </w:pPr>
            <w:r w:rsidRPr="0095783A">
              <w:rPr>
                <w:bCs/>
                <w:szCs w:val="22"/>
              </w:rPr>
              <w:t>WPTI236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120BF7D"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05EDD34"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258CF9C"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4216498" w14:textId="77777777" w:rsidR="004243C6" w:rsidRPr="0095783A" w:rsidRDefault="004243C6" w:rsidP="004243C6">
            <w:pPr>
              <w:rPr>
                <w:bCs/>
                <w:szCs w:val="22"/>
              </w:rPr>
            </w:pPr>
            <w:r w:rsidRPr="0095783A">
              <w:rPr>
                <w:bCs/>
                <w:szCs w:val="22"/>
              </w:rPr>
              <w:t xml:space="preserve">B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701CFBA6" w14:textId="77777777" w:rsidR="004243C6" w:rsidRPr="0095783A" w:rsidRDefault="004243C6" w:rsidP="004243C6">
            <w:pPr>
              <w:rPr>
                <w:bCs/>
                <w:szCs w:val="22"/>
              </w:rPr>
            </w:pPr>
            <w:r w:rsidRPr="0095783A">
              <w:rPr>
                <w:bCs/>
                <w:szCs w:val="22"/>
              </w:rPr>
              <w:t>Redding, CA-OR</w:t>
            </w:r>
          </w:p>
        </w:tc>
      </w:tr>
      <w:tr w:rsidR="004243C6" w:rsidRPr="0095783A" w14:paraId="37F6600D"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6E26F2E" w14:textId="77777777" w:rsidR="004243C6" w:rsidRPr="0095783A" w:rsidRDefault="004243C6" w:rsidP="004243C6">
            <w:pPr>
              <w:rPr>
                <w:bCs/>
                <w:szCs w:val="22"/>
              </w:rPr>
            </w:pPr>
            <w:r w:rsidRPr="0095783A">
              <w:rPr>
                <w:bCs/>
                <w:szCs w:val="22"/>
              </w:rPr>
              <w:t>0007435174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7D00E7A" w14:textId="77777777" w:rsidR="004243C6" w:rsidRPr="0095783A" w:rsidRDefault="004243C6" w:rsidP="004243C6">
            <w:pPr>
              <w:rPr>
                <w:bCs/>
                <w:szCs w:val="22"/>
              </w:rPr>
            </w:pPr>
            <w:r w:rsidRPr="0095783A">
              <w:rPr>
                <w:bCs/>
                <w:szCs w:val="22"/>
              </w:rPr>
              <w:t>WPTI237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3C84533"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35137824"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6F4C2E9"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6E64993"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3BA15994" w14:textId="77777777" w:rsidR="004243C6" w:rsidRPr="0095783A" w:rsidRDefault="004243C6" w:rsidP="004243C6">
            <w:pPr>
              <w:rPr>
                <w:bCs/>
                <w:szCs w:val="22"/>
              </w:rPr>
            </w:pPr>
            <w:r w:rsidRPr="0095783A">
              <w:rPr>
                <w:bCs/>
                <w:szCs w:val="22"/>
              </w:rPr>
              <w:t>Redding, CA-OR</w:t>
            </w:r>
          </w:p>
        </w:tc>
      </w:tr>
      <w:tr w:rsidR="004243C6" w:rsidRPr="0095783A" w14:paraId="48945AE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1CFB209" w14:textId="77777777" w:rsidR="004243C6" w:rsidRPr="0095783A" w:rsidRDefault="004243C6" w:rsidP="004243C6">
            <w:pPr>
              <w:rPr>
                <w:bCs/>
                <w:szCs w:val="22"/>
              </w:rPr>
            </w:pPr>
            <w:r w:rsidRPr="0095783A">
              <w:rPr>
                <w:bCs/>
                <w:szCs w:val="22"/>
              </w:rPr>
              <w:t>0007450710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7EDB88C" w14:textId="77777777" w:rsidR="004243C6" w:rsidRPr="0095783A" w:rsidRDefault="004243C6" w:rsidP="004243C6">
            <w:pPr>
              <w:rPr>
                <w:bCs/>
                <w:szCs w:val="22"/>
              </w:rPr>
            </w:pPr>
            <w:r w:rsidRPr="0095783A">
              <w:rPr>
                <w:bCs/>
                <w:szCs w:val="22"/>
              </w:rPr>
              <w:t>WPTI237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5CD8BF6"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097F1039"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A9E027E"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AD286EC"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098EDBD6" w14:textId="77777777" w:rsidR="004243C6" w:rsidRPr="0095783A" w:rsidRDefault="004243C6" w:rsidP="004243C6">
            <w:pPr>
              <w:rPr>
                <w:bCs/>
                <w:szCs w:val="22"/>
              </w:rPr>
            </w:pPr>
            <w:r w:rsidRPr="0095783A">
              <w:rPr>
                <w:bCs/>
                <w:szCs w:val="22"/>
              </w:rPr>
              <w:t>Redding, CA-OR</w:t>
            </w:r>
          </w:p>
        </w:tc>
      </w:tr>
      <w:tr w:rsidR="004243C6" w:rsidRPr="0095783A" w14:paraId="52F36589"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E6F8E81" w14:textId="77777777" w:rsidR="004243C6" w:rsidRPr="0095783A" w:rsidRDefault="004243C6" w:rsidP="004243C6">
            <w:pPr>
              <w:rPr>
                <w:bCs/>
                <w:szCs w:val="22"/>
              </w:rPr>
            </w:pPr>
            <w:r w:rsidRPr="0095783A">
              <w:rPr>
                <w:bCs/>
                <w:szCs w:val="22"/>
              </w:rPr>
              <w:t>0007435175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8BAD51D" w14:textId="77777777" w:rsidR="004243C6" w:rsidRPr="0095783A" w:rsidRDefault="004243C6" w:rsidP="004243C6">
            <w:pPr>
              <w:rPr>
                <w:bCs/>
                <w:szCs w:val="22"/>
              </w:rPr>
            </w:pPr>
            <w:r w:rsidRPr="0095783A">
              <w:rPr>
                <w:bCs/>
                <w:szCs w:val="22"/>
              </w:rPr>
              <w:t>WPTI238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28E82E4" w14:textId="77777777" w:rsidR="004243C6" w:rsidRPr="0095783A" w:rsidRDefault="004243C6" w:rsidP="004243C6">
            <w:pPr>
              <w:rPr>
                <w:bCs/>
                <w:szCs w:val="22"/>
              </w:rPr>
            </w:pPr>
            <w:r w:rsidRPr="0095783A">
              <w:rPr>
                <w:bCs/>
                <w:szCs w:val="22"/>
              </w:rPr>
              <w:t>Extension of First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40403800" w14:textId="77777777" w:rsidR="004243C6" w:rsidRPr="0095783A" w:rsidRDefault="004243C6" w:rsidP="004243C6">
            <w:pPr>
              <w:rPr>
                <w:bCs/>
                <w:szCs w:val="22"/>
              </w:rPr>
            </w:pPr>
            <w:r w:rsidRPr="0095783A">
              <w:rPr>
                <w:bCs/>
                <w:szCs w:val="22"/>
              </w:rPr>
              <w:t>8/29/2016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AB1234D"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8A42FDD"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DCD2AE5" w14:textId="77777777" w:rsidR="004243C6" w:rsidRPr="0095783A" w:rsidRDefault="004243C6" w:rsidP="004243C6">
            <w:pPr>
              <w:rPr>
                <w:bCs/>
                <w:szCs w:val="22"/>
              </w:rPr>
            </w:pPr>
            <w:r w:rsidRPr="0095783A">
              <w:rPr>
                <w:bCs/>
                <w:szCs w:val="22"/>
              </w:rPr>
              <w:t>Pendleton, OR-WA</w:t>
            </w:r>
          </w:p>
        </w:tc>
      </w:tr>
      <w:tr w:rsidR="004243C6" w:rsidRPr="0095783A" w14:paraId="589F52A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E8B2A82" w14:textId="77777777" w:rsidR="004243C6" w:rsidRPr="0095783A" w:rsidRDefault="004243C6" w:rsidP="004243C6">
            <w:pPr>
              <w:rPr>
                <w:bCs/>
                <w:szCs w:val="22"/>
              </w:rPr>
            </w:pPr>
            <w:r w:rsidRPr="0095783A">
              <w:rPr>
                <w:bCs/>
                <w:szCs w:val="22"/>
              </w:rPr>
              <w:t>0007450711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BEAB317" w14:textId="77777777" w:rsidR="004243C6" w:rsidRPr="0095783A" w:rsidRDefault="004243C6" w:rsidP="004243C6">
            <w:pPr>
              <w:rPr>
                <w:bCs/>
                <w:szCs w:val="22"/>
              </w:rPr>
            </w:pPr>
            <w:r w:rsidRPr="0095783A">
              <w:rPr>
                <w:bCs/>
                <w:szCs w:val="22"/>
              </w:rPr>
              <w:t>WPTI238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5E5487C" w14:textId="77777777" w:rsidR="004243C6" w:rsidRPr="0095783A" w:rsidRDefault="004243C6" w:rsidP="004243C6">
            <w:pPr>
              <w:rPr>
                <w:bCs/>
                <w:szCs w:val="22"/>
              </w:rPr>
            </w:pPr>
            <w:r w:rsidRPr="0095783A">
              <w:rPr>
                <w:bCs/>
                <w:szCs w:val="22"/>
              </w:rPr>
              <w:t>Extension of Second Deadline</w:t>
            </w:r>
          </w:p>
        </w:tc>
        <w:tc>
          <w:tcPr>
            <w:tcW w:w="1265" w:type="dxa"/>
            <w:tcBorders>
              <w:top w:val="single" w:sz="4" w:space="0" w:color="CCCCFF"/>
              <w:left w:val="nil"/>
              <w:bottom w:val="single" w:sz="4" w:space="0" w:color="CCCCFF"/>
              <w:right w:val="single" w:sz="4" w:space="0" w:color="CCCCFF"/>
            </w:tcBorders>
            <w:shd w:val="clear" w:color="FFFFFF" w:fill="FFFFFF"/>
            <w:vAlign w:val="center"/>
          </w:tcPr>
          <w:p w14:paraId="181A6955" w14:textId="77777777" w:rsidR="004243C6" w:rsidRPr="0095783A" w:rsidRDefault="004243C6" w:rsidP="004243C6">
            <w:pPr>
              <w:rPr>
                <w:bCs/>
                <w:szCs w:val="22"/>
              </w:rPr>
            </w:pPr>
            <w:r w:rsidRPr="0095783A">
              <w:rPr>
                <w:bCs/>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847A2C4" w14:textId="77777777" w:rsidR="004243C6" w:rsidRPr="0095783A" w:rsidRDefault="004243C6" w:rsidP="004243C6">
            <w:pPr>
              <w:rPr>
                <w:bCs/>
                <w:szCs w:val="22"/>
              </w:rPr>
            </w:pPr>
            <w:r w:rsidRPr="0095783A">
              <w:rPr>
                <w:bCs/>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F3C1E94" w14:textId="77777777" w:rsidR="004243C6" w:rsidRPr="0095783A" w:rsidRDefault="004243C6" w:rsidP="004243C6">
            <w:pPr>
              <w:rPr>
                <w:bCs/>
                <w:szCs w:val="22"/>
              </w:rPr>
            </w:pPr>
            <w:r w:rsidRPr="0095783A">
              <w:rPr>
                <w:bCs/>
                <w:szCs w:val="22"/>
              </w:rPr>
              <w:t xml:space="preserve">C   </w:t>
            </w:r>
          </w:p>
        </w:tc>
        <w:tc>
          <w:tcPr>
            <w:tcW w:w="1710" w:type="dxa"/>
            <w:tcBorders>
              <w:top w:val="single" w:sz="4" w:space="0" w:color="CCCCFF"/>
              <w:left w:val="nil"/>
              <w:bottom w:val="single" w:sz="4" w:space="0" w:color="CCCCFF"/>
              <w:right w:val="single" w:sz="4" w:space="0" w:color="CCCCFF"/>
            </w:tcBorders>
            <w:shd w:val="clear" w:color="FFFFFF" w:fill="FFFFFF"/>
            <w:vAlign w:val="center"/>
          </w:tcPr>
          <w:p w14:paraId="406E0AC1" w14:textId="77777777" w:rsidR="004243C6" w:rsidRPr="0095783A" w:rsidRDefault="004243C6" w:rsidP="004243C6">
            <w:pPr>
              <w:rPr>
                <w:bCs/>
                <w:szCs w:val="22"/>
              </w:rPr>
            </w:pPr>
            <w:r w:rsidRPr="0095783A">
              <w:rPr>
                <w:bCs/>
                <w:szCs w:val="22"/>
              </w:rPr>
              <w:t>Pendleton, OR-WA</w:t>
            </w:r>
          </w:p>
        </w:tc>
      </w:tr>
    </w:tbl>
    <w:p w14:paraId="7333720A" w14:textId="77777777" w:rsidR="004243C6" w:rsidRPr="0095783A" w:rsidRDefault="004243C6" w:rsidP="004243C6">
      <w:pPr>
        <w:pStyle w:val="ParaNum"/>
        <w:numPr>
          <w:ilvl w:val="0"/>
          <w:numId w:val="0"/>
        </w:numPr>
        <w:tabs>
          <w:tab w:val="left" w:pos="720"/>
          <w:tab w:val="left" w:pos="1080"/>
        </w:tabs>
        <w:spacing w:after="0"/>
        <w:rPr>
          <w:b/>
          <w:szCs w:val="22"/>
        </w:rPr>
      </w:pPr>
    </w:p>
    <w:p w14:paraId="17AAD682" w14:textId="77777777" w:rsidR="004243C6" w:rsidRPr="0095783A" w:rsidRDefault="004243C6" w:rsidP="004243C6">
      <w:pPr>
        <w:pStyle w:val="ParaNum"/>
        <w:numPr>
          <w:ilvl w:val="0"/>
          <w:numId w:val="0"/>
        </w:numPr>
        <w:tabs>
          <w:tab w:val="left" w:pos="720"/>
          <w:tab w:val="left" w:pos="1080"/>
        </w:tabs>
        <w:spacing w:after="0"/>
        <w:rPr>
          <w:b/>
          <w:szCs w:val="22"/>
        </w:rPr>
      </w:pPr>
    </w:p>
    <w:p w14:paraId="0FF3E9DC" w14:textId="77777777" w:rsidR="004243C6" w:rsidRPr="0095783A" w:rsidRDefault="004243C6" w:rsidP="004243C6">
      <w:pPr>
        <w:pStyle w:val="ParaNum"/>
        <w:numPr>
          <w:ilvl w:val="0"/>
          <w:numId w:val="0"/>
        </w:numPr>
        <w:tabs>
          <w:tab w:val="left" w:pos="720"/>
          <w:tab w:val="left" w:pos="1080"/>
        </w:tabs>
        <w:spacing w:after="0"/>
        <w:rPr>
          <w:b/>
          <w:szCs w:val="22"/>
        </w:rPr>
      </w:pPr>
    </w:p>
    <w:p w14:paraId="1B5F4BFB" w14:textId="77777777" w:rsidR="004243C6" w:rsidRPr="0095783A" w:rsidRDefault="004243C6" w:rsidP="004243C6">
      <w:pPr>
        <w:pStyle w:val="ParaNum"/>
        <w:numPr>
          <w:ilvl w:val="0"/>
          <w:numId w:val="0"/>
        </w:numPr>
        <w:tabs>
          <w:tab w:val="left" w:pos="720"/>
          <w:tab w:val="left" w:pos="1080"/>
        </w:tabs>
        <w:spacing w:after="0"/>
        <w:rPr>
          <w:b/>
          <w:szCs w:val="22"/>
        </w:rPr>
      </w:pPr>
      <w:r w:rsidRPr="0095783A">
        <w:rPr>
          <w:b/>
          <w:szCs w:val="22"/>
        </w:rPr>
        <w:t>FCR, Inc. Licenses:</w:t>
      </w:r>
    </w:p>
    <w:tbl>
      <w:tblPr>
        <w:tblW w:w="9445" w:type="dxa"/>
        <w:jc w:val="center"/>
        <w:tblLayout w:type="fixed"/>
        <w:tblLook w:val="04A0" w:firstRow="1" w:lastRow="0" w:firstColumn="1" w:lastColumn="0" w:noHBand="0" w:noVBand="1"/>
      </w:tblPr>
      <w:tblGrid>
        <w:gridCol w:w="1350"/>
        <w:gridCol w:w="1170"/>
        <w:gridCol w:w="1975"/>
        <w:gridCol w:w="1260"/>
        <w:gridCol w:w="990"/>
        <w:gridCol w:w="1080"/>
        <w:gridCol w:w="1620"/>
      </w:tblGrid>
      <w:tr w:rsidR="004243C6" w:rsidRPr="0095783A" w14:paraId="40DF6E93"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hideMark/>
          </w:tcPr>
          <w:p w14:paraId="31F2925C" w14:textId="77777777" w:rsidR="004243C6" w:rsidRPr="0095783A" w:rsidRDefault="004243C6" w:rsidP="004243C6">
            <w:pPr>
              <w:rPr>
                <w:b/>
                <w:bCs/>
                <w:szCs w:val="22"/>
              </w:rPr>
            </w:pPr>
            <w:r w:rsidRPr="0095783A">
              <w:rPr>
                <w:b/>
                <w:bCs/>
                <w:szCs w:val="22"/>
              </w:rPr>
              <w:t>File Number</w:t>
            </w:r>
          </w:p>
        </w:tc>
        <w:tc>
          <w:tcPr>
            <w:tcW w:w="1170" w:type="dxa"/>
            <w:tcBorders>
              <w:top w:val="single" w:sz="4" w:space="0" w:color="CCCCFF"/>
              <w:left w:val="nil"/>
              <w:bottom w:val="single" w:sz="4" w:space="0" w:color="CCCCFF"/>
              <w:right w:val="single" w:sz="4" w:space="0" w:color="CCCCFF"/>
            </w:tcBorders>
            <w:shd w:val="clear" w:color="FFFFFF" w:fill="FFFFFF"/>
            <w:vAlign w:val="center"/>
            <w:hideMark/>
          </w:tcPr>
          <w:p w14:paraId="41E59369" w14:textId="77777777" w:rsidR="004243C6" w:rsidRPr="0095783A" w:rsidRDefault="004243C6" w:rsidP="004243C6">
            <w:pPr>
              <w:rPr>
                <w:b/>
                <w:bCs/>
                <w:szCs w:val="22"/>
              </w:rPr>
            </w:pPr>
            <w:r w:rsidRPr="0095783A">
              <w:rPr>
                <w:b/>
                <w:bCs/>
                <w:szCs w:val="22"/>
              </w:rPr>
              <w:t>Call Sign</w:t>
            </w:r>
          </w:p>
        </w:tc>
        <w:tc>
          <w:tcPr>
            <w:tcW w:w="1975" w:type="dxa"/>
            <w:tcBorders>
              <w:top w:val="single" w:sz="4" w:space="0" w:color="CCCCFF"/>
              <w:left w:val="nil"/>
              <w:bottom w:val="single" w:sz="4" w:space="0" w:color="CCCCFF"/>
              <w:right w:val="single" w:sz="4" w:space="0" w:color="CCCCFF"/>
            </w:tcBorders>
            <w:shd w:val="clear" w:color="FFFFFF" w:fill="FFFFFF"/>
            <w:vAlign w:val="center"/>
            <w:hideMark/>
          </w:tcPr>
          <w:p w14:paraId="1F5501A2" w14:textId="77777777" w:rsidR="004243C6" w:rsidRPr="0095783A" w:rsidRDefault="004243C6" w:rsidP="004243C6">
            <w:pPr>
              <w:rPr>
                <w:b/>
                <w:bCs/>
                <w:szCs w:val="22"/>
              </w:rPr>
            </w:pPr>
            <w:r w:rsidRPr="0095783A">
              <w:rPr>
                <w:b/>
                <w:bCs/>
                <w:szCs w:val="22"/>
              </w:rPr>
              <w:t>Purpose</w:t>
            </w:r>
          </w:p>
        </w:tc>
        <w:tc>
          <w:tcPr>
            <w:tcW w:w="1260" w:type="dxa"/>
            <w:tcBorders>
              <w:top w:val="single" w:sz="4" w:space="0" w:color="CCCCFF"/>
              <w:left w:val="nil"/>
              <w:bottom w:val="single" w:sz="4" w:space="0" w:color="CCCCFF"/>
              <w:right w:val="single" w:sz="4" w:space="0" w:color="CCCCFF"/>
            </w:tcBorders>
            <w:shd w:val="clear" w:color="FFFFFF" w:fill="FFFFFF"/>
            <w:vAlign w:val="center"/>
            <w:hideMark/>
          </w:tcPr>
          <w:p w14:paraId="1B2C5934" w14:textId="77777777" w:rsidR="004243C6" w:rsidRPr="0095783A" w:rsidRDefault="004243C6" w:rsidP="004243C6">
            <w:pPr>
              <w:rPr>
                <w:b/>
                <w:bCs/>
                <w:szCs w:val="22"/>
              </w:rPr>
            </w:pPr>
            <w:r w:rsidRPr="0095783A">
              <w:rPr>
                <w:b/>
                <w:bCs/>
                <w:szCs w:val="22"/>
              </w:rPr>
              <w:t>Receipt Date</w:t>
            </w:r>
          </w:p>
        </w:tc>
        <w:tc>
          <w:tcPr>
            <w:tcW w:w="990" w:type="dxa"/>
            <w:tcBorders>
              <w:top w:val="single" w:sz="4" w:space="0" w:color="CCCCFF"/>
              <w:left w:val="nil"/>
              <w:bottom w:val="single" w:sz="4" w:space="0" w:color="CCCCFF"/>
              <w:right w:val="single" w:sz="4" w:space="0" w:color="CCCCFF"/>
            </w:tcBorders>
            <w:shd w:val="clear" w:color="FFFFFF" w:fill="FFFFFF"/>
            <w:vAlign w:val="bottom"/>
            <w:hideMark/>
          </w:tcPr>
          <w:p w14:paraId="0F66DFF5" w14:textId="77777777" w:rsidR="004243C6" w:rsidRPr="0095783A" w:rsidRDefault="004243C6" w:rsidP="004243C6">
            <w:pPr>
              <w:rPr>
                <w:b/>
                <w:bCs/>
                <w:szCs w:val="22"/>
              </w:rPr>
            </w:pPr>
            <w:r w:rsidRPr="0095783A">
              <w:rPr>
                <w:b/>
                <w:bCs/>
                <w:szCs w:val="22"/>
              </w:rPr>
              <w:t>Radio Service Code</w:t>
            </w:r>
          </w:p>
        </w:tc>
        <w:tc>
          <w:tcPr>
            <w:tcW w:w="1080" w:type="dxa"/>
            <w:tcBorders>
              <w:top w:val="single" w:sz="4" w:space="0" w:color="CCCCFF"/>
              <w:left w:val="nil"/>
              <w:bottom w:val="single" w:sz="4" w:space="0" w:color="CCCCFF"/>
              <w:right w:val="single" w:sz="4" w:space="0" w:color="CCCCFF"/>
            </w:tcBorders>
            <w:shd w:val="clear" w:color="FFFFFF" w:fill="FFFFFF"/>
            <w:vAlign w:val="center"/>
            <w:hideMark/>
          </w:tcPr>
          <w:p w14:paraId="78AA7917" w14:textId="77777777" w:rsidR="004243C6" w:rsidRPr="0095783A" w:rsidRDefault="004243C6" w:rsidP="004243C6">
            <w:pPr>
              <w:rPr>
                <w:b/>
                <w:bCs/>
                <w:szCs w:val="22"/>
              </w:rPr>
            </w:pPr>
            <w:r w:rsidRPr="0095783A">
              <w:rPr>
                <w:b/>
                <w:bCs/>
                <w:szCs w:val="22"/>
              </w:rPr>
              <w:t>Channel Block</w:t>
            </w:r>
          </w:p>
        </w:tc>
        <w:tc>
          <w:tcPr>
            <w:tcW w:w="1620" w:type="dxa"/>
            <w:tcBorders>
              <w:top w:val="single" w:sz="4" w:space="0" w:color="CCCCFF"/>
              <w:left w:val="nil"/>
              <w:bottom w:val="single" w:sz="4" w:space="0" w:color="CCCCFF"/>
              <w:right w:val="single" w:sz="4" w:space="0" w:color="CCCCFF"/>
            </w:tcBorders>
            <w:shd w:val="clear" w:color="FFFFFF" w:fill="FFFFFF"/>
            <w:vAlign w:val="center"/>
            <w:hideMark/>
          </w:tcPr>
          <w:p w14:paraId="3EF4654F" w14:textId="77777777" w:rsidR="004243C6" w:rsidRPr="0095783A" w:rsidRDefault="004243C6" w:rsidP="004243C6">
            <w:pPr>
              <w:rPr>
                <w:b/>
                <w:bCs/>
                <w:szCs w:val="22"/>
              </w:rPr>
            </w:pPr>
            <w:r w:rsidRPr="0095783A">
              <w:rPr>
                <w:b/>
                <w:bCs/>
                <w:szCs w:val="22"/>
              </w:rPr>
              <w:t>Market Name</w:t>
            </w:r>
          </w:p>
        </w:tc>
      </w:tr>
      <w:tr w:rsidR="004243C6" w:rsidRPr="0095783A" w14:paraId="62F1D409"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6A1E64D" w14:textId="77777777" w:rsidR="004243C6" w:rsidRPr="0095783A" w:rsidRDefault="004243C6" w:rsidP="004243C6">
            <w:pPr>
              <w:rPr>
                <w:b/>
                <w:bCs/>
                <w:szCs w:val="22"/>
              </w:rPr>
            </w:pPr>
            <w:r w:rsidRPr="0095783A">
              <w:rPr>
                <w:szCs w:val="22"/>
              </w:rPr>
              <w:t>0007438931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C0CFD34" w14:textId="77777777" w:rsidR="004243C6" w:rsidRPr="0095783A" w:rsidRDefault="004243C6" w:rsidP="004243C6">
            <w:pPr>
              <w:rPr>
                <w:b/>
                <w:bCs/>
                <w:szCs w:val="22"/>
              </w:rPr>
            </w:pPr>
            <w:r w:rsidRPr="0095783A">
              <w:rPr>
                <w:szCs w:val="22"/>
              </w:rPr>
              <w:t>WPOJ871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95A7694" w14:textId="77777777" w:rsidR="004243C6" w:rsidRPr="0095783A" w:rsidRDefault="004243C6" w:rsidP="004243C6">
            <w:pPr>
              <w:rPr>
                <w:b/>
                <w:bCs/>
                <w:szCs w:val="22"/>
              </w:rPr>
            </w:pPr>
            <w:r w:rsidRPr="0095783A">
              <w:rPr>
                <w:szCs w:val="22"/>
              </w:rPr>
              <w:t>Extension of First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5E83D891" w14:textId="77777777" w:rsidR="004243C6" w:rsidRPr="0095783A" w:rsidRDefault="004243C6" w:rsidP="004243C6">
            <w:pPr>
              <w:rPr>
                <w:b/>
                <w:bCs/>
                <w:szCs w:val="22"/>
              </w:rPr>
            </w:pPr>
            <w:r w:rsidRPr="0095783A">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318137D"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DB04999" w14:textId="77777777" w:rsidR="004243C6" w:rsidRPr="0095783A" w:rsidRDefault="004243C6" w:rsidP="004243C6">
            <w:pPr>
              <w:rPr>
                <w:b/>
                <w:bCs/>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7F044C58" w14:textId="77777777" w:rsidR="004243C6" w:rsidRPr="0095783A" w:rsidRDefault="004243C6" w:rsidP="004243C6">
            <w:pPr>
              <w:rPr>
                <w:b/>
                <w:bCs/>
                <w:szCs w:val="22"/>
              </w:rPr>
            </w:pPr>
            <w:r w:rsidRPr="0095783A">
              <w:rPr>
                <w:szCs w:val="22"/>
              </w:rPr>
              <w:t>Buffalo-Niagara Falls, NY-PA</w:t>
            </w:r>
          </w:p>
        </w:tc>
      </w:tr>
      <w:tr w:rsidR="004243C6" w:rsidRPr="0095783A" w14:paraId="1134EA0E"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2605813" w14:textId="77777777" w:rsidR="004243C6" w:rsidRPr="0095783A" w:rsidRDefault="004243C6" w:rsidP="004243C6">
            <w:pPr>
              <w:rPr>
                <w:b/>
                <w:bCs/>
                <w:szCs w:val="22"/>
              </w:rPr>
            </w:pPr>
            <w:r w:rsidRPr="0095783A">
              <w:rPr>
                <w:szCs w:val="22"/>
              </w:rPr>
              <w:t>0007450762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51FC5F0" w14:textId="77777777" w:rsidR="004243C6" w:rsidRPr="0095783A" w:rsidRDefault="004243C6" w:rsidP="004243C6">
            <w:pPr>
              <w:rPr>
                <w:b/>
                <w:bCs/>
                <w:szCs w:val="22"/>
              </w:rPr>
            </w:pPr>
            <w:r w:rsidRPr="0095783A">
              <w:rPr>
                <w:szCs w:val="22"/>
              </w:rPr>
              <w:t>WPOJ871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EF97DE6" w14:textId="77777777" w:rsidR="004243C6" w:rsidRPr="0095783A" w:rsidRDefault="004243C6" w:rsidP="004243C6">
            <w:pPr>
              <w:rPr>
                <w:b/>
                <w:bCs/>
                <w:szCs w:val="22"/>
              </w:rPr>
            </w:pPr>
            <w:r w:rsidRPr="0095783A">
              <w:rPr>
                <w:szCs w:val="22"/>
              </w:rPr>
              <w:t>Extension of Second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245FC82F" w14:textId="77777777" w:rsidR="004243C6" w:rsidRPr="0095783A" w:rsidRDefault="004243C6" w:rsidP="004243C6">
            <w:pPr>
              <w:rPr>
                <w:b/>
                <w:bCs/>
                <w:szCs w:val="22"/>
              </w:rPr>
            </w:pPr>
            <w:r w:rsidRPr="0095783A">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98F6E92"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E91930E" w14:textId="77777777" w:rsidR="004243C6" w:rsidRPr="0095783A" w:rsidRDefault="004243C6" w:rsidP="004243C6">
            <w:pPr>
              <w:rPr>
                <w:b/>
                <w:bCs/>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11C36CE3" w14:textId="77777777" w:rsidR="004243C6" w:rsidRPr="0095783A" w:rsidRDefault="004243C6" w:rsidP="004243C6">
            <w:pPr>
              <w:rPr>
                <w:b/>
                <w:bCs/>
                <w:szCs w:val="22"/>
              </w:rPr>
            </w:pPr>
            <w:r w:rsidRPr="0095783A">
              <w:rPr>
                <w:szCs w:val="22"/>
              </w:rPr>
              <w:t>Buffalo-Niagara Falls, NY-PA</w:t>
            </w:r>
          </w:p>
        </w:tc>
      </w:tr>
      <w:tr w:rsidR="004243C6" w:rsidRPr="0095783A" w14:paraId="5C0E09AD"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603C74B" w14:textId="77777777" w:rsidR="004243C6" w:rsidRPr="0095783A" w:rsidRDefault="004243C6" w:rsidP="004243C6">
            <w:pPr>
              <w:rPr>
                <w:b/>
                <w:bCs/>
                <w:szCs w:val="22"/>
              </w:rPr>
            </w:pPr>
            <w:r w:rsidRPr="0095783A">
              <w:rPr>
                <w:szCs w:val="22"/>
              </w:rPr>
              <w:t>0007438932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4A016887" w14:textId="77777777" w:rsidR="004243C6" w:rsidRPr="0095783A" w:rsidRDefault="004243C6" w:rsidP="004243C6">
            <w:pPr>
              <w:rPr>
                <w:b/>
                <w:bCs/>
                <w:szCs w:val="22"/>
              </w:rPr>
            </w:pPr>
            <w:r w:rsidRPr="0095783A">
              <w:rPr>
                <w:szCs w:val="22"/>
              </w:rPr>
              <w:t>WPOJ872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313EC8B" w14:textId="77777777" w:rsidR="004243C6" w:rsidRPr="0095783A" w:rsidRDefault="004243C6" w:rsidP="004243C6">
            <w:pPr>
              <w:rPr>
                <w:b/>
                <w:bCs/>
                <w:szCs w:val="22"/>
              </w:rPr>
            </w:pPr>
            <w:r w:rsidRPr="0095783A">
              <w:rPr>
                <w:szCs w:val="22"/>
              </w:rPr>
              <w:t>Extension of First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1E6660BF" w14:textId="77777777" w:rsidR="004243C6" w:rsidRPr="0095783A" w:rsidRDefault="004243C6" w:rsidP="004243C6">
            <w:pPr>
              <w:rPr>
                <w:b/>
                <w:bCs/>
                <w:szCs w:val="22"/>
              </w:rPr>
            </w:pPr>
            <w:r w:rsidRPr="0095783A">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89A4777"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1B49665" w14:textId="77777777" w:rsidR="004243C6" w:rsidRPr="0095783A" w:rsidRDefault="004243C6" w:rsidP="004243C6">
            <w:pPr>
              <w:rPr>
                <w:b/>
                <w:bCs/>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77FA6553" w14:textId="1F637B5B" w:rsidR="004243C6" w:rsidRPr="0095783A" w:rsidRDefault="004243C6" w:rsidP="004243C6">
            <w:pPr>
              <w:rPr>
                <w:b/>
                <w:bCs/>
                <w:szCs w:val="22"/>
              </w:rPr>
            </w:pPr>
            <w:r w:rsidRPr="0095783A">
              <w:rPr>
                <w:szCs w:val="22"/>
              </w:rPr>
              <w:t>Tampa-St. Petersburg-</w:t>
            </w:r>
            <w:r w:rsidR="001F00A0" w:rsidRPr="0095783A">
              <w:rPr>
                <w:szCs w:val="22"/>
              </w:rPr>
              <w:t>Clearwater</w:t>
            </w:r>
          </w:p>
        </w:tc>
      </w:tr>
      <w:tr w:rsidR="004243C6" w:rsidRPr="0095783A" w14:paraId="15198B78"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1961AAD" w14:textId="77777777" w:rsidR="004243C6" w:rsidRPr="0095783A" w:rsidRDefault="004243C6" w:rsidP="004243C6">
            <w:pPr>
              <w:rPr>
                <w:b/>
                <w:bCs/>
                <w:szCs w:val="22"/>
              </w:rPr>
            </w:pPr>
            <w:r w:rsidRPr="0095783A">
              <w:rPr>
                <w:szCs w:val="22"/>
              </w:rPr>
              <w:t>0007450763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68A16BF" w14:textId="77777777" w:rsidR="004243C6" w:rsidRPr="0095783A" w:rsidRDefault="004243C6" w:rsidP="004243C6">
            <w:pPr>
              <w:rPr>
                <w:b/>
                <w:bCs/>
                <w:szCs w:val="22"/>
              </w:rPr>
            </w:pPr>
            <w:r w:rsidRPr="0095783A">
              <w:rPr>
                <w:szCs w:val="22"/>
              </w:rPr>
              <w:t>WPOJ872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A976432" w14:textId="77777777" w:rsidR="004243C6" w:rsidRPr="0095783A" w:rsidRDefault="004243C6" w:rsidP="004243C6">
            <w:pPr>
              <w:rPr>
                <w:b/>
                <w:bCs/>
                <w:szCs w:val="22"/>
              </w:rPr>
            </w:pPr>
            <w:r w:rsidRPr="0095783A">
              <w:rPr>
                <w:szCs w:val="22"/>
              </w:rPr>
              <w:t>Extension of Second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2CEB9E98" w14:textId="77777777" w:rsidR="004243C6" w:rsidRPr="0095783A" w:rsidRDefault="004243C6" w:rsidP="004243C6">
            <w:pPr>
              <w:rPr>
                <w:b/>
                <w:bCs/>
                <w:szCs w:val="22"/>
              </w:rPr>
            </w:pPr>
            <w:r w:rsidRPr="0095783A">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62FEB2F"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75E4C3B" w14:textId="77777777" w:rsidR="004243C6" w:rsidRPr="0095783A" w:rsidRDefault="004243C6" w:rsidP="004243C6">
            <w:pPr>
              <w:rPr>
                <w:b/>
                <w:bCs/>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579F4B53" w14:textId="59797C5B" w:rsidR="004243C6" w:rsidRPr="0095783A" w:rsidRDefault="004243C6" w:rsidP="004243C6">
            <w:pPr>
              <w:rPr>
                <w:b/>
                <w:bCs/>
                <w:szCs w:val="22"/>
              </w:rPr>
            </w:pPr>
            <w:r w:rsidRPr="0095783A">
              <w:rPr>
                <w:szCs w:val="22"/>
              </w:rPr>
              <w:t>Tampa-St. Petersburg-</w:t>
            </w:r>
            <w:r w:rsidR="001F00A0" w:rsidRPr="0095783A">
              <w:rPr>
                <w:szCs w:val="22"/>
              </w:rPr>
              <w:t>Clearwater</w:t>
            </w:r>
          </w:p>
        </w:tc>
      </w:tr>
      <w:tr w:rsidR="004243C6" w:rsidRPr="0095783A" w14:paraId="44F7DB9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00825AE" w14:textId="77777777" w:rsidR="004243C6" w:rsidRPr="0095783A" w:rsidRDefault="004243C6" w:rsidP="004243C6">
            <w:pPr>
              <w:rPr>
                <w:b/>
                <w:bCs/>
                <w:szCs w:val="22"/>
              </w:rPr>
            </w:pPr>
            <w:r w:rsidRPr="0095783A">
              <w:rPr>
                <w:szCs w:val="22"/>
              </w:rPr>
              <w:t>0007438933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39A48B3" w14:textId="77777777" w:rsidR="004243C6" w:rsidRPr="0095783A" w:rsidRDefault="004243C6" w:rsidP="004243C6">
            <w:pPr>
              <w:rPr>
                <w:b/>
                <w:bCs/>
                <w:szCs w:val="22"/>
              </w:rPr>
            </w:pPr>
            <w:r w:rsidRPr="0095783A">
              <w:rPr>
                <w:szCs w:val="22"/>
              </w:rPr>
              <w:t>WPOJ873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0E3AF40" w14:textId="77777777" w:rsidR="004243C6" w:rsidRPr="0095783A" w:rsidRDefault="004243C6" w:rsidP="004243C6">
            <w:pPr>
              <w:rPr>
                <w:b/>
                <w:bCs/>
                <w:szCs w:val="22"/>
              </w:rPr>
            </w:pPr>
            <w:r w:rsidRPr="0095783A">
              <w:rPr>
                <w:szCs w:val="22"/>
              </w:rPr>
              <w:t>Extension of First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69C71B3D" w14:textId="77777777" w:rsidR="004243C6" w:rsidRPr="0095783A" w:rsidRDefault="004243C6" w:rsidP="004243C6">
            <w:pPr>
              <w:rPr>
                <w:b/>
                <w:bCs/>
                <w:szCs w:val="22"/>
              </w:rPr>
            </w:pPr>
            <w:r w:rsidRPr="0095783A">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66CF012"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C428E25" w14:textId="77777777" w:rsidR="004243C6" w:rsidRPr="0095783A" w:rsidRDefault="004243C6" w:rsidP="004243C6">
            <w:pPr>
              <w:rPr>
                <w:b/>
                <w:bCs/>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505416B4" w14:textId="77777777" w:rsidR="004243C6" w:rsidRPr="0095783A" w:rsidRDefault="004243C6" w:rsidP="004243C6">
            <w:pPr>
              <w:rPr>
                <w:b/>
                <w:bCs/>
                <w:szCs w:val="22"/>
              </w:rPr>
            </w:pPr>
            <w:r w:rsidRPr="0095783A">
              <w:rPr>
                <w:szCs w:val="22"/>
              </w:rPr>
              <w:t>Atlanta, GA-AL-NC</w:t>
            </w:r>
          </w:p>
        </w:tc>
      </w:tr>
      <w:tr w:rsidR="004243C6" w:rsidRPr="0095783A" w14:paraId="336C458A"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3AF4441" w14:textId="77777777" w:rsidR="004243C6" w:rsidRPr="0095783A" w:rsidRDefault="004243C6" w:rsidP="004243C6">
            <w:pPr>
              <w:rPr>
                <w:b/>
                <w:bCs/>
                <w:szCs w:val="22"/>
              </w:rPr>
            </w:pPr>
            <w:r w:rsidRPr="0095783A">
              <w:rPr>
                <w:szCs w:val="22"/>
              </w:rPr>
              <w:t>0007450764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5DA781D" w14:textId="77777777" w:rsidR="004243C6" w:rsidRPr="0095783A" w:rsidRDefault="004243C6" w:rsidP="004243C6">
            <w:pPr>
              <w:rPr>
                <w:b/>
                <w:bCs/>
                <w:szCs w:val="22"/>
              </w:rPr>
            </w:pPr>
            <w:r w:rsidRPr="0095783A">
              <w:rPr>
                <w:szCs w:val="22"/>
              </w:rPr>
              <w:t>WPOJ873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93EA5CF" w14:textId="77777777" w:rsidR="004243C6" w:rsidRPr="0095783A" w:rsidRDefault="004243C6" w:rsidP="004243C6">
            <w:pPr>
              <w:rPr>
                <w:b/>
                <w:bCs/>
                <w:szCs w:val="22"/>
              </w:rPr>
            </w:pPr>
            <w:r w:rsidRPr="0095783A">
              <w:rPr>
                <w:szCs w:val="22"/>
              </w:rPr>
              <w:t>Extension of Second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036BD5A9" w14:textId="77777777" w:rsidR="004243C6" w:rsidRPr="0095783A" w:rsidRDefault="004243C6" w:rsidP="004243C6">
            <w:pPr>
              <w:rPr>
                <w:b/>
                <w:bCs/>
                <w:szCs w:val="22"/>
              </w:rPr>
            </w:pPr>
            <w:r w:rsidRPr="0095783A">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AF0779B"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6294C86" w14:textId="77777777" w:rsidR="004243C6" w:rsidRPr="0095783A" w:rsidRDefault="004243C6" w:rsidP="004243C6">
            <w:pPr>
              <w:rPr>
                <w:b/>
                <w:bCs/>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09699B02" w14:textId="77777777" w:rsidR="004243C6" w:rsidRPr="0095783A" w:rsidRDefault="004243C6" w:rsidP="004243C6">
            <w:pPr>
              <w:rPr>
                <w:b/>
                <w:bCs/>
                <w:szCs w:val="22"/>
              </w:rPr>
            </w:pPr>
            <w:r w:rsidRPr="0095783A">
              <w:rPr>
                <w:szCs w:val="22"/>
              </w:rPr>
              <w:t>Atlanta, GA-AL-NC</w:t>
            </w:r>
          </w:p>
        </w:tc>
      </w:tr>
      <w:tr w:rsidR="004243C6" w:rsidRPr="0095783A" w14:paraId="3640A835"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BB4803E" w14:textId="77777777" w:rsidR="004243C6" w:rsidRPr="0095783A" w:rsidRDefault="004243C6" w:rsidP="004243C6">
            <w:pPr>
              <w:rPr>
                <w:b/>
                <w:bCs/>
                <w:szCs w:val="22"/>
              </w:rPr>
            </w:pPr>
            <w:r w:rsidRPr="0095783A">
              <w:rPr>
                <w:szCs w:val="22"/>
              </w:rPr>
              <w:t>0007438934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6A8C4CF" w14:textId="77777777" w:rsidR="004243C6" w:rsidRPr="0095783A" w:rsidRDefault="004243C6" w:rsidP="004243C6">
            <w:pPr>
              <w:rPr>
                <w:b/>
                <w:bCs/>
                <w:szCs w:val="22"/>
              </w:rPr>
            </w:pPr>
            <w:r w:rsidRPr="0095783A">
              <w:rPr>
                <w:szCs w:val="22"/>
              </w:rPr>
              <w:t>WPOJ874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0392FD77" w14:textId="77777777" w:rsidR="004243C6" w:rsidRPr="0095783A" w:rsidRDefault="004243C6" w:rsidP="004243C6">
            <w:pPr>
              <w:rPr>
                <w:b/>
                <w:bCs/>
                <w:szCs w:val="22"/>
              </w:rPr>
            </w:pPr>
            <w:r w:rsidRPr="0095783A">
              <w:rPr>
                <w:szCs w:val="22"/>
              </w:rPr>
              <w:t>Extension of First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39125D8D" w14:textId="77777777" w:rsidR="004243C6" w:rsidRPr="0095783A" w:rsidRDefault="004243C6" w:rsidP="004243C6">
            <w:pPr>
              <w:rPr>
                <w:b/>
                <w:bCs/>
                <w:szCs w:val="22"/>
              </w:rPr>
            </w:pPr>
            <w:r w:rsidRPr="0095783A">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09BC138"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2503066" w14:textId="77777777" w:rsidR="004243C6" w:rsidRPr="0095783A" w:rsidRDefault="004243C6" w:rsidP="004243C6">
            <w:pPr>
              <w:rPr>
                <w:b/>
                <w:bCs/>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195D9598" w14:textId="77777777" w:rsidR="004243C6" w:rsidRPr="0095783A" w:rsidRDefault="004243C6" w:rsidP="004243C6">
            <w:pPr>
              <w:rPr>
                <w:b/>
                <w:bCs/>
                <w:szCs w:val="22"/>
              </w:rPr>
            </w:pPr>
            <w:r w:rsidRPr="0095783A">
              <w:rPr>
                <w:szCs w:val="22"/>
              </w:rPr>
              <w:t>Cleveland-Akron, OH-PA</w:t>
            </w:r>
          </w:p>
        </w:tc>
      </w:tr>
      <w:tr w:rsidR="004243C6" w:rsidRPr="0095783A" w14:paraId="2386C7AF"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6981D7BC" w14:textId="77777777" w:rsidR="004243C6" w:rsidRPr="0095783A" w:rsidRDefault="004243C6" w:rsidP="004243C6">
            <w:pPr>
              <w:rPr>
                <w:b/>
                <w:bCs/>
                <w:szCs w:val="22"/>
              </w:rPr>
            </w:pPr>
            <w:r w:rsidRPr="0095783A">
              <w:rPr>
                <w:szCs w:val="22"/>
              </w:rPr>
              <w:t>0007450765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53E4960" w14:textId="77777777" w:rsidR="004243C6" w:rsidRPr="0095783A" w:rsidRDefault="004243C6" w:rsidP="004243C6">
            <w:pPr>
              <w:rPr>
                <w:b/>
                <w:bCs/>
                <w:szCs w:val="22"/>
              </w:rPr>
            </w:pPr>
            <w:r w:rsidRPr="0095783A">
              <w:rPr>
                <w:szCs w:val="22"/>
              </w:rPr>
              <w:t>WPOJ874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191A7F1" w14:textId="77777777" w:rsidR="004243C6" w:rsidRPr="0095783A" w:rsidRDefault="004243C6" w:rsidP="004243C6">
            <w:pPr>
              <w:rPr>
                <w:b/>
                <w:bCs/>
                <w:szCs w:val="22"/>
              </w:rPr>
            </w:pPr>
            <w:r w:rsidRPr="0095783A">
              <w:rPr>
                <w:szCs w:val="22"/>
              </w:rPr>
              <w:t>Extension of Second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3BE487A4" w14:textId="77777777" w:rsidR="004243C6" w:rsidRPr="0095783A" w:rsidRDefault="004243C6" w:rsidP="004243C6">
            <w:pPr>
              <w:rPr>
                <w:b/>
                <w:bCs/>
                <w:szCs w:val="22"/>
              </w:rPr>
            </w:pPr>
            <w:r w:rsidRPr="0095783A">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934762B"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CA6366B" w14:textId="77777777" w:rsidR="004243C6" w:rsidRPr="0095783A" w:rsidRDefault="004243C6" w:rsidP="004243C6">
            <w:pPr>
              <w:rPr>
                <w:b/>
                <w:bCs/>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0F82AF2B" w14:textId="77777777" w:rsidR="004243C6" w:rsidRPr="0095783A" w:rsidRDefault="004243C6" w:rsidP="004243C6">
            <w:pPr>
              <w:rPr>
                <w:b/>
                <w:bCs/>
                <w:szCs w:val="22"/>
              </w:rPr>
            </w:pPr>
            <w:r w:rsidRPr="0095783A">
              <w:rPr>
                <w:szCs w:val="22"/>
              </w:rPr>
              <w:t>Cleveland-Akron, OH-PA</w:t>
            </w:r>
          </w:p>
        </w:tc>
      </w:tr>
      <w:tr w:rsidR="004243C6" w:rsidRPr="0095783A" w14:paraId="444839F7"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4A74DDC" w14:textId="77777777" w:rsidR="004243C6" w:rsidRPr="0095783A" w:rsidRDefault="004243C6" w:rsidP="004243C6">
            <w:pPr>
              <w:rPr>
                <w:b/>
                <w:bCs/>
                <w:szCs w:val="22"/>
              </w:rPr>
            </w:pPr>
            <w:r w:rsidRPr="0095783A">
              <w:rPr>
                <w:szCs w:val="22"/>
              </w:rPr>
              <w:t>0007438935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16296C3" w14:textId="77777777" w:rsidR="004243C6" w:rsidRPr="0095783A" w:rsidRDefault="004243C6" w:rsidP="004243C6">
            <w:pPr>
              <w:rPr>
                <w:b/>
                <w:bCs/>
                <w:szCs w:val="22"/>
              </w:rPr>
            </w:pPr>
            <w:r w:rsidRPr="0095783A">
              <w:rPr>
                <w:szCs w:val="22"/>
              </w:rPr>
              <w:t>WPOJ875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E3E8643" w14:textId="77777777" w:rsidR="004243C6" w:rsidRPr="0095783A" w:rsidRDefault="004243C6" w:rsidP="004243C6">
            <w:pPr>
              <w:rPr>
                <w:b/>
                <w:bCs/>
                <w:szCs w:val="22"/>
              </w:rPr>
            </w:pPr>
            <w:r w:rsidRPr="0095783A">
              <w:rPr>
                <w:szCs w:val="22"/>
              </w:rPr>
              <w:t>Extension of First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1FB1A6DD" w14:textId="77777777" w:rsidR="004243C6" w:rsidRPr="0095783A" w:rsidRDefault="004243C6" w:rsidP="004243C6">
            <w:pPr>
              <w:rPr>
                <w:b/>
                <w:bCs/>
                <w:szCs w:val="22"/>
              </w:rPr>
            </w:pPr>
            <w:r w:rsidRPr="0095783A">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D5B1CAF"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B6872D1" w14:textId="77777777" w:rsidR="004243C6" w:rsidRPr="0095783A" w:rsidRDefault="004243C6" w:rsidP="004243C6">
            <w:pPr>
              <w:rPr>
                <w:b/>
                <w:bCs/>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61097E89" w14:textId="77777777" w:rsidR="004243C6" w:rsidRPr="0095783A" w:rsidRDefault="004243C6" w:rsidP="004243C6">
            <w:pPr>
              <w:rPr>
                <w:b/>
                <w:bCs/>
                <w:szCs w:val="22"/>
              </w:rPr>
            </w:pPr>
            <w:r w:rsidRPr="0095783A">
              <w:rPr>
                <w:szCs w:val="22"/>
              </w:rPr>
              <w:t>Las Vegas, NV-AZ-UT</w:t>
            </w:r>
          </w:p>
        </w:tc>
      </w:tr>
      <w:tr w:rsidR="004243C6" w:rsidRPr="0095783A" w14:paraId="3AFB3A0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1E49DA9" w14:textId="77777777" w:rsidR="004243C6" w:rsidRPr="0095783A" w:rsidRDefault="004243C6" w:rsidP="004243C6">
            <w:pPr>
              <w:rPr>
                <w:szCs w:val="22"/>
              </w:rPr>
            </w:pPr>
            <w:r w:rsidRPr="0095783A">
              <w:rPr>
                <w:szCs w:val="22"/>
              </w:rPr>
              <w:t>0007450766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A812992" w14:textId="77777777" w:rsidR="004243C6" w:rsidRPr="0095783A" w:rsidRDefault="004243C6" w:rsidP="004243C6">
            <w:pPr>
              <w:rPr>
                <w:szCs w:val="22"/>
              </w:rPr>
            </w:pPr>
            <w:r w:rsidRPr="0095783A">
              <w:rPr>
                <w:szCs w:val="22"/>
              </w:rPr>
              <w:t>WPOJ875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824A354" w14:textId="77777777" w:rsidR="004243C6" w:rsidRPr="0095783A" w:rsidRDefault="004243C6" w:rsidP="004243C6">
            <w:pPr>
              <w:rPr>
                <w:szCs w:val="22"/>
              </w:rPr>
            </w:pPr>
            <w:r w:rsidRPr="0095783A">
              <w:rPr>
                <w:szCs w:val="22"/>
              </w:rPr>
              <w:t>Extension of Second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209A8677" w14:textId="77777777" w:rsidR="004243C6" w:rsidRPr="0095783A" w:rsidRDefault="004243C6" w:rsidP="004243C6">
            <w:pPr>
              <w:rPr>
                <w:szCs w:val="22"/>
              </w:rPr>
            </w:pPr>
            <w:r w:rsidRPr="0095783A">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3253881"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5F58C53"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58150F5D" w14:textId="77777777" w:rsidR="004243C6" w:rsidRPr="0095783A" w:rsidRDefault="004243C6" w:rsidP="004243C6">
            <w:pPr>
              <w:rPr>
                <w:szCs w:val="22"/>
              </w:rPr>
            </w:pPr>
            <w:r w:rsidRPr="0095783A">
              <w:rPr>
                <w:szCs w:val="22"/>
              </w:rPr>
              <w:t>Las Vegas, NV-AZ-UT</w:t>
            </w:r>
          </w:p>
        </w:tc>
      </w:tr>
      <w:tr w:rsidR="004243C6" w:rsidRPr="0095783A" w14:paraId="201F7A2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2ECFC53" w14:textId="77777777" w:rsidR="004243C6" w:rsidRPr="0095783A" w:rsidRDefault="004243C6" w:rsidP="004243C6">
            <w:pPr>
              <w:rPr>
                <w:szCs w:val="22"/>
              </w:rPr>
            </w:pPr>
            <w:r w:rsidRPr="0095783A">
              <w:rPr>
                <w:szCs w:val="22"/>
              </w:rPr>
              <w:t>0007438976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6898CC53" w14:textId="77777777" w:rsidR="004243C6" w:rsidRPr="0095783A" w:rsidRDefault="004243C6" w:rsidP="004243C6">
            <w:pPr>
              <w:rPr>
                <w:szCs w:val="22"/>
              </w:rPr>
            </w:pPr>
            <w:r w:rsidRPr="0095783A">
              <w:rPr>
                <w:szCs w:val="22"/>
              </w:rPr>
              <w:t>WPTH901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8E373A1" w14:textId="77777777" w:rsidR="004243C6" w:rsidRPr="0095783A" w:rsidRDefault="004243C6" w:rsidP="004243C6">
            <w:pPr>
              <w:rPr>
                <w:szCs w:val="22"/>
              </w:rPr>
            </w:pPr>
            <w:r w:rsidRPr="0095783A">
              <w:rPr>
                <w:szCs w:val="22"/>
              </w:rPr>
              <w:t>Extension of First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58D7BB68" w14:textId="77777777" w:rsidR="004243C6" w:rsidRPr="0095783A" w:rsidRDefault="004243C6" w:rsidP="004243C6">
            <w:pPr>
              <w:rPr>
                <w:szCs w:val="22"/>
              </w:rPr>
            </w:pPr>
            <w:r w:rsidRPr="0095783A">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73D6F67"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AE7AE77"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651CE238" w14:textId="77777777" w:rsidR="004243C6" w:rsidRPr="0095783A" w:rsidRDefault="004243C6" w:rsidP="004243C6">
            <w:pPr>
              <w:rPr>
                <w:szCs w:val="22"/>
              </w:rPr>
            </w:pPr>
            <w:r w:rsidRPr="0095783A">
              <w:rPr>
                <w:szCs w:val="22"/>
              </w:rPr>
              <w:t>Bangor, ME</w:t>
            </w:r>
          </w:p>
        </w:tc>
      </w:tr>
      <w:tr w:rsidR="004243C6" w:rsidRPr="0095783A" w14:paraId="1AAF0A37"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29CFA29" w14:textId="77777777" w:rsidR="004243C6" w:rsidRPr="0095783A" w:rsidRDefault="004243C6" w:rsidP="004243C6">
            <w:pPr>
              <w:rPr>
                <w:szCs w:val="22"/>
              </w:rPr>
            </w:pPr>
            <w:r w:rsidRPr="0095783A">
              <w:rPr>
                <w:szCs w:val="22"/>
              </w:rPr>
              <w:t>0007450792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B35DD40" w14:textId="77777777" w:rsidR="004243C6" w:rsidRPr="0095783A" w:rsidRDefault="004243C6" w:rsidP="004243C6">
            <w:pPr>
              <w:rPr>
                <w:szCs w:val="22"/>
              </w:rPr>
            </w:pPr>
            <w:r w:rsidRPr="0095783A">
              <w:rPr>
                <w:szCs w:val="22"/>
              </w:rPr>
              <w:t>WPTH901</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C759886" w14:textId="77777777" w:rsidR="004243C6" w:rsidRPr="0095783A" w:rsidRDefault="004243C6" w:rsidP="004243C6">
            <w:pPr>
              <w:rPr>
                <w:szCs w:val="22"/>
              </w:rPr>
            </w:pPr>
            <w:r w:rsidRPr="0095783A">
              <w:rPr>
                <w:szCs w:val="22"/>
              </w:rPr>
              <w:t>Extension of Second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36690FF7" w14:textId="77777777" w:rsidR="004243C6" w:rsidRPr="0095783A" w:rsidRDefault="004243C6" w:rsidP="004243C6">
            <w:pPr>
              <w:rPr>
                <w:szCs w:val="22"/>
              </w:rPr>
            </w:pPr>
            <w:r w:rsidRPr="0095783A">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79654EA"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D447B35"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2737972B" w14:textId="77777777" w:rsidR="004243C6" w:rsidRPr="0095783A" w:rsidRDefault="004243C6" w:rsidP="004243C6">
            <w:pPr>
              <w:rPr>
                <w:szCs w:val="22"/>
              </w:rPr>
            </w:pPr>
            <w:r w:rsidRPr="0095783A">
              <w:rPr>
                <w:szCs w:val="22"/>
              </w:rPr>
              <w:t>Bangor, ME</w:t>
            </w:r>
          </w:p>
        </w:tc>
      </w:tr>
      <w:tr w:rsidR="004243C6" w:rsidRPr="0095783A" w14:paraId="46DD1ADB"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8279F4B" w14:textId="77777777" w:rsidR="004243C6" w:rsidRPr="0095783A" w:rsidRDefault="004243C6" w:rsidP="004243C6">
            <w:pPr>
              <w:rPr>
                <w:szCs w:val="22"/>
              </w:rPr>
            </w:pPr>
            <w:r w:rsidRPr="0095783A">
              <w:rPr>
                <w:szCs w:val="22"/>
              </w:rPr>
              <w:t>0007438977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3316ECBE" w14:textId="77777777" w:rsidR="004243C6" w:rsidRPr="0095783A" w:rsidRDefault="004243C6" w:rsidP="004243C6">
            <w:pPr>
              <w:rPr>
                <w:szCs w:val="22"/>
              </w:rPr>
            </w:pPr>
            <w:r w:rsidRPr="0095783A">
              <w:rPr>
                <w:szCs w:val="22"/>
              </w:rPr>
              <w:t>WPTH902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1850F77" w14:textId="77777777" w:rsidR="004243C6" w:rsidRPr="0095783A" w:rsidRDefault="004243C6" w:rsidP="004243C6">
            <w:pPr>
              <w:rPr>
                <w:szCs w:val="22"/>
              </w:rPr>
            </w:pPr>
            <w:r w:rsidRPr="0095783A">
              <w:rPr>
                <w:szCs w:val="22"/>
              </w:rPr>
              <w:t>Extension of First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38AF04EC" w14:textId="77777777" w:rsidR="004243C6" w:rsidRPr="0095783A" w:rsidRDefault="004243C6" w:rsidP="004243C6">
            <w:pPr>
              <w:rPr>
                <w:szCs w:val="22"/>
              </w:rPr>
            </w:pPr>
            <w:r w:rsidRPr="0095783A">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D5CB085"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7ECAF8A"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2E171714" w14:textId="77777777" w:rsidR="004243C6" w:rsidRPr="0095783A" w:rsidRDefault="004243C6" w:rsidP="004243C6">
            <w:pPr>
              <w:rPr>
                <w:szCs w:val="22"/>
              </w:rPr>
            </w:pPr>
            <w:r w:rsidRPr="0095783A">
              <w:rPr>
                <w:szCs w:val="22"/>
              </w:rPr>
              <w:t>Portland, ME</w:t>
            </w:r>
          </w:p>
        </w:tc>
      </w:tr>
      <w:tr w:rsidR="004243C6" w:rsidRPr="0095783A" w14:paraId="7337CF89"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2B5C0D11" w14:textId="77777777" w:rsidR="004243C6" w:rsidRPr="0095783A" w:rsidRDefault="004243C6" w:rsidP="004243C6">
            <w:pPr>
              <w:rPr>
                <w:szCs w:val="22"/>
              </w:rPr>
            </w:pPr>
            <w:r w:rsidRPr="0095783A">
              <w:rPr>
                <w:szCs w:val="22"/>
              </w:rPr>
              <w:t>0007450793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56DFFEC" w14:textId="77777777" w:rsidR="004243C6" w:rsidRPr="0095783A" w:rsidRDefault="004243C6" w:rsidP="004243C6">
            <w:pPr>
              <w:rPr>
                <w:szCs w:val="22"/>
              </w:rPr>
            </w:pPr>
            <w:r w:rsidRPr="0095783A">
              <w:rPr>
                <w:szCs w:val="22"/>
              </w:rPr>
              <w:t>WPTH902</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7FFC3CB" w14:textId="77777777" w:rsidR="004243C6" w:rsidRPr="0095783A" w:rsidRDefault="004243C6" w:rsidP="004243C6">
            <w:pPr>
              <w:rPr>
                <w:szCs w:val="22"/>
              </w:rPr>
            </w:pPr>
            <w:r w:rsidRPr="0095783A">
              <w:rPr>
                <w:szCs w:val="22"/>
              </w:rPr>
              <w:t>Extension of Second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5A073263" w14:textId="77777777" w:rsidR="004243C6" w:rsidRPr="0095783A" w:rsidRDefault="004243C6" w:rsidP="004243C6">
            <w:pPr>
              <w:rPr>
                <w:szCs w:val="22"/>
              </w:rPr>
            </w:pPr>
            <w:r w:rsidRPr="0095783A">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124F287"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1791AD4"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7E072588" w14:textId="77777777" w:rsidR="004243C6" w:rsidRPr="0095783A" w:rsidRDefault="004243C6" w:rsidP="004243C6">
            <w:pPr>
              <w:rPr>
                <w:szCs w:val="22"/>
              </w:rPr>
            </w:pPr>
            <w:r w:rsidRPr="0095783A">
              <w:rPr>
                <w:szCs w:val="22"/>
              </w:rPr>
              <w:t>Portland, ME</w:t>
            </w:r>
          </w:p>
        </w:tc>
      </w:tr>
      <w:tr w:rsidR="004243C6" w:rsidRPr="0095783A" w14:paraId="47B57507"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F21A1CC" w14:textId="77777777" w:rsidR="004243C6" w:rsidRPr="0095783A" w:rsidRDefault="004243C6" w:rsidP="004243C6">
            <w:pPr>
              <w:rPr>
                <w:szCs w:val="22"/>
              </w:rPr>
            </w:pPr>
            <w:r w:rsidRPr="0095783A">
              <w:rPr>
                <w:szCs w:val="22"/>
              </w:rPr>
              <w:t>0007438978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848DFA9" w14:textId="77777777" w:rsidR="004243C6" w:rsidRPr="0095783A" w:rsidRDefault="004243C6" w:rsidP="004243C6">
            <w:pPr>
              <w:rPr>
                <w:szCs w:val="22"/>
              </w:rPr>
            </w:pPr>
            <w:r w:rsidRPr="0095783A">
              <w:rPr>
                <w:szCs w:val="22"/>
              </w:rPr>
              <w:t>WPTH903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EB913FC" w14:textId="77777777" w:rsidR="004243C6" w:rsidRPr="0095783A" w:rsidRDefault="004243C6" w:rsidP="004243C6">
            <w:pPr>
              <w:rPr>
                <w:szCs w:val="22"/>
              </w:rPr>
            </w:pPr>
            <w:r w:rsidRPr="0095783A">
              <w:rPr>
                <w:szCs w:val="22"/>
              </w:rPr>
              <w:t>Extension of First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4D409039" w14:textId="77777777" w:rsidR="004243C6" w:rsidRPr="0095783A" w:rsidRDefault="004243C6" w:rsidP="004243C6">
            <w:pPr>
              <w:rPr>
                <w:szCs w:val="22"/>
              </w:rPr>
            </w:pPr>
            <w:r w:rsidRPr="0095783A">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0E9C747"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38ED033"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78D61375" w14:textId="77777777" w:rsidR="004243C6" w:rsidRPr="0095783A" w:rsidRDefault="004243C6" w:rsidP="004243C6">
            <w:pPr>
              <w:rPr>
                <w:szCs w:val="22"/>
              </w:rPr>
            </w:pPr>
            <w:r w:rsidRPr="0095783A">
              <w:rPr>
                <w:szCs w:val="22"/>
              </w:rPr>
              <w:t>Johnson City-Kingsport-Bristol</w:t>
            </w:r>
          </w:p>
        </w:tc>
      </w:tr>
      <w:tr w:rsidR="004243C6" w:rsidRPr="0095783A" w14:paraId="3636E9C1"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7575B65" w14:textId="77777777" w:rsidR="004243C6" w:rsidRPr="0095783A" w:rsidRDefault="004243C6" w:rsidP="004243C6">
            <w:pPr>
              <w:rPr>
                <w:szCs w:val="22"/>
              </w:rPr>
            </w:pPr>
            <w:r w:rsidRPr="0095783A">
              <w:rPr>
                <w:szCs w:val="22"/>
              </w:rPr>
              <w:t>0007450794</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D5A00F8" w14:textId="77777777" w:rsidR="004243C6" w:rsidRPr="0095783A" w:rsidRDefault="004243C6" w:rsidP="004243C6">
            <w:pPr>
              <w:rPr>
                <w:szCs w:val="22"/>
              </w:rPr>
            </w:pPr>
            <w:r w:rsidRPr="0095783A">
              <w:rPr>
                <w:szCs w:val="22"/>
              </w:rPr>
              <w:t>WPTH903</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0E3E450" w14:textId="77777777" w:rsidR="004243C6" w:rsidRPr="0095783A" w:rsidRDefault="004243C6" w:rsidP="004243C6">
            <w:pPr>
              <w:rPr>
                <w:szCs w:val="22"/>
              </w:rPr>
            </w:pPr>
            <w:r w:rsidRPr="0095783A">
              <w:rPr>
                <w:szCs w:val="22"/>
              </w:rPr>
              <w:t>Extension of Second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51BAB012" w14:textId="77777777" w:rsidR="004243C6" w:rsidRPr="0095783A" w:rsidRDefault="004243C6" w:rsidP="004243C6">
            <w:pPr>
              <w:rPr>
                <w:szCs w:val="22"/>
              </w:rPr>
            </w:pPr>
            <w:r w:rsidRPr="0095783A">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20188AC"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FE4D1B4"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584DA81B" w14:textId="77777777" w:rsidR="004243C6" w:rsidRPr="0095783A" w:rsidRDefault="004243C6" w:rsidP="004243C6">
            <w:pPr>
              <w:rPr>
                <w:szCs w:val="22"/>
              </w:rPr>
            </w:pPr>
            <w:r w:rsidRPr="0095783A">
              <w:rPr>
                <w:szCs w:val="22"/>
              </w:rPr>
              <w:t>Johnson City-Kingsport-Bristol</w:t>
            </w:r>
          </w:p>
        </w:tc>
      </w:tr>
      <w:tr w:rsidR="004243C6" w:rsidRPr="0095783A" w14:paraId="6D57DF3D"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73B251B3" w14:textId="77777777" w:rsidR="004243C6" w:rsidRPr="0095783A" w:rsidRDefault="004243C6" w:rsidP="004243C6">
            <w:pPr>
              <w:rPr>
                <w:szCs w:val="22"/>
              </w:rPr>
            </w:pPr>
            <w:r w:rsidRPr="0095783A">
              <w:rPr>
                <w:szCs w:val="22"/>
              </w:rPr>
              <w:t>0007438979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1AF52FE6" w14:textId="77777777" w:rsidR="004243C6" w:rsidRPr="0095783A" w:rsidRDefault="004243C6" w:rsidP="004243C6">
            <w:pPr>
              <w:rPr>
                <w:szCs w:val="22"/>
              </w:rPr>
            </w:pPr>
            <w:r w:rsidRPr="0095783A">
              <w:rPr>
                <w:szCs w:val="22"/>
              </w:rPr>
              <w:t>WPTH904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B3B455F" w14:textId="77777777" w:rsidR="004243C6" w:rsidRPr="0095783A" w:rsidRDefault="004243C6" w:rsidP="004243C6">
            <w:pPr>
              <w:rPr>
                <w:szCs w:val="22"/>
              </w:rPr>
            </w:pPr>
            <w:r w:rsidRPr="0095783A">
              <w:rPr>
                <w:szCs w:val="22"/>
              </w:rPr>
              <w:t>Extension of First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3BE13DE8" w14:textId="77777777" w:rsidR="004243C6" w:rsidRPr="0095783A" w:rsidRDefault="004243C6" w:rsidP="004243C6">
            <w:pPr>
              <w:rPr>
                <w:szCs w:val="22"/>
              </w:rPr>
            </w:pPr>
            <w:r w:rsidRPr="0095783A">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B10B271"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A9A65A0"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70399D63" w14:textId="77777777" w:rsidR="004243C6" w:rsidRPr="0095783A" w:rsidRDefault="004243C6" w:rsidP="004243C6">
            <w:pPr>
              <w:rPr>
                <w:szCs w:val="22"/>
              </w:rPr>
            </w:pPr>
            <w:r w:rsidRPr="0095783A">
              <w:rPr>
                <w:szCs w:val="22"/>
              </w:rPr>
              <w:t>Charleston, WV-KY-OH</w:t>
            </w:r>
          </w:p>
        </w:tc>
      </w:tr>
      <w:tr w:rsidR="004243C6" w:rsidRPr="0095783A" w14:paraId="34FF0C92"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F1C2629" w14:textId="77777777" w:rsidR="004243C6" w:rsidRPr="0095783A" w:rsidRDefault="004243C6" w:rsidP="004243C6">
            <w:pPr>
              <w:rPr>
                <w:szCs w:val="22"/>
              </w:rPr>
            </w:pPr>
            <w:r w:rsidRPr="0095783A">
              <w:rPr>
                <w:szCs w:val="22"/>
              </w:rPr>
              <w:t>0007450795</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5F0EE9A" w14:textId="77777777" w:rsidR="004243C6" w:rsidRPr="0095783A" w:rsidRDefault="004243C6" w:rsidP="004243C6">
            <w:pPr>
              <w:rPr>
                <w:szCs w:val="22"/>
              </w:rPr>
            </w:pPr>
            <w:r w:rsidRPr="0095783A">
              <w:rPr>
                <w:szCs w:val="22"/>
              </w:rPr>
              <w:t>WPTH904</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6FE5F84" w14:textId="77777777" w:rsidR="004243C6" w:rsidRPr="0095783A" w:rsidRDefault="004243C6" w:rsidP="004243C6">
            <w:pPr>
              <w:rPr>
                <w:szCs w:val="22"/>
              </w:rPr>
            </w:pPr>
            <w:r w:rsidRPr="0095783A">
              <w:rPr>
                <w:szCs w:val="22"/>
              </w:rPr>
              <w:t>Extension of Second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37A30F10" w14:textId="77777777" w:rsidR="004243C6" w:rsidRPr="0095783A" w:rsidRDefault="004243C6" w:rsidP="004243C6">
            <w:pPr>
              <w:rPr>
                <w:szCs w:val="22"/>
              </w:rPr>
            </w:pPr>
            <w:r w:rsidRPr="0095783A">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585B6ED"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5C75AF7"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7BF9B0C2" w14:textId="77777777" w:rsidR="004243C6" w:rsidRPr="0095783A" w:rsidRDefault="004243C6" w:rsidP="004243C6">
            <w:pPr>
              <w:rPr>
                <w:szCs w:val="22"/>
              </w:rPr>
            </w:pPr>
            <w:r w:rsidRPr="0095783A">
              <w:rPr>
                <w:szCs w:val="22"/>
              </w:rPr>
              <w:t>Charleston, WV-KY-OH</w:t>
            </w:r>
          </w:p>
        </w:tc>
      </w:tr>
      <w:tr w:rsidR="004243C6" w:rsidRPr="0095783A" w14:paraId="4EC34575"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7920DE3" w14:textId="77777777" w:rsidR="004243C6" w:rsidRPr="0095783A" w:rsidRDefault="004243C6" w:rsidP="004243C6">
            <w:pPr>
              <w:rPr>
                <w:szCs w:val="22"/>
              </w:rPr>
            </w:pPr>
            <w:r w:rsidRPr="0095783A">
              <w:rPr>
                <w:szCs w:val="22"/>
              </w:rPr>
              <w:t>0007438980</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92B96ED" w14:textId="77777777" w:rsidR="004243C6" w:rsidRPr="0095783A" w:rsidRDefault="004243C6" w:rsidP="004243C6">
            <w:pPr>
              <w:rPr>
                <w:szCs w:val="22"/>
              </w:rPr>
            </w:pPr>
            <w:r w:rsidRPr="0095783A">
              <w:rPr>
                <w:szCs w:val="22"/>
              </w:rPr>
              <w:t>WPTH905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1849FDA8" w14:textId="77777777" w:rsidR="004243C6" w:rsidRPr="0095783A" w:rsidRDefault="004243C6" w:rsidP="004243C6">
            <w:pPr>
              <w:rPr>
                <w:szCs w:val="22"/>
              </w:rPr>
            </w:pPr>
            <w:r w:rsidRPr="0095783A">
              <w:rPr>
                <w:szCs w:val="22"/>
              </w:rPr>
              <w:t>Extension of First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6994DDBC" w14:textId="77777777" w:rsidR="004243C6" w:rsidRPr="0095783A" w:rsidRDefault="004243C6" w:rsidP="004243C6">
            <w:pPr>
              <w:rPr>
                <w:szCs w:val="22"/>
              </w:rPr>
            </w:pPr>
            <w:r w:rsidRPr="0095783A">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F0B6EFC"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4AD6C6C"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4C2551E3" w14:textId="77777777" w:rsidR="004243C6" w:rsidRPr="0095783A" w:rsidRDefault="004243C6" w:rsidP="004243C6">
            <w:pPr>
              <w:rPr>
                <w:szCs w:val="22"/>
              </w:rPr>
            </w:pPr>
            <w:r w:rsidRPr="0095783A">
              <w:rPr>
                <w:szCs w:val="22"/>
              </w:rPr>
              <w:t>Wheeling, WV-OH</w:t>
            </w:r>
          </w:p>
        </w:tc>
      </w:tr>
      <w:tr w:rsidR="004243C6" w:rsidRPr="0095783A" w14:paraId="7F789AFC"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344C8B19" w14:textId="77777777" w:rsidR="004243C6" w:rsidRPr="0095783A" w:rsidRDefault="004243C6" w:rsidP="004243C6">
            <w:pPr>
              <w:rPr>
                <w:szCs w:val="22"/>
              </w:rPr>
            </w:pPr>
            <w:r w:rsidRPr="0095783A">
              <w:rPr>
                <w:szCs w:val="22"/>
              </w:rPr>
              <w:t>0007450796</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780FFA4" w14:textId="77777777" w:rsidR="004243C6" w:rsidRPr="0095783A" w:rsidRDefault="004243C6" w:rsidP="004243C6">
            <w:pPr>
              <w:rPr>
                <w:szCs w:val="22"/>
              </w:rPr>
            </w:pPr>
            <w:r w:rsidRPr="0095783A">
              <w:rPr>
                <w:szCs w:val="22"/>
              </w:rPr>
              <w:t>WPTH905</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2ADC344F" w14:textId="77777777" w:rsidR="004243C6" w:rsidRPr="0095783A" w:rsidRDefault="004243C6" w:rsidP="004243C6">
            <w:pPr>
              <w:rPr>
                <w:szCs w:val="22"/>
              </w:rPr>
            </w:pPr>
            <w:r w:rsidRPr="0095783A">
              <w:rPr>
                <w:szCs w:val="22"/>
              </w:rPr>
              <w:t>Extension of Second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5CCF8CBF" w14:textId="77777777" w:rsidR="004243C6" w:rsidRPr="0095783A" w:rsidRDefault="004243C6" w:rsidP="004243C6">
            <w:pPr>
              <w:rPr>
                <w:szCs w:val="22"/>
              </w:rPr>
            </w:pPr>
            <w:r w:rsidRPr="0095783A">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1575142"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DD50A99"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61045D35" w14:textId="77777777" w:rsidR="004243C6" w:rsidRPr="0095783A" w:rsidRDefault="004243C6" w:rsidP="004243C6">
            <w:pPr>
              <w:rPr>
                <w:szCs w:val="22"/>
              </w:rPr>
            </w:pPr>
            <w:r w:rsidRPr="0095783A">
              <w:rPr>
                <w:szCs w:val="22"/>
              </w:rPr>
              <w:t>Wheeling, WV-OH</w:t>
            </w:r>
          </w:p>
        </w:tc>
      </w:tr>
      <w:tr w:rsidR="004243C6" w:rsidRPr="0095783A" w14:paraId="71B83D60"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0DEA27E" w14:textId="77777777" w:rsidR="004243C6" w:rsidRPr="0095783A" w:rsidRDefault="004243C6" w:rsidP="004243C6">
            <w:pPr>
              <w:rPr>
                <w:szCs w:val="22"/>
              </w:rPr>
            </w:pPr>
            <w:r w:rsidRPr="0095783A">
              <w:rPr>
                <w:szCs w:val="22"/>
              </w:rPr>
              <w:t>0007438981</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080C99D0" w14:textId="77777777" w:rsidR="004243C6" w:rsidRPr="0095783A" w:rsidRDefault="004243C6" w:rsidP="004243C6">
            <w:pPr>
              <w:rPr>
                <w:szCs w:val="22"/>
              </w:rPr>
            </w:pPr>
            <w:r w:rsidRPr="0095783A">
              <w:rPr>
                <w:szCs w:val="22"/>
              </w:rPr>
              <w:t>WPTH906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66757276" w14:textId="77777777" w:rsidR="004243C6" w:rsidRPr="0095783A" w:rsidRDefault="004243C6" w:rsidP="004243C6">
            <w:pPr>
              <w:rPr>
                <w:szCs w:val="22"/>
              </w:rPr>
            </w:pPr>
            <w:r w:rsidRPr="0095783A">
              <w:rPr>
                <w:szCs w:val="22"/>
              </w:rPr>
              <w:t>Extension of First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42B51805" w14:textId="77777777" w:rsidR="004243C6" w:rsidRPr="0095783A" w:rsidRDefault="004243C6" w:rsidP="004243C6">
            <w:pPr>
              <w:rPr>
                <w:szCs w:val="22"/>
              </w:rPr>
            </w:pPr>
            <w:r w:rsidRPr="0095783A">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8675B06"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01BBB89"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72F6661C" w14:textId="77777777" w:rsidR="004243C6" w:rsidRPr="0095783A" w:rsidRDefault="004243C6" w:rsidP="004243C6">
            <w:pPr>
              <w:rPr>
                <w:szCs w:val="22"/>
              </w:rPr>
            </w:pPr>
            <w:r w:rsidRPr="0095783A">
              <w:rPr>
                <w:szCs w:val="22"/>
              </w:rPr>
              <w:t>Erie, PA</w:t>
            </w:r>
          </w:p>
        </w:tc>
      </w:tr>
      <w:tr w:rsidR="004243C6" w:rsidRPr="0095783A" w14:paraId="6589162A"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41779CB" w14:textId="77777777" w:rsidR="004243C6" w:rsidRPr="0095783A" w:rsidRDefault="004243C6" w:rsidP="004243C6">
            <w:pPr>
              <w:rPr>
                <w:szCs w:val="22"/>
              </w:rPr>
            </w:pPr>
            <w:r w:rsidRPr="0095783A">
              <w:rPr>
                <w:szCs w:val="22"/>
              </w:rPr>
              <w:t>0007450797</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3A84C91" w14:textId="77777777" w:rsidR="004243C6" w:rsidRPr="0095783A" w:rsidRDefault="004243C6" w:rsidP="004243C6">
            <w:pPr>
              <w:rPr>
                <w:szCs w:val="22"/>
              </w:rPr>
            </w:pPr>
            <w:r w:rsidRPr="0095783A">
              <w:rPr>
                <w:szCs w:val="22"/>
              </w:rPr>
              <w:t>WPTH906</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A8E3F1F" w14:textId="77777777" w:rsidR="004243C6" w:rsidRPr="0095783A" w:rsidRDefault="004243C6" w:rsidP="004243C6">
            <w:pPr>
              <w:rPr>
                <w:szCs w:val="22"/>
              </w:rPr>
            </w:pPr>
            <w:r w:rsidRPr="0095783A">
              <w:rPr>
                <w:szCs w:val="22"/>
              </w:rPr>
              <w:t>Extension of Second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3E189068" w14:textId="77777777" w:rsidR="004243C6" w:rsidRPr="0095783A" w:rsidRDefault="004243C6" w:rsidP="004243C6">
            <w:pPr>
              <w:rPr>
                <w:szCs w:val="22"/>
              </w:rPr>
            </w:pPr>
            <w:r w:rsidRPr="0095783A">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F68C145"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0CB4598"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11397D50" w14:textId="77777777" w:rsidR="004243C6" w:rsidRPr="0095783A" w:rsidRDefault="004243C6" w:rsidP="004243C6">
            <w:pPr>
              <w:rPr>
                <w:szCs w:val="22"/>
              </w:rPr>
            </w:pPr>
            <w:r w:rsidRPr="0095783A">
              <w:rPr>
                <w:szCs w:val="22"/>
              </w:rPr>
              <w:t>Erie, PA</w:t>
            </w:r>
          </w:p>
        </w:tc>
      </w:tr>
      <w:tr w:rsidR="004243C6" w:rsidRPr="0095783A" w14:paraId="4B84CF3B"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7244620" w14:textId="77777777" w:rsidR="004243C6" w:rsidRPr="0095783A" w:rsidRDefault="004243C6" w:rsidP="004243C6">
            <w:pPr>
              <w:rPr>
                <w:szCs w:val="22"/>
              </w:rPr>
            </w:pPr>
            <w:r w:rsidRPr="0095783A">
              <w:rPr>
                <w:szCs w:val="22"/>
              </w:rPr>
              <w:t>0007438982</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5A31B55" w14:textId="77777777" w:rsidR="004243C6" w:rsidRPr="0095783A" w:rsidRDefault="004243C6" w:rsidP="004243C6">
            <w:pPr>
              <w:rPr>
                <w:szCs w:val="22"/>
              </w:rPr>
            </w:pPr>
            <w:r w:rsidRPr="0095783A">
              <w:rPr>
                <w:szCs w:val="22"/>
              </w:rPr>
              <w:t>WPTH907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7D5C6052" w14:textId="77777777" w:rsidR="004243C6" w:rsidRPr="0095783A" w:rsidRDefault="004243C6" w:rsidP="004243C6">
            <w:pPr>
              <w:rPr>
                <w:szCs w:val="22"/>
              </w:rPr>
            </w:pPr>
            <w:r w:rsidRPr="0095783A">
              <w:rPr>
                <w:szCs w:val="22"/>
              </w:rPr>
              <w:t>Extension of First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5BE81ED3" w14:textId="77777777" w:rsidR="004243C6" w:rsidRPr="0095783A" w:rsidRDefault="004243C6" w:rsidP="004243C6">
            <w:pPr>
              <w:rPr>
                <w:szCs w:val="22"/>
              </w:rPr>
            </w:pPr>
            <w:r w:rsidRPr="0095783A">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2F37A5D"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1AA2957"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7800A347" w14:textId="77777777" w:rsidR="004243C6" w:rsidRPr="0095783A" w:rsidRDefault="004243C6" w:rsidP="004243C6">
            <w:pPr>
              <w:rPr>
                <w:szCs w:val="22"/>
              </w:rPr>
            </w:pPr>
            <w:r w:rsidRPr="0095783A">
              <w:rPr>
                <w:szCs w:val="22"/>
              </w:rPr>
              <w:t>Traverse City, MI</w:t>
            </w:r>
          </w:p>
        </w:tc>
      </w:tr>
      <w:tr w:rsidR="004243C6" w:rsidRPr="0095783A" w14:paraId="461C9637"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410EFA27" w14:textId="77777777" w:rsidR="004243C6" w:rsidRPr="0095783A" w:rsidRDefault="004243C6" w:rsidP="004243C6">
            <w:pPr>
              <w:rPr>
                <w:szCs w:val="22"/>
              </w:rPr>
            </w:pPr>
            <w:r w:rsidRPr="0095783A">
              <w:rPr>
                <w:szCs w:val="22"/>
              </w:rPr>
              <w:t>0007450798</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769F7D56" w14:textId="77777777" w:rsidR="004243C6" w:rsidRPr="0095783A" w:rsidRDefault="004243C6" w:rsidP="004243C6">
            <w:pPr>
              <w:rPr>
                <w:szCs w:val="22"/>
              </w:rPr>
            </w:pPr>
            <w:r w:rsidRPr="0095783A">
              <w:rPr>
                <w:szCs w:val="22"/>
              </w:rPr>
              <w:t>WPTH907</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5F983DE8" w14:textId="77777777" w:rsidR="004243C6" w:rsidRPr="0095783A" w:rsidRDefault="004243C6" w:rsidP="004243C6">
            <w:pPr>
              <w:rPr>
                <w:szCs w:val="22"/>
              </w:rPr>
            </w:pPr>
            <w:r w:rsidRPr="0095783A">
              <w:rPr>
                <w:szCs w:val="22"/>
              </w:rPr>
              <w:t>Extension of Second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6E8BDC3F" w14:textId="77777777" w:rsidR="004243C6" w:rsidRPr="0095783A" w:rsidRDefault="004243C6" w:rsidP="004243C6">
            <w:pPr>
              <w:rPr>
                <w:szCs w:val="22"/>
              </w:rPr>
            </w:pPr>
            <w:r w:rsidRPr="0095783A">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68D5D78"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8476C61"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6715B062" w14:textId="77777777" w:rsidR="004243C6" w:rsidRPr="0095783A" w:rsidRDefault="004243C6" w:rsidP="004243C6">
            <w:pPr>
              <w:rPr>
                <w:szCs w:val="22"/>
              </w:rPr>
            </w:pPr>
            <w:r w:rsidRPr="0095783A">
              <w:rPr>
                <w:szCs w:val="22"/>
              </w:rPr>
              <w:t>Traverse City, MI</w:t>
            </w:r>
          </w:p>
        </w:tc>
      </w:tr>
      <w:tr w:rsidR="004243C6" w:rsidRPr="0095783A" w14:paraId="7F0C2EDA"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1BB8410" w14:textId="77777777" w:rsidR="004243C6" w:rsidRPr="0095783A" w:rsidRDefault="004243C6" w:rsidP="004243C6">
            <w:pPr>
              <w:rPr>
                <w:szCs w:val="22"/>
              </w:rPr>
            </w:pPr>
            <w:r w:rsidRPr="0095783A">
              <w:rPr>
                <w:szCs w:val="22"/>
              </w:rPr>
              <w:t>0007438983</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21C6299D" w14:textId="77777777" w:rsidR="004243C6" w:rsidRPr="0095783A" w:rsidRDefault="004243C6" w:rsidP="004243C6">
            <w:pPr>
              <w:rPr>
                <w:szCs w:val="22"/>
              </w:rPr>
            </w:pPr>
            <w:r w:rsidRPr="0095783A">
              <w:rPr>
                <w:szCs w:val="22"/>
              </w:rPr>
              <w:t>WPTH908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4A3730AB" w14:textId="77777777" w:rsidR="004243C6" w:rsidRPr="0095783A" w:rsidRDefault="004243C6" w:rsidP="004243C6">
            <w:pPr>
              <w:rPr>
                <w:szCs w:val="22"/>
              </w:rPr>
            </w:pPr>
            <w:r w:rsidRPr="0095783A">
              <w:rPr>
                <w:szCs w:val="22"/>
              </w:rPr>
              <w:t>Extension of First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4252F8A5" w14:textId="77777777" w:rsidR="004243C6" w:rsidRPr="0095783A" w:rsidRDefault="004243C6" w:rsidP="004243C6">
            <w:pPr>
              <w:rPr>
                <w:szCs w:val="22"/>
              </w:rPr>
            </w:pPr>
            <w:r w:rsidRPr="0095783A">
              <w:rPr>
                <w:szCs w:val="22"/>
              </w:rPr>
              <w:t>8/31/2016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419BAB2"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A1BEF97"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4CC36526" w14:textId="77777777" w:rsidR="004243C6" w:rsidRPr="0095783A" w:rsidRDefault="004243C6" w:rsidP="004243C6">
            <w:pPr>
              <w:rPr>
                <w:szCs w:val="22"/>
              </w:rPr>
            </w:pPr>
            <w:r w:rsidRPr="0095783A">
              <w:rPr>
                <w:szCs w:val="22"/>
              </w:rPr>
              <w:t>Grand Rapids-Muskegon-Holland</w:t>
            </w:r>
          </w:p>
        </w:tc>
      </w:tr>
      <w:tr w:rsidR="004243C6" w:rsidRPr="0095783A" w14:paraId="2BA975B4" w14:textId="77777777" w:rsidTr="004243C6">
        <w:trPr>
          <w:trHeight w:val="720"/>
          <w:jc w:val="center"/>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116E6F6A" w14:textId="77777777" w:rsidR="004243C6" w:rsidRPr="0095783A" w:rsidRDefault="004243C6" w:rsidP="004243C6">
            <w:pPr>
              <w:rPr>
                <w:szCs w:val="22"/>
              </w:rPr>
            </w:pPr>
            <w:r w:rsidRPr="0095783A">
              <w:rPr>
                <w:szCs w:val="22"/>
              </w:rPr>
              <w:t>0007450799</w:t>
            </w:r>
          </w:p>
        </w:tc>
        <w:tc>
          <w:tcPr>
            <w:tcW w:w="1170" w:type="dxa"/>
            <w:tcBorders>
              <w:top w:val="single" w:sz="4" w:space="0" w:color="CCCCFF"/>
              <w:left w:val="nil"/>
              <w:bottom w:val="single" w:sz="4" w:space="0" w:color="CCCCFF"/>
              <w:right w:val="single" w:sz="4" w:space="0" w:color="CCCCFF"/>
            </w:tcBorders>
            <w:shd w:val="clear" w:color="FFFFFF" w:fill="FFFFFF"/>
            <w:vAlign w:val="center"/>
          </w:tcPr>
          <w:p w14:paraId="54B4DFB1" w14:textId="77777777" w:rsidR="004243C6" w:rsidRPr="0095783A" w:rsidRDefault="004243C6" w:rsidP="004243C6">
            <w:pPr>
              <w:rPr>
                <w:szCs w:val="22"/>
              </w:rPr>
            </w:pPr>
            <w:r w:rsidRPr="0095783A">
              <w:rPr>
                <w:szCs w:val="22"/>
              </w:rPr>
              <w:t>WPTH908</w:t>
            </w:r>
          </w:p>
        </w:tc>
        <w:tc>
          <w:tcPr>
            <w:tcW w:w="1975" w:type="dxa"/>
            <w:tcBorders>
              <w:top w:val="single" w:sz="4" w:space="0" w:color="CCCCFF"/>
              <w:left w:val="nil"/>
              <w:bottom w:val="single" w:sz="4" w:space="0" w:color="CCCCFF"/>
              <w:right w:val="single" w:sz="4" w:space="0" w:color="CCCCFF"/>
            </w:tcBorders>
            <w:shd w:val="clear" w:color="FFFFFF" w:fill="FFFFFF"/>
            <w:vAlign w:val="center"/>
          </w:tcPr>
          <w:p w14:paraId="39F66D41" w14:textId="77777777" w:rsidR="004243C6" w:rsidRPr="0095783A" w:rsidRDefault="004243C6" w:rsidP="004243C6">
            <w:pPr>
              <w:rPr>
                <w:szCs w:val="22"/>
              </w:rPr>
            </w:pPr>
            <w:r w:rsidRPr="0095783A">
              <w:rPr>
                <w:szCs w:val="22"/>
              </w:rPr>
              <w:t>Extension of Second Deadline</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3DCA3C4B" w14:textId="77777777" w:rsidR="004243C6" w:rsidRPr="0095783A" w:rsidRDefault="004243C6" w:rsidP="004243C6">
            <w:pPr>
              <w:rPr>
                <w:szCs w:val="22"/>
              </w:rPr>
            </w:pPr>
            <w:r w:rsidRPr="0095783A">
              <w:rPr>
                <w:szCs w:val="22"/>
              </w:rPr>
              <w:t>9/12/2016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277CF62"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95B96AE" w14:textId="77777777" w:rsidR="004243C6" w:rsidRPr="0095783A" w:rsidRDefault="004243C6" w:rsidP="004243C6">
            <w:pPr>
              <w:rPr>
                <w:szCs w:val="22"/>
              </w:rPr>
            </w:pPr>
            <w:r w:rsidRPr="0095783A">
              <w:rPr>
                <w:szCs w:val="22"/>
              </w:rPr>
              <w:t>A</w:t>
            </w:r>
          </w:p>
        </w:tc>
        <w:tc>
          <w:tcPr>
            <w:tcW w:w="1620" w:type="dxa"/>
            <w:tcBorders>
              <w:top w:val="single" w:sz="4" w:space="0" w:color="CCCCFF"/>
              <w:left w:val="nil"/>
              <w:bottom w:val="single" w:sz="4" w:space="0" w:color="CCCCFF"/>
              <w:right w:val="single" w:sz="4" w:space="0" w:color="CCCCFF"/>
            </w:tcBorders>
            <w:shd w:val="clear" w:color="FFFFFF" w:fill="FFFFFF"/>
            <w:vAlign w:val="center"/>
          </w:tcPr>
          <w:p w14:paraId="69B04DE7" w14:textId="77777777" w:rsidR="004243C6" w:rsidRPr="0095783A" w:rsidRDefault="004243C6" w:rsidP="004243C6">
            <w:pPr>
              <w:rPr>
                <w:szCs w:val="22"/>
              </w:rPr>
            </w:pPr>
            <w:r w:rsidRPr="0095783A">
              <w:rPr>
                <w:szCs w:val="22"/>
              </w:rPr>
              <w:t>Grand Rapids-Muskegon-Holland</w:t>
            </w:r>
          </w:p>
        </w:tc>
      </w:tr>
    </w:tbl>
    <w:p w14:paraId="1F154B9D" w14:textId="77777777" w:rsidR="004243C6" w:rsidRPr="0095783A" w:rsidRDefault="004243C6" w:rsidP="004243C6">
      <w:pPr>
        <w:pStyle w:val="ParaNum"/>
        <w:numPr>
          <w:ilvl w:val="0"/>
          <w:numId w:val="0"/>
        </w:numPr>
        <w:tabs>
          <w:tab w:val="left" w:pos="720"/>
          <w:tab w:val="left" w:pos="1080"/>
        </w:tabs>
        <w:spacing w:after="0"/>
        <w:rPr>
          <w:b/>
          <w:szCs w:val="22"/>
        </w:rPr>
      </w:pPr>
    </w:p>
    <w:p w14:paraId="0F029BFB" w14:textId="77777777" w:rsidR="004243C6" w:rsidRPr="0095783A" w:rsidRDefault="004243C6" w:rsidP="004243C6">
      <w:pPr>
        <w:pStyle w:val="ParaNum"/>
        <w:numPr>
          <w:ilvl w:val="0"/>
          <w:numId w:val="0"/>
        </w:numPr>
        <w:tabs>
          <w:tab w:val="left" w:pos="720"/>
          <w:tab w:val="left" w:pos="1080"/>
        </w:tabs>
        <w:spacing w:after="0"/>
        <w:rPr>
          <w:b/>
          <w:szCs w:val="22"/>
        </w:rPr>
      </w:pPr>
    </w:p>
    <w:p w14:paraId="7226ACC5" w14:textId="77777777" w:rsidR="004243C6" w:rsidRPr="0095783A" w:rsidRDefault="004243C6" w:rsidP="004243C6">
      <w:pPr>
        <w:pStyle w:val="ParaNum"/>
        <w:numPr>
          <w:ilvl w:val="0"/>
          <w:numId w:val="0"/>
        </w:numPr>
        <w:tabs>
          <w:tab w:val="left" w:pos="720"/>
          <w:tab w:val="left" w:pos="1080"/>
        </w:tabs>
        <w:spacing w:after="0"/>
        <w:rPr>
          <w:b/>
          <w:szCs w:val="22"/>
        </w:rPr>
      </w:pPr>
      <w:r w:rsidRPr="0095783A">
        <w:rPr>
          <w:b/>
          <w:szCs w:val="22"/>
        </w:rPr>
        <w:t>Skybridge Spectrum Foundation Licenses:</w:t>
      </w:r>
    </w:p>
    <w:tbl>
      <w:tblPr>
        <w:tblW w:w="9450" w:type="dxa"/>
        <w:tblInd w:w="-95" w:type="dxa"/>
        <w:tblLayout w:type="fixed"/>
        <w:tblLook w:val="04A0" w:firstRow="1" w:lastRow="0" w:firstColumn="1" w:lastColumn="0" w:noHBand="0" w:noVBand="1"/>
      </w:tblPr>
      <w:tblGrid>
        <w:gridCol w:w="1350"/>
        <w:gridCol w:w="1260"/>
        <w:gridCol w:w="1530"/>
        <w:gridCol w:w="1440"/>
        <w:gridCol w:w="990"/>
        <w:gridCol w:w="1080"/>
        <w:gridCol w:w="1800"/>
      </w:tblGrid>
      <w:tr w:rsidR="004243C6" w:rsidRPr="0095783A" w14:paraId="171A02D0"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FFFFFF" w:fill="FFFFFF"/>
            <w:vAlign w:val="center"/>
            <w:hideMark/>
          </w:tcPr>
          <w:p w14:paraId="50BEF16F" w14:textId="77777777" w:rsidR="004243C6" w:rsidRPr="0095783A" w:rsidRDefault="004243C6" w:rsidP="004243C6">
            <w:pPr>
              <w:rPr>
                <w:b/>
                <w:bCs/>
                <w:szCs w:val="22"/>
              </w:rPr>
            </w:pPr>
            <w:r w:rsidRPr="0095783A">
              <w:rPr>
                <w:b/>
                <w:bCs/>
                <w:szCs w:val="22"/>
              </w:rPr>
              <w:t>File Number</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hideMark/>
          </w:tcPr>
          <w:p w14:paraId="48411082" w14:textId="77777777" w:rsidR="004243C6" w:rsidRPr="0095783A" w:rsidRDefault="004243C6" w:rsidP="004243C6">
            <w:pPr>
              <w:rPr>
                <w:b/>
                <w:bCs/>
                <w:szCs w:val="22"/>
              </w:rPr>
            </w:pPr>
            <w:r w:rsidRPr="0095783A">
              <w:rPr>
                <w:b/>
                <w:bCs/>
                <w:szCs w:val="22"/>
              </w:rPr>
              <w:t>Call Sign</w:t>
            </w:r>
          </w:p>
        </w:tc>
        <w:tc>
          <w:tcPr>
            <w:tcW w:w="1530" w:type="dxa"/>
            <w:tcBorders>
              <w:top w:val="single" w:sz="4" w:space="0" w:color="CCCCFF"/>
              <w:left w:val="nil"/>
              <w:bottom w:val="single" w:sz="4" w:space="0" w:color="CCCCFF"/>
              <w:right w:val="single" w:sz="4" w:space="0" w:color="CCCCFF"/>
            </w:tcBorders>
            <w:shd w:val="clear" w:color="FFFFFF" w:fill="FFFFFF"/>
            <w:vAlign w:val="center"/>
            <w:hideMark/>
          </w:tcPr>
          <w:p w14:paraId="03231542" w14:textId="77777777" w:rsidR="004243C6" w:rsidRPr="0095783A" w:rsidRDefault="004243C6" w:rsidP="004243C6">
            <w:pPr>
              <w:rPr>
                <w:b/>
                <w:bCs/>
                <w:szCs w:val="22"/>
              </w:rPr>
            </w:pPr>
            <w:r w:rsidRPr="0095783A">
              <w:rPr>
                <w:b/>
                <w:bCs/>
                <w:szCs w:val="22"/>
              </w:rPr>
              <w:t>Purpose</w:t>
            </w:r>
          </w:p>
        </w:tc>
        <w:tc>
          <w:tcPr>
            <w:tcW w:w="1440" w:type="dxa"/>
            <w:tcBorders>
              <w:top w:val="single" w:sz="4" w:space="0" w:color="CCCCFF"/>
              <w:left w:val="nil"/>
              <w:bottom w:val="single" w:sz="4" w:space="0" w:color="CCCCFF"/>
              <w:right w:val="single" w:sz="4" w:space="0" w:color="CCCCFF"/>
            </w:tcBorders>
            <w:shd w:val="clear" w:color="FFFFFF" w:fill="FFFFFF"/>
            <w:vAlign w:val="center"/>
            <w:hideMark/>
          </w:tcPr>
          <w:p w14:paraId="73F34A22" w14:textId="77777777" w:rsidR="004243C6" w:rsidRPr="0095783A" w:rsidRDefault="004243C6" w:rsidP="004243C6">
            <w:pPr>
              <w:rPr>
                <w:b/>
                <w:bCs/>
                <w:szCs w:val="22"/>
              </w:rPr>
            </w:pPr>
            <w:r w:rsidRPr="0095783A">
              <w:rPr>
                <w:b/>
                <w:bCs/>
                <w:szCs w:val="22"/>
              </w:rPr>
              <w:t>Receipt Date</w:t>
            </w:r>
          </w:p>
        </w:tc>
        <w:tc>
          <w:tcPr>
            <w:tcW w:w="990" w:type="dxa"/>
            <w:tcBorders>
              <w:top w:val="single" w:sz="4" w:space="0" w:color="CCCCFF"/>
              <w:left w:val="nil"/>
              <w:bottom w:val="single" w:sz="4" w:space="0" w:color="CCCCFF"/>
              <w:right w:val="single" w:sz="4" w:space="0" w:color="CCCCFF"/>
            </w:tcBorders>
            <w:shd w:val="clear" w:color="FFFFFF" w:fill="FFFFFF"/>
            <w:vAlign w:val="bottom"/>
            <w:hideMark/>
          </w:tcPr>
          <w:p w14:paraId="576FED4B" w14:textId="77777777" w:rsidR="004243C6" w:rsidRPr="0095783A" w:rsidRDefault="004243C6" w:rsidP="004243C6">
            <w:pPr>
              <w:rPr>
                <w:b/>
                <w:bCs/>
                <w:szCs w:val="22"/>
              </w:rPr>
            </w:pPr>
            <w:r w:rsidRPr="0095783A">
              <w:rPr>
                <w:b/>
                <w:bCs/>
                <w:szCs w:val="22"/>
              </w:rPr>
              <w:t>Radio Service Code</w:t>
            </w:r>
          </w:p>
        </w:tc>
        <w:tc>
          <w:tcPr>
            <w:tcW w:w="1080" w:type="dxa"/>
            <w:tcBorders>
              <w:top w:val="single" w:sz="4" w:space="0" w:color="CCCCFF"/>
              <w:left w:val="nil"/>
              <w:bottom w:val="single" w:sz="4" w:space="0" w:color="CCCCFF"/>
              <w:right w:val="single" w:sz="4" w:space="0" w:color="CCCCFF"/>
            </w:tcBorders>
            <w:shd w:val="clear" w:color="FFFFFF" w:fill="FFFFFF"/>
            <w:vAlign w:val="center"/>
            <w:hideMark/>
          </w:tcPr>
          <w:p w14:paraId="7BEF3939" w14:textId="77777777" w:rsidR="004243C6" w:rsidRPr="0095783A" w:rsidRDefault="004243C6" w:rsidP="004243C6">
            <w:pPr>
              <w:rPr>
                <w:b/>
                <w:bCs/>
                <w:szCs w:val="22"/>
              </w:rPr>
            </w:pPr>
            <w:r w:rsidRPr="0095783A">
              <w:rPr>
                <w:b/>
                <w:bCs/>
                <w:szCs w:val="22"/>
              </w:rPr>
              <w:t>Channel Block</w:t>
            </w:r>
          </w:p>
        </w:tc>
        <w:tc>
          <w:tcPr>
            <w:tcW w:w="1800" w:type="dxa"/>
            <w:tcBorders>
              <w:top w:val="single" w:sz="4" w:space="0" w:color="CCCCFF"/>
              <w:left w:val="nil"/>
              <w:bottom w:val="single" w:sz="4" w:space="0" w:color="CCCCFF"/>
              <w:right w:val="single" w:sz="4" w:space="0" w:color="CCCCFF"/>
            </w:tcBorders>
            <w:shd w:val="clear" w:color="FFFFFF" w:fill="FFFFFF"/>
            <w:vAlign w:val="center"/>
            <w:hideMark/>
          </w:tcPr>
          <w:p w14:paraId="23733DE3" w14:textId="77777777" w:rsidR="004243C6" w:rsidRPr="0095783A" w:rsidRDefault="004243C6" w:rsidP="004243C6">
            <w:pPr>
              <w:rPr>
                <w:b/>
                <w:bCs/>
                <w:szCs w:val="22"/>
              </w:rPr>
            </w:pPr>
            <w:r w:rsidRPr="0095783A">
              <w:rPr>
                <w:b/>
                <w:bCs/>
                <w:szCs w:val="22"/>
              </w:rPr>
              <w:t>Market Name</w:t>
            </w:r>
          </w:p>
        </w:tc>
      </w:tr>
      <w:tr w:rsidR="004243C6" w:rsidRPr="0095783A" w14:paraId="31EB509C"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BEA94C4" w14:textId="77777777" w:rsidR="004243C6" w:rsidRPr="0095783A" w:rsidRDefault="004243C6" w:rsidP="004243C6">
            <w:pPr>
              <w:rPr>
                <w:b/>
                <w:bCs/>
                <w:szCs w:val="22"/>
              </w:rPr>
            </w:pPr>
            <w:r w:rsidRPr="0095783A">
              <w:rPr>
                <w:szCs w:val="22"/>
              </w:rPr>
              <w:t>0007441599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15A0DAD" w14:textId="77777777" w:rsidR="004243C6" w:rsidRPr="0095783A" w:rsidRDefault="004243C6" w:rsidP="004243C6">
            <w:pPr>
              <w:rPr>
                <w:b/>
                <w:bCs/>
                <w:szCs w:val="22"/>
              </w:rPr>
            </w:pPr>
            <w:r w:rsidRPr="0095783A">
              <w:rPr>
                <w:szCs w:val="22"/>
              </w:rPr>
              <w:t>WQHU548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6CB83F6" w14:textId="77777777" w:rsidR="004243C6" w:rsidRPr="0095783A" w:rsidRDefault="004243C6" w:rsidP="004243C6">
            <w:pPr>
              <w:rPr>
                <w:b/>
                <w:bCs/>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8922D3D" w14:textId="77777777" w:rsidR="004243C6" w:rsidRPr="0095783A" w:rsidRDefault="004243C6" w:rsidP="004243C6">
            <w:pPr>
              <w:rPr>
                <w:b/>
                <w:bCs/>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ADE51D5"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DF61599" w14:textId="77777777" w:rsidR="004243C6" w:rsidRPr="0095783A" w:rsidRDefault="004243C6" w:rsidP="004243C6">
            <w:pPr>
              <w:rPr>
                <w:b/>
                <w:bCs/>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4A7516B" w14:textId="77777777" w:rsidR="004243C6" w:rsidRPr="0095783A" w:rsidRDefault="004243C6" w:rsidP="004243C6">
            <w:pPr>
              <w:rPr>
                <w:b/>
                <w:bCs/>
                <w:szCs w:val="22"/>
              </w:rPr>
            </w:pPr>
            <w:r w:rsidRPr="0095783A">
              <w:rPr>
                <w:szCs w:val="22"/>
              </w:rPr>
              <w:t>Boston-Worcester-Lawrence-Lowe</w:t>
            </w:r>
          </w:p>
        </w:tc>
      </w:tr>
      <w:tr w:rsidR="004243C6" w:rsidRPr="0095783A" w14:paraId="42EA3B76"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B80493D" w14:textId="77777777" w:rsidR="004243C6" w:rsidRPr="0095783A" w:rsidRDefault="004243C6" w:rsidP="004243C6">
            <w:pPr>
              <w:rPr>
                <w:b/>
                <w:bCs/>
                <w:szCs w:val="22"/>
              </w:rPr>
            </w:pPr>
            <w:r w:rsidRPr="0095783A">
              <w:rPr>
                <w:szCs w:val="22"/>
              </w:rPr>
              <w:t>0007441600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3867775" w14:textId="77777777" w:rsidR="004243C6" w:rsidRPr="0095783A" w:rsidRDefault="004243C6" w:rsidP="004243C6">
            <w:pPr>
              <w:rPr>
                <w:b/>
                <w:bCs/>
                <w:szCs w:val="22"/>
              </w:rPr>
            </w:pPr>
            <w:r w:rsidRPr="0095783A">
              <w:rPr>
                <w:szCs w:val="22"/>
              </w:rPr>
              <w:t>WQHU549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8A1BC97" w14:textId="77777777" w:rsidR="004243C6" w:rsidRPr="0095783A" w:rsidRDefault="004243C6" w:rsidP="004243C6">
            <w:pPr>
              <w:rPr>
                <w:b/>
                <w:bCs/>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FCCB4B6" w14:textId="77777777" w:rsidR="004243C6" w:rsidRPr="0095783A" w:rsidRDefault="004243C6" w:rsidP="004243C6">
            <w:pPr>
              <w:rPr>
                <w:b/>
                <w:bCs/>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B3D8B60"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318B2DF" w14:textId="77777777" w:rsidR="004243C6" w:rsidRPr="0095783A" w:rsidRDefault="004243C6" w:rsidP="004243C6">
            <w:pPr>
              <w:rPr>
                <w:b/>
                <w:bCs/>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592FC6A" w14:textId="77777777" w:rsidR="004243C6" w:rsidRPr="0095783A" w:rsidRDefault="004243C6" w:rsidP="004243C6">
            <w:pPr>
              <w:rPr>
                <w:b/>
                <w:bCs/>
                <w:szCs w:val="22"/>
              </w:rPr>
            </w:pPr>
            <w:r w:rsidRPr="0095783A">
              <w:rPr>
                <w:szCs w:val="22"/>
              </w:rPr>
              <w:t>New York-No. New Jer.-Long Isl</w:t>
            </w:r>
          </w:p>
        </w:tc>
      </w:tr>
      <w:tr w:rsidR="004243C6" w:rsidRPr="0095783A" w14:paraId="3FF6D70B"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EF7E640" w14:textId="77777777" w:rsidR="004243C6" w:rsidRPr="0095783A" w:rsidRDefault="004243C6" w:rsidP="004243C6">
            <w:pPr>
              <w:rPr>
                <w:b/>
                <w:bCs/>
                <w:szCs w:val="22"/>
              </w:rPr>
            </w:pPr>
            <w:r w:rsidRPr="0095783A">
              <w:rPr>
                <w:szCs w:val="22"/>
              </w:rPr>
              <w:t>0007441601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748EA8E" w14:textId="77777777" w:rsidR="004243C6" w:rsidRPr="0095783A" w:rsidRDefault="004243C6" w:rsidP="004243C6">
            <w:pPr>
              <w:rPr>
                <w:b/>
                <w:bCs/>
                <w:szCs w:val="22"/>
              </w:rPr>
            </w:pPr>
            <w:r w:rsidRPr="0095783A">
              <w:rPr>
                <w:szCs w:val="22"/>
              </w:rPr>
              <w:t>WQHU550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35B4A76" w14:textId="77777777" w:rsidR="004243C6" w:rsidRPr="0095783A" w:rsidRDefault="004243C6" w:rsidP="004243C6">
            <w:pPr>
              <w:rPr>
                <w:b/>
                <w:bCs/>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0447AE5" w14:textId="77777777" w:rsidR="004243C6" w:rsidRPr="0095783A" w:rsidRDefault="004243C6" w:rsidP="004243C6">
            <w:pPr>
              <w:rPr>
                <w:b/>
                <w:bCs/>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E2B577D"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FC84E5E" w14:textId="77777777" w:rsidR="004243C6" w:rsidRPr="0095783A" w:rsidRDefault="004243C6" w:rsidP="004243C6">
            <w:pPr>
              <w:rPr>
                <w:b/>
                <w:bCs/>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2736503" w14:textId="5B95D0A9" w:rsidR="004243C6" w:rsidRPr="0095783A" w:rsidRDefault="004243C6" w:rsidP="004243C6">
            <w:pPr>
              <w:rPr>
                <w:b/>
                <w:bCs/>
                <w:szCs w:val="22"/>
              </w:rPr>
            </w:pPr>
            <w:r w:rsidRPr="0095783A">
              <w:rPr>
                <w:szCs w:val="22"/>
              </w:rPr>
              <w:t>Philadelphia-Wilmington-Atl. C</w:t>
            </w:r>
            <w:r w:rsidR="00A36023">
              <w:rPr>
                <w:szCs w:val="22"/>
              </w:rPr>
              <w:t>ity</w:t>
            </w:r>
          </w:p>
        </w:tc>
      </w:tr>
      <w:tr w:rsidR="004243C6" w:rsidRPr="0095783A" w14:paraId="5B76C336"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BA48840" w14:textId="77777777" w:rsidR="004243C6" w:rsidRPr="0095783A" w:rsidRDefault="004243C6" w:rsidP="004243C6">
            <w:pPr>
              <w:rPr>
                <w:b/>
                <w:bCs/>
                <w:szCs w:val="22"/>
              </w:rPr>
            </w:pPr>
            <w:r w:rsidRPr="0095783A">
              <w:rPr>
                <w:szCs w:val="22"/>
              </w:rPr>
              <w:t>0007441602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20BF57C" w14:textId="77777777" w:rsidR="004243C6" w:rsidRPr="0095783A" w:rsidRDefault="004243C6" w:rsidP="004243C6">
            <w:pPr>
              <w:rPr>
                <w:b/>
                <w:bCs/>
                <w:szCs w:val="22"/>
              </w:rPr>
            </w:pPr>
            <w:r w:rsidRPr="0095783A">
              <w:rPr>
                <w:szCs w:val="22"/>
              </w:rPr>
              <w:t>WQHU551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FD58829" w14:textId="77777777" w:rsidR="004243C6" w:rsidRPr="0095783A" w:rsidRDefault="004243C6" w:rsidP="004243C6">
            <w:pPr>
              <w:rPr>
                <w:b/>
                <w:bCs/>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DD57F4F" w14:textId="77777777" w:rsidR="004243C6" w:rsidRPr="0095783A" w:rsidRDefault="004243C6" w:rsidP="004243C6">
            <w:pPr>
              <w:rPr>
                <w:b/>
                <w:bCs/>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281E18E"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BB6AEA0" w14:textId="77777777" w:rsidR="004243C6" w:rsidRPr="0095783A" w:rsidRDefault="004243C6" w:rsidP="004243C6">
            <w:pPr>
              <w:rPr>
                <w:b/>
                <w:bCs/>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A55DFC7" w14:textId="77777777" w:rsidR="004243C6" w:rsidRPr="0095783A" w:rsidRDefault="004243C6" w:rsidP="004243C6">
            <w:pPr>
              <w:rPr>
                <w:b/>
                <w:bCs/>
                <w:szCs w:val="22"/>
              </w:rPr>
            </w:pPr>
            <w:r w:rsidRPr="0095783A">
              <w:rPr>
                <w:szCs w:val="22"/>
              </w:rPr>
              <w:t>Washington-Baltimore, DC-MD-VA</w:t>
            </w:r>
          </w:p>
        </w:tc>
      </w:tr>
      <w:tr w:rsidR="004243C6" w:rsidRPr="0095783A" w14:paraId="61EC6D9B"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62BDA5C" w14:textId="77777777" w:rsidR="004243C6" w:rsidRPr="0095783A" w:rsidRDefault="004243C6" w:rsidP="004243C6">
            <w:pPr>
              <w:rPr>
                <w:b/>
                <w:bCs/>
                <w:szCs w:val="22"/>
              </w:rPr>
            </w:pPr>
            <w:r w:rsidRPr="0095783A">
              <w:rPr>
                <w:szCs w:val="22"/>
              </w:rPr>
              <w:t>0007441603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B650345" w14:textId="77777777" w:rsidR="004243C6" w:rsidRPr="0095783A" w:rsidRDefault="004243C6" w:rsidP="004243C6">
            <w:pPr>
              <w:rPr>
                <w:b/>
                <w:bCs/>
                <w:szCs w:val="22"/>
              </w:rPr>
            </w:pPr>
            <w:r w:rsidRPr="0095783A">
              <w:rPr>
                <w:szCs w:val="22"/>
              </w:rPr>
              <w:t>WQHU552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D3B2DAE" w14:textId="77777777" w:rsidR="004243C6" w:rsidRPr="0095783A" w:rsidRDefault="004243C6" w:rsidP="004243C6">
            <w:pPr>
              <w:rPr>
                <w:b/>
                <w:bCs/>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2544E38" w14:textId="77777777" w:rsidR="004243C6" w:rsidRPr="0095783A" w:rsidRDefault="004243C6" w:rsidP="004243C6">
            <w:pPr>
              <w:rPr>
                <w:b/>
                <w:bCs/>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749844D"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A653C29" w14:textId="77777777" w:rsidR="004243C6" w:rsidRPr="0095783A" w:rsidRDefault="004243C6" w:rsidP="004243C6">
            <w:pPr>
              <w:rPr>
                <w:b/>
                <w:bCs/>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8C1E7F5" w14:textId="77777777" w:rsidR="004243C6" w:rsidRPr="0095783A" w:rsidRDefault="004243C6" w:rsidP="004243C6">
            <w:pPr>
              <w:rPr>
                <w:b/>
                <w:bCs/>
                <w:szCs w:val="22"/>
              </w:rPr>
            </w:pPr>
            <w:r w:rsidRPr="0095783A">
              <w:rPr>
                <w:szCs w:val="22"/>
              </w:rPr>
              <w:t>Richmond-Petersburg, VA</w:t>
            </w:r>
          </w:p>
        </w:tc>
      </w:tr>
      <w:tr w:rsidR="004243C6" w:rsidRPr="0095783A" w14:paraId="2D6B39A1"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635B7B6" w14:textId="77777777" w:rsidR="004243C6" w:rsidRPr="0095783A" w:rsidRDefault="004243C6" w:rsidP="004243C6">
            <w:pPr>
              <w:rPr>
                <w:b/>
                <w:bCs/>
                <w:szCs w:val="22"/>
              </w:rPr>
            </w:pPr>
            <w:r w:rsidRPr="0095783A">
              <w:rPr>
                <w:szCs w:val="22"/>
              </w:rPr>
              <w:t>0007441604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5D5AA3F" w14:textId="77777777" w:rsidR="004243C6" w:rsidRPr="0095783A" w:rsidRDefault="004243C6" w:rsidP="004243C6">
            <w:pPr>
              <w:rPr>
                <w:b/>
                <w:bCs/>
                <w:szCs w:val="22"/>
              </w:rPr>
            </w:pPr>
            <w:r w:rsidRPr="0095783A">
              <w:rPr>
                <w:szCs w:val="22"/>
              </w:rPr>
              <w:t>WQHU553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0F0E04B" w14:textId="77777777" w:rsidR="004243C6" w:rsidRPr="0095783A" w:rsidRDefault="004243C6" w:rsidP="004243C6">
            <w:pPr>
              <w:rPr>
                <w:b/>
                <w:bCs/>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3D979EE" w14:textId="77777777" w:rsidR="004243C6" w:rsidRPr="0095783A" w:rsidRDefault="004243C6" w:rsidP="004243C6">
            <w:pPr>
              <w:rPr>
                <w:b/>
                <w:bCs/>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92793BF"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E5C02FD" w14:textId="77777777" w:rsidR="004243C6" w:rsidRPr="0095783A" w:rsidRDefault="004243C6" w:rsidP="004243C6">
            <w:pPr>
              <w:rPr>
                <w:b/>
                <w:bCs/>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AEBA6D0" w14:textId="77777777" w:rsidR="004243C6" w:rsidRPr="0095783A" w:rsidRDefault="004243C6" w:rsidP="004243C6">
            <w:pPr>
              <w:rPr>
                <w:b/>
                <w:bCs/>
                <w:szCs w:val="22"/>
              </w:rPr>
            </w:pPr>
            <w:r w:rsidRPr="0095783A">
              <w:rPr>
                <w:szCs w:val="22"/>
              </w:rPr>
              <w:t>Greensboro-Winston-Salem-High</w:t>
            </w:r>
          </w:p>
        </w:tc>
      </w:tr>
      <w:tr w:rsidR="004243C6" w:rsidRPr="0095783A" w14:paraId="47E355C0"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58E9495" w14:textId="77777777" w:rsidR="004243C6" w:rsidRPr="0095783A" w:rsidRDefault="004243C6" w:rsidP="004243C6">
            <w:pPr>
              <w:rPr>
                <w:b/>
                <w:bCs/>
                <w:szCs w:val="22"/>
              </w:rPr>
            </w:pPr>
            <w:r w:rsidRPr="0095783A">
              <w:rPr>
                <w:szCs w:val="22"/>
              </w:rPr>
              <w:t>0007441605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9E6C95B" w14:textId="77777777" w:rsidR="004243C6" w:rsidRPr="0095783A" w:rsidRDefault="004243C6" w:rsidP="004243C6">
            <w:pPr>
              <w:rPr>
                <w:b/>
                <w:bCs/>
                <w:szCs w:val="22"/>
              </w:rPr>
            </w:pPr>
            <w:r w:rsidRPr="0095783A">
              <w:rPr>
                <w:szCs w:val="22"/>
              </w:rPr>
              <w:t>WQHU554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5C78EDC" w14:textId="77777777" w:rsidR="004243C6" w:rsidRPr="0095783A" w:rsidRDefault="004243C6" w:rsidP="004243C6">
            <w:pPr>
              <w:rPr>
                <w:b/>
                <w:bCs/>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3C06FDA" w14:textId="77777777" w:rsidR="004243C6" w:rsidRPr="0095783A" w:rsidRDefault="004243C6" w:rsidP="004243C6">
            <w:pPr>
              <w:rPr>
                <w:b/>
                <w:bCs/>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88FE78B"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3B2A82C" w14:textId="77777777" w:rsidR="004243C6" w:rsidRPr="0095783A" w:rsidRDefault="004243C6" w:rsidP="004243C6">
            <w:pPr>
              <w:rPr>
                <w:b/>
                <w:bCs/>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7EA7050" w14:textId="77777777" w:rsidR="004243C6" w:rsidRPr="0095783A" w:rsidRDefault="004243C6" w:rsidP="004243C6">
            <w:pPr>
              <w:rPr>
                <w:b/>
                <w:bCs/>
                <w:szCs w:val="22"/>
              </w:rPr>
            </w:pPr>
            <w:r w:rsidRPr="0095783A">
              <w:rPr>
                <w:szCs w:val="22"/>
              </w:rPr>
              <w:t>Raleigh-Durham-Chapel Hill, NC</w:t>
            </w:r>
          </w:p>
        </w:tc>
      </w:tr>
      <w:tr w:rsidR="004243C6" w:rsidRPr="0095783A" w14:paraId="579DEB3B"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75D726D" w14:textId="77777777" w:rsidR="004243C6" w:rsidRPr="0095783A" w:rsidRDefault="004243C6" w:rsidP="004243C6">
            <w:pPr>
              <w:rPr>
                <w:b/>
                <w:bCs/>
                <w:szCs w:val="22"/>
              </w:rPr>
            </w:pPr>
            <w:r w:rsidRPr="0095783A">
              <w:rPr>
                <w:szCs w:val="22"/>
              </w:rPr>
              <w:t>0007441606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6FBAAF8" w14:textId="77777777" w:rsidR="004243C6" w:rsidRPr="0095783A" w:rsidRDefault="004243C6" w:rsidP="004243C6">
            <w:pPr>
              <w:rPr>
                <w:b/>
                <w:bCs/>
                <w:szCs w:val="22"/>
              </w:rPr>
            </w:pPr>
            <w:r w:rsidRPr="0095783A">
              <w:rPr>
                <w:szCs w:val="22"/>
              </w:rPr>
              <w:t>WQHU555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FDAD12D" w14:textId="77777777" w:rsidR="004243C6" w:rsidRPr="0095783A" w:rsidRDefault="004243C6" w:rsidP="004243C6">
            <w:pPr>
              <w:rPr>
                <w:b/>
                <w:bCs/>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8976019" w14:textId="77777777" w:rsidR="004243C6" w:rsidRPr="0095783A" w:rsidRDefault="004243C6" w:rsidP="004243C6">
            <w:pPr>
              <w:rPr>
                <w:b/>
                <w:bCs/>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24E7420"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6C9CFAF" w14:textId="77777777" w:rsidR="004243C6" w:rsidRPr="0095783A" w:rsidRDefault="004243C6" w:rsidP="004243C6">
            <w:pPr>
              <w:rPr>
                <w:b/>
                <w:bCs/>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731412C" w14:textId="77777777" w:rsidR="004243C6" w:rsidRPr="0095783A" w:rsidRDefault="004243C6" w:rsidP="004243C6">
            <w:pPr>
              <w:rPr>
                <w:b/>
                <w:bCs/>
                <w:szCs w:val="22"/>
              </w:rPr>
            </w:pPr>
            <w:r w:rsidRPr="0095783A">
              <w:rPr>
                <w:szCs w:val="22"/>
              </w:rPr>
              <w:t>Charlotte-Gastonia-Rock Hill,</w:t>
            </w:r>
          </w:p>
        </w:tc>
      </w:tr>
      <w:tr w:rsidR="004243C6" w:rsidRPr="0095783A" w14:paraId="5337270B"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05623C1" w14:textId="77777777" w:rsidR="004243C6" w:rsidRPr="0095783A" w:rsidRDefault="004243C6" w:rsidP="004243C6">
            <w:pPr>
              <w:rPr>
                <w:b/>
                <w:bCs/>
                <w:szCs w:val="22"/>
              </w:rPr>
            </w:pPr>
            <w:r w:rsidRPr="0095783A">
              <w:rPr>
                <w:szCs w:val="22"/>
              </w:rPr>
              <w:t>0007441607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3A67D7A" w14:textId="77777777" w:rsidR="004243C6" w:rsidRPr="0095783A" w:rsidRDefault="004243C6" w:rsidP="004243C6">
            <w:pPr>
              <w:rPr>
                <w:b/>
                <w:bCs/>
                <w:szCs w:val="22"/>
              </w:rPr>
            </w:pPr>
            <w:r w:rsidRPr="0095783A">
              <w:rPr>
                <w:szCs w:val="22"/>
              </w:rPr>
              <w:t>WQHU556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5288D69" w14:textId="77777777" w:rsidR="004243C6" w:rsidRPr="0095783A" w:rsidRDefault="004243C6" w:rsidP="004243C6">
            <w:pPr>
              <w:rPr>
                <w:b/>
                <w:bCs/>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FC5B1AF" w14:textId="77777777" w:rsidR="004243C6" w:rsidRPr="0095783A" w:rsidRDefault="004243C6" w:rsidP="004243C6">
            <w:pPr>
              <w:rPr>
                <w:b/>
                <w:bCs/>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E3E7DC9" w14:textId="77777777" w:rsidR="004243C6" w:rsidRPr="0095783A" w:rsidRDefault="004243C6" w:rsidP="004243C6">
            <w:pPr>
              <w:rPr>
                <w:b/>
                <w:bCs/>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E6C6190" w14:textId="77777777" w:rsidR="004243C6" w:rsidRPr="0095783A" w:rsidRDefault="004243C6" w:rsidP="004243C6">
            <w:pPr>
              <w:rPr>
                <w:b/>
                <w:bCs/>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EE7871D" w14:textId="77777777" w:rsidR="004243C6" w:rsidRPr="0095783A" w:rsidRDefault="004243C6" w:rsidP="004243C6">
            <w:pPr>
              <w:rPr>
                <w:b/>
                <w:bCs/>
                <w:szCs w:val="22"/>
              </w:rPr>
            </w:pPr>
            <w:r w:rsidRPr="0095783A">
              <w:rPr>
                <w:szCs w:val="22"/>
              </w:rPr>
              <w:t>Columbia, SC</w:t>
            </w:r>
          </w:p>
        </w:tc>
      </w:tr>
      <w:tr w:rsidR="004243C6" w:rsidRPr="0095783A" w14:paraId="79CDDE0B"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5E1C417" w14:textId="77777777" w:rsidR="004243C6" w:rsidRPr="0095783A" w:rsidRDefault="004243C6" w:rsidP="004243C6">
            <w:pPr>
              <w:rPr>
                <w:szCs w:val="22"/>
              </w:rPr>
            </w:pPr>
            <w:r w:rsidRPr="0095783A">
              <w:rPr>
                <w:szCs w:val="22"/>
              </w:rPr>
              <w:t>0007441608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12C59D5" w14:textId="77777777" w:rsidR="004243C6" w:rsidRPr="0095783A" w:rsidRDefault="004243C6" w:rsidP="004243C6">
            <w:pPr>
              <w:rPr>
                <w:szCs w:val="22"/>
              </w:rPr>
            </w:pPr>
            <w:r w:rsidRPr="0095783A">
              <w:rPr>
                <w:szCs w:val="22"/>
              </w:rPr>
              <w:t>WQHU557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D7F120D"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EE4561C"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8C864C3"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ACE5898"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9298B32" w14:textId="77777777" w:rsidR="004243C6" w:rsidRPr="0095783A" w:rsidRDefault="004243C6" w:rsidP="004243C6">
            <w:pPr>
              <w:rPr>
                <w:szCs w:val="22"/>
              </w:rPr>
            </w:pPr>
            <w:r w:rsidRPr="0095783A">
              <w:rPr>
                <w:szCs w:val="22"/>
              </w:rPr>
              <w:t>Savannah, GA-SC</w:t>
            </w:r>
          </w:p>
        </w:tc>
      </w:tr>
      <w:tr w:rsidR="004243C6" w:rsidRPr="0095783A" w14:paraId="09A98542"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9CC46E0" w14:textId="77777777" w:rsidR="004243C6" w:rsidRPr="0095783A" w:rsidRDefault="004243C6" w:rsidP="004243C6">
            <w:pPr>
              <w:rPr>
                <w:szCs w:val="22"/>
              </w:rPr>
            </w:pPr>
            <w:r w:rsidRPr="0095783A">
              <w:rPr>
                <w:szCs w:val="22"/>
              </w:rPr>
              <w:t>0007441609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CC7FB61" w14:textId="77777777" w:rsidR="004243C6" w:rsidRPr="0095783A" w:rsidRDefault="004243C6" w:rsidP="004243C6">
            <w:pPr>
              <w:rPr>
                <w:szCs w:val="22"/>
              </w:rPr>
            </w:pPr>
            <w:r w:rsidRPr="0095783A">
              <w:rPr>
                <w:szCs w:val="22"/>
              </w:rPr>
              <w:t>WQHU558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F03A9AD"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A915233"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40B4E36"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0C445BD"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4B40827" w14:textId="77777777" w:rsidR="004243C6" w:rsidRPr="0095783A" w:rsidRDefault="004243C6" w:rsidP="004243C6">
            <w:pPr>
              <w:rPr>
                <w:szCs w:val="22"/>
              </w:rPr>
            </w:pPr>
            <w:r w:rsidRPr="0095783A">
              <w:rPr>
                <w:szCs w:val="22"/>
              </w:rPr>
              <w:t>Jacksonville, FL-GA</w:t>
            </w:r>
          </w:p>
        </w:tc>
      </w:tr>
      <w:tr w:rsidR="004243C6" w:rsidRPr="0095783A" w14:paraId="06D3D251"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769DFB8" w14:textId="77777777" w:rsidR="004243C6" w:rsidRPr="0095783A" w:rsidRDefault="004243C6" w:rsidP="004243C6">
            <w:pPr>
              <w:rPr>
                <w:szCs w:val="22"/>
              </w:rPr>
            </w:pPr>
            <w:r w:rsidRPr="0095783A">
              <w:rPr>
                <w:szCs w:val="22"/>
              </w:rPr>
              <w:t>0007441610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3B86CE4" w14:textId="77777777" w:rsidR="004243C6" w:rsidRPr="0095783A" w:rsidRDefault="004243C6" w:rsidP="004243C6">
            <w:pPr>
              <w:rPr>
                <w:szCs w:val="22"/>
              </w:rPr>
            </w:pPr>
            <w:r w:rsidRPr="0095783A">
              <w:rPr>
                <w:szCs w:val="22"/>
              </w:rPr>
              <w:t>WQHU559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5364B16"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EEB3FD1"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1FC10F1"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E22A320"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1D8D798" w14:textId="77777777" w:rsidR="004243C6" w:rsidRPr="0095783A" w:rsidRDefault="004243C6" w:rsidP="004243C6">
            <w:pPr>
              <w:rPr>
                <w:szCs w:val="22"/>
              </w:rPr>
            </w:pPr>
            <w:r w:rsidRPr="0095783A">
              <w:rPr>
                <w:szCs w:val="22"/>
              </w:rPr>
              <w:t>Orlando, FL</w:t>
            </w:r>
          </w:p>
        </w:tc>
      </w:tr>
      <w:tr w:rsidR="004243C6" w:rsidRPr="0095783A" w14:paraId="55DE4BD0"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73816B7" w14:textId="77777777" w:rsidR="004243C6" w:rsidRPr="0095783A" w:rsidRDefault="004243C6" w:rsidP="004243C6">
            <w:pPr>
              <w:rPr>
                <w:szCs w:val="22"/>
              </w:rPr>
            </w:pPr>
            <w:r w:rsidRPr="0095783A">
              <w:rPr>
                <w:szCs w:val="22"/>
              </w:rPr>
              <w:t>0007441611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DCC212E" w14:textId="77777777" w:rsidR="004243C6" w:rsidRPr="0095783A" w:rsidRDefault="004243C6" w:rsidP="004243C6">
            <w:pPr>
              <w:rPr>
                <w:szCs w:val="22"/>
              </w:rPr>
            </w:pPr>
            <w:r w:rsidRPr="0095783A">
              <w:rPr>
                <w:szCs w:val="22"/>
              </w:rPr>
              <w:t>WQHU560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B21AC1D"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5D4BC8A"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D51B21B"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22A8395"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406D9CC" w14:textId="77777777" w:rsidR="004243C6" w:rsidRPr="0095783A" w:rsidRDefault="004243C6" w:rsidP="004243C6">
            <w:pPr>
              <w:rPr>
                <w:szCs w:val="22"/>
              </w:rPr>
            </w:pPr>
            <w:r w:rsidRPr="0095783A">
              <w:rPr>
                <w:szCs w:val="22"/>
              </w:rPr>
              <w:t>Miami-Fort Lauderdale, FL</w:t>
            </w:r>
          </w:p>
        </w:tc>
      </w:tr>
      <w:tr w:rsidR="004243C6" w:rsidRPr="0095783A" w14:paraId="3FA00D29"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C0F4932" w14:textId="77777777" w:rsidR="004243C6" w:rsidRPr="0095783A" w:rsidRDefault="004243C6" w:rsidP="004243C6">
            <w:pPr>
              <w:rPr>
                <w:szCs w:val="22"/>
              </w:rPr>
            </w:pPr>
            <w:r w:rsidRPr="0095783A">
              <w:rPr>
                <w:szCs w:val="22"/>
              </w:rPr>
              <w:t>0007441612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177ECD1" w14:textId="77777777" w:rsidR="004243C6" w:rsidRPr="0095783A" w:rsidRDefault="004243C6" w:rsidP="004243C6">
            <w:pPr>
              <w:rPr>
                <w:szCs w:val="22"/>
              </w:rPr>
            </w:pPr>
            <w:r w:rsidRPr="0095783A">
              <w:rPr>
                <w:szCs w:val="22"/>
              </w:rPr>
              <w:t>WQHU561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0C4C5BF"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7E31697"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DE67AF1"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E075275"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9F3235A" w14:textId="77777777" w:rsidR="004243C6" w:rsidRPr="0095783A" w:rsidRDefault="004243C6" w:rsidP="004243C6">
            <w:pPr>
              <w:rPr>
                <w:szCs w:val="22"/>
              </w:rPr>
            </w:pPr>
            <w:r w:rsidRPr="0095783A">
              <w:rPr>
                <w:szCs w:val="22"/>
              </w:rPr>
              <w:t>Fort Myers-Cape Coral, FL</w:t>
            </w:r>
          </w:p>
        </w:tc>
      </w:tr>
      <w:tr w:rsidR="004243C6" w:rsidRPr="0095783A" w14:paraId="4EEF6298"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A25B316" w14:textId="77777777" w:rsidR="004243C6" w:rsidRPr="0095783A" w:rsidRDefault="004243C6" w:rsidP="004243C6">
            <w:pPr>
              <w:rPr>
                <w:szCs w:val="22"/>
              </w:rPr>
            </w:pPr>
            <w:r w:rsidRPr="0095783A">
              <w:rPr>
                <w:szCs w:val="22"/>
              </w:rPr>
              <w:t>0007441613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35440FD" w14:textId="77777777" w:rsidR="004243C6" w:rsidRPr="0095783A" w:rsidRDefault="004243C6" w:rsidP="004243C6">
            <w:pPr>
              <w:rPr>
                <w:szCs w:val="22"/>
              </w:rPr>
            </w:pPr>
            <w:r w:rsidRPr="0095783A">
              <w:rPr>
                <w:szCs w:val="22"/>
              </w:rPr>
              <w:t>WQHU562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24DF644"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3ED45B4"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097CA4E"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A38E9DA"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4703008" w14:textId="77777777" w:rsidR="004243C6" w:rsidRPr="0095783A" w:rsidRDefault="004243C6" w:rsidP="004243C6">
            <w:pPr>
              <w:rPr>
                <w:szCs w:val="22"/>
              </w:rPr>
            </w:pPr>
            <w:r w:rsidRPr="0095783A">
              <w:rPr>
                <w:szCs w:val="22"/>
              </w:rPr>
              <w:t>Sarasota-Bradenton, FL</w:t>
            </w:r>
          </w:p>
        </w:tc>
      </w:tr>
      <w:tr w:rsidR="004243C6" w:rsidRPr="0095783A" w14:paraId="6CAB191A"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0A64A31" w14:textId="77777777" w:rsidR="004243C6" w:rsidRPr="0095783A" w:rsidRDefault="004243C6" w:rsidP="004243C6">
            <w:pPr>
              <w:rPr>
                <w:szCs w:val="22"/>
              </w:rPr>
            </w:pPr>
            <w:r w:rsidRPr="0095783A">
              <w:rPr>
                <w:szCs w:val="22"/>
              </w:rPr>
              <w:t>0007441614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6792600" w14:textId="77777777" w:rsidR="004243C6" w:rsidRPr="0095783A" w:rsidRDefault="004243C6" w:rsidP="004243C6">
            <w:pPr>
              <w:rPr>
                <w:szCs w:val="22"/>
              </w:rPr>
            </w:pPr>
            <w:r w:rsidRPr="0095783A">
              <w:rPr>
                <w:szCs w:val="22"/>
              </w:rPr>
              <w:t>WQHU563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0B38C91"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32463DA"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6177F7B"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E8270FE"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D359BE9" w14:textId="77777777" w:rsidR="004243C6" w:rsidRPr="0095783A" w:rsidRDefault="004243C6" w:rsidP="004243C6">
            <w:pPr>
              <w:rPr>
                <w:szCs w:val="22"/>
              </w:rPr>
            </w:pPr>
            <w:r w:rsidRPr="0095783A">
              <w:rPr>
                <w:szCs w:val="22"/>
              </w:rPr>
              <w:t>Tallahassee, FL-GA</w:t>
            </w:r>
          </w:p>
        </w:tc>
      </w:tr>
      <w:tr w:rsidR="004243C6" w:rsidRPr="0095783A" w14:paraId="4EE6BB0C"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AEEE404" w14:textId="77777777" w:rsidR="004243C6" w:rsidRPr="0095783A" w:rsidRDefault="004243C6" w:rsidP="004243C6">
            <w:pPr>
              <w:rPr>
                <w:szCs w:val="22"/>
              </w:rPr>
            </w:pPr>
            <w:r w:rsidRPr="0095783A">
              <w:rPr>
                <w:szCs w:val="22"/>
              </w:rPr>
              <w:t>0007441615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9AE6B1C" w14:textId="77777777" w:rsidR="004243C6" w:rsidRPr="0095783A" w:rsidRDefault="004243C6" w:rsidP="004243C6">
            <w:pPr>
              <w:rPr>
                <w:szCs w:val="22"/>
              </w:rPr>
            </w:pPr>
            <w:r w:rsidRPr="0095783A">
              <w:rPr>
                <w:szCs w:val="22"/>
              </w:rPr>
              <w:t>WQHU564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34FDC2C"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9BE7D5E"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BDC62E0"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0CA2283"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59ACE3C" w14:textId="59DA4761" w:rsidR="004243C6" w:rsidRPr="0095783A" w:rsidRDefault="004243C6" w:rsidP="004243C6">
            <w:pPr>
              <w:rPr>
                <w:szCs w:val="22"/>
              </w:rPr>
            </w:pPr>
            <w:r w:rsidRPr="0095783A">
              <w:rPr>
                <w:szCs w:val="22"/>
              </w:rPr>
              <w:t>Greenville-Spartanburg-</w:t>
            </w:r>
            <w:r w:rsidR="001F00A0" w:rsidRPr="0095783A">
              <w:rPr>
                <w:szCs w:val="22"/>
              </w:rPr>
              <w:t>Anderson</w:t>
            </w:r>
          </w:p>
        </w:tc>
      </w:tr>
      <w:tr w:rsidR="004243C6" w:rsidRPr="0095783A" w14:paraId="6FFF5F1C"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4A2A0E4" w14:textId="77777777" w:rsidR="004243C6" w:rsidRPr="0095783A" w:rsidRDefault="004243C6" w:rsidP="004243C6">
            <w:pPr>
              <w:rPr>
                <w:szCs w:val="22"/>
              </w:rPr>
            </w:pPr>
            <w:r w:rsidRPr="0095783A">
              <w:rPr>
                <w:szCs w:val="22"/>
              </w:rPr>
              <w:t>0007441616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E030306" w14:textId="77777777" w:rsidR="004243C6" w:rsidRPr="0095783A" w:rsidRDefault="004243C6" w:rsidP="004243C6">
            <w:pPr>
              <w:rPr>
                <w:szCs w:val="22"/>
              </w:rPr>
            </w:pPr>
            <w:r w:rsidRPr="0095783A">
              <w:rPr>
                <w:szCs w:val="22"/>
              </w:rPr>
              <w:t>WQHU565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497DFDD"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173DD4D"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4FDBFC4"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5B2B883"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45D7286" w14:textId="77777777" w:rsidR="004243C6" w:rsidRPr="0095783A" w:rsidRDefault="004243C6" w:rsidP="004243C6">
            <w:pPr>
              <w:rPr>
                <w:szCs w:val="22"/>
              </w:rPr>
            </w:pPr>
            <w:r w:rsidRPr="0095783A">
              <w:rPr>
                <w:szCs w:val="22"/>
              </w:rPr>
              <w:t>Lexington, KY-TN-VA-WV</w:t>
            </w:r>
          </w:p>
        </w:tc>
      </w:tr>
      <w:tr w:rsidR="004243C6" w:rsidRPr="0095783A" w14:paraId="07AA0676"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2F0AC9C" w14:textId="77777777" w:rsidR="004243C6" w:rsidRPr="0095783A" w:rsidRDefault="004243C6" w:rsidP="004243C6">
            <w:pPr>
              <w:rPr>
                <w:szCs w:val="22"/>
              </w:rPr>
            </w:pPr>
            <w:r w:rsidRPr="0095783A">
              <w:rPr>
                <w:szCs w:val="22"/>
              </w:rPr>
              <w:t>0007441617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61AA4D4" w14:textId="77777777" w:rsidR="004243C6" w:rsidRPr="0095783A" w:rsidRDefault="004243C6" w:rsidP="004243C6">
            <w:pPr>
              <w:rPr>
                <w:szCs w:val="22"/>
              </w:rPr>
            </w:pPr>
            <w:r w:rsidRPr="0095783A">
              <w:rPr>
                <w:szCs w:val="22"/>
              </w:rPr>
              <w:t>WQHU566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7322FC8"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B5FF289"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AE8344E"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92B7990"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3E37270" w14:textId="77777777" w:rsidR="004243C6" w:rsidRPr="0095783A" w:rsidRDefault="004243C6" w:rsidP="004243C6">
            <w:pPr>
              <w:rPr>
                <w:szCs w:val="22"/>
              </w:rPr>
            </w:pPr>
            <w:r w:rsidRPr="0095783A">
              <w:rPr>
                <w:szCs w:val="22"/>
              </w:rPr>
              <w:t>Detroit-Ann Arbor-Flint, MI</w:t>
            </w:r>
          </w:p>
        </w:tc>
      </w:tr>
      <w:tr w:rsidR="004243C6" w:rsidRPr="0095783A" w14:paraId="4305FF46"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0C69331" w14:textId="77777777" w:rsidR="004243C6" w:rsidRPr="0095783A" w:rsidRDefault="004243C6" w:rsidP="004243C6">
            <w:pPr>
              <w:rPr>
                <w:szCs w:val="22"/>
              </w:rPr>
            </w:pPr>
            <w:r w:rsidRPr="0095783A">
              <w:rPr>
                <w:szCs w:val="22"/>
              </w:rPr>
              <w:t>0007441618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D098CB9" w14:textId="77777777" w:rsidR="004243C6" w:rsidRPr="0095783A" w:rsidRDefault="004243C6" w:rsidP="004243C6">
            <w:pPr>
              <w:rPr>
                <w:szCs w:val="22"/>
              </w:rPr>
            </w:pPr>
            <w:r w:rsidRPr="0095783A">
              <w:rPr>
                <w:szCs w:val="22"/>
              </w:rPr>
              <w:t>WQHU567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26891CF"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0AEB51A"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9666682"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8776EAE"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8DDE0CE" w14:textId="77777777" w:rsidR="004243C6" w:rsidRPr="0095783A" w:rsidRDefault="004243C6" w:rsidP="004243C6">
            <w:pPr>
              <w:rPr>
                <w:szCs w:val="22"/>
              </w:rPr>
            </w:pPr>
            <w:r w:rsidRPr="0095783A">
              <w:rPr>
                <w:szCs w:val="22"/>
              </w:rPr>
              <w:t>Milwaukee-Racine, WI</w:t>
            </w:r>
          </w:p>
        </w:tc>
      </w:tr>
      <w:tr w:rsidR="004243C6" w:rsidRPr="0095783A" w14:paraId="7DD2F3C2"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81F025C" w14:textId="77777777" w:rsidR="004243C6" w:rsidRPr="0095783A" w:rsidRDefault="004243C6" w:rsidP="004243C6">
            <w:pPr>
              <w:rPr>
                <w:szCs w:val="22"/>
              </w:rPr>
            </w:pPr>
            <w:r w:rsidRPr="0095783A">
              <w:rPr>
                <w:szCs w:val="22"/>
              </w:rPr>
              <w:t>0007441619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8AA6CC6" w14:textId="77777777" w:rsidR="004243C6" w:rsidRPr="0095783A" w:rsidRDefault="004243C6" w:rsidP="004243C6">
            <w:pPr>
              <w:rPr>
                <w:szCs w:val="22"/>
              </w:rPr>
            </w:pPr>
            <w:r w:rsidRPr="0095783A">
              <w:rPr>
                <w:szCs w:val="22"/>
              </w:rPr>
              <w:t>WQHU568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D1BAA3D"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95EDCD9"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74B3FE2"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CDE8CC7"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0CB99AA" w14:textId="77777777" w:rsidR="004243C6" w:rsidRPr="0095783A" w:rsidRDefault="004243C6" w:rsidP="004243C6">
            <w:pPr>
              <w:rPr>
                <w:szCs w:val="22"/>
              </w:rPr>
            </w:pPr>
            <w:r w:rsidRPr="0095783A">
              <w:rPr>
                <w:szCs w:val="22"/>
              </w:rPr>
              <w:t>Chicago-Gary-Kenosha, IL-IN-WI</w:t>
            </w:r>
          </w:p>
        </w:tc>
      </w:tr>
      <w:tr w:rsidR="004243C6" w:rsidRPr="0095783A" w14:paraId="1147A4AE"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0DE53FD" w14:textId="77777777" w:rsidR="004243C6" w:rsidRPr="0095783A" w:rsidRDefault="004243C6" w:rsidP="004243C6">
            <w:pPr>
              <w:rPr>
                <w:szCs w:val="22"/>
              </w:rPr>
            </w:pPr>
            <w:r w:rsidRPr="0095783A">
              <w:rPr>
                <w:szCs w:val="22"/>
              </w:rPr>
              <w:t>0007441620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C48C3CA" w14:textId="77777777" w:rsidR="004243C6" w:rsidRPr="0095783A" w:rsidRDefault="004243C6" w:rsidP="004243C6">
            <w:pPr>
              <w:rPr>
                <w:szCs w:val="22"/>
              </w:rPr>
            </w:pPr>
            <w:r w:rsidRPr="0095783A">
              <w:rPr>
                <w:szCs w:val="22"/>
              </w:rPr>
              <w:t>WQHU569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E8BDCAB"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69D867B"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43CE7E9"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F99BD92"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80A6169" w14:textId="77777777" w:rsidR="004243C6" w:rsidRPr="0095783A" w:rsidRDefault="004243C6" w:rsidP="004243C6">
            <w:pPr>
              <w:rPr>
                <w:szCs w:val="22"/>
              </w:rPr>
            </w:pPr>
            <w:r w:rsidRPr="0095783A">
              <w:rPr>
                <w:szCs w:val="22"/>
              </w:rPr>
              <w:t>Nashville, TN-KY</w:t>
            </w:r>
          </w:p>
        </w:tc>
      </w:tr>
      <w:tr w:rsidR="004243C6" w:rsidRPr="0095783A" w14:paraId="739455D9"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4856F25" w14:textId="77777777" w:rsidR="004243C6" w:rsidRPr="0095783A" w:rsidRDefault="004243C6" w:rsidP="004243C6">
            <w:pPr>
              <w:rPr>
                <w:szCs w:val="22"/>
              </w:rPr>
            </w:pPr>
            <w:r w:rsidRPr="0095783A">
              <w:rPr>
                <w:szCs w:val="22"/>
              </w:rPr>
              <w:t>0007441621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E05A04F" w14:textId="77777777" w:rsidR="004243C6" w:rsidRPr="0095783A" w:rsidRDefault="004243C6" w:rsidP="004243C6">
            <w:pPr>
              <w:rPr>
                <w:szCs w:val="22"/>
              </w:rPr>
            </w:pPr>
            <w:r w:rsidRPr="0095783A">
              <w:rPr>
                <w:szCs w:val="22"/>
              </w:rPr>
              <w:t>WQHU570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8E39D37"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F130865"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835D41F"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4178368"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518CD9A" w14:textId="77777777" w:rsidR="004243C6" w:rsidRPr="0095783A" w:rsidRDefault="004243C6" w:rsidP="004243C6">
            <w:pPr>
              <w:rPr>
                <w:szCs w:val="22"/>
              </w:rPr>
            </w:pPr>
            <w:r w:rsidRPr="0095783A">
              <w:rPr>
                <w:szCs w:val="22"/>
              </w:rPr>
              <w:t>Memphis, TN-AR-MS-KY</w:t>
            </w:r>
          </w:p>
        </w:tc>
      </w:tr>
      <w:tr w:rsidR="004243C6" w:rsidRPr="0095783A" w14:paraId="65F722AC"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CAE5BEC" w14:textId="77777777" w:rsidR="004243C6" w:rsidRPr="0095783A" w:rsidRDefault="004243C6" w:rsidP="004243C6">
            <w:pPr>
              <w:rPr>
                <w:szCs w:val="22"/>
              </w:rPr>
            </w:pPr>
            <w:r w:rsidRPr="0095783A">
              <w:rPr>
                <w:szCs w:val="22"/>
              </w:rPr>
              <w:t>0007441622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8092A66" w14:textId="77777777" w:rsidR="004243C6" w:rsidRPr="0095783A" w:rsidRDefault="004243C6" w:rsidP="004243C6">
            <w:pPr>
              <w:rPr>
                <w:szCs w:val="22"/>
              </w:rPr>
            </w:pPr>
            <w:r w:rsidRPr="0095783A">
              <w:rPr>
                <w:szCs w:val="22"/>
              </w:rPr>
              <w:t>WQHU571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2AC77B3"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D78F666"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491A83B"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2EFBEF7"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27DFA45" w14:textId="77777777" w:rsidR="004243C6" w:rsidRPr="0095783A" w:rsidRDefault="004243C6" w:rsidP="004243C6">
            <w:pPr>
              <w:rPr>
                <w:szCs w:val="22"/>
              </w:rPr>
            </w:pPr>
            <w:r w:rsidRPr="0095783A">
              <w:rPr>
                <w:szCs w:val="22"/>
              </w:rPr>
              <w:t>Jackson, MS-AL-LA</w:t>
            </w:r>
          </w:p>
        </w:tc>
      </w:tr>
      <w:tr w:rsidR="004243C6" w:rsidRPr="0095783A" w14:paraId="38715F46"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4FA1931" w14:textId="77777777" w:rsidR="004243C6" w:rsidRPr="0095783A" w:rsidRDefault="004243C6" w:rsidP="004243C6">
            <w:pPr>
              <w:rPr>
                <w:szCs w:val="22"/>
              </w:rPr>
            </w:pPr>
            <w:r w:rsidRPr="0095783A">
              <w:rPr>
                <w:szCs w:val="22"/>
              </w:rPr>
              <w:t>0007441623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9A55E8B" w14:textId="77777777" w:rsidR="004243C6" w:rsidRPr="0095783A" w:rsidRDefault="004243C6" w:rsidP="004243C6">
            <w:pPr>
              <w:rPr>
                <w:szCs w:val="22"/>
              </w:rPr>
            </w:pPr>
            <w:r w:rsidRPr="0095783A">
              <w:rPr>
                <w:szCs w:val="22"/>
              </w:rPr>
              <w:t>WQHU572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828C9FE"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FDA0AC3"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ADBAD7C"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89B554C"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A242A23" w14:textId="77777777" w:rsidR="004243C6" w:rsidRPr="0095783A" w:rsidRDefault="004243C6" w:rsidP="004243C6">
            <w:pPr>
              <w:rPr>
                <w:szCs w:val="22"/>
              </w:rPr>
            </w:pPr>
            <w:r w:rsidRPr="0095783A">
              <w:rPr>
                <w:szCs w:val="22"/>
              </w:rPr>
              <w:t>Montgomery, AL</w:t>
            </w:r>
          </w:p>
        </w:tc>
      </w:tr>
      <w:tr w:rsidR="004243C6" w:rsidRPr="0095783A" w14:paraId="3DF714FE"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060E31C" w14:textId="77777777" w:rsidR="004243C6" w:rsidRPr="0095783A" w:rsidRDefault="004243C6" w:rsidP="004243C6">
            <w:pPr>
              <w:rPr>
                <w:szCs w:val="22"/>
              </w:rPr>
            </w:pPr>
            <w:r w:rsidRPr="0095783A">
              <w:rPr>
                <w:szCs w:val="22"/>
              </w:rPr>
              <w:t>0007441624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FF58B7A" w14:textId="77777777" w:rsidR="004243C6" w:rsidRPr="0095783A" w:rsidRDefault="004243C6" w:rsidP="004243C6">
            <w:pPr>
              <w:rPr>
                <w:szCs w:val="22"/>
              </w:rPr>
            </w:pPr>
            <w:r w:rsidRPr="0095783A">
              <w:rPr>
                <w:szCs w:val="22"/>
              </w:rPr>
              <w:t>WQHU573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9F4AD27"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AA35EDF"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87B8992"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65989D8"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409FB35" w14:textId="77777777" w:rsidR="004243C6" w:rsidRPr="0095783A" w:rsidRDefault="004243C6" w:rsidP="004243C6">
            <w:pPr>
              <w:rPr>
                <w:szCs w:val="22"/>
              </w:rPr>
            </w:pPr>
            <w:r w:rsidRPr="0095783A">
              <w:rPr>
                <w:szCs w:val="22"/>
              </w:rPr>
              <w:t>Mobile, AL</w:t>
            </w:r>
          </w:p>
        </w:tc>
      </w:tr>
      <w:tr w:rsidR="004243C6" w:rsidRPr="0095783A" w14:paraId="526652AD"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AED2E1D" w14:textId="77777777" w:rsidR="004243C6" w:rsidRPr="0095783A" w:rsidRDefault="004243C6" w:rsidP="004243C6">
            <w:pPr>
              <w:rPr>
                <w:szCs w:val="22"/>
              </w:rPr>
            </w:pPr>
            <w:r w:rsidRPr="0095783A">
              <w:rPr>
                <w:szCs w:val="22"/>
              </w:rPr>
              <w:t>0007441625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80EE036" w14:textId="77777777" w:rsidR="004243C6" w:rsidRPr="0095783A" w:rsidRDefault="004243C6" w:rsidP="004243C6">
            <w:pPr>
              <w:rPr>
                <w:szCs w:val="22"/>
              </w:rPr>
            </w:pPr>
            <w:r w:rsidRPr="0095783A">
              <w:rPr>
                <w:szCs w:val="22"/>
              </w:rPr>
              <w:t>WQHU574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DBC2AA5"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6BCCA2A"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3A49F60"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D82F1EE"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387F8F3" w14:textId="77777777" w:rsidR="004243C6" w:rsidRPr="0095783A" w:rsidRDefault="004243C6" w:rsidP="004243C6">
            <w:pPr>
              <w:rPr>
                <w:szCs w:val="22"/>
              </w:rPr>
            </w:pPr>
            <w:r w:rsidRPr="0095783A">
              <w:rPr>
                <w:szCs w:val="22"/>
              </w:rPr>
              <w:t>New Orleans, LA-MS</w:t>
            </w:r>
          </w:p>
        </w:tc>
      </w:tr>
      <w:tr w:rsidR="004243C6" w:rsidRPr="0095783A" w14:paraId="48D8E8C4"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A7E8CDE" w14:textId="77777777" w:rsidR="004243C6" w:rsidRPr="0095783A" w:rsidRDefault="004243C6" w:rsidP="004243C6">
            <w:pPr>
              <w:rPr>
                <w:szCs w:val="22"/>
              </w:rPr>
            </w:pPr>
            <w:r w:rsidRPr="0095783A">
              <w:rPr>
                <w:szCs w:val="22"/>
              </w:rPr>
              <w:t>0007441626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3EEE835" w14:textId="77777777" w:rsidR="004243C6" w:rsidRPr="0095783A" w:rsidRDefault="004243C6" w:rsidP="004243C6">
            <w:pPr>
              <w:rPr>
                <w:szCs w:val="22"/>
              </w:rPr>
            </w:pPr>
            <w:r w:rsidRPr="0095783A">
              <w:rPr>
                <w:szCs w:val="22"/>
              </w:rPr>
              <w:t>WQHU575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F4EFEA4"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48B94B3"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9D45690"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209D3B7"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E0BE18F" w14:textId="77777777" w:rsidR="004243C6" w:rsidRPr="0095783A" w:rsidRDefault="004243C6" w:rsidP="004243C6">
            <w:pPr>
              <w:rPr>
                <w:szCs w:val="22"/>
              </w:rPr>
            </w:pPr>
            <w:r w:rsidRPr="0095783A">
              <w:rPr>
                <w:szCs w:val="22"/>
              </w:rPr>
              <w:t>Baton Rouge, LA-MS</w:t>
            </w:r>
          </w:p>
        </w:tc>
      </w:tr>
      <w:tr w:rsidR="004243C6" w:rsidRPr="0095783A" w14:paraId="63165EF2"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4667B6C" w14:textId="77777777" w:rsidR="004243C6" w:rsidRPr="0095783A" w:rsidRDefault="004243C6" w:rsidP="004243C6">
            <w:pPr>
              <w:rPr>
                <w:szCs w:val="22"/>
              </w:rPr>
            </w:pPr>
            <w:r w:rsidRPr="0095783A">
              <w:rPr>
                <w:szCs w:val="22"/>
              </w:rPr>
              <w:t>0007441627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A99BE5E" w14:textId="77777777" w:rsidR="004243C6" w:rsidRPr="0095783A" w:rsidRDefault="004243C6" w:rsidP="004243C6">
            <w:pPr>
              <w:rPr>
                <w:szCs w:val="22"/>
              </w:rPr>
            </w:pPr>
            <w:r w:rsidRPr="0095783A">
              <w:rPr>
                <w:szCs w:val="22"/>
              </w:rPr>
              <w:t>WQHU576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728F7B5"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9B3D99C"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3AFFD00"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189E635"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25146CF" w14:textId="77777777" w:rsidR="004243C6" w:rsidRPr="0095783A" w:rsidRDefault="004243C6" w:rsidP="004243C6">
            <w:pPr>
              <w:rPr>
                <w:szCs w:val="22"/>
              </w:rPr>
            </w:pPr>
            <w:r w:rsidRPr="0095783A">
              <w:rPr>
                <w:szCs w:val="22"/>
              </w:rPr>
              <w:t>Little Rock-North Little Rock,</w:t>
            </w:r>
          </w:p>
        </w:tc>
      </w:tr>
      <w:tr w:rsidR="004243C6" w:rsidRPr="0095783A" w14:paraId="4D463165"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C454B65" w14:textId="77777777" w:rsidR="004243C6" w:rsidRPr="0095783A" w:rsidRDefault="004243C6" w:rsidP="004243C6">
            <w:pPr>
              <w:rPr>
                <w:szCs w:val="22"/>
              </w:rPr>
            </w:pPr>
            <w:r w:rsidRPr="0095783A">
              <w:rPr>
                <w:szCs w:val="22"/>
              </w:rPr>
              <w:t>0007441628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96A4798" w14:textId="77777777" w:rsidR="004243C6" w:rsidRPr="0095783A" w:rsidRDefault="004243C6" w:rsidP="004243C6">
            <w:pPr>
              <w:rPr>
                <w:szCs w:val="22"/>
              </w:rPr>
            </w:pPr>
            <w:r w:rsidRPr="0095783A">
              <w:rPr>
                <w:szCs w:val="22"/>
              </w:rPr>
              <w:t>WQHU577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D496D42"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4F14B0D"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7D915E6"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E2A1323"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F2D05DA" w14:textId="77777777" w:rsidR="004243C6" w:rsidRPr="0095783A" w:rsidRDefault="004243C6" w:rsidP="004243C6">
            <w:pPr>
              <w:rPr>
                <w:szCs w:val="22"/>
              </w:rPr>
            </w:pPr>
            <w:r w:rsidRPr="0095783A">
              <w:rPr>
                <w:szCs w:val="22"/>
              </w:rPr>
              <w:t>Dallas-Fort Worth, TX-AR-OK</w:t>
            </w:r>
          </w:p>
        </w:tc>
      </w:tr>
      <w:tr w:rsidR="004243C6" w:rsidRPr="0095783A" w14:paraId="44D2EED6"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8E1C82F" w14:textId="77777777" w:rsidR="004243C6" w:rsidRPr="0095783A" w:rsidRDefault="004243C6" w:rsidP="004243C6">
            <w:pPr>
              <w:rPr>
                <w:szCs w:val="22"/>
              </w:rPr>
            </w:pPr>
            <w:r w:rsidRPr="0095783A">
              <w:rPr>
                <w:szCs w:val="22"/>
              </w:rPr>
              <w:t>0007441629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8C97A68" w14:textId="77777777" w:rsidR="004243C6" w:rsidRPr="0095783A" w:rsidRDefault="004243C6" w:rsidP="004243C6">
            <w:pPr>
              <w:rPr>
                <w:szCs w:val="22"/>
              </w:rPr>
            </w:pPr>
            <w:r w:rsidRPr="0095783A">
              <w:rPr>
                <w:szCs w:val="22"/>
              </w:rPr>
              <w:t>WQHU578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469BE9F"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7C2C79A"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6706A17"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1A2B3AC"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9D3939D" w14:textId="77777777" w:rsidR="004243C6" w:rsidRPr="0095783A" w:rsidRDefault="004243C6" w:rsidP="004243C6">
            <w:pPr>
              <w:rPr>
                <w:szCs w:val="22"/>
              </w:rPr>
            </w:pPr>
            <w:r w:rsidRPr="0095783A">
              <w:rPr>
                <w:szCs w:val="22"/>
              </w:rPr>
              <w:t>Austin-San Marcos, TX</w:t>
            </w:r>
          </w:p>
        </w:tc>
      </w:tr>
      <w:tr w:rsidR="004243C6" w:rsidRPr="0095783A" w14:paraId="0B4F4947"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B216ADF" w14:textId="77777777" w:rsidR="004243C6" w:rsidRPr="0095783A" w:rsidRDefault="004243C6" w:rsidP="004243C6">
            <w:pPr>
              <w:rPr>
                <w:szCs w:val="22"/>
              </w:rPr>
            </w:pPr>
            <w:r w:rsidRPr="0095783A">
              <w:rPr>
                <w:szCs w:val="22"/>
              </w:rPr>
              <w:t>0007441630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C0DD2C3" w14:textId="77777777" w:rsidR="004243C6" w:rsidRPr="0095783A" w:rsidRDefault="004243C6" w:rsidP="004243C6">
            <w:pPr>
              <w:rPr>
                <w:szCs w:val="22"/>
              </w:rPr>
            </w:pPr>
            <w:r w:rsidRPr="0095783A">
              <w:rPr>
                <w:szCs w:val="22"/>
              </w:rPr>
              <w:t>WQHU579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95B7674"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4DC2479"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C6FF1C1"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D9A2AA4"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E62B1E3" w14:textId="77777777" w:rsidR="004243C6" w:rsidRPr="0095783A" w:rsidRDefault="004243C6" w:rsidP="004243C6">
            <w:pPr>
              <w:rPr>
                <w:szCs w:val="22"/>
              </w:rPr>
            </w:pPr>
            <w:r w:rsidRPr="0095783A">
              <w:rPr>
                <w:szCs w:val="22"/>
              </w:rPr>
              <w:t>Houston-Galveston-Brazoria, TX</w:t>
            </w:r>
          </w:p>
        </w:tc>
      </w:tr>
      <w:tr w:rsidR="004243C6" w:rsidRPr="0095783A" w14:paraId="1F508C69"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BBAED46" w14:textId="77777777" w:rsidR="004243C6" w:rsidRPr="0095783A" w:rsidRDefault="004243C6" w:rsidP="004243C6">
            <w:pPr>
              <w:rPr>
                <w:szCs w:val="22"/>
              </w:rPr>
            </w:pPr>
            <w:r w:rsidRPr="0095783A">
              <w:rPr>
                <w:szCs w:val="22"/>
              </w:rPr>
              <w:t>0007441631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D2D9761" w14:textId="77777777" w:rsidR="004243C6" w:rsidRPr="0095783A" w:rsidRDefault="004243C6" w:rsidP="004243C6">
            <w:pPr>
              <w:rPr>
                <w:szCs w:val="22"/>
              </w:rPr>
            </w:pPr>
            <w:r w:rsidRPr="0095783A">
              <w:rPr>
                <w:szCs w:val="22"/>
              </w:rPr>
              <w:t>WQHU580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915554E"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2766ED8"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48748AF"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4FC30ED"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9EDB549" w14:textId="77777777" w:rsidR="004243C6" w:rsidRPr="0095783A" w:rsidRDefault="004243C6" w:rsidP="004243C6">
            <w:pPr>
              <w:rPr>
                <w:szCs w:val="22"/>
              </w:rPr>
            </w:pPr>
            <w:r w:rsidRPr="0095783A">
              <w:rPr>
                <w:szCs w:val="22"/>
              </w:rPr>
              <w:t>San Antonio, TX</w:t>
            </w:r>
          </w:p>
        </w:tc>
      </w:tr>
      <w:tr w:rsidR="004243C6" w:rsidRPr="0095783A" w14:paraId="49BEDD5C"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0275848" w14:textId="77777777" w:rsidR="004243C6" w:rsidRPr="0095783A" w:rsidRDefault="004243C6" w:rsidP="004243C6">
            <w:pPr>
              <w:rPr>
                <w:szCs w:val="22"/>
              </w:rPr>
            </w:pPr>
            <w:r w:rsidRPr="0095783A">
              <w:rPr>
                <w:szCs w:val="22"/>
              </w:rPr>
              <w:t>0007441632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072AE94" w14:textId="77777777" w:rsidR="004243C6" w:rsidRPr="0095783A" w:rsidRDefault="004243C6" w:rsidP="004243C6">
            <w:pPr>
              <w:rPr>
                <w:szCs w:val="22"/>
              </w:rPr>
            </w:pPr>
            <w:r w:rsidRPr="0095783A">
              <w:rPr>
                <w:szCs w:val="22"/>
              </w:rPr>
              <w:t>WQHU581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AA03750"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F76BFD8"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9AA9BC1"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1263699"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2094C3F" w14:textId="77777777" w:rsidR="004243C6" w:rsidRPr="0095783A" w:rsidRDefault="004243C6" w:rsidP="004243C6">
            <w:pPr>
              <w:rPr>
                <w:szCs w:val="22"/>
              </w:rPr>
            </w:pPr>
            <w:r w:rsidRPr="0095783A">
              <w:rPr>
                <w:szCs w:val="22"/>
              </w:rPr>
              <w:t>Casper, WY-ID-UT</w:t>
            </w:r>
          </w:p>
        </w:tc>
      </w:tr>
      <w:tr w:rsidR="004243C6" w:rsidRPr="0095783A" w14:paraId="39149ABF"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A3EEF69" w14:textId="77777777" w:rsidR="004243C6" w:rsidRPr="0095783A" w:rsidRDefault="004243C6" w:rsidP="004243C6">
            <w:pPr>
              <w:rPr>
                <w:szCs w:val="22"/>
              </w:rPr>
            </w:pPr>
            <w:r w:rsidRPr="0095783A">
              <w:rPr>
                <w:szCs w:val="22"/>
              </w:rPr>
              <w:t>0007441633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B735295" w14:textId="77777777" w:rsidR="004243C6" w:rsidRPr="0095783A" w:rsidRDefault="004243C6" w:rsidP="004243C6">
            <w:pPr>
              <w:rPr>
                <w:szCs w:val="22"/>
              </w:rPr>
            </w:pPr>
            <w:r w:rsidRPr="0095783A">
              <w:rPr>
                <w:szCs w:val="22"/>
              </w:rPr>
              <w:t>WQHU582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233E3E3"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BBA596E"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7057BE6"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86EDD19"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0251146" w14:textId="77777777" w:rsidR="004243C6" w:rsidRPr="0095783A" w:rsidRDefault="004243C6" w:rsidP="004243C6">
            <w:pPr>
              <w:rPr>
                <w:szCs w:val="22"/>
              </w:rPr>
            </w:pPr>
            <w:r w:rsidRPr="0095783A">
              <w:rPr>
                <w:szCs w:val="22"/>
              </w:rPr>
              <w:t>Denver-Boulder-Greeley, CO-KS-</w:t>
            </w:r>
          </w:p>
        </w:tc>
      </w:tr>
      <w:tr w:rsidR="004243C6" w:rsidRPr="0095783A" w14:paraId="0766772C"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68175F0" w14:textId="77777777" w:rsidR="004243C6" w:rsidRPr="0095783A" w:rsidRDefault="004243C6" w:rsidP="004243C6">
            <w:pPr>
              <w:rPr>
                <w:szCs w:val="22"/>
              </w:rPr>
            </w:pPr>
            <w:r w:rsidRPr="0095783A">
              <w:rPr>
                <w:szCs w:val="22"/>
              </w:rPr>
              <w:t>0007441634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F966F40" w14:textId="77777777" w:rsidR="004243C6" w:rsidRPr="0095783A" w:rsidRDefault="004243C6" w:rsidP="004243C6">
            <w:pPr>
              <w:rPr>
                <w:szCs w:val="22"/>
              </w:rPr>
            </w:pPr>
            <w:r w:rsidRPr="0095783A">
              <w:rPr>
                <w:szCs w:val="22"/>
              </w:rPr>
              <w:t>WQHU583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936B5C8"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2E870BA"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A397CD2"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A763152"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34EF700" w14:textId="77777777" w:rsidR="004243C6" w:rsidRPr="0095783A" w:rsidRDefault="004243C6" w:rsidP="004243C6">
            <w:pPr>
              <w:rPr>
                <w:szCs w:val="22"/>
              </w:rPr>
            </w:pPr>
            <w:r w:rsidRPr="0095783A">
              <w:rPr>
                <w:szCs w:val="22"/>
              </w:rPr>
              <w:t>Spokane, WA-ID</w:t>
            </w:r>
          </w:p>
        </w:tc>
      </w:tr>
      <w:tr w:rsidR="004243C6" w:rsidRPr="0095783A" w14:paraId="4F8CB422"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0F680FF" w14:textId="77777777" w:rsidR="004243C6" w:rsidRPr="0095783A" w:rsidRDefault="004243C6" w:rsidP="004243C6">
            <w:pPr>
              <w:rPr>
                <w:szCs w:val="22"/>
              </w:rPr>
            </w:pPr>
            <w:r w:rsidRPr="0095783A">
              <w:rPr>
                <w:szCs w:val="22"/>
              </w:rPr>
              <w:t>0007441635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BBF6EFA" w14:textId="77777777" w:rsidR="004243C6" w:rsidRPr="0095783A" w:rsidRDefault="004243C6" w:rsidP="004243C6">
            <w:pPr>
              <w:rPr>
                <w:szCs w:val="22"/>
              </w:rPr>
            </w:pPr>
            <w:r w:rsidRPr="0095783A">
              <w:rPr>
                <w:szCs w:val="22"/>
              </w:rPr>
              <w:t>WQHU584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A1127D1"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F3167CE"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568057A"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2A709A4"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D2996D8" w14:textId="77777777" w:rsidR="004243C6" w:rsidRPr="0095783A" w:rsidRDefault="004243C6" w:rsidP="004243C6">
            <w:pPr>
              <w:rPr>
                <w:szCs w:val="22"/>
              </w:rPr>
            </w:pPr>
            <w:r w:rsidRPr="0095783A">
              <w:rPr>
                <w:szCs w:val="22"/>
              </w:rPr>
              <w:t>Idaho Falls, ID-WY</w:t>
            </w:r>
          </w:p>
        </w:tc>
      </w:tr>
      <w:tr w:rsidR="004243C6" w:rsidRPr="0095783A" w14:paraId="5F4D0C0B"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3E76A1F" w14:textId="77777777" w:rsidR="004243C6" w:rsidRPr="0095783A" w:rsidRDefault="004243C6" w:rsidP="004243C6">
            <w:pPr>
              <w:rPr>
                <w:szCs w:val="22"/>
              </w:rPr>
            </w:pPr>
            <w:r w:rsidRPr="0095783A">
              <w:rPr>
                <w:szCs w:val="22"/>
              </w:rPr>
              <w:t>0007441636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FDF0513" w14:textId="77777777" w:rsidR="004243C6" w:rsidRPr="0095783A" w:rsidRDefault="004243C6" w:rsidP="004243C6">
            <w:pPr>
              <w:rPr>
                <w:szCs w:val="22"/>
              </w:rPr>
            </w:pPr>
            <w:r w:rsidRPr="0095783A">
              <w:rPr>
                <w:szCs w:val="22"/>
              </w:rPr>
              <w:t>WQHU585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9D26D43"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8B6887E"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D9F2BDB"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E62417A"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A76EC1E" w14:textId="77777777" w:rsidR="004243C6" w:rsidRPr="0095783A" w:rsidRDefault="004243C6" w:rsidP="004243C6">
            <w:pPr>
              <w:rPr>
                <w:szCs w:val="22"/>
              </w:rPr>
            </w:pPr>
            <w:r w:rsidRPr="0095783A">
              <w:rPr>
                <w:szCs w:val="22"/>
              </w:rPr>
              <w:t>Twin Falls, ID</w:t>
            </w:r>
          </w:p>
        </w:tc>
      </w:tr>
      <w:tr w:rsidR="004243C6" w:rsidRPr="0095783A" w14:paraId="75A4069B"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9D3F756" w14:textId="77777777" w:rsidR="004243C6" w:rsidRPr="0095783A" w:rsidRDefault="004243C6" w:rsidP="004243C6">
            <w:pPr>
              <w:rPr>
                <w:szCs w:val="22"/>
              </w:rPr>
            </w:pPr>
            <w:r w:rsidRPr="0095783A">
              <w:rPr>
                <w:szCs w:val="22"/>
              </w:rPr>
              <w:t>0007441637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3C462F4" w14:textId="77777777" w:rsidR="004243C6" w:rsidRPr="0095783A" w:rsidRDefault="004243C6" w:rsidP="004243C6">
            <w:pPr>
              <w:rPr>
                <w:szCs w:val="22"/>
              </w:rPr>
            </w:pPr>
            <w:r w:rsidRPr="0095783A">
              <w:rPr>
                <w:szCs w:val="22"/>
              </w:rPr>
              <w:t>WQHU586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014F3C5"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ED8B133"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A12A2D4"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7FD8CC9"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50ED8E8" w14:textId="77777777" w:rsidR="004243C6" w:rsidRPr="0095783A" w:rsidRDefault="004243C6" w:rsidP="004243C6">
            <w:pPr>
              <w:rPr>
                <w:szCs w:val="22"/>
              </w:rPr>
            </w:pPr>
            <w:r w:rsidRPr="0095783A">
              <w:rPr>
                <w:szCs w:val="22"/>
              </w:rPr>
              <w:t>Boise City, ID-OR</w:t>
            </w:r>
          </w:p>
        </w:tc>
      </w:tr>
      <w:tr w:rsidR="004243C6" w:rsidRPr="0095783A" w14:paraId="16A4C5ED"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09E6FB5" w14:textId="77777777" w:rsidR="004243C6" w:rsidRPr="0095783A" w:rsidRDefault="004243C6" w:rsidP="004243C6">
            <w:pPr>
              <w:rPr>
                <w:szCs w:val="22"/>
              </w:rPr>
            </w:pPr>
            <w:r w:rsidRPr="0095783A">
              <w:rPr>
                <w:szCs w:val="22"/>
              </w:rPr>
              <w:t>0007441638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9302EEC" w14:textId="77777777" w:rsidR="004243C6" w:rsidRPr="0095783A" w:rsidRDefault="004243C6" w:rsidP="004243C6">
            <w:pPr>
              <w:rPr>
                <w:szCs w:val="22"/>
              </w:rPr>
            </w:pPr>
            <w:r w:rsidRPr="0095783A">
              <w:rPr>
                <w:szCs w:val="22"/>
              </w:rPr>
              <w:t>WQHU587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884E81A"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DC91B83"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7316A46"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DC6D8AC"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072FEC6" w14:textId="77777777" w:rsidR="004243C6" w:rsidRPr="0095783A" w:rsidRDefault="004243C6" w:rsidP="004243C6">
            <w:pPr>
              <w:rPr>
                <w:szCs w:val="22"/>
              </w:rPr>
            </w:pPr>
            <w:r w:rsidRPr="0095783A">
              <w:rPr>
                <w:szCs w:val="22"/>
              </w:rPr>
              <w:t>Reno, NV-CA</w:t>
            </w:r>
          </w:p>
        </w:tc>
      </w:tr>
      <w:tr w:rsidR="004243C6" w:rsidRPr="0095783A" w14:paraId="7DCC1F16"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A49E053" w14:textId="77777777" w:rsidR="004243C6" w:rsidRPr="0095783A" w:rsidRDefault="004243C6" w:rsidP="004243C6">
            <w:pPr>
              <w:rPr>
                <w:szCs w:val="22"/>
              </w:rPr>
            </w:pPr>
            <w:r w:rsidRPr="0095783A">
              <w:rPr>
                <w:szCs w:val="22"/>
              </w:rPr>
              <w:t>0007441639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F2FB815" w14:textId="77777777" w:rsidR="004243C6" w:rsidRPr="0095783A" w:rsidRDefault="004243C6" w:rsidP="004243C6">
            <w:pPr>
              <w:rPr>
                <w:szCs w:val="22"/>
              </w:rPr>
            </w:pPr>
            <w:r w:rsidRPr="0095783A">
              <w:rPr>
                <w:szCs w:val="22"/>
              </w:rPr>
              <w:t>WQHU588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4B5AEA2"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8F94EC0"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F4EE3AE"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0817270"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10FFF91" w14:textId="77777777" w:rsidR="004243C6" w:rsidRPr="0095783A" w:rsidRDefault="004243C6" w:rsidP="004243C6">
            <w:pPr>
              <w:rPr>
                <w:szCs w:val="22"/>
              </w:rPr>
            </w:pPr>
            <w:r w:rsidRPr="0095783A">
              <w:rPr>
                <w:szCs w:val="22"/>
              </w:rPr>
              <w:t>Salt Lake City-Ogden, UT-ID</w:t>
            </w:r>
          </w:p>
        </w:tc>
      </w:tr>
      <w:tr w:rsidR="004243C6" w:rsidRPr="0095783A" w14:paraId="2A2A1B16"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AD17ECA" w14:textId="77777777" w:rsidR="004243C6" w:rsidRPr="0095783A" w:rsidRDefault="004243C6" w:rsidP="004243C6">
            <w:pPr>
              <w:rPr>
                <w:szCs w:val="22"/>
              </w:rPr>
            </w:pPr>
            <w:r w:rsidRPr="0095783A">
              <w:rPr>
                <w:szCs w:val="22"/>
              </w:rPr>
              <w:t>0007441640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1F9BF28" w14:textId="77777777" w:rsidR="004243C6" w:rsidRPr="0095783A" w:rsidRDefault="004243C6" w:rsidP="004243C6">
            <w:pPr>
              <w:rPr>
                <w:szCs w:val="22"/>
              </w:rPr>
            </w:pPr>
            <w:r w:rsidRPr="0095783A">
              <w:rPr>
                <w:szCs w:val="22"/>
              </w:rPr>
              <w:t>WQHU589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5274F14"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0117B53"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9B4D673"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993D591"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774E2B6" w14:textId="77777777" w:rsidR="004243C6" w:rsidRPr="0095783A" w:rsidRDefault="004243C6" w:rsidP="004243C6">
            <w:pPr>
              <w:rPr>
                <w:szCs w:val="22"/>
              </w:rPr>
            </w:pPr>
            <w:r w:rsidRPr="0095783A">
              <w:rPr>
                <w:szCs w:val="22"/>
              </w:rPr>
              <w:t>Flagstaff, AZ-UT</w:t>
            </w:r>
          </w:p>
        </w:tc>
      </w:tr>
      <w:tr w:rsidR="004243C6" w:rsidRPr="0095783A" w14:paraId="2F2DFAAC"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C5DF2F6" w14:textId="77777777" w:rsidR="004243C6" w:rsidRPr="0095783A" w:rsidRDefault="004243C6" w:rsidP="004243C6">
            <w:pPr>
              <w:rPr>
                <w:szCs w:val="22"/>
              </w:rPr>
            </w:pPr>
            <w:r w:rsidRPr="0095783A">
              <w:rPr>
                <w:szCs w:val="22"/>
              </w:rPr>
              <w:t>0007441641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B3E8449" w14:textId="77777777" w:rsidR="004243C6" w:rsidRPr="0095783A" w:rsidRDefault="004243C6" w:rsidP="004243C6">
            <w:pPr>
              <w:rPr>
                <w:szCs w:val="22"/>
              </w:rPr>
            </w:pPr>
            <w:r w:rsidRPr="0095783A">
              <w:rPr>
                <w:szCs w:val="22"/>
              </w:rPr>
              <w:t>WQHU590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865B1D9"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06496B2"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DF5DB5D"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BED8189"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18F3D43" w14:textId="77777777" w:rsidR="004243C6" w:rsidRPr="0095783A" w:rsidRDefault="004243C6" w:rsidP="004243C6">
            <w:pPr>
              <w:rPr>
                <w:szCs w:val="22"/>
              </w:rPr>
            </w:pPr>
            <w:r w:rsidRPr="0095783A">
              <w:rPr>
                <w:szCs w:val="22"/>
              </w:rPr>
              <w:t>Albuquerque, NM-AZ</w:t>
            </w:r>
          </w:p>
        </w:tc>
      </w:tr>
      <w:tr w:rsidR="004243C6" w:rsidRPr="0095783A" w14:paraId="1A7C265E"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1F66F54" w14:textId="77777777" w:rsidR="004243C6" w:rsidRPr="0095783A" w:rsidRDefault="004243C6" w:rsidP="004243C6">
            <w:pPr>
              <w:rPr>
                <w:szCs w:val="22"/>
              </w:rPr>
            </w:pPr>
            <w:r w:rsidRPr="0095783A">
              <w:rPr>
                <w:szCs w:val="22"/>
              </w:rPr>
              <w:t>0007441642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619B100" w14:textId="77777777" w:rsidR="004243C6" w:rsidRPr="0095783A" w:rsidRDefault="004243C6" w:rsidP="004243C6">
            <w:pPr>
              <w:rPr>
                <w:szCs w:val="22"/>
              </w:rPr>
            </w:pPr>
            <w:r w:rsidRPr="0095783A">
              <w:rPr>
                <w:szCs w:val="22"/>
              </w:rPr>
              <w:t>WQHU591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2A80B6B"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3CAC71C"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54562B4"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1E84B96"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7A89C2B" w14:textId="77777777" w:rsidR="004243C6" w:rsidRPr="0095783A" w:rsidRDefault="004243C6" w:rsidP="004243C6">
            <w:pPr>
              <w:rPr>
                <w:szCs w:val="22"/>
              </w:rPr>
            </w:pPr>
            <w:r w:rsidRPr="0095783A">
              <w:rPr>
                <w:szCs w:val="22"/>
              </w:rPr>
              <w:t>Phoenix-Mesa, AZ-NM</w:t>
            </w:r>
          </w:p>
        </w:tc>
      </w:tr>
      <w:tr w:rsidR="004243C6" w:rsidRPr="0095783A" w14:paraId="5F0C8FFF"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7D8AAA8" w14:textId="77777777" w:rsidR="004243C6" w:rsidRPr="0095783A" w:rsidRDefault="004243C6" w:rsidP="004243C6">
            <w:pPr>
              <w:rPr>
                <w:szCs w:val="22"/>
              </w:rPr>
            </w:pPr>
            <w:r w:rsidRPr="0095783A">
              <w:rPr>
                <w:szCs w:val="22"/>
              </w:rPr>
              <w:t>0007441643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E17C5F3" w14:textId="77777777" w:rsidR="004243C6" w:rsidRPr="0095783A" w:rsidRDefault="004243C6" w:rsidP="004243C6">
            <w:pPr>
              <w:rPr>
                <w:szCs w:val="22"/>
              </w:rPr>
            </w:pPr>
            <w:r w:rsidRPr="0095783A">
              <w:rPr>
                <w:szCs w:val="22"/>
              </w:rPr>
              <w:t>WQHU592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111C9BA"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274C53B"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4BF280D"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470365D"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FE27E1A" w14:textId="77777777" w:rsidR="004243C6" w:rsidRPr="0095783A" w:rsidRDefault="004243C6" w:rsidP="004243C6">
            <w:pPr>
              <w:rPr>
                <w:szCs w:val="22"/>
              </w:rPr>
            </w:pPr>
            <w:r w:rsidRPr="0095783A">
              <w:rPr>
                <w:szCs w:val="22"/>
              </w:rPr>
              <w:t>Tucson, AZ</w:t>
            </w:r>
          </w:p>
        </w:tc>
      </w:tr>
      <w:tr w:rsidR="004243C6" w:rsidRPr="0095783A" w14:paraId="3C2A0C7D"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FFD20D8" w14:textId="77777777" w:rsidR="004243C6" w:rsidRPr="0095783A" w:rsidRDefault="004243C6" w:rsidP="004243C6">
            <w:pPr>
              <w:rPr>
                <w:szCs w:val="22"/>
              </w:rPr>
            </w:pPr>
            <w:r w:rsidRPr="0095783A">
              <w:rPr>
                <w:szCs w:val="22"/>
              </w:rPr>
              <w:t>0007441644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CE1FE4C" w14:textId="77777777" w:rsidR="004243C6" w:rsidRPr="0095783A" w:rsidRDefault="004243C6" w:rsidP="004243C6">
            <w:pPr>
              <w:rPr>
                <w:szCs w:val="22"/>
              </w:rPr>
            </w:pPr>
            <w:r w:rsidRPr="0095783A">
              <w:rPr>
                <w:szCs w:val="22"/>
              </w:rPr>
              <w:t>WQHU593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4E57EF3"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3442C36"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960D7E1"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346986B"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6523E3A" w14:textId="7FF39265" w:rsidR="004243C6" w:rsidRPr="0095783A" w:rsidRDefault="004243C6" w:rsidP="004243C6">
            <w:pPr>
              <w:rPr>
                <w:szCs w:val="22"/>
              </w:rPr>
            </w:pPr>
            <w:r w:rsidRPr="0095783A">
              <w:rPr>
                <w:szCs w:val="22"/>
              </w:rPr>
              <w:t>Los Angeles-Riverside-Orange C</w:t>
            </w:r>
            <w:r w:rsidR="00A36023">
              <w:rPr>
                <w:szCs w:val="22"/>
              </w:rPr>
              <w:t>A</w:t>
            </w:r>
          </w:p>
        </w:tc>
      </w:tr>
      <w:tr w:rsidR="004243C6" w:rsidRPr="0095783A" w14:paraId="3D61C8A1"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42DF3F3" w14:textId="77777777" w:rsidR="004243C6" w:rsidRPr="0095783A" w:rsidRDefault="004243C6" w:rsidP="004243C6">
            <w:pPr>
              <w:rPr>
                <w:szCs w:val="22"/>
              </w:rPr>
            </w:pPr>
            <w:r w:rsidRPr="0095783A">
              <w:rPr>
                <w:szCs w:val="22"/>
              </w:rPr>
              <w:t>0007441645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1F47144" w14:textId="77777777" w:rsidR="004243C6" w:rsidRPr="0095783A" w:rsidRDefault="004243C6" w:rsidP="004243C6">
            <w:pPr>
              <w:rPr>
                <w:szCs w:val="22"/>
              </w:rPr>
            </w:pPr>
            <w:r w:rsidRPr="0095783A">
              <w:rPr>
                <w:szCs w:val="22"/>
              </w:rPr>
              <w:t>WQHU594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9AA1C2F"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E083927"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C854D3B"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0F0B5E3"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D7E9D35" w14:textId="77777777" w:rsidR="004243C6" w:rsidRPr="0095783A" w:rsidRDefault="004243C6" w:rsidP="004243C6">
            <w:pPr>
              <w:rPr>
                <w:szCs w:val="22"/>
              </w:rPr>
            </w:pPr>
            <w:r w:rsidRPr="0095783A">
              <w:rPr>
                <w:szCs w:val="22"/>
              </w:rPr>
              <w:t>San Diego, CA</w:t>
            </w:r>
          </w:p>
        </w:tc>
      </w:tr>
      <w:tr w:rsidR="004243C6" w:rsidRPr="0095783A" w14:paraId="1D371AC0"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B5AA22D" w14:textId="77777777" w:rsidR="004243C6" w:rsidRPr="0095783A" w:rsidRDefault="004243C6" w:rsidP="004243C6">
            <w:pPr>
              <w:rPr>
                <w:szCs w:val="22"/>
              </w:rPr>
            </w:pPr>
            <w:r w:rsidRPr="0095783A">
              <w:rPr>
                <w:szCs w:val="22"/>
              </w:rPr>
              <w:t>0007441646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F0C8273" w14:textId="77777777" w:rsidR="004243C6" w:rsidRPr="0095783A" w:rsidRDefault="004243C6" w:rsidP="004243C6">
            <w:pPr>
              <w:rPr>
                <w:szCs w:val="22"/>
              </w:rPr>
            </w:pPr>
            <w:r w:rsidRPr="0095783A">
              <w:rPr>
                <w:szCs w:val="22"/>
              </w:rPr>
              <w:t>WQHU595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DF5310B"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26766D5"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3E0F2B1"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7CB26C6"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79B55CA" w14:textId="77777777" w:rsidR="004243C6" w:rsidRPr="0095783A" w:rsidRDefault="004243C6" w:rsidP="004243C6">
            <w:pPr>
              <w:rPr>
                <w:szCs w:val="22"/>
              </w:rPr>
            </w:pPr>
            <w:r w:rsidRPr="0095783A">
              <w:rPr>
                <w:szCs w:val="22"/>
              </w:rPr>
              <w:t>Fresno, CA</w:t>
            </w:r>
          </w:p>
        </w:tc>
      </w:tr>
      <w:tr w:rsidR="004243C6" w:rsidRPr="0095783A" w14:paraId="2C2871A1"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609EEAC" w14:textId="77777777" w:rsidR="004243C6" w:rsidRPr="0095783A" w:rsidRDefault="004243C6" w:rsidP="004243C6">
            <w:pPr>
              <w:rPr>
                <w:szCs w:val="22"/>
              </w:rPr>
            </w:pPr>
            <w:r w:rsidRPr="0095783A">
              <w:rPr>
                <w:szCs w:val="22"/>
              </w:rPr>
              <w:t>0007441647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6161BCC" w14:textId="77777777" w:rsidR="004243C6" w:rsidRPr="0095783A" w:rsidRDefault="004243C6" w:rsidP="004243C6">
            <w:pPr>
              <w:rPr>
                <w:szCs w:val="22"/>
              </w:rPr>
            </w:pPr>
            <w:r w:rsidRPr="0095783A">
              <w:rPr>
                <w:szCs w:val="22"/>
              </w:rPr>
              <w:t>WQHU596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9351662"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4A88D0F"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1386207"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B155766"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CC6A804" w14:textId="77777777" w:rsidR="004243C6" w:rsidRPr="0095783A" w:rsidRDefault="004243C6" w:rsidP="004243C6">
            <w:pPr>
              <w:rPr>
                <w:szCs w:val="22"/>
              </w:rPr>
            </w:pPr>
            <w:r w:rsidRPr="0095783A">
              <w:rPr>
                <w:szCs w:val="22"/>
              </w:rPr>
              <w:t>San Francisco-Oakland-San Jose</w:t>
            </w:r>
          </w:p>
        </w:tc>
      </w:tr>
      <w:tr w:rsidR="004243C6" w:rsidRPr="0095783A" w14:paraId="06CACAAD"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69BEE9A" w14:textId="77777777" w:rsidR="004243C6" w:rsidRPr="0095783A" w:rsidRDefault="004243C6" w:rsidP="004243C6">
            <w:pPr>
              <w:rPr>
                <w:szCs w:val="22"/>
              </w:rPr>
            </w:pPr>
            <w:r w:rsidRPr="0095783A">
              <w:rPr>
                <w:szCs w:val="22"/>
              </w:rPr>
              <w:t>0007441648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71D5DDD" w14:textId="77777777" w:rsidR="004243C6" w:rsidRPr="0095783A" w:rsidRDefault="004243C6" w:rsidP="004243C6">
            <w:pPr>
              <w:rPr>
                <w:szCs w:val="22"/>
              </w:rPr>
            </w:pPr>
            <w:r w:rsidRPr="0095783A">
              <w:rPr>
                <w:szCs w:val="22"/>
              </w:rPr>
              <w:t>WQHU597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CA6D1E8"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6CF9D54"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5D37682"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C762EA5"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CE84C7A" w14:textId="77777777" w:rsidR="004243C6" w:rsidRPr="0095783A" w:rsidRDefault="004243C6" w:rsidP="004243C6">
            <w:pPr>
              <w:rPr>
                <w:szCs w:val="22"/>
              </w:rPr>
            </w:pPr>
            <w:r w:rsidRPr="0095783A">
              <w:rPr>
                <w:szCs w:val="22"/>
              </w:rPr>
              <w:t>Eugene-Springfield, OR-CA</w:t>
            </w:r>
          </w:p>
        </w:tc>
      </w:tr>
      <w:tr w:rsidR="004243C6" w:rsidRPr="0095783A" w14:paraId="427D93B0"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CCE06F8" w14:textId="77777777" w:rsidR="004243C6" w:rsidRPr="0095783A" w:rsidRDefault="004243C6" w:rsidP="004243C6">
            <w:pPr>
              <w:rPr>
                <w:szCs w:val="22"/>
              </w:rPr>
            </w:pPr>
            <w:r w:rsidRPr="0095783A">
              <w:rPr>
                <w:szCs w:val="22"/>
              </w:rPr>
              <w:t>0007441649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6EE33CE" w14:textId="77777777" w:rsidR="004243C6" w:rsidRPr="0095783A" w:rsidRDefault="004243C6" w:rsidP="004243C6">
            <w:pPr>
              <w:rPr>
                <w:szCs w:val="22"/>
              </w:rPr>
            </w:pPr>
            <w:r w:rsidRPr="0095783A">
              <w:rPr>
                <w:szCs w:val="22"/>
              </w:rPr>
              <w:t>WQHU598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B464C44"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2E88BDE"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E4AA235"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03DADEF"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9468C35" w14:textId="77777777" w:rsidR="004243C6" w:rsidRPr="0095783A" w:rsidRDefault="004243C6" w:rsidP="004243C6">
            <w:pPr>
              <w:rPr>
                <w:szCs w:val="22"/>
              </w:rPr>
            </w:pPr>
            <w:r w:rsidRPr="0095783A">
              <w:rPr>
                <w:szCs w:val="22"/>
              </w:rPr>
              <w:t>Portland-Salem, OR-WA</w:t>
            </w:r>
          </w:p>
        </w:tc>
      </w:tr>
      <w:tr w:rsidR="004243C6" w:rsidRPr="0095783A" w14:paraId="0BAF06C6"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69796E2" w14:textId="77777777" w:rsidR="004243C6" w:rsidRPr="0095783A" w:rsidRDefault="004243C6" w:rsidP="004243C6">
            <w:pPr>
              <w:rPr>
                <w:szCs w:val="22"/>
              </w:rPr>
            </w:pPr>
            <w:r w:rsidRPr="0095783A">
              <w:rPr>
                <w:szCs w:val="22"/>
              </w:rPr>
              <w:t>0007441650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0845509" w14:textId="77777777" w:rsidR="004243C6" w:rsidRPr="0095783A" w:rsidRDefault="004243C6" w:rsidP="004243C6">
            <w:pPr>
              <w:rPr>
                <w:szCs w:val="22"/>
              </w:rPr>
            </w:pPr>
            <w:r w:rsidRPr="0095783A">
              <w:rPr>
                <w:szCs w:val="22"/>
              </w:rPr>
              <w:t>WQHU599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FBF1A8D"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16A7CB8"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D3F9575"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B5571A9"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7F6372A" w14:textId="77777777" w:rsidR="004243C6" w:rsidRPr="0095783A" w:rsidRDefault="004243C6" w:rsidP="004243C6">
            <w:pPr>
              <w:rPr>
                <w:szCs w:val="22"/>
              </w:rPr>
            </w:pPr>
            <w:r w:rsidRPr="0095783A">
              <w:rPr>
                <w:szCs w:val="22"/>
              </w:rPr>
              <w:t>Seattle-Tacoma-Bremerton, WA</w:t>
            </w:r>
          </w:p>
        </w:tc>
      </w:tr>
      <w:tr w:rsidR="004243C6" w:rsidRPr="0095783A" w14:paraId="0F4CA47C"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4A39C77" w14:textId="77777777" w:rsidR="004243C6" w:rsidRPr="0095783A" w:rsidRDefault="004243C6" w:rsidP="004243C6">
            <w:pPr>
              <w:rPr>
                <w:szCs w:val="22"/>
              </w:rPr>
            </w:pPr>
            <w:r w:rsidRPr="0095783A">
              <w:rPr>
                <w:szCs w:val="22"/>
              </w:rPr>
              <w:t>0007441651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3B66676" w14:textId="77777777" w:rsidR="004243C6" w:rsidRPr="0095783A" w:rsidRDefault="004243C6" w:rsidP="004243C6">
            <w:pPr>
              <w:rPr>
                <w:szCs w:val="22"/>
              </w:rPr>
            </w:pPr>
            <w:r w:rsidRPr="0095783A">
              <w:rPr>
                <w:szCs w:val="22"/>
              </w:rPr>
              <w:t>WQHU600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7857F8E"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77B3763"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D08B1C5"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198C67B"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D033672" w14:textId="77777777" w:rsidR="004243C6" w:rsidRPr="0095783A" w:rsidRDefault="004243C6" w:rsidP="004243C6">
            <w:pPr>
              <w:rPr>
                <w:szCs w:val="22"/>
              </w:rPr>
            </w:pPr>
            <w:r w:rsidRPr="0095783A">
              <w:rPr>
                <w:szCs w:val="22"/>
              </w:rPr>
              <w:t>State College, PA</w:t>
            </w:r>
          </w:p>
        </w:tc>
      </w:tr>
      <w:tr w:rsidR="004243C6" w:rsidRPr="0095783A" w14:paraId="1F789781"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A4EE033" w14:textId="77777777" w:rsidR="004243C6" w:rsidRPr="0095783A" w:rsidRDefault="004243C6" w:rsidP="004243C6">
            <w:pPr>
              <w:rPr>
                <w:szCs w:val="22"/>
              </w:rPr>
            </w:pPr>
            <w:r w:rsidRPr="0095783A">
              <w:rPr>
                <w:szCs w:val="22"/>
              </w:rPr>
              <w:t>0007441652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EFBAC05" w14:textId="77777777" w:rsidR="004243C6" w:rsidRPr="0095783A" w:rsidRDefault="004243C6" w:rsidP="004243C6">
            <w:pPr>
              <w:rPr>
                <w:szCs w:val="22"/>
              </w:rPr>
            </w:pPr>
            <w:r w:rsidRPr="0095783A">
              <w:rPr>
                <w:szCs w:val="22"/>
              </w:rPr>
              <w:t>WQHU601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802E4BA"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20D9427"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DF97B2D"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6F7537A"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94A38FA" w14:textId="66F8A7E1" w:rsidR="004243C6" w:rsidRPr="0095783A" w:rsidRDefault="004243C6" w:rsidP="004243C6">
            <w:pPr>
              <w:rPr>
                <w:szCs w:val="22"/>
              </w:rPr>
            </w:pPr>
            <w:r w:rsidRPr="0095783A">
              <w:rPr>
                <w:szCs w:val="22"/>
              </w:rPr>
              <w:t>Harrisburg-Lebanon-Carlisle, P</w:t>
            </w:r>
            <w:r w:rsidR="00A36023">
              <w:rPr>
                <w:szCs w:val="22"/>
              </w:rPr>
              <w:t>A</w:t>
            </w:r>
          </w:p>
        </w:tc>
      </w:tr>
      <w:tr w:rsidR="004243C6" w:rsidRPr="0095783A" w14:paraId="55E2DF15"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058EAAE" w14:textId="77777777" w:rsidR="004243C6" w:rsidRPr="0095783A" w:rsidRDefault="004243C6" w:rsidP="004243C6">
            <w:pPr>
              <w:rPr>
                <w:szCs w:val="22"/>
              </w:rPr>
            </w:pPr>
            <w:r w:rsidRPr="0095783A">
              <w:rPr>
                <w:szCs w:val="22"/>
              </w:rPr>
              <w:t>0007441653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E30059B" w14:textId="77777777" w:rsidR="004243C6" w:rsidRPr="0095783A" w:rsidRDefault="004243C6" w:rsidP="004243C6">
            <w:pPr>
              <w:rPr>
                <w:szCs w:val="22"/>
              </w:rPr>
            </w:pPr>
            <w:r w:rsidRPr="0095783A">
              <w:rPr>
                <w:szCs w:val="22"/>
              </w:rPr>
              <w:t>WQHU602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353D078"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171582C"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4505BE3"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9E1ED60"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B5C7AE0" w14:textId="77777777" w:rsidR="004243C6" w:rsidRPr="0095783A" w:rsidRDefault="004243C6" w:rsidP="004243C6">
            <w:pPr>
              <w:rPr>
                <w:szCs w:val="22"/>
              </w:rPr>
            </w:pPr>
            <w:r w:rsidRPr="0095783A">
              <w:rPr>
                <w:szCs w:val="22"/>
              </w:rPr>
              <w:t>Salisbury, MD-DE-VA</w:t>
            </w:r>
          </w:p>
        </w:tc>
      </w:tr>
      <w:tr w:rsidR="004243C6" w:rsidRPr="0095783A" w14:paraId="18E3BBC7"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B94FE45" w14:textId="77777777" w:rsidR="004243C6" w:rsidRPr="0095783A" w:rsidRDefault="004243C6" w:rsidP="004243C6">
            <w:pPr>
              <w:rPr>
                <w:szCs w:val="22"/>
              </w:rPr>
            </w:pPr>
            <w:r w:rsidRPr="0095783A">
              <w:rPr>
                <w:szCs w:val="22"/>
              </w:rPr>
              <w:t>0007441654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DEB8E83" w14:textId="77777777" w:rsidR="004243C6" w:rsidRPr="0095783A" w:rsidRDefault="004243C6" w:rsidP="004243C6">
            <w:pPr>
              <w:rPr>
                <w:szCs w:val="22"/>
              </w:rPr>
            </w:pPr>
            <w:r w:rsidRPr="0095783A">
              <w:rPr>
                <w:szCs w:val="22"/>
              </w:rPr>
              <w:t>WQHU603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0C6EB5D"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A403C55"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D5751EF"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9EF1B7D"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4FE3FD6" w14:textId="77777777" w:rsidR="004243C6" w:rsidRPr="0095783A" w:rsidRDefault="004243C6" w:rsidP="004243C6">
            <w:pPr>
              <w:rPr>
                <w:szCs w:val="22"/>
              </w:rPr>
            </w:pPr>
            <w:r w:rsidRPr="0095783A">
              <w:rPr>
                <w:szCs w:val="22"/>
              </w:rPr>
              <w:t>Staunton, VA-WV</w:t>
            </w:r>
          </w:p>
        </w:tc>
      </w:tr>
      <w:tr w:rsidR="004243C6" w:rsidRPr="0095783A" w14:paraId="5CC2760F"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3A77C42" w14:textId="77777777" w:rsidR="004243C6" w:rsidRPr="0095783A" w:rsidRDefault="004243C6" w:rsidP="004243C6">
            <w:pPr>
              <w:rPr>
                <w:szCs w:val="22"/>
              </w:rPr>
            </w:pPr>
            <w:r w:rsidRPr="0095783A">
              <w:rPr>
                <w:szCs w:val="22"/>
              </w:rPr>
              <w:t>0007441655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B56EE4D" w14:textId="77777777" w:rsidR="004243C6" w:rsidRPr="0095783A" w:rsidRDefault="004243C6" w:rsidP="004243C6">
            <w:pPr>
              <w:rPr>
                <w:szCs w:val="22"/>
              </w:rPr>
            </w:pPr>
            <w:r w:rsidRPr="0095783A">
              <w:rPr>
                <w:szCs w:val="22"/>
              </w:rPr>
              <w:t>WQHU604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10109C4"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FE07F8B"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289BB15"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8DAE854"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10F8DDF" w14:textId="77777777" w:rsidR="004243C6" w:rsidRPr="0095783A" w:rsidRDefault="004243C6" w:rsidP="004243C6">
            <w:pPr>
              <w:rPr>
                <w:szCs w:val="22"/>
              </w:rPr>
            </w:pPr>
            <w:r w:rsidRPr="0095783A">
              <w:rPr>
                <w:szCs w:val="22"/>
              </w:rPr>
              <w:t>Roanoke, VA-NC-WV</w:t>
            </w:r>
          </w:p>
        </w:tc>
      </w:tr>
      <w:tr w:rsidR="004243C6" w:rsidRPr="0095783A" w14:paraId="230A9BD7"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B37F352" w14:textId="77777777" w:rsidR="004243C6" w:rsidRPr="0095783A" w:rsidRDefault="004243C6" w:rsidP="004243C6">
            <w:pPr>
              <w:rPr>
                <w:szCs w:val="22"/>
              </w:rPr>
            </w:pPr>
            <w:r w:rsidRPr="0095783A">
              <w:rPr>
                <w:szCs w:val="22"/>
              </w:rPr>
              <w:t>0007441656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C7E4A69" w14:textId="77777777" w:rsidR="004243C6" w:rsidRPr="0095783A" w:rsidRDefault="004243C6" w:rsidP="004243C6">
            <w:pPr>
              <w:rPr>
                <w:szCs w:val="22"/>
              </w:rPr>
            </w:pPr>
            <w:r w:rsidRPr="0095783A">
              <w:rPr>
                <w:szCs w:val="22"/>
              </w:rPr>
              <w:t>WQHU605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3F96BC5"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2A8454E"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C77618F"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AE66279"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35C9D47" w14:textId="77777777" w:rsidR="004243C6" w:rsidRPr="0095783A" w:rsidRDefault="004243C6" w:rsidP="004243C6">
            <w:pPr>
              <w:rPr>
                <w:szCs w:val="22"/>
              </w:rPr>
            </w:pPr>
            <w:r w:rsidRPr="0095783A">
              <w:rPr>
                <w:szCs w:val="22"/>
              </w:rPr>
              <w:t>Greenville, NC</w:t>
            </w:r>
          </w:p>
        </w:tc>
      </w:tr>
      <w:tr w:rsidR="004243C6" w:rsidRPr="0095783A" w14:paraId="3ADEC980"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90941EC" w14:textId="77777777" w:rsidR="004243C6" w:rsidRPr="0095783A" w:rsidRDefault="004243C6" w:rsidP="004243C6">
            <w:pPr>
              <w:rPr>
                <w:szCs w:val="22"/>
              </w:rPr>
            </w:pPr>
            <w:r w:rsidRPr="0095783A">
              <w:rPr>
                <w:szCs w:val="22"/>
              </w:rPr>
              <w:t>0007441657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332EB21" w14:textId="77777777" w:rsidR="004243C6" w:rsidRPr="0095783A" w:rsidRDefault="004243C6" w:rsidP="004243C6">
            <w:pPr>
              <w:rPr>
                <w:szCs w:val="22"/>
              </w:rPr>
            </w:pPr>
            <w:r w:rsidRPr="0095783A">
              <w:rPr>
                <w:szCs w:val="22"/>
              </w:rPr>
              <w:t>WQHU606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3731625"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1257C62"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62187A8"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F5DF985"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33A33B8" w14:textId="77777777" w:rsidR="004243C6" w:rsidRPr="0095783A" w:rsidRDefault="004243C6" w:rsidP="004243C6">
            <w:pPr>
              <w:rPr>
                <w:szCs w:val="22"/>
              </w:rPr>
            </w:pPr>
            <w:r w:rsidRPr="0095783A">
              <w:rPr>
                <w:szCs w:val="22"/>
              </w:rPr>
              <w:t>Augusta-Aiken, GA-SC</w:t>
            </w:r>
          </w:p>
        </w:tc>
      </w:tr>
      <w:tr w:rsidR="004243C6" w:rsidRPr="0095783A" w14:paraId="666D0D1F"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FE4FB0F" w14:textId="77777777" w:rsidR="004243C6" w:rsidRPr="0095783A" w:rsidRDefault="004243C6" w:rsidP="004243C6">
            <w:pPr>
              <w:rPr>
                <w:szCs w:val="22"/>
              </w:rPr>
            </w:pPr>
            <w:r w:rsidRPr="0095783A">
              <w:rPr>
                <w:szCs w:val="22"/>
              </w:rPr>
              <w:t>0007441658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E8033D5" w14:textId="77777777" w:rsidR="004243C6" w:rsidRPr="0095783A" w:rsidRDefault="004243C6" w:rsidP="004243C6">
            <w:pPr>
              <w:rPr>
                <w:szCs w:val="22"/>
              </w:rPr>
            </w:pPr>
            <w:r w:rsidRPr="0095783A">
              <w:rPr>
                <w:szCs w:val="22"/>
              </w:rPr>
              <w:t>WQHU607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75153DC"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60B04D4"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FC4EDB0"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0DF6D60"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673E034" w14:textId="77777777" w:rsidR="004243C6" w:rsidRPr="0095783A" w:rsidRDefault="004243C6" w:rsidP="004243C6">
            <w:pPr>
              <w:rPr>
                <w:szCs w:val="22"/>
              </w:rPr>
            </w:pPr>
            <w:r w:rsidRPr="0095783A">
              <w:rPr>
                <w:szCs w:val="22"/>
              </w:rPr>
              <w:t>Dothan, AL-FL-GA</w:t>
            </w:r>
          </w:p>
        </w:tc>
      </w:tr>
      <w:tr w:rsidR="004243C6" w:rsidRPr="0095783A" w14:paraId="77D46778"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09D3D20" w14:textId="77777777" w:rsidR="004243C6" w:rsidRPr="0095783A" w:rsidRDefault="004243C6" w:rsidP="004243C6">
            <w:pPr>
              <w:rPr>
                <w:szCs w:val="22"/>
              </w:rPr>
            </w:pPr>
            <w:r w:rsidRPr="0095783A">
              <w:rPr>
                <w:szCs w:val="22"/>
              </w:rPr>
              <w:t>0007441659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B3EA674" w14:textId="77777777" w:rsidR="004243C6" w:rsidRPr="0095783A" w:rsidRDefault="004243C6" w:rsidP="004243C6">
            <w:pPr>
              <w:rPr>
                <w:szCs w:val="22"/>
              </w:rPr>
            </w:pPr>
            <w:r w:rsidRPr="0095783A">
              <w:rPr>
                <w:szCs w:val="22"/>
              </w:rPr>
              <w:t>WQHU608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D8481F7"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F7AAD31"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0532BCC"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1C3FE10"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6F67431" w14:textId="77777777" w:rsidR="004243C6" w:rsidRPr="0095783A" w:rsidRDefault="004243C6" w:rsidP="004243C6">
            <w:pPr>
              <w:rPr>
                <w:szCs w:val="22"/>
              </w:rPr>
            </w:pPr>
            <w:r w:rsidRPr="0095783A">
              <w:rPr>
                <w:szCs w:val="22"/>
              </w:rPr>
              <w:t>Albany, GA</w:t>
            </w:r>
          </w:p>
        </w:tc>
      </w:tr>
      <w:tr w:rsidR="004243C6" w:rsidRPr="0095783A" w14:paraId="3B38A473"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A926779" w14:textId="77777777" w:rsidR="004243C6" w:rsidRPr="0095783A" w:rsidRDefault="004243C6" w:rsidP="004243C6">
            <w:pPr>
              <w:rPr>
                <w:szCs w:val="22"/>
              </w:rPr>
            </w:pPr>
            <w:r w:rsidRPr="0095783A">
              <w:rPr>
                <w:szCs w:val="22"/>
              </w:rPr>
              <w:t>0007441660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D98509E" w14:textId="77777777" w:rsidR="004243C6" w:rsidRPr="0095783A" w:rsidRDefault="004243C6" w:rsidP="004243C6">
            <w:pPr>
              <w:rPr>
                <w:szCs w:val="22"/>
              </w:rPr>
            </w:pPr>
            <w:r w:rsidRPr="0095783A">
              <w:rPr>
                <w:szCs w:val="22"/>
              </w:rPr>
              <w:t>WQHU609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759980F"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32B6F68"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45DE190"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0A34A07"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35B9390" w14:textId="77777777" w:rsidR="004243C6" w:rsidRPr="0095783A" w:rsidRDefault="004243C6" w:rsidP="004243C6">
            <w:pPr>
              <w:rPr>
                <w:szCs w:val="22"/>
              </w:rPr>
            </w:pPr>
            <w:r w:rsidRPr="0095783A">
              <w:rPr>
                <w:szCs w:val="22"/>
              </w:rPr>
              <w:t>Macon, GA</w:t>
            </w:r>
          </w:p>
        </w:tc>
      </w:tr>
      <w:tr w:rsidR="004243C6" w:rsidRPr="0095783A" w14:paraId="1CAD10FC"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709AA68" w14:textId="77777777" w:rsidR="004243C6" w:rsidRPr="0095783A" w:rsidRDefault="004243C6" w:rsidP="004243C6">
            <w:pPr>
              <w:rPr>
                <w:szCs w:val="22"/>
              </w:rPr>
            </w:pPr>
            <w:r w:rsidRPr="0095783A">
              <w:rPr>
                <w:szCs w:val="22"/>
              </w:rPr>
              <w:t>0007441661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8DB12AD" w14:textId="77777777" w:rsidR="004243C6" w:rsidRPr="0095783A" w:rsidRDefault="004243C6" w:rsidP="004243C6">
            <w:pPr>
              <w:rPr>
                <w:szCs w:val="22"/>
              </w:rPr>
            </w:pPr>
            <w:r w:rsidRPr="0095783A">
              <w:rPr>
                <w:szCs w:val="22"/>
              </w:rPr>
              <w:t>WQHU610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76847D9"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69910DE"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92907F7"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623571C"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4D1B8D9" w14:textId="77777777" w:rsidR="004243C6" w:rsidRPr="0095783A" w:rsidRDefault="004243C6" w:rsidP="004243C6">
            <w:pPr>
              <w:rPr>
                <w:szCs w:val="22"/>
              </w:rPr>
            </w:pPr>
            <w:r w:rsidRPr="0095783A">
              <w:rPr>
                <w:szCs w:val="22"/>
              </w:rPr>
              <w:t>Columbus, GA-AL</w:t>
            </w:r>
          </w:p>
        </w:tc>
      </w:tr>
      <w:tr w:rsidR="004243C6" w:rsidRPr="0095783A" w14:paraId="1687A976"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6715735" w14:textId="77777777" w:rsidR="004243C6" w:rsidRPr="0095783A" w:rsidRDefault="004243C6" w:rsidP="004243C6">
            <w:pPr>
              <w:rPr>
                <w:szCs w:val="22"/>
              </w:rPr>
            </w:pPr>
            <w:r w:rsidRPr="0095783A">
              <w:rPr>
                <w:szCs w:val="22"/>
              </w:rPr>
              <w:t>0007441662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52B66EB" w14:textId="77777777" w:rsidR="004243C6" w:rsidRPr="0095783A" w:rsidRDefault="004243C6" w:rsidP="004243C6">
            <w:pPr>
              <w:rPr>
                <w:szCs w:val="22"/>
              </w:rPr>
            </w:pPr>
            <w:r w:rsidRPr="0095783A">
              <w:rPr>
                <w:szCs w:val="22"/>
              </w:rPr>
              <w:t>WQHU611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D1816F7"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035FA85"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1D86C4D"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6BF915A"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E380795" w14:textId="77777777" w:rsidR="004243C6" w:rsidRPr="0095783A" w:rsidRDefault="004243C6" w:rsidP="004243C6">
            <w:pPr>
              <w:rPr>
                <w:szCs w:val="22"/>
              </w:rPr>
            </w:pPr>
            <w:r w:rsidRPr="0095783A">
              <w:rPr>
                <w:szCs w:val="22"/>
              </w:rPr>
              <w:t>Chattanooga, TN-GA</w:t>
            </w:r>
          </w:p>
        </w:tc>
      </w:tr>
      <w:tr w:rsidR="004243C6" w:rsidRPr="0095783A" w14:paraId="515E0E0E"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D7CCE89" w14:textId="77777777" w:rsidR="004243C6" w:rsidRPr="0095783A" w:rsidRDefault="004243C6" w:rsidP="004243C6">
            <w:pPr>
              <w:rPr>
                <w:szCs w:val="22"/>
              </w:rPr>
            </w:pPr>
            <w:r w:rsidRPr="0095783A">
              <w:rPr>
                <w:szCs w:val="22"/>
              </w:rPr>
              <w:t>0007441663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80C4039" w14:textId="77777777" w:rsidR="004243C6" w:rsidRPr="0095783A" w:rsidRDefault="004243C6" w:rsidP="004243C6">
            <w:pPr>
              <w:rPr>
                <w:szCs w:val="22"/>
              </w:rPr>
            </w:pPr>
            <w:r w:rsidRPr="0095783A">
              <w:rPr>
                <w:szCs w:val="22"/>
              </w:rPr>
              <w:t>WQHU612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908BE9F"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F85B387"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7450CBF"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F06D8E5"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4BBBD68" w14:textId="77777777" w:rsidR="004243C6" w:rsidRPr="0095783A" w:rsidRDefault="004243C6" w:rsidP="004243C6">
            <w:pPr>
              <w:rPr>
                <w:szCs w:val="22"/>
              </w:rPr>
            </w:pPr>
            <w:r w:rsidRPr="0095783A">
              <w:rPr>
                <w:szCs w:val="22"/>
              </w:rPr>
              <w:t>Knoxville, TN</w:t>
            </w:r>
          </w:p>
        </w:tc>
      </w:tr>
      <w:tr w:rsidR="004243C6" w:rsidRPr="0095783A" w14:paraId="6ABBAE4B"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04E0FAC" w14:textId="77777777" w:rsidR="004243C6" w:rsidRPr="0095783A" w:rsidRDefault="004243C6" w:rsidP="004243C6">
            <w:pPr>
              <w:rPr>
                <w:szCs w:val="22"/>
              </w:rPr>
            </w:pPr>
            <w:r w:rsidRPr="0095783A">
              <w:rPr>
                <w:szCs w:val="22"/>
              </w:rPr>
              <w:t>0007441664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DBBF221" w14:textId="77777777" w:rsidR="004243C6" w:rsidRPr="0095783A" w:rsidRDefault="004243C6" w:rsidP="004243C6">
            <w:pPr>
              <w:rPr>
                <w:szCs w:val="22"/>
              </w:rPr>
            </w:pPr>
            <w:r w:rsidRPr="0095783A">
              <w:rPr>
                <w:szCs w:val="22"/>
              </w:rPr>
              <w:t>WQHU613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E44C21D"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ED7C28E"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64F8A45"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47833E3"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26B5580" w14:textId="77777777" w:rsidR="004243C6" w:rsidRPr="0095783A" w:rsidRDefault="004243C6" w:rsidP="004243C6">
            <w:pPr>
              <w:rPr>
                <w:szCs w:val="22"/>
              </w:rPr>
            </w:pPr>
            <w:r w:rsidRPr="0095783A">
              <w:rPr>
                <w:szCs w:val="22"/>
              </w:rPr>
              <w:t>Pittsburgh, PA-WV</w:t>
            </w:r>
          </w:p>
        </w:tc>
      </w:tr>
      <w:tr w:rsidR="004243C6" w:rsidRPr="0095783A" w14:paraId="65E66317"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D1A6630" w14:textId="77777777" w:rsidR="004243C6" w:rsidRPr="0095783A" w:rsidRDefault="004243C6" w:rsidP="004243C6">
            <w:pPr>
              <w:rPr>
                <w:szCs w:val="22"/>
              </w:rPr>
            </w:pPr>
            <w:r w:rsidRPr="0095783A">
              <w:rPr>
                <w:szCs w:val="22"/>
              </w:rPr>
              <w:t>0007441665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8CF2258" w14:textId="77777777" w:rsidR="004243C6" w:rsidRPr="0095783A" w:rsidRDefault="004243C6" w:rsidP="004243C6">
            <w:pPr>
              <w:rPr>
                <w:szCs w:val="22"/>
              </w:rPr>
            </w:pPr>
            <w:r w:rsidRPr="0095783A">
              <w:rPr>
                <w:szCs w:val="22"/>
              </w:rPr>
              <w:t>WQHU614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D655AD0"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459DD64"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68F1AAB"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AFF0E0D"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5CAF358" w14:textId="77777777" w:rsidR="004243C6" w:rsidRPr="0095783A" w:rsidRDefault="004243C6" w:rsidP="004243C6">
            <w:pPr>
              <w:rPr>
                <w:szCs w:val="22"/>
              </w:rPr>
            </w:pPr>
            <w:r w:rsidRPr="0095783A">
              <w:rPr>
                <w:szCs w:val="22"/>
              </w:rPr>
              <w:t>Toledo, OH</w:t>
            </w:r>
          </w:p>
        </w:tc>
      </w:tr>
      <w:tr w:rsidR="004243C6" w:rsidRPr="0095783A" w14:paraId="39944548"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2744751" w14:textId="77777777" w:rsidR="004243C6" w:rsidRPr="0095783A" w:rsidRDefault="004243C6" w:rsidP="004243C6">
            <w:pPr>
              <w:rPr>
                <w:szCs w:val="22"/>
              </w:rPr>
            </w:pPr>
            <w:r w:rsidRPr="0095783A">
              <w:rPr>
                <w:szCs w:val="22"/>
              </w:rPr>
              <w:t>0007441666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1E0BFB9" w14:textId="77777777" w:rsidR="004243C6" w:rsidRPr="0095783A" w:rsidRDefault="004243C6" w:rsidP="004243C6">
            <w:pPr>
              <w:rPr>
                <w:szCs w:val="22"/>
              </w:rPr>
            </w:pPr>
            <w:r w:rsidRPr="0095783A">
              <w:rPr>
                <w:szCs w:val="22"/>
              </w:rPr>
              <w:t>WQHU615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627F91E"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68CD6BB"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4168DD0"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04B4227"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235809F" w14:textId="77777777" w:rsidR="004243C6" w:rsidRPr="0095783A" w:rsidRDefault="004243C6" w:rsidP="004243C6">
            <w:pPr>
              <w:rPr>
                <w:szCs w:val="22"/>
              </w:rPr>
            </w:pPr>
            <w:r w:rsidRPr="0095783A">
              <w:rPr>
                <w:szCs w:val="22"/>
              </w:rPr>
              <w:t>Fort Wayne, IN</w:t>
            </w:r>
          </w:p>
        </w:tc>
      </w:tr>
      <w:tr w:rsidR="004243C6" w:rsidRPr="0095783A" w14:paraId="09AF9B80"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832A424" w14:textId="77777777" w:rsidR="004243C6" w:rsidRPr="0095783A" w:rsidRDefault="004243C6" w:rsidP="004243C6">
            <w:pPr>
              <w:rPr>
                <w:szCs w:val="22"/>
              </w:rPr>
            </w:pPr>
            <w:r w:rsidRPr="0095783A">
              <w:rPr>
                <w:szCs w:val="22"/>
              </w:rPr>
              <w:t>0007441667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9CFA969" w14:textId="77777777" w:rsidR="004243C6" w:rsidRPr="0095783A" w:rsidRDefault="004243C6" w:rsidP="004243C6">
            <w:pPr>
              <w:rPr>
                <w:szCs w:val="22"/>
              </w:rPr>
            </w:pPr>
            <w:r w:rsidRPr="0095783A">
              <w:rPr>
                <w:szCs w:val="22"/>
              </w:rPr>
              <w:t>WQHU616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EA2DAB0"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8AC7EF5"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C8F61DB"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3A9FB21"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B140278" w14:textId="77777777" w:rsidR="004243C6" w:rsidRPr="0095783A" w:rsidRDefault="004243C6" w:rsidP="004243C6">
            <w:pPr>
              <w:rPr>
                <w:szCs w:val="22"/>
              </w:rPr>
            </w:pPr>
            <w:r w:rsidRPr="0095783A">
              <w:rPr>
                <w:szCs w:val="22"/>
              </w:rPr>
              <w:t>Champaign-Urbana, IL</w:t>
            </w:r>
          </w:p>
        </w:tc>
      </w:tr>
      <w:tr w:rsidR="004243C6" w:rsidRPr="0095783A" w14:paraId="4782E66D"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0ED322D" w14:textId="77777777" w:rsidR="004243C6" w:rsidRPr="0095783A" w:rsidRDefault="004243C6" w:rsidP="004243C6">
            <w:pPr>
              <w:rPr>
                <w:szCs w:val="22"/>
              </w:rPr>
            </w:pPr>
            <w:r w:rsidRPr="0095783A">
              <w:rPr>
                <w:szCs w:val="22"/>
              </w:rPr>
              <w:t>0007441668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6AAB66D" w14:textId="77777777" w:rsidR="004243C6" w:rsidRPr="0095783A" w:rsidRDefault="004243C6" w:rsidP="004243C6">
            <w:pPr>
              <w:rPr>
                <w:szCs w:val="22"/>
              </w:rPr>
            </w:pPr>
            <w:r w:rsidRPr="0095783A">
              <w:rPr>
                <w:szCs w:val="22"/>
              </w:rPr>
              <w:t>WQHU617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E25316A"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3E583BA"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6FB56B3"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33A12F5"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5F5F349" w14:textId="77777777" w:rsidR="004243C6" w:rsidRPr="0095783A" w:rsidRDefault="004243C6" w:rsidP="004243C6">
            <w:pPr>
              <w:rPr>
                <w:szCs w:val="22"/>
              </w:rPr>
            </w:pPr>
            <w:r w:rsidRPr="0095783A">
              <w:rPr>
                <w:szCs w:val="22"/>
              </w:rPr>
              <w:t>Evansville-Henderson, IN-KY-IL</w:t>
            </w:r>
          </w:p>
        </w:tc>
      </w:tr>
      <w:tr w:rsidR="004243C6" w:rsidRPr="0095783A" w14:paraId="232BF534"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3CEB234" w14:textId="77777777" w:rsidR="004243C6" w:rsidRPr="0095783A" w:rsidRDefault="004243C6" w:rsidP="004243C6">
            <w:pPr>
              <w:rPr>
                <w:szCs w:val="22"/>
              </w:rPr>
            </w:pPr>
            <w:r w:rsidRPr="0095783A">
              <w:rPr>
                <w:szCs w:val="22"/>
              </w:rPr>
              <w:t>0007441669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B9716C3" w14:textId="77777777" w:rsidR="004243C6" w:rsidRPr="0095783A" w:rsidRDefault="004243C6" w:rsidP="004243C6">
            <w:pPr>
              <w:rPr>
                <w:szCs w:val="22"/>
              </w:rPr>
            </w:pPr>
            <w:r w:rsidRPr="0095783A">
              <w:rPr>
                <w:szCs w:val="22"/>
              </w:rPr>
              <w:t>WQHU618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E50EE36"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1CF705F"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E16D5C9"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D1461B9"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1F5F105" w14:textId="77777777" w:rsidR="004243C6" w:rsidRPr="0095783A" w:rsidRDefault="004243C6" w:rsidP="004243C6">
            <w:pPr>
              <w:rPr>
                <w:szCs w:val="22"/>
              </w:rPr>
            </w:pPr>
            <w:r w:rsidRPr="0095783A">
              <w:rPr>
                <w:szCs w:val="22"/>
              </w:rPr>
              <w:t>Paducah, KY-IL</w:t>
            </w:r>
          </w:p>
        </w:tc>
      </w:tr>
      <w:tr w:rsidR="004243C6" w:rsidRPr="0095783A" w14:paraId="22E1354C"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86AA20E" w14:textId="77777777" w:rsidR="004243C6" w:rsidRPr="0095783A" w:rsidRDefault="004243C6" w:rsidP="004243C6">
            <w:pPr>
              <w:rPr>
                <w:szCs w:val="22"/>
              </w:rPr>
            </w:pPr>
            <w:r w:rsidRPr="0095783A">
              <w:rPr>
                <w:szCs w:val="22"/>
              </w:rPr>
              <w:t>0007441670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DD7EEF1" w14:textId="77777777" w:rsidR="004243C6" w:rsidRPr="0095783A" w:rsidRDefault="004243C6" w:rsidP="004243C6">
            <w:pPr>
              <w:rPr>
                <w:szCs w:val="22"/>
              </w:rPr>
            </w:pPr>
            <w:r w:rsidRPr="0095783A">
              <w:rPr>
                <w:szCs w:val="22"/>
              </w:rPr>
              <w:t>WQHU619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FF6770E"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D423651"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02AA04A"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E53E8DD"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4191FAF" w14:textId="77777777" w:rsidR="004243C6" w:rsidRPr="0095783A" w:rsidRDefault="004243C6" w:rsidP="004243C6">
            <w:pPr>
              <w:rPr>
                <w:szCs w:val="22"/>
              </w:rPr>
            </w:pPr>
            <w:r w:rsidRPr="0095783A">
              <w:rPr>
                <w:szCs w:val="22"/>
              </w:rPr>
              <w:t>Greenville, MS</w:t>
            </w:r>
          </w:p>
        </w:tc>
      </w:tr>
      <w:tr w:rsidR="004243C6" w:rsidRPr="0095783A" w14:paraId="4F20CA73"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4C66B58" w14:textId="77777777" w:rsidR="004243C6" w:rsidRPr="0095783A" w:rsidRDefault="004243C6" w:rsidP="004243C6">
            <w:pPr>
              <w:rPr>
                <w:szCs w:val="22"/>
              </w:rPr>
            </w:pPr>
            <w:r w:rsidRPr="0095783A">
              <w:rPr>
                <w:szCs w:val="22"/>
              </w:rPr>
              <w:t>0007441671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B10D46E" w14:textId="77777777" w:rsidR="004243C6" w:rsidRPr="0095783A" w:rsidRDefault="004243C6" w:rsidP="004243C6">
            <w:pPr>
              <w:rPr>
                <w:szCs w:val="22"/>
              </w:rPr>
            </w:pPr>
            <w:r w:rsidRPr="0095783A">
              <w:rPr>
                <w:szCs w:val="22"/>
              </w:rPr>
              <w:t>WQHU620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FB2420D"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49CA824"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8EB487E"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548D455"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6066A17" w14:textId="77777777" w:rsidR="004243C6" w:rsidRPr="0095783A" w:rsidRDefault="004243C6" w:rsidP="004243C6">
            <w:pPr>
              <w:rPr>
                <w:szCs w:val="22"/>
              </w:rPr>
            </w:pPr>
            <w:r w:rsidRPr="0095783A">
              <w:rPr>
                <w:szCs w:val="22"/>
              </w:rPr>
              <w:t>Birmingham, AL</w:t>
            </w:r>
          </w:p>
        </w:tc>
      </w:tr>
      <w:tr w:rsidR="004243C6" w:rsidRPr="0095783A" w14:paraId="68256EB7"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8036C4E" w14:textId="77777777" w:rsidR="004243C6" w:rsidRPr="0095783A" w:rsidRDefault="004243C6" w:rsidP="004243C6">
            <w:pPr>
              <w:rPr>
                <w:szCs w:val="22"/>
              </w:rPr>
            </w:pPr>
            <w:r w:rsidRPr="0095783A">
              <w:rPr>
                <w:szCs w:val="22"/>
              </w:rPr>
              <w:t>0007441672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65EAD98" w14:textId="77777777" w:rsidR="004243C6" w:rsidRPr="0095783A" w:rsidRDefault="004243C6" w:rsidP="004243C6">
            <w:pPr>
              <w:rPr>
                <w:szCs w:val="22"/>
              </w:rPr>
            </w:pPr>
            <w:r w:rsidRPr="0095783A">
              <w:rPr>
                <w:szCs w:val="22"/>
              </w:rPr>
              <w:t>WQHU621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936A871"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0E8B338"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A303FB6"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8091730"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FCB5FC1" w14:textId="77777777" w:rsidR="004243C6" w:rsidRPr="0095783A" w:rsidRDefault="004243C6" w:rsidP="004243C6">
            <w:pPr>
              <w:rPr>
                <w:szCs w:val="22"/>
              </w:rPr>
            </w:pPr>
            <w:r w:rsidRPr="0095783A">
              <w:rPr>
                <w:szCs w:val="22"/>
              </w:rPr>
              <w:t>Pensacola, FL</w:t>
            </w:r>
          </w:p>
        </w:tc>
      </w:tr>
      <w:tr w:rsidR="004243C6" w:rsidRPr="0095783A" w14:paraId="288D4A4B"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F154934" w14:textId="77777777" w:rsidR="004243C6" w:rsidRPr="0095783A" w:rsidRDefault="004243C6" w:rsidP="004243C6">
            <w:pPr>
              <w:rPr>
                <w:szCs w:val="22"/>
              </w:rPr>
            </w:pPr>
            <w:r w:rsidRPr="0095783A">
              <w:rPr>
                <w:szCs w:val="22"/>
              </w:rPr>
              <w:t>0007441673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EA65137" w14:textId="77777777" w:rsidR="004243C6" w:rsidRPr="0095783A" w:rsidRDefault="004243C6" w:rsidP="004243C6">
            <w:pPr>
              <w:rPr>
                <w:szCs w:val="22"/>
              </w:rPr>
            </w:pPr>
            <w:r w:rsidRPr="0095783A">
              <w:rPr>
                <w:szCs w:val="22"/>
              </w:rPr>
              <w:t>WQHU622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D869899"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F991BE5"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FCFF2D7"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7A3E2FF"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5480FA7" w14:textId="77777777" w:rsidR="004243C6" w:rsidRPr="0095783A" w:rsidRDefault="004243C6" w:rsidP="004243C6">
            <w:pPr>
              <w:rPr>
                <w:szCs w:val="22"/>
              </w:rPr>
            </w:pPr>
            <w:r w:rsidRPr="0095783A">
              <w:rPr>
                <w:szCs w:val="22"/>
              </w:rPr>
              <w:t>Biloxi-Gulfport-Pascagoula, MS</w:t>
            </w:r>
          </w:p>
        </w:tc>
      </w:tr>
      <w:tr w:rsidR="004243C6" w:rsidRPr="0095783A" w14:paraId="3EF1900D"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F67E3CE" w14:textId="77777777" w:rsidR="004243C6" w:rsidRPr="0095783A" w:rsidRDefault="004243C6" w:rsidP="004243C6">
            <w:pPr>
              <w:rPr>
                <w:szCs w:val="22"/>
              </w:rPr>
            </w:pPr>
            <w:r w:rsidRPr="0095783A">
              <w:rPr>
                <w:szCs w:val="22"/>
              </w:rPr>
              <w:t>0007441674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F9B3764" w14:textId="77777777" w:rsidR="004243C6" w:rsidRPr="0095783A" w:rsidRDefault="004243C6" w:rsidP="004243C6">
            <w:pPr>
              <w:rPr>
                <w:szCs w:val="22"/>
              </w:rPr>
            </w:pPr>
            <w:r w:rsidRPr="0095783A">
              <w:rPr>
                <w:szCs w:val="22"/>
              </w:rPr>
              <w:t>WQHU623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0A8E432"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A474F72"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CBF96DE"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D0B7CF1"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CC50F87" w14:textId="77777777" w:rsidR="004243C6" w:rsidRPr="0095783A" w:rsidRDefault="004243C6" w:rsidP="004243C6">
            <w:pPr>
              <w:rPr>
                <w:szCs w:val="22"/>
              </w:rPr>
            </w:pPr>
            <w:r w:rsidRPr="0095783A">
              <w:rPr>
                <w:szCs w:val="22"/>
              </w:rPr>
              <w:t>Shreveport-Bossier City, LA-AR</w:t>
            </w:r>
          </w:p>
        </w:tc>
      </w:tr>
      <w:tr w:rsidR="004243C6" w:rsidRPr="0095783A" w14:paraId="49B7C185"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4300CAD" w14:textId="77777777" w:rsidR="004243C6" w:rsidRPr="0095783A" w:rsidRDefault="004243C6" w:rsidP="004243C6">
            <w:pPr>
              <w:rPr>
                <w:szCs w:val="22"/>
              </w:rPr>
            </w:pPr>
            <w:r w:rsidRPr="0095783A">
              <w:rPr>
                <w:szCs w:val="22"/>
              </w:rPr>
              <w:t>0007441675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2632D67" w14:textId="77777777" w:rsidR="004243C6" w:rsidRPr="0095783A" w:rsidRDefault="004243C6" w:rsidP="004243C6">
            <w:pPr>
              <w:rPr>
                <w:szCs w:val="22"/>
              </w:rPr>
            </w:pPr>
            <w:r w:rsidRPr="0095783A">
              <w:rPr>
                <w:szCs w:val="22"/>
              </w:rPr>
              <w:t>WQHU624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1D1991E"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0EBDF6E"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3E73609"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810BE27"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55BB191" w14:textId="77777777" w:rsidR="004243C6" w:rsidRPr="0095783A" w:rsidRDefault="004243C6" w:rsidP="004243C6">
            <w:pPr>
              <w:rPr>
                <w:szCs w:val="22"/>
              </w:rPr>
            </w:pPr>
            <w:r w:rsidRPr="0095783A">
              <w:rPr>
                <w:szCs w:val="22"/>
              </w:rPr>
              <w:t>Monroe, LA</w:t>
            </w:r>
          </w:p>
        </w:tc>
      </w:tr>
      <w:tr w:rsidR="004243C6" w:rsidRPr="0095783A" w14:paraId="30E7ACC5"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987EDD9" w14:textId="77777777" w:rsidR="004243C6" w:rsidRPr="0095783A" w:rsidRDefault="004243C6" w:rsidP="004243C6">
            <w:pPr>
              <w:rPr>
                <w:szCs w:val="22"/>
              </w:rPr>
            </w:pPr>
            <w:r w:rsidRPr="0095783A">
              <w:rPr>
                <w:szCs w:val="22"/>
              </w:rPr>
              <w:t>0007441676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EBC7233" w14:textId="77777777" w:rsidR="004243C6" w:rsidRPr="0095783A" w:rsidRDefault="004243C6" w:rsidP="004243C6">
            <w:pPr>
              <w:rPr>
                <w:szCs w:val="22"/>
              </w:rPr>
            </w:pPr>
            <w:r w:rsidRPr="0095783A">
              <w:rPr>
                <w:szCs w:val="22"/>
              </w:rPr>
              <w:t>WQHU625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E75FC98"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F684CE8"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F5B1329"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3FACC2F"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777FB11" w14:textId="77777777" w:rsidR="004243C6" w:rsidRPr="0095783A" w:rsidRDefault="004243C6" w:rsidP="004243C6">
            <w:pPr>
              <w:rPr>
                <w:szCs w:val="22"/>
              </w:rPr>
            </w:pPr>
            <w:r w:rsidRPr="0095783A">
              <w:rPr>
                <w:szCs w:val="22"/>
              </w:rPr>
              <w:t>Fort Smith, AR-OK</w:t>
            </w:r>
          </w:p>
        </w:tc>
      </w:tr>
      <w:tr w:rsidR="004243C6" w:rsidRPr="0095783A" w14:paraId="791DD3BD"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2DBC321" w14:textId="77777777" w:rsidR="004243C6" w:rsidRPr="0095783A" w:rsidRDefault="004243C6" w:rsidP="004243C6">
            <w:pPr>
              <w:rPr>
                <w:szCs w:val="22"/>
              </w:rPr>
            </w:pPr>
            <w:r w:rsidRPr="0095783A">
              <w:rPr>
                <w:szCs w:val="22"/>
              </w:rPr>
              <w:t>0007441677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3D9A05C" w14:textId="77777777" w:rsidR="004243C6" w:rsidRPr="0095783A" w:rsidRDefault="004243C6" w:rsidP="004243C6">
            <w:pPr>
              <w:rPr>
                <w:szCs w:val="22"/>
              </w:rPr>
            </w:pPr>
            <w:r w:rsidRPr="0095783A">
              <w:rPr>
                <w:szCs w:val="22"/>
              </w:rPr>
              <w:t>WQHU626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EE994F4"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20442EF"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888B30D"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F49C6AD"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C57A33A" w14:textId="77777777" w:rsidR="004243C6" w:rsidRPr="0095783A" w:rsidRDefault="004243C6" w:rsidP="004243C6">
            <w:pPr>
              <w:rPr>
                <w:szCs w:val="22"/>
              </w:rPr>
            </w:pPr>
            <w:r w:rsidRPr="0095783A">
              <w:rPr>
                <w:szCs w:val="22"/>
              </w:rPr>
              <w:t>Fayetteville-Springdale-Rogers</w:t>
            </w:r>
          </w:p>
        </w:tc>
      </w:tr>
      <w:tr w:rsidR="004243C6" w:rsidRPr="0095783A" w14:paraId="42E160EC"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850FA9E" w14:textId="77777777" w:rsidR="004243C6" w:rsidRPr="0095783A" w:rsidRDefault="004243C6" w:rsidP="004243C6">
            <w:pPr>
              <w:rPr>
                <w:szCs w:val="22"/>
              </w:rPr>
            </w:pPr>
            <w:r w:rsidRPr="0095783A">
              <w:rPr>
                <w:szCs w:val="22"/>
              </w:rPr>
              <w:t>0007441678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5AB23BE" w14:textId="77777777" w:rsidR="004243C6" w:rsidRPr="0095783A" w:rsidRDefault="004243C6" w:rsidP="004243C6">
            <w:pPr>
              <w:rPr>
                <w:szCs w:val="22"/>
              </w:rPr>
            </w:pPr>
            <w:r w:rsidRPr="0095783A">
              <w:rPr>
                <w:szCs w:val="22"/>
              </w:rPr>
              <w:t>WQHU627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186E72C"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F5F50D6"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6ACF105"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3A70709"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9C5C347" w14:textId="77777777" w:rsidR="004243C6" w:rsidRPr="0095783A" w:rsidRDefault="004243C6" w:rsidP="004243C6">
            <w:pPr>
              <w:rPr>
                <w:szCs w:val="22"/>
              </w:rPr>
            </w:pPr>
            <w:r w:rsidRPr="0095783A">
              <w:rPr>
                <w:szCs w:val="22"/>
              </w:rPr>
              <w:t>Springfield, MO</w:t>
            </w:r>
          </w:p>
        </w:tc>
      </w:tr>
      <w:tr w:rsidR="004243C6" w:rsidRPr="0095783A" w14:paraId="42FEE527"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B500750" w14:textId="77777777" w:rsidR="004243C6" w:rsidRPr="0095783A" w:rsidRDefault="004243C6" w:rsidP="004243C6">
            <w:pPr>
              <w:rPr>
                <w:szCs w:val="22"/>
              </w:rPr>
            </w:pPr>
            <w:r w:rsidRPr="0095783A">
              <w:rPr>
                <w:szCs w:val="22"/>
              </w:rPr>
              <w:t>0007441679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8357024" w14:textId="77777777" w:rsidR="004243C6" w:rsidRPr="0095783A" w:rsidRDefault="004243C6" w:rsidP="004243C6">
            <w:pPr>
              <w:rPr>
                <w:szCs w:val="22"/>
              </w:rPr>
            </w:pPr>
            <w:r w:rsidRPr="0095783A">
              <w:rPr>
                <w:szCs w:val="22"/>
              </w:rPr>
              <w:t>WQHU628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51BD405"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7A18D79"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BBD23A3"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20D0566"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894E416" w14:textId="77777777" w:rsidR="004243C6" w:rsidRPr="0095783A" w:rsidRDefault="004243C6" w:rsidP="004243C6">
            <w:pPr>
              <w:rPr>
                <w:szCs w:val="22"/>
              </w:rPr>
            </w:pPr>
            <w:r w:rsidRPr="0095783A">
              <w:rPr>
                <w:szCs w:val="22"/>
              </w:rPr>
              <w:t>Jonesboro, AR-MO</w:t>
            </w:r>
          </w:p>
        </w:tc>
      </w:tr>
      <w:tr w:rsidR="004243C6" w:rsidRPr="0095783A" w14:paraId="1519BB0E"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7A9D5BF" w14:textId="77777777" w:rsidR="004243C6" w:rsidRPr="0095783A" w:rsidRDefault="004243C6" w:rsidP="004243C6">
            <w:pPr>
              <w:rPr>
                <w:szCs w:val="22"/>
              </w:rPr>
            </w:pPr>
            <w:r w:rsidRPr="0095783A">
              <w:rPr>
                <w:szCs w:val="22"/>
              </w:rPr>
              <w:t>0007441680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979CC4A" w14:textId="77777777" w:rsidR="004243C6" w:rsidRPr="0095783A" w:rsidRDefault="004243C6" w:rsidP="004243C6">
            <w:pPr>
              <w:rPr>
                <w:szCs w:val="22"/>
              </w:rPr>
            </w:pPr>
            <w:r w:rsidRPr="0095783A">
              <w:rPr>
                <w:szCs w:val="22"/>
              </w:rPr>
              <w:t>WQHU629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09F0CCC"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0BAC6BF"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8678904"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700536B"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28CF82E" w14:textId="77777777" w:rsidR="004243C6" w:rsidRPr="0095783A" w:rsidRDefault="004243C6" w:rsidP="004243C6">
            <w:pPr>
              <w:rPr>
                <w:szCs w:val="22"/>
              </w:rPr>
            </w:pPr>
            <w:r w:rsidRPr="0095783A">
              <w:rPr>
                <w:szCs w:val="22"/>
              </w:rPr>
              <w:t>Columbia, MO</w:t>
            </w:r>
          </w:p>
        </w:tc>
      </w:tr>
      <w:tr w:rsidR="004243C6" w:rsidRPr="0095783A" w14:paraId="3D293B4C"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729C05C" w14:textId="77777777" w:rsidR="004243C6" w:rsidRPr="0095783A" w:rsidRDefault="004243C6" w:rsidP="004243C6">
            <w:pPr>
              <w:rPr>
                <w:szCs w:val="22"/>
              </w:rPr>
            </w:pPr>
            <w:r w:rsidRPr="0095783A">
              <w:rPr>
                <w:szCs w:val="22"/>
              </w:rPr>
              <w:t>0007441681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7C54CB5" w14:textId="77777777" w:rsidR="004243C6" w:rsidRPr="0095783A" w:rsidRDefault="004243C6" w:rsidP="004243C6">
            <w:pPr>
              <w:rPr>
                <w:szCs w:val="22"/>
              </w:rPr>
            </w:pPr>
            <w:r w:rsidRPr="0095783A">
              <w:rPr>
                <w:szCs w:val="22"/>
              </w:rPr>
              <w:t>WQHU630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71C99F1"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F4A7265"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61336E1"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A2D1355"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E4B6331" w14:textId="77777777" w:rsidR="004243C6" w:rsidRPr="0095783A" w:rsidRDefault="004243C6" w:rsidP="004243C6">
            <w:pPr>
              <w:rPr>
                <w:szCs w:val="22"/>
              </w:rPr>
            </w:pPr>
            <w:r w:rsidRPr="0095783A">
              <w:rPr>
                <w:szCs w:val="22"/>
              </w:rPr>
              <w:t>Peoria-Pekin, IL</w:t>
            </w:r>
          </w:p>
        </w:tc>
      </w:tr>
      <w:tr w:rsidR="004243C6" w:rsidRPr="0095783A" w14:paraId="5F63BD09"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1D4AD0C" w14:textId="77777777" w:rsidR="004243C6" w:rsidRPr="0095783A" w:rsidRDefault="004243C6" w:rsidP="004243C6">
            <w:pPr>
              <w:rPr>
                <w:szCs w:val="22"/>
              </w:rPr>
            </w:pPr>
            <w:r w:rsidRPr="0095783A">
              <w:rPr>
                <w:szCs w:val="22"/>
              </w:rPr>
              <w:t>0007441682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6FF886B" w14:textId="77777777" w:rsidR="004243C6" w:rsidRPr="0095783A" w:rsidRDefault="004243C6" w:rsidP="004243C6">
            <w:pPr>
              <w:rPr>
                <w:szCs w:val="22"/>
              </w:rPr>
            </w:pPr>
            <w:r w:rsidRPr="0095783A">
              <w:rPr>
                <w:szCs w:val="22"/>
              </w:rPr>
              <w:t>WQHU631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4212972"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73FB335"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1CAEC51"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0D8C721"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75BFF73" w14:textId="77777777" w:rsidR="004243C6" w:rsidRPr="0095783A" w:rsidRDefault="004243C6" w:rsidP="004243C6">
            <w:pPr>
              <w:rPr>
                <w:szCs w:val="22"/>
              </w:rPr>
            </w:pPr>
            <w:r w:rsidRPr="0095783A">
              <w:rPr>
                <w:szCs w:val="22"/>
              </w:rPr>
              <w:t>Davenport-Moline-Rock Island,</w:t>
            </w:r>
          </w:p>
        </w:tc>
      </w:tr>
      <w:tr w:rsidR="004243C6" w:rsidRPr="0095783A" w14:paraId="0476C646"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057EF71" w14:textId="77777777" w:rsidR="004243C6" w:rsidRPr="0095783A" w:rsidRDefault="004243C6" w:rsidP="004243C6">
            <w:pPr>
              <w:rPr>
                <w:szCs w:val="22"/>
              </w:rPr>
            </w:pPr>
            <w:r w:rsidRPr="0095783A">
              <w:rPr>
                <w:szCs w:val="22"/>
              </w:rPr>
              <w:t>0007441683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8898E7B" w14:textId="77777777" w:rsidR="004243C6" w:rsidRPr="0095783A" w:rsidRDefault="004243C6" w:rsidP="004243C6">
            <w:pPr>
              <w:rPr>
                <w:szCs w:val="22"/>
              </w:rPr>
            </w:pPr>
            <w:r w:rsidRPr="0095783A">
              <w:rPr>
                <w:szCs w:val="22"/>
              </w:rPr>
              <w:t>WQHU632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02BC2A6"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9D73C76"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13752E9"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2747888"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940C29D" w14:textId="77777777" w:rsidR="004243C6" w:rsidRPr="0095783A" w:rsidRDefault="004243C6" w:rsidP="004243C6">
            <w:pPr>
              <w:rPr>
                <w:szCs w:val="22"/>
              </w:rPr>
            </w:pPr>
            <w:r w:rsidRPr="0095783A">
              <w:rPr>
                <w:szCs w:val="22"/>
              </w:rPr>
              <w:t>Cedar Rapids, IA</w:t>
            </w:r>
          </w:p>
        </w:tc>
      </w:tr>
      <w:tr w:rsidR="004243C6" w:rsidRPr="0095783A" w14:paraId="118C90E6"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BA1189C" w14:textId="77777777" w:rsidR="004243C6" w:rsidRPr="0095783A" w:rsidRDefault="004243C6" w:rsidP="004243C6">
            <w:pPr>
              <w:rPr>
                <w:szCs w:val="22"/>
              </w:rPr>
            </w:pPr>
            <w:r w:rsidRPr="0095783A">
              <w:rPr>
                <w:szCs w:val="22"/>
              </w:rPr>
              <w:t>0007441684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E3A06D1" w14:textId="77777777" w:rsidR="004243C6" w:rsidRPr="0095783A" w:rsidRDefault="004243C6" w:rsidP="004243C6">
            <w:pPr>
              <w:rPr>
                <w:szCs w:val="22"/>
              </w:rPr>
            </w:pPr>
            <w:r w:rsidRPr="0095783A">
              <w:rPr>
                <w:szCs w:val="22"/>
              </w:rPr>
              <w:t>WQHU633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3245A37"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4A5C519"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687371C"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C59FDA5"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3647FEE" w14:textId="77777777" w:rsidR="004243C6" w:rsidRPr="0095783A" w:rsidRDefault="004243C6" w:rsidP="004243C6">
            <w:pPr>
              <w:rPr>
                <w:szCs w:val="22"/>
              </w:rPr>
            </w:pPr>
            <w:r w:rsidRPr="0095783A">
              <w:rPr>
                <w:szCs w:val="22"/>
              </w:rPr>
              <w:t>North Platte, NE-CO</w:t>
            </w:r>
          </w:p>
        </w:tc>
      </w:tr>
      <w:tr w:rsidR="004243C6" w:rsidRPr="0095783A" w14:paraId="338E65AB"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89F8D50" w14:textId="77777777" w:rsidR="004243C6" w:rsidRPr="0095783A" w:rsidRDefault="004243C6" w:rsidP="004243C6">
            <w:pPr>
              <w:rPr>
                <w:szCs w:val="22"/>
              </w:rPr>
            </w:pPr>
            <w:r w:rsidRPr="0095783A">
              <w:rPr>
                <w:szCs w:val="22"/>
              </w:rPr>
              <w:t>0007441685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BFD1405" w14:textId="77777777" w:rsidR="004243C6" w:rsidRPr="0095783A" w:rsidRDefault="004243C6" w:rsidP="004243C6">
            <w:pPr>
              <w:rPr>
                <w:szCs w:val="22"/>
              </w:rPr>
            </w:pPr>
            <w:r w:rsidRPr="0095783A">
              <w:rPr>
                <w:szCs w:val="22"/>
              </w:rPr>
              <w:t>WQHU634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6F5FB7A"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5BD544F"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B581E23"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E88EA7A"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59801EC" w14:textId="77777777" w:rsidR="004243C6" w:rsidRPr="0095783A" w:rsidRDefault="004243C6" w:rsidP="004243C6">
            <w:pPr>
              <w:rPr>
                <w:szCs w:val="22"/>
              </w:rPr>
            </w:pPr>
            <w:r w:rsidRPr="0095783A">
              <w:rPr>
                <w:szCs w:val="22"/>
              </w:rPr>
              <w:t>Abilene, TX</w:t>
            </w:r>
          </w:p>
        </w:tc>
      </w:tr>
      <w:tr w:rsidR="004243C6" w:rsidRPr="0095783A" w14:paraId="51699DF4"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8DF2E07" w14:textId="77777777" w:rsidR="004243C6" w:rsidRPr="0095783A" w:rsidRDefault="004243C6" w:rsidP="004243C6">
            <w:pPr>
              <w:rPr>
                <w:szCs w:val="22"/>
              </w:rPr>
            </w:pPr>
            <w:r w:rsidRPr="0095783A">
              <w:rPr>
                <w:szCs w:val="22"/>
              </w:rPr>
              <w:t>0007441686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4F5CBBD" w14:textId="77777777" w:rsidR="004243C6" w:rsidRPr="0095783A" w:rsidRDefault="004243C6" w:rsidP="004243C6">
            <w:pPr>
              <w:rPr>
                <w:szCs w:val="22"/>
              </w:rPr>
            </w:pPr>
            <w:r w:rsidRPr="0095783A">
              <w:rPr>
                <w:szCs w:val="22"/>
              </w:rPr>
              <w:t>WQHU635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495DB9E"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416FA98"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098438F"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C646A1C"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347B7F8" w14:textId="77777777" w:rsidR="004243C6" w:rsidRPr="0095783A" w:rsidRDefault="004243C6" w:rsidP="004243C6">
            <w:pPr>
              <w:rPr>
                <w:szCs w:val="22"/>
              </w:rPr>
            </w:pPr>
            <w:r w:rsidRPr="0095783A">
              <w:rPr>
                <w:szCs w:val="22"/>
              </w:rPr>
              <w:t>San Angelo, TX</w:t>
            </w:r>
          </w:p>
        </w:tc>
      </w:tr>
      <w:tr w:rsidR="004243C6" w:rsidRPr="0095783A" w14:paraId="732B9431"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BDD72F4" w14:textId="77777777" w:rsidR="004243C6" w:rsidRPr="0095783A" w:rsidRDefault="004243C6" w:rsidP="004243C6">
            <w:pPr>
              <w:rPr>
                <w:szCs w:val="22"/>
              </w:rPr>
            </w:pPr>
            <w:r w:rsidRPr="0095783A">
              <w:rPr>
                <w:szCs w:val="22"/>
              </w:rPr>
              <w:t>0007441687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98FE842" w14:textId="77777777" w:rsidR="004243C6" w:rsidRPr="0095783A" w:rsidRDefault="004243C6" w:rsidP="004243C6">
            <w:pPr>
              <w:rPr>
                <w:szCs w:val="22"/>
              </w:rPr>
            </w:pPr>
            <w:r w:rsidRPr="0095783A">
              <w:rPr>
                <w:szCs w:val="22"/>
              </w:rPr>
              <w:t>WQHU636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0CE2238"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F036394"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0102F89"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7FC6912"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957AA43" w14:textId="77777777" w:rsidR="004243C6" w:rsidRPr="0095783A" w:rsidRDefault="004243C6" w:rsidP="004243C6">
            <w:pPr>
              <w:rPr>
                <w:szCs w:val="22"/>
              </w:rPr>
            </w:pPr>
            <w:r w:rsidRPr="0095783A">
              <w:rPr>
                <w:szCs w:val="22"/>
              </w:rPr>
              <w:t>Hobbs, NM-TX</w:t>
            </w:r>
          </w:p>
        </w:tc>
      </w:tr>
      <w:tr w:rsidR="004243C6" w:rsidRPr="0095783A" w14:paraId="3506D6EC"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9E1236B" w14:textId="77777777" w:rsidR="004243C6" w:rsidRPr="0095783A" w:rsidRDefault="004243C6" w:rsidP="004243C6">
            <w:pPr>
              <w:rPr>
                <w:szCs w:val="22"/>
              </w:rPr>
            </w:pPr>
            <w:r w:rsidRPr="0095783A">
              <w:rPr>
                <w:szCs w:val="22"/>
              </w:rPr>
              <w:t>0007441688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D18B761" w14:textId="77777777" w:rsidR="004243C6" w:rsidRPr="0095783A" w:rsidRDefault="004243C6" w:rsidP="004243C6">
            <w:pPr>
              <w:rPr>
                <w:szCs w:val="22"/>
              </w:rPr>
            </w:pPr>
            <w:r w:rsidRPr="0095783A">
              <w:rPr>
                <w:szCs w:val="22"/>
              </w:rPr>
              <w:t>WQHU637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83FF994"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95667A1"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2D23C31"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65C002F"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28009DA" w14:textId="77777777" w:rsidR="004243C6" w:rsidRPr="0095783A" w:rsidRDefault="004243C6" w:rsidP="004243C6">
            <w:pPr>
              <w:rPr>
                <w:szCs w:val="22"/>
              </w:rPr>
            </w:pPr>
            <w:r w:rsidRPr="0095783A">
              <w:rPr>
                <w:szCs w:val="22"/>
              </w:rPr>
              <w:t>Lubbock, TX</w:t>
            </w:r>
          </w:p>
        </w:tc>
      </w:tr>
      <w:tr w:rsidR="004243C6" w:rsidRPr="0095783A" w14:paraId="0603559B"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26FF6C5" w14:textId="77777777" w:rsidR="004243C6" w:rsidRPr="0095783A" w:rsidRDefault="004243C6" w:rsidP="004243C6">
            <w:pPr>
              <w:rPr>
                <w:szCs w:val="22"/>
              </w:rPr>
            </w:pPr>
            <w:r w:rsidRPr="0095783A">
              <w:rPr>
                <w:szCs w:val="22"/>
              </w:rPr>
              <w:t>0007441689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C5AD800" w14:textId="77777777" w:rsidR="004243C6" w:rsidRPr="0095783A" w:rsidRDefault="004243C6" w:rsidP="004243C6">
            <w:pPr>
              <w:rPr>
                <w:szCs w:val="22"/>
              </w:rPr>
            </w:pPr>
            <w:r w:rsidRPr="0095783A">
              <w:rPr>
                <w:szCs w:val="22"/>
              </w:rPr>
              <w:t>WQHU638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41D828B"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B25E2CB"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77A467C"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8EEDA7C"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E40C647" w14:textId="77777777" w:rsidR="004243C6" w:rsidRPr="0095783A" w:rsidRDefault="004243C6" w:rsidP="004243C6">
            <w:pPr>
              <w:rPr>
                <w:szCs w:val="22"/>
              </w:rPr>
            </w:pPr>
            <w:r w:rsidRPr="0095783A">
              <w:rPr>
                <w:szCs w:val="22"/>
              </w:rPr>
              <w:t>Amarillo, TX-NM</w:t>
            </w:r>
          </w:p>
        </w:tc>
      </w:tr>
      <w:tr w:rsidR="004243C6" w:rsidRPr="0095783A" w14:paraId="27A43CBF"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8F7DD8C" w14:textId="77777777" w:rsidR="004243C6" w:rsidRPr="0095783A" w:rsidRDefault="004243C6" w:rsidP="004243C6">
            <w:pPr>
              <w:rPr>
                <w:szCs w:val="22"/>
              </w:rPr>
            </w:pPr>
            <w:r w:rsidRPr="0095783A">
              <w:rPr>
                <w:szCs w:val="22"/>
              </w:rPr>
              <w:t>0007441690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7FB0D36" w14:textId="77777777" w:rsidR="004243C6" w:rsidRPr="0095783A" w:rsidRDefault="004243C6" w:rsidP="004243C6">
            <w:pPr>
              <w:rPr>
                <w:szCs w:val="22"/>
              </w:rPr>
            </w:pPr>
            <w:r w:rsidRPr="0095783A">
              <w:rPr>
                <w:szCs w:val="22"/>
              </w:rPr>
              <w:t>WQHU639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536CA27"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1F60579"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63CBB7E"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2F17DA8"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56E684D" w14:textId="77777777" w:rsidR="004243C6" w:rsidRPr="0095783A" w:rsidRDefault="004243C6" w:rsidP="004243C6">
            <w:pPr>
              <w:rPr>
                <w:szCs w:val="22"/>
              </w:rPr>
            </w:pPr>
            <w:r w:rsidRPr="0095783A">
              <w:rPr>
                <w:szCs w:val="22"/>
              </w:rPr>
              <w:t>Scottsbluff, NE-WY</w:t>
            </w:r>
          </w:p>
        </w:tc>
      </w:tr>
      <w:tr w:rsidR="004243C6" w:rsidRPr="0095783A" w14:paraId="19A45D79"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2BB3F14" w14:textId="77777777" w:rsidR="004243C6" w:rsidRPr="0095783A" w:rsidRDefault="004243C6" w:rsidP="004243C6">
            <w:pPr>
              <w:rPr>
                <w:szCs w:val="22"/>
              </w:rPr>
            </w:pPr>
            <w:r w:rsidRPr="0095783A">
              <w:rPr>
                <w:szCs w:val="22"/>
              </w:rPr>
              <w:t>0007441691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46FDE59" w14:textId="77777777" w:rsidR="004243C6" w:rsidRPr="0095783A" w:rsidRDefault="004243C6" w:rsidP="004243C6">
            <w:pPr>
              <w:rPr>
                <w:szCs w:val="22"/>
              </w:rPr>
            </w:pPr>
            <w:r w:rsidRPr="0095783A">
              <w:rPr>
                <w:szCs w:val="22"/>
              </w:rPr>
              <w:t>WQHU640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2B1CE62"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A47351B"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8CD2CCB"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23C355F"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AD85E3F" w14:textId="77777777" w:rsidR="004243C6" w:rsidRPr="0095783A" w:rsidRDefault="004243C6" w:rsidP="004243C6">
            <w:pPr>
              <w:rPr>
                <w:szCs w:val="22"/>
              </w:rPr>
            </w:pPr>
            <w:r w:rsidRPr="0095783A">
              <w:rPr>
                <w:szCs w:val="22"/>
              </w:rPr>
              <w:t>Honolulu, HI</w:t>
            </w:r>
          </w:p>
        </w:tc>
      </w:tr>
      <w:tr w:rsidR="004243C6" w:rsidRPr="0095783A" w14:paraId="7D40513F"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1A2A27A" w14:textId="77777777" w:rsidR="004243C6" w:rsidRPr="0095783A" w:rsidRDefault="004243C6" w:rsidP="004243C6">
            <w:pPr>
              <w:rPr>
                <w:szCs w:val="22"/>
              </w:rPr>
            </w:pPr>
            <w:r w:rsidRPr="0095783A">
              <w:rPr>
                <w:szCs w:val="22"/>
              </w:rPr>
              <w:t>0007441692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7401303" w14:textId="77777777" w:rsidR="004243C6" w:rsidRPr="0095783A" w:rsidRDefault="004243C6" w:rsidP="004243C6">
            <w:pPr>
              <w:rPr>
                <w:szCs w:val="22"/>
              </w:rPr>
            </w:pPr>
            <w:r w:rsidRPr="0095783A">
              <w:rPr>
                <w:szCs w:val="22"/>
              </w:rPr>
              <w:t>WQHU641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0263B20"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5B6F6B7"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723BE40"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14642CB"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F7D194B" w14:textId="77777777" w:rsidR="004243C6" w:rsidRPr="0095783A" w:rsidRDefault="004243C6" w:rsidP="004243C6">
            <w:pPr>
              <w:rPr>
                <w:szCs w:val="22"/>
              </w:rPr>
            </w:pPr>
            <w:r w:rsidRPr="0095783A">
              <w:rPr>
                <w:szCs w:val="22"/>
              </w:rPr>
              <w:t>Puerto Rico &amp; Virgin Isl.</w:t>
            </w:r>
          </w:p>
        </w:tc>
      </w:tr>
      <w:tr w:rsidR="004243C6" w:rsidRPr="0095783A" w14:paraId="7B1B0D6B"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779E522" w14:textId="77777777" w:rsidR="004243C6" w:rsidRPr="0095783A" w:rsidRDefault="004243C6" w:rsidP="004243C6">
            <w:pPr>
              <w:rPr>
                <w:szCs w:val="22"/>
              </w:rPr>
            </w:pPr>
            <w:r w:rsidRPr="0095783A">
              <w:rPr>
                <w:szCs w:val="22"/>
              </w:rPr>
              <w:t>0007441693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A581DF3" w14:textId="77777777" w:rsidR="004243C6" w:rsidRPr="0095783A" w:rsidRDefault="004243C6" w:rsidP="004243C6">
            <w:pPr>
              <w:rPr>
                <w:szCs w:val="22"/>
              </w:rPr>
            </w:pPr>
            <w:r w:rsidRPr="0095783A">
              <w:rPr>
                <w:szCs w:val="22"/>
              </w:rPr>
              <w:t>WQHU642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181A986"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6516701"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BE94570"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F19BCBE"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96AA3CF" w14:textId="77777777" w:rsidR="004243C6" w:rsidRPr="0095783A" w:rsidRDefault="004243C6" w:rsidP="004243C6">
            <w:pPr>
              <w:rPr>
                <w:szCs w:val="22"/>
              </w:rPr>
            </w:pPr>
            <w:r w:rsidRPr="0095783A">
              <w:rPr>
                <w:szCs w:val="22"/>
              </w:rPr>
              <w:t>Gulf of Mexico</w:t>
            </w:r>
          </w:p>
        </w:tc>
      </w:tr>
      <w:tr w:rsidR="004243C6" w:rsidRPr="0095783A" w14:paraId="1D7F961F"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7DEBE2D" w14:textId="77777777" w:rsidR="004243C6" w:rsidRPr="0095783A" w:rsidRDefault="004243C6" w:rsidP="004243C6">
            <w:pPr>
              <w:rPr>
                <w:szCs w:val="22"/>
              </w:rPr>
            </w:pPr>
            <w:r w:rsidRPr="0095783A">
              <w:rPr>
                <w:szCs w:val="22"/>
              </w:rPr>
              <w:t>0007441694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732AB60" w14:textId="77777777" w:rsidR="004243C6" w:rsidRPr="0095783A" w:rsidRDefault="004243C6" w:rsidP="004243C6">
            <w:pPr>
              <w:rPr>
                <w:szCs w:val="22"/>
              </w:rPr>
            </w:pPr>
            <w:r w:rsidRPr="0095783A">
              <w:rPr>
                <w:szCs w:val="22"/>
              </w:rPr>
              <w:t>WQHU643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DE5525A"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194FD52"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BC6F63A"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AE0D4D4"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E51A6F9" w14:textId="77777777" w:rsidR="004243C6" w:rsidRPr="0095783A" w:rsidRDefault="004243C6" w:rsidP="004243C6">
            <w:pPr>
              <w:rPr>
                <w:szCs w:val="22"/>
              </w:rPr>
            </w:pPr>
            <w:r w:rsidRPr="0095783A">
              <w:rPr>
                <w:szCs w:val="22"/>
              </w:rPr>
              <w:t>Burlington, VT-NY</w:t>
            </w:r>
          </w:p>
        </w:tc>
      </w:tr>
      <w:tr w:rsidR="004243C6" w:rsidRPr="0095783A" w14:paraId="3A9E7CAE"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2AED9E2" w14:textId="77777777" w:rsidR="004243C6" w:rsidRPr="0095783A" w:rsidRDefault="004243C6" w:rsidP="004243C6">
            <w:pPr>
              <w:rPr>
                <w:szCs w:val="22"/>
              </w:rPr>
            </w:pPr>
            <w:r w:rsidRPr="0095783A">
              <w:rPr>
                <w:szCs w:val="22"/>
              </w:rPr>
              <w:t>0007441695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8E99CE6" w14:textId="77777777" w:rsidR="004243C6" w:rsidRPr="0095783A" w:rsidRDefault="004243C6" w:rsidP="004243C6">
            <w:pPr>
              <w:rPr>
                <w:szCs w:val="22"/>
              </w:rPr>
            </w:pPr>
            <w:r w:rsidRPr="0095783A">
              <w:rPr>
                <w:szCs w:val="22"/>
              </w:rPr>
              <w:t>WQHU644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5350FAD"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FA73DCF"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DFAFF7E"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128880C"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AF81731" w14:textId="77777777" w:rsidR="004243C6" w:rsidRPr="0095783A" w:rsidRDefault="004243C6" w:rsidP="004243C6">
            <w:pPr>
              <w:rPr>
                <w:szCs w:val="22"/>
              </w:rPr>
            </w:pPr>
            <w:r w:rsidRPr="0095783A">
              <w:rPr>
                <w:szCs w:val="22"/>
              </w:rPr>
              <w:t>Northern Michigan, MI</w:t>
            </w:r>
          </w:p>
        </w:tc>
      </w:tr>
      <w:tr w:rsidR="004243C6" w:rsidRPr="0095783A" w14:paraId="0E2464A1"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D21FCCB" w14:textId="77777777" w:rsidR="004243C6" w:rsidRPr="0095783A" w:rsidRDefault="004243C6" w:rsidP="004243C6">
            <w:pPr>
              <w:rPr>
                <w:szCs w:val="22"/>
              </w:rPr>
            </w:pPr>
            <w:r w:rsidRPr="0095783A">
              <w:rPr>
                <w:szCs w:val="22"/>
              </w:rPr>
              <w:t>0007441696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BEBF2EE" w14:textId="77777777" w:rsidR="004243C6" w:rsidRPr="0095783A" w:rsidRDefault="004243C6" w:rsidP="004243C6">
            <w:pPr>
              <w:rPr>
                <w:szCs w:val="22"/>
              </w:rPr>
            </w:pPr>
            <w:r w:rsidRPr="0095783A">
              <w:rPr>
                <w:szCs w:val="22"/>
              </w:rPr>
              <w:t>WQHU645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5D35F9D"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907EAFF"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FCEEDC4"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084235D"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84D723D" w14:textId="77777777" w:rsidR="004243C6" w:rsidRPr="0095783A" w:rsidRDefault="004243C6" w:rsidP="004243C6">
            <w:pPr>
              <w:rPr>
                <w:szCs w:val="22"/>
              </w:rPr>
            </w:pPr>
            <w:r w:rsidRPr="0095783A">
              <w:rPr>
                <w:szCs w:val="22"/>
              </w:rPr>
              <w:t>Elkhart-Goshen, IN-MI</w:t>
            </w:r>
          </w:p>
        </w:tc>
      </w:tr>
      <w:tr w:rsidR="004243C6" w:rsidRPr="0095783A" w14:paraId="6A5BC785"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5353F7E" w14:textId="77777777" w:rsidR="004243C6" w:rsidRPr="0095783A" w:rsidRDefault="004243C6" w:rsidP="004243C6">
            <w:pPr>
              <w:rPr>
                <w:szCs w:val="22"/>
              </w:rPr>
            </w:pPr>
            <w:r w:rsidRPr="0095783A">
              <w:rPr>
                <w:szCs w:val="22"/>
              </w:rPr>
              <w:t>0007441697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6D197CC" w14:textId="77777777" w:rsidR="004243C6" w:rsidRPr="0095783A" w:rsidRDefault="004243C6" w:rsidP="004243C6">
            <w:pPr>
              <w:rPr>
                <w:szCs w:val="22"/>
              </w:rPr>
            </w:pPr>
            <w:r w:rsidRPr="0095783A">
              <w:rPr>
                <w:szCs w:val="22"/>
              </w:rPr>
              <w:t>WQHU646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1B92A7A"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79F5B18"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7767A37"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73B694C"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D434FDF" w14:textId="77777777" w:rsidR="004243C6" w:rsidRPr="0095783A" w:rsidRDefault="004243C6" w:rsidP="004243C6">
            <w:pPr>
              <w:rPr>
                <w:szCs w:val="22"/>
              </w:rPr>
            </w:pPr>
            <w:r w:rsidRPr="0095783A">
              <w:rPr>
                <w:szCs w:val="22"/>
              </w:rPr>
              <w:t>Tupelo, MS-AL-TN</w:t>
            </w:r>
          </w:p>
        </w:tc>
      </w:tr>
      <w:tr w:rsidR="004243C6" w:rsidRPr="0095783A" w14:paraId="20553956"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E022B48" w14:textId="77777777" w:rsidR="004243C6" w:rsidRPr="0095783A" w:rsidRDefault="004243C6" w:rsidP="004243C6">
            <w:pPr>
              <w:rPr>
                <w:szCs w:val="22"/>
              </w:rPr>
            </w:pPr>
            <w:r w:rsidRPr="0095783A">
              <w:rPr>
                <w:szCs w:val="22"/>
              </w:rPr>
              <w:t>0007441698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4434D90" w14:textId="77777777" w:rsidR="004243C6" w:rsidRPr="0095783A" w:rsidRDefault="004243C6" w:rsidP="004243C6">
            <w:pPr>
              <w:rPr>
                <w:szCs w:val="22"/>
              </w:rPr>
            </w:pPr>
            <w:r w:rsidRPr="0095783A">
              <w:rPr>
                <w:szCs w:val="22"/>
              </w:rPr>
              <w:t>WQHU647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5035012"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B23BCAD"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509EF52"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92EF8A7"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A05ECAC" w14:textId="77777777" w:rsidR="004243C6" w:rsidRPr="0095783A" w:rsidRDefault="004243C6" w:rsidP="004243C6">
            <w:pPr>
              <w:rPr>
                <w:szCs w:val="22"/>
              </w:rPr>
            </w:pPr>
            <w:r w:rsidRPr="0095783A">
              <w:rPr>
                <w:szCs w:val="22"/>
              </w:rPr>
              <w:t>Lafayette, LA</w:t>
            </w:r>
          </w:p>
        </w:tc>
      </w:tr>
      <w:tr w:rsidR="004243C6" w:rsidRPr="0095783A" w14:paraId="2E980120"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0854A39" w14:textId="77777777" w:rsidR="004243C6" w:rsidRPr="0095783A" w:rsidRDefault="004243C6" w:rsidP="004243C6">
            <w:pPr>
              <w:rPr>
                <w:szCs w:val="22"/>
              </w:rPr>
            </w:pPr>
            <w:r w:rsidRPr="0095783A">
              <w:rPr>
                <w:szCs w:val="22"/>
              </w:rPr>
              <w:t>0007441699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47D261B" w14:textId="77777777" w:rsidR="004243C6" w:rsidRPr="0095783A" w:rsidRDefault="004243C6" w:rsidP="004243C6">
            <w:pPr>
              <w:rPr>
                <w:szCs w:val="22"/>
              </w:rPr>
            </w:pPr>
            <w:r w:rsidRPr="0095783A">
              <w:rPr>
                <w:szCs w:val="22"/>
              </w:rPr>
              <w:t>WQHU648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02B9288"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2A13DA4"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EC690AF"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2A97279"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9997130" w14:textId="77777777" w:rsidR="004243C6" w:rsidRPr="0095783A" w:rsidRDefault="004243C6" w:rsidP="004243C6">
            <w:pPr>
              <w:rPr>
                <w:szCs w:val="22"/>
              </w:rPr>
            </w:pPr>
            <w:r w:rsidRPr="0095783A">
              <w:rPr>
                <w:szCs w:val="22"/>
              </w:rPr>
              <w:t>Lake Charles, LA</w:t>
            </w:r>
          </w:p>
        </w:tc>
      </w:tr>
      <w:tr w:rsidR="004243C6" w:rsidRPr="0095783A" w14:paraId="38543207"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86FF56E" w14:textId="77777777" w:rsidR="004243C6" w:rsidRPr="0095783A" w:rsidRDefault="004243C6" w:rsidP="004243C6">
            <w:pPr>
              <w:rPr>
                <w:szCs w:val="22"/>
              </w:rPr>
            </w:pPr>
            <w:r w:rsidRPr="0095783A">
              <w:rPr>
                <w:szCs w:val="22"/>
              </w:rPr>
              <w:t>0007441700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A273768" w14:textId="77777777" w:rsidR="004243C6" w:rsidRPr="0095783A" w:rsidRDefault="004243C6" w:rsidP="004243C6">
            <w:pPr>
              <w:rPr>
                <w:szCs w:val="22"/>
              </w:rPr>
            </w:pPr>
            <w:r w:rsidRPr="0095783A">
              <w:rPr>
                <w:szCs w:val="22"/>
              </w:rPr>
              <w:t>WQHU649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D855E54"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080BCA5"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5D1D0CB"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D43E731"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1092EC5" w14:textId="77777777" w:rsidR="004243C6" w:rsidRPr="0095783A" w:rsidRDefault="004243C6" w:rsidP="004243C6">
            <w:pPr>
              <w:rPr>
                <w:szCs w:val="22"/>
              </w:rPr>
            </w:pPr>
            <w:r w:rsidRPr="0095783A">
              <w:rPr>
                <w:szCs w:val="22"/>
              </w:rPr>
              <w:t>Joplin, MO-KS-OK</w:t>
            </w:r>
          </w:p>
        </w:tc>
      </w:tr>
      <w:tr w:rsidR="004243C6" w:rsidRPr="0095783A" w14:paraId="30C2E19A"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110170E" w14:textId="77777777" w:rsidR="004243C6" w:rsidRPr="0095783A" w:rsidRDefault="004243C6" w:rsidP="004243C6">
            <w:pPr>
              <w:rPr>
                <w:szCs w:val="22"/>
              </w:rPr>
            </w:pPr>
            <w:r w:rsidRPr="0095783A">
              <w:rPr>
                <w:szCs w:val="22"/>
              </w:rPr>
              <w:t>0007441701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15125C4" w14:textId="77777777" w:rsidR="004243C6" w:rsidRPr="0095783A" w:rsidRDefault="004243C6" w:rsidP="004243C6">
            <w:pPr>
              <w:rPr>
                <w:szCs w:val="22"/>
              </w:rPr>
            </w:pPr>
            <w:r w:rsidRPr="0095783A">
              <w:rPr>
                <w:szCs w:val="22"/>
              </w:rPr>
              <w:t>WQHU650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1229417"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697FF8F"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033FC8C"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56C5A68"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8D50F90" w14:textId="77777777" w:rsidR="004243C6" w:rsidRPr="0095783A" w:rsidRDefault="004243C6" w:rsidP="004243C6">
            <w:pPr>
              <w:rPr>
                <w:szCs w:val="22"/>
              </w:rPr>
            </w:pPr>
            <w:r w:rsidRPr="0095783A">
              <w:rPr>
                <w:szCs w:val="22"/>
              </w:rPr>
              <w:t>Des Moines, IA-IL-MO</w:t>
            </w:r>
          </w:p>
        </w:tc>
      </w:tr>
      <w:tr w:rsidR="004243C6" w:rsidRPr="0095783A" w14:paraId="184FA8BE"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F55A610" w14:textId="77777777" w:rsidR="004243C6" w:rsidRPr="0095783A" w:rsidRDefault="004243C6" w:rsidP="004243C6">
            <w:pPr>
              <w:rPr>
                <w:szCs w:val="22"/>
              </w:rPr>
            </w:pPr>
            <w:r w:rsidRPr="0095783A">
              <w:rPr>
                <w:szCs w:val="22"/>
              </w:rPr>
              <w:t>0007441702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3D09AD7" w14:textId="77777777" w:rsidR="004243C6" w:rsidRPr="0095783A" w:rsidRDefault="004243C6" w:rsidP="004243C6">
            <w:pPr>
              <w:rPr>
                <w:szCs w:val="22"/>
              </w:rPr>
            </w:pPr>
            <w:r w:rsidRPr="0095783A">
              <w:rPr>
                <w:szCs w:val="22"/>
              </w:rPr>
              <w:t>WQHU651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4D0FA95"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029DCC0"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1069B8D"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58A35FB"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245BC26" w14:textId="77777777" w:rsidR="004243C6" w:rsidRPr="0095783A" w:rsidRDefault="004243C6" w:rsidP="004243C6">
            <w:pPr>
              <w:rPr>
                <w:szCs w:val="22"/>
              </w:rPr>
            </w:pPr>
            <w:r w:rsidRPr="0095783A">
              <w:rPr>
                <w:szCs w:val="22"/>
              </w:rPr>
              <w:t>Grand Forks, ND-MN</w:t>
            </w:r>
          </w:p>
        </w:tc>
      </w:tr>
      <w:tr w:rsidR="004243C6" w:rsidRPr="0095783A" w14:paraId="766A8DB2"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3093792" w14:textId="77777777" w:rsidR="004243C6" w:rsidRPr="0095783A" w:rsidRDefault="004243C6" w:rsidP="004243C6">
            <w:pPr>
              <w:rPr>
                <w:szCs w:val="22"/>
              </w:rPr>
            </w:pPr>
            <w:r w:rsidRPr="0095783A">
              <w:rPr>
                <w:szCs w:val="22"/>
              </w:rPr>
              <w:t>0007441703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3A5BEDE" w14:textId="77777777" w:rsidR="004243C6" w:rsidRPr="0095783A" w:rsidRDefault="004243C6" w:rsidP="004243C6">
            <w:pPr>
              <w:rPr>
                <w:szCs w:val="22"/>
              </w:rPr>
            </w:pPr>
            <w:r w:rsidRPr="0095783A">
              <w:rPr>
                <w:szCs w:val="22"/>
              </w:rPr>
              <w:t>WQHU652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8983AE5"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3181A6A"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EBA2953"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6D046AA"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F33EF28" w14:textId="77777777" w:rsidR="004243C6" w:rsidRPr="0095783A" w:rsidRDefault="004243C6" w:rsidP="004243C6">
            <w:pPr>
              <w:rPr>
                <w:szCs w:val="22"/>
              </w:rPr>
            </w:pPr>
            <w:r w:rsidRPr="0095783A">
              <w:rPr>
                <w:szCs w:val="22"/>
              </w:rPr>
              <w:t>Minot, ND</w:t>
            </w:r>
          </w:p>
        </w:tc>
      </w:tr>
      <w:tr w:rsidR="004243C6" w:rsidRPr="0095783A" w14:paraId="0B9BFE73"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0CAE065" w14:textId="77777777" w:rsidR="004243C6" w:rsidRPr="0095783A" w:rsidRDefault="004243C6" w:rsidP="004243C6">
            <w:pPr>
              <w:rPr>
                <w:szCs w:val="22"/>
              </w:rPr>
            </w:pPr>
            <w:r w:rsidRPr="0095783A">
              <w:rPr>
                <w:szCs w:val="22"/>
              </w:rPr>
              <w:t>0007441704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20F70E9" w14:textId="77777777" w:rsidR="004243C6" w:rsidRPr="0095783A" w:rsidRDefault="004243C6" w:rsidP="004243C6">
            <w:pPr>
              <w:rPr>
                <w:szCs w:val="22"/>
              </w:rPr>
            </w:pPr>
            <w:r w:rsidRPr="0095783A">
              <w:rPr>
                <w:szCs w:val="22"/>
              </w:rPr>
              <w:t>WQHU653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56B7BFB"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77FFDC9"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437EB4C"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04AB64C"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D406CD5" w14:textId="77777777" w:rsidR="004243C6" w:rsidRPr="0095783A" w:rsidRDefault="004243C6" w:rsidP="004243C6">
            <w:pPr>
              <w:rPr>
                <w:szCs w:val="22"/>
              </w:rPr>
            </w:pPr>
            <w:r w:rsidRPr="0095783A">
              <w:rPr>
                <w:szCs w:val="22"/>
              </w:rPr>
              <w:t>Bismarck, ND-MT-SD</w:t>
            </w:r>
          </w:p>
        </w:tc>
      </w:tr>
      <w:tr w:rsidR="004243C6" w:rsidRPr="0095783A" w14:paraId="797FFC03"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A7D37CC" w14:textId="77777777" w:rsidR="004243C6" w:rsidRPr="0095783A" w:rsidRDefault="004243C6" w:rsidP="004243C6">
            <w:pPr>
              <w:rPr>
                <w:szCs w:val="22"/>
              </w:rPr>
            </w:pPr>
            <w:r w:rsidRPr="0095783A">
              <w:rPr>
                <w:szCs w:val="22"/>
              </w:rPr>
              <w:t>0007441705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0D28BE4" w14:textId="77777777" w:rsidR="004243C6" w:rsidRPr="0095783A" w:rsidRDefault="004243C6" w:rsidP="004243C6">
            <w:pPr>
              <w:rPr>
                <w:szCs w:val="22"/>
              </w:rPr>
            </w:pPr>
            <w:r w:rsidRPr="0095783A">
              <w:rPr>
                <w:szCs w:val="22"/>
              </w:rPr>
              <w:t>WQHU654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84D6A32"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CEFB4C3"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2F68A4F"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724E114"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CDB70B8" w14:textId="77777777" w:rsidR="004243C6" w:rsidRPr="0095783A" w:rsidRDefault="004243C6" w:rsidP="004243C6">
            <w:pPr>
              <w:rPr>
                <w:szCs w:val="22"/>
              </w:rPr>
            </w:pPr>
            <w:r w:rsidRPr="0095783A">
              <w:rPr>
                <w:szCs w:val="22"/>
              </w:rPr>
              <w:t>Fargo-Moorhead, ND-MN</w:t>
            </w:r>
          </w:p>
        </w:tc>
      </w:tr>
      <w:tr w:rsidR="004243C6" w:rsidRPr="0095783A" w14:paraId="119996F1"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DF3EFA2" w14:textId="77777777" w:rsidR="004243C6" w:rsidRPr="0095783A" w:rsidRDefault="004243C6" w:rsidP="004243C6">
            <w:pPr>
              <w:rPr>
                <w:szCs w:val="22"/>
              </w:rPr>
            </w:pPr>
            <w:r w:rsidRPr="0095783A">
              <w:rPr>
                <w:szCs w:val="22"/>
              </w:rPr>
              <w:t>0007441706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23CED19" w14:textId="77777777" w:rsidR="004243C6" w:rsidRPr="0095783A" w:rsidRDefault="004243C6" w:rsidP="004243C6">
            <w:pPr>
              <w:rPr>
                <w:szCs w:val="22"/>
              </w:rPr>
            </w:pPr>
            <w:r w:rsidRPr="0095783A">
              <w:rPr>
                <w:szCs w:val="22"/>
              </w:rPr>
              <w:t>WQHU655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660AA5B"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5742978"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467B437"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97970BA"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2E68C19" w14:textId="77777777" w:rsidR="004243C6" w:rsidRPr="0095783A" w:rsidRDefault="004243C6" w:rsidP="004243C6">
            <w:pPr>
              <w:rPr>
                <w:szCs w:val="22"/>
              </w:rPr>
            </w:pPr>
            <w:r w:rsidRPr="0095783A">
              <w:rPr>
                <w:szCs w:val="22"/>
              </w:rPr>
              <w:t>Aberdeen, SD</w:t>
            </w:r>
          </w:p>
        </w:tc>
      </w:tr>
      <w:tr w:rsidR="004243C6" w:rsidRPr="0095783A" w14:paraId="340FA20F"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C4058C4" w14:textId="77777777" w:rsidR="004243C6" w:rsidRPr="0095783A" w:rsidRDefault="004243C6" w:rsidP="004243C6">
            <w:pPr>
              <w:rPr>
                <w:szCs w:val="22"/>
              </w:rPr>
            </w:pPr>
            <w:r w:rsidRPr="0095783A">
              <w:rPr>
                <w:szCs w:val="22"/>
              </w:rPr>
              <w:t>0007441707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B9A4067" w14:textId="77777777" w:rsidR="004243C6" w:rsidRPr="0095783A" w:rsidRDefault="004243C6" w:rsidP="004243C6">
            <w:pPr>
              <w:rPr>
                <w:szCs w:val="22"/>
              </w:rPr>
            </w:pPr>
            <w:r w:rsidRPr="0095783A">
              <w:rPr>
                <w:szCs w:val="22"/>
              </w:rPr>
              <w:t>WQHU656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7A58A28"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4B1F919"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AAE0262"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09E3C52"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17D0403" w14:textId="77777777" w:rsidR="004243C6" w:rsidRPr="0095783A" w:rsidRDefault="004243C6" w:rsidP="004243C6">
            <w:pPr>
              <w:rPr>
                <w:szCs w:val="22"/>
              </w:rPr>
            </w:pPr>
            <w:r w:rsidRPr="0095783A">
              <w:rPr>
                <w:szCs w:val="22"/>
              </w:rPr>
              <w:t>Rapid City, SD-MT-ND-NE</w:t>
            </w:r>
          </w:p>
        </w:tc>
      </w:tr>
      <w:tr w:rsidR="004243C6" w:rsidRPr="0095783A" w14:paraId="171C6E90"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6C8F16A" w14:textId="77777777" w:rsidR="004243C6" w:rsidRPr="0095783A" w:rsidRDefault="004243C6" w:rsidP="004243C6">
            <w:pPr>
              <w:rPr>
                <w:szCs w:val="22"/>
              </w:rPr>
            </w:pPr>
            <w:r w:rsidRPr="0095783A">
              <w:rPr>
                <w:szCs w:val="22"/>
              </w:rPr>
              <w:t>0007441708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5E25E49" w14:textId="77777777" w:rsidR="004243C6" w:rsidRPr="0095783A" w:rsidRDefault="004243C6" w:rsidP="004243C6">
            <w:pPr>
              <w:rPr>
                <w:szCs w:val="22"/>
              </w:rPr>
            </w:pPr>
            <w:r w:rsidRPr="0095783A">
              <w:rPr>
                <w:szCs w:val="22"/>
              </w:rPr>
              <w:t>WQHU657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84818E6"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0EFE521"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E35F7F6"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7764B19"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02BB06F" w14:textId="77777777" w:rsidR="004243C6" w:rsidRPr="0095783A" w:rsidRDefault="004243C6" w:rsidP="004243C6">
            <w:pPr>
              <w:rPr>
                <w:szCs w:val="22"/>
              </w:rPr>
            </w:pPr>
            <w:r w:rsidRPr="0095783A">
              <w:rPr>
                <w:szCs w:val="22"/>
              </w:rPr>
              <w:t>Sioux Falls, SD-IA-MN-NE</w:t>
            </w:r>
          </w:p>
        </w:tc>
      </w:tr>
      <w:tr w:rsidR="004243C6" w:rsidRPr="0095783A" w14:paraId="2E64F45F"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8CA54CB" w14:textId="77777777" w:rsidR="004243C6" w:rsidRPr="0095783A" w:rsidRDefault="004243C6" w:rsidP="004243C6">
            <w:pPr>
              <w:rPr>
                <w:szCs w:val="22"/>
              </w:rPr>
            </w:pPr>
            <w:r w:rsidRPr="0095783A">
              <w:rPr>
                <w:szCs w:val="22"/>
              </w:rPr>
              <w:t>0007441709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523B85A" w14:textId="77777777" w:rsidR="004243C6" w:rsidRPr="0095783A" w:rsidRDefault="004243C6" w:rsidP="004243C6">
            <w:pPr>
              <w:rPr>
                <w:szCs w:val="22"/>
              </w:rPr>
            </w:pPr>
            <w:r w:rsidRPr="0095783A">
              <w:rPr>
                <w:szCs w:val="22"/>
              </w:rPr>
              <w:t>WQHU658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6642EEA"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C686ECB"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D6F4CE4"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1E5BD4B"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59BA064" w14:textId="77777777" w:rsidR="004243C6" w:rsidRPr="0095783A" w:rsidRDefault="004243C6" w:rsidP="004243C6">
            <w:pPr>
              <w:rPr>
                <w:szCs w:val="22"/>
              </w:rPr>
            </w:pPr>
            <w:r w:rsidRPr="0095783A">
              <w:rPr>
                <w:szCs w:val="22"/>
              </w:rPr>
              <w:t>Sioux City, IA-NE-SD</w:t>
            </w:r>
          </w:p>
        </w:tc>
      </w:tr>
      <w:tr w:rsidR="004243C6" w:rsidRPr="0095783A" w14:paraId="1B826C99"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1FFA465" w14:textId="77777777" w:rsidR="004243C6" w:rsidRPr="0095783A" w:rsidRDefault="004243C6" w:rsidP="004243C6">
            <w:pPr>
              <w:rPr>
                <w:szCs w:val="22"/>
              </w:rPr>
            </w:pPr>
            <w:r w:rsidRPr="0095783A">
              <w:rPr>
                <w:szCs w:val="22"/>
              </w:rPr>
              <w:t>0007441710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752A642" w14:textId="77777777" w:rsidR="004243C6" w:rsidRPr="0095783A" w:rsidRDefault="004243C6" w:rsidP="004243C6">
            <w:pPr>
              <w:rPr>
                <w:szCs w:val="22"/>
              </w:rPr>
            </w:pPr>
            <w:r w:rsidRPr="0095783A">
              <w:rPr>
                <w:szCs w:val="22"/>
              </w:rPr>
              <w:t>WQHU659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8C11DA6"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39B43E4"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68872D2"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BA9B8D5"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924955A" w14:textId="77777777" w:rsidR="004243C6" w:rsidRPr="0095783A" w:rsidRDefault="004243C6" w:rsidP="004243C6">
            <w:pPr>
              <w:rPr>
                <w:szCs w:val="22"/>
              </w:rPr>
            </w:pPr>
            <w:r w:rsidRPr="0095783A">
              <w:rPr>
                <w:szCs w:val="22"/>
              </w:rPr>
              <w:t>Omaha, NE-IA-MO</w:t>
            </w:r>
          </w:p>
        </w:tc>
      </w:tr>
      <w:tr w:rsidR="004243C6" w:rsidRPr="0095783A" w14:paraId="58FFBE15"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58CE752" w14:textId="77777777" w:rsidR="004243C6" w:rsidRPr="0095783A" w:rsidRDefault="004243C6" w:rsidP="004243C6">
            <w:pPr>
              <w:rPr>
                <w:szCs w:val="22"/>
              </w:rPr>
            </w:pPr>
            <w:r w:rsidRPr="0095783A">
              <w:rPr>
                <w:szCs w:val="22"/>
              </w:rPr>
              <w:t>0007441711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9932867" w14:textId="77777777" w:rsidR="004243C6" w:rsidRPr="0095783A" w:rsidRDefault="004243C6" w:rsidP="004243C6">
            <w:pPr>
              <w:rPr>
                <w:szCs w:val="22"/>
              </w:rPr>
            </w:pPr>
            <w:r w:rsidRPr="0095783A">
              <w:rPr>
                <w:szCs w:val="22"/>
              </w:rPr>
              <w:t>WQHU660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D81DBBF"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9D8108B"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0FF7C63"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453BE46"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BB77B3D" w14:textId="77777777" w:rsidR="004243C6" w:rsidRPr="0095783A" w:rsidRDefault="004243C6" w:rsidP="004243C6">
            <w:pPr>
              <w:rPr>
                <w:szCs w:val="22"/>
              </w:rPr>
            </w:pPr>
            <w:r w:rsidRPr="0095783A">
              <w:rPr>
                <w:szCs w:val="22"/>
              </w:rPr>
              <w:t>Lincoln, NE</w:t>
            </w:r>
          </w:p>
        </w:tc>
      </w:tr>
      <w:tr w:rsidR="004243C6" w:rsidRPr="0095783A" w14:paraId="788B3B53"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62C0D2F" w14:textId="77777777" w:rsidR="004243C6" w:rsidRPr="0095783A" w:rsidRDefault="004243C6" w:rsidP="004243C6">
            <w:pPr>
              <w:rPr>
                <w:szCs w:val="22"/>
              </w:rPr>
            </w:pPr>
            <w:r w:rsidRPr="0095783A">
              <w:rPr>
                <w:szCs w:val="22"/>
              </w:rPr>
              <w:t>0007441712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302B0F2" w14:textId="77777777" w:rsidR="004243C6" w:rsidRPr="0095783A" w:rsidRDefault="004243C6" w:rsidP="004243C6">
            <w:pPr>
              <w:rPr>
                <w:szCs w:val="22"/>
              </w:rPr>
            </w:pPr>
            <w:r w:rsidRPr="0095783A">
              <w:rPr>
                <w:szCs w:val="22"/>
              </w:rPr>
              <w:t>WQHU661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94B0AD4"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EEB5BD5"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62EB4AD"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8D61077"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74260DF" w14:textId="77777777" w:rsidR="004243C6" w:rsidRPr="0095783A" w:rsidRDefault="004243C6" w:rsidP="004243C6">
            <w:pPr>
              <w:rPr>
                <w:szCs w:val="22"/>
              </w:rPr>
            </w:pPr>
            <w:r w:rsidRPr="0095783A">
              <w:rPr>
                <w:szCs w:val="22"/>
              </w:rPr>
              <w:t>Grand Island, NE</w:t>
            </w:r>
          </w:p>
        </w:tc>
      </w:tr>
      <w:tr w:rsidR="004243C6" w:rsidRPr="0095783A" w14:paraId="5D75AD2F"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06FEA13" w14:textId="77777777" w:rsidR="004243C6" w:rsidRPr="0095783A" w:rsidRDefault="004243C6" w:rsidP="004243C6">
            <w:pPr>
              <w:rPr>
                <w:szCs w:val="22"/>
              </w:rPr>
            </w:pPr>
            <w:r w:rsidRPr="0095783A">
              <w:rPr>
                <w:szCs w:val="22"/>
              </w:rPr>
              <w:t>0007441713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0738563" w14:textId="77777777" w:rsidR="004243C6" w:rsidRPr="0095783A" w:rsidRDefault="004243C6" w:rsidP="004243C6">
            <w:pPr>
              <w:rPr>
                <w:szCs w:val="22"/>
              </w:rPr>
            </w:pPr>
            <w:r w:rsidRPr="0095783A">
              <w:rPr>
                <w:szCs w:val="22"/>
              </w:rPr>
              <w:t>WQHU662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AD1006E"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F0A5128"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9D83329"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62F9E9D"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BE4A409" w14:textId="77777777" w:rsidR="004243C6" w:rsidRPr="0095783A" w:rsidRDefault="004243C6" w:rsidP="004243C6">
            <w:pPr>
              <w:rPr>
                <w:szCs w:val="22"/>
              </w:rPr>
            </w:pPr>
            <w:r w:rsidRPr="0095783A">
              <w:rPr>
                <w:szCs w:val="22"/>
              </w:rPr>
              <w:t>Wichita, KS-OK</w:t>
            </w:r>
          </w:p>
        </w:tc>
      </w:tr>
      <w:tr w:rsidR="004243C6" w:rsidRPr="0095783A" w14:paraId="444CE6DB"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681BB98" w14:textId="77777777" w:rsidR="004243C6" w:rsidRPr="0095783A" w:rsidRDefault="004243C6" w:rsidP="004243C6">
            <w:pPr>
              <w:rPr>
                <w:szCs w:val="22"/>
              </w:rPr>
            </w:pPr>
            <w:r w:rsidRPr="0095783A">
              <w:rPr>
                <w:szCs w:val="22"/>
              </w:rPr>
              <w:t>0007441714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A066FB0" w14:textId="77777777" w:rsidR="004243C6" w:rsidRPr="0095783A" w:rsidRDefault="004243C6" w:rsidP="004243C6">
            <w:pPr>
              <w:rPr>
                <w:szCs w:val="22"/>
              </w:rPr>
            </w:pPr>
            <w:r w:rsidRPr="0095783A">
              <w:rPr>
                <w:szCs w:val="22"/>
              </w:rPr>
              <w:t>WQHU663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3F798FE"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CB50AE2"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86F6C4B"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59A8489"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3DB6F62" w14:textId="77777777" w:rsidR="004243C6" w:rsidRPr="0095783A" w:rsidRDefault="004243C6" w:rsidP="004243C6">
            <w:pPr>
              <w:rPr>
                <w:szCs w:val="22"/>
              </w:rPr>
            </w:pPr>
            <w:r w:rsidRPr="0095783A">
              <w:rPr>
                <w:szCs w:val="22"/>
              </w:rPr>
              <w:t>Topeka, KS</w:t>
            </w:r>
          </w:p>
        </w:tc>
      </w:tr>
      <w:tr w:rsidR="004243C6" w:rsidRPr="0095783A" w14:paraId="5F3F9EFA"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5413AE5" w14:textId="77777777" w:rsidR="004243C6" w:rsidRPr="0095783A" w:rsidRDefault="004243C6" w:rsidP="004243C6">
            <w:pPr>
              <w:rPr>
                <w:szCs w:val="22"/>
              </w:rPr>
            </w:pPr>
            <w:r w:rsidRPr="0095783A">
              <w:rPr>
                <w:szCs w:val="22"/>
              </w:rPr>
              <w:t>0007441715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27D4D24" w14:textId="77777777" w:rsidR="004243C6" w:rsidRPr="0095783A" w:rsidRDefault="004243C6" w:rsidP="004243C6">
            <w:pPr>
              <w:rPr>
                <w:szCs w:val="22"/>
              </w:rPr>
            </w:pPr>
            <w:r w:rsidRPr="0095783A">
              <w:rPr>
                <w:szCs w:val="22"/>
              </w:rPr>
              <w:t>WQHU664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C0531C6"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E534EA6"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CFD0859"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2363A90"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5718672" w14:textId="77777777" w:rsidR="004243C6" w:rsidRPr="0095783A" w:rsidRDefault="004243C6" w:rsidP="004243C6">
            <w:pPr>
              <w:rPr>
                <w:szCs w:val="22"/>
              </w:rPr>
            </w:pPr>
            <w:r w:rsidRPr="0095783A">
              <w:rPr>
                <w:szCs w:val="22"/>
              </w:rPr>
              <w:t>Tulsa, OK-KS</w:t>
            </w:r>
          </w:p>
        </w:tc>
      </w:tr>
      <w:tr w:rsidR="004243C6" w:rsidRPr="0095783A" w14:paraId="2AF3918C"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6C2B550" w14:textId="77777777" w:rsidR="004243C6" w:rsidRPr="0095783A" w:rsidRDefault="004243C6" w:rsidP="004243C6">
            <w:pPr>
              <w:rPr>
                <w:szCs w:val="22"/>
              </w:rPr>
            </w:pPr>
            <w:r w:rsidRPr="0095783A">
              <w:rPr>
                <w:szCs w:val="22"/>
              </w:rPr>
              <w:t>0007441716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6B28566" w14:textId="77777777" w:rsidR="004243C6" w:rsidRPr="0095783A" w:rsidRDefault="004243C6" w:rsidP="004243C6">
            <w:pPr>
              <w:rPr>
                <w:szCs w:val="22"/>
              </w:rPr>
            </w:pPr>
            <w:r w:rsidRPr="0095783A">
              <w:rPr>
                <w:szCs w:val="22"/>
              </w:rPr>
              <w:t>WQHU665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9B44A88"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49C3140"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71A4908"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6707739"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39A8BD8" w14:textId="77777777" w:rsidR="004243C6" w:rsidRPr="0095783A" w:rsidRDefault="004243C6" w:rsidP="004243C6">
            <w:pPr>
              <w:rPr>
                <w:szCs w:val="22"/>
              </w:rPr>
            </w:pPr>
            <w:r w:rsidRPr="0095783A">
              <w:rPr>
                <w:szCs w:val="22"/>
              </w:rPr>
              <w:t>Western Oklahoma, OK</w:t>
            </w:r>
          </w:p>
        </w:tc>
      </w:tr>
      <w:tr w:rsidR="004243C6" w:rsidRPr="0095783A" w14:paraId="688E4B00"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D23648D" w14:textId="77777777" w:rsidR="004243C6" w:rsidRPr="0095783A" w:rsidRDefault="004243C6" w:rsidP="004243C6">
            <w:pPr>
              <w:rPr>
                <w:szCs w:val="22"/>
              </w:rPr>
            </w:pPr>
            <w:r w:rsidRPr="0095783A">
              <w:rPr>
                <w:szCs w:val="22"/>
              </w:rPr>
              <w:t>0007441717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1D55402" w14:textId="77777777" w:rsidR="004243C6" w:rsidRPr="0095783A" w:rsidRDefault="004243C6" w:rsidP="004243C6">
            <w:pPr>
              <w:rPr>
                <w:szCs w:val="22"/>
              </w:rPr>
            </w:pPr>
            <w:r w:rsidRPr="0095783A">
              <w:rPr>
                <w:szCs w:val="22"/>
              </w:rPr>
              <w:t>WQHU666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004A1F2"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CC5BD39"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8F8F44C"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1C0D11D"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D2326A5" w14:textId="77777777" w:rsidR="004243C6" w:rsidRPr="0095783A" w:rsidRDefault="004243C6" w:rsidP="004243C6">
            <w:pPr>
              <w:rPr>
                <w:szCs w:val="22"/>
              </w:rPr>
            </w:pPr>
            <w:r w:rsidRPr="0095783A">
              <w:rPr>
                <w:szCs w:val="22"/>
              </w:rPr>
              <w:t>Santa Fe, NM</w:t>
            </w:r>
          </w:p>
        </w:tc>
      </w:tr>
      <w:tr w:rsidR="004243C6" w:rsidRPr="0095783A" w14:paraId="1A51008A"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5E02EA5" w14:textId="77777777" w:rsidR="004243C6" w:rsidRPr="0095783A" w:rsidRDefault="004243C6" w:rsidP="004243C6">
            <w:pPr>
              <w:rPr>
                <w:szCs w:val="22"/>
              </w:rPr>
            </w:pPr>
            <w:r w:rsidRPr="0095783A">
              <w:rPr>
                <w:szCs w:val="22"/>
              </w:rPr>
              <w:t>0007441718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46A3C24" w14:textId="77777777" w:rsidR="004243C6" w:rsidRPr="0095783A" w:rsidRDefault="004243C6" w:rsidP="004243C6">
            <w:pPr>
              <w:rPr>
                <w:szCs w:val="22"/>
              </w:rPr>
            </w:pPr>
            <w:r w:rsidRPr="0095783A">
              <w:rPr>
                <w:szCs w:val="22"/>
              </w:rPr>
              <w:t>WQHU667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A9226DE"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3E9DACE"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D7BE799"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570E5D3"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72D9244" w14:textId="77777777" w:rsidR="004243C6" w:rsidRPr="0095783A" w:rsidRDefault="004243C6" w:rsidP="004243C6">
            <w:pPr>
              <w:rPr>
                <w:szCs w:val="22"/>
              </w:rPr>
            </w:pPr>
            <w:r w:rsidRPr="0095783A">
              <w:rPr>
                <w:szCs w:val="22"/>
              </w:rPr>
              <w:t>Pueblo, CO-NM</w:t>
            </w:r>
          </w:p>
        </w:tc>
      </w:tr>
      <w:tr w:rsidR="004243C6" w:rsidRPr="0095783A" w14:paraId="74CD4BD2"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08E6CB3" w14:textId="77777777" w:rsidR="004243C6" w:rsidRPr="0095783A" w:rsidRDefault="004243C6" w:rsidP="004243C6">
            <w:pPr>
              <w:rPr>
                <w:szCs w:val="22"/>
              </w:rPr>
            </w:pPr>
            <w:r w:rsidRPr="0095783A">
              <w:rPr>
                <w:szCs w:val="22"/>
              </w:rPr>
              <w:t>0007441719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2ECDC34" w14:textId="77777777" w:rsidR="004243C6" w:rsidRPr="0095783A" w:rsidRDefault="004243C6" w:rsidP="004243C6">
            <w:pPr>
              <w:rPr>
                <w:szCs w:val="22"/>
              </w:rPr>
            </w:pPr>
            <w:r w:rsidRPr="0095783A">
              <w:rPr>
                <w:szCs w:val="22"/>
              </w:rPr>
              <w:t>WQHU668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3C8942D"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0E961A8"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45445AC"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0019095"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7146757" w14:textId="77777777" w:rsidR="004243C6" w:rsidRPr="0095783A" w:rsidRDefault="004243C6" w:rsidP="004243C6">
            <w:pPr>
              <w:rPr>
                <w:szCs w:val="22"/>
              </w:rPr>
            </w:pPr>
            <w:r w:rsidRPr="0095783A">
              <w:rPr>
                <w:szCs w:val="22"/>
              </w:rPr>
              <w:t>Billings, MT-WY</w:t>
            </w:r>
          </w:p>
        </w:tc>
      </w:tr>
      <w:tr w:rsidR="004243C6" w:rsidRPr="0095783A" w14:paraId="4A3EE5B5"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2E2A19E" w14:textId="77777777" w:rsidR="004243C6" w:rsidRPr="0095783A" w:rsidRDefault="004243C6" w:rsidP="004243C6">
            <w:pPr>
              <w:rPr>
                <w:szCs w:val="22"/>
              </w:rPr>
            </w:pPr>
            <w:r w:rsidRPr="0095783A">
              <w:rPr>
                <w:szCs w:val="22"/>
              </w:rPr>
              <w:t>0007441720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B5ED448" w14:textId="77777777" w:rsidR="004243C6" w:rsidRPr="0095783A" w:rsidRDefault="004243C6" w:rsidP="004243C6">
            <w:pPr>
              <w:rPr>
                <w:szCs w:val="22"/>
              </w:rPr>
            </w:pPr>
            <w:r w:rsidRPr="0095783A">
              <w:rPr>
                <w:szCs w:val="22"/>
              </w:rPr>
              <w:t>WQHU669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002BC9B"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40A46BF"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948EF52"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E11DFC6"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EC2979B" w14:textId="77777777" w:rsidR="004243C6" w:rsidRPr="0095783A" w:rsidRDefault="004243C6" w:rsidP="004243C6">
            <w:pPr>
              <w:rPr>
                <w:szCs w:val="22"/>
              </w:rPr>
            </w:pPr>
            <w:r w:rsidRPr="0095783A">
              <w:rPr>
                <w:szCs w:val="22"/>
              </w:rPr>
              <w:t>Great Falls, MT</w:t>
            </w:r>
          </w:p>
        </w:tc>
      </w:tr>
      <w:tr w:rsidR="004243C6" w:rsidRPr="0095783A" w14:paraId="0725CF8A"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9FF26C5" w14:textId="77777777" w:rsidR="004243C6" w:rsidRPr="0095783A" w:rsidRDefault="004243C6" w:rsidP="004243C6">
            <w:pPr>
              <w:rPr>
                <w:szCs w:val="22"/>
              </w:rPr>
            </w:pPr>
            <w:r w:rsidRPr="0095783A">
              <w:rPr>
                <w:szCs w:val="22"/>
              </w:rPr>
              <w:t>0007441721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C7F417C" w14:textId="77777777" w:rsidR="004243C6" w:rsidRPr="0095783A" w:rsidRDefault="004243C6" w:rsidP="004243C6">
            <w:pPr>
              <w:rPr>
                <w:szCs w:val="22"/>
              </w:rPr>
            </w:pPr>
            <w:r w:rsidRPr="0095783A">
              <w:rPr>
                <w:szCs w:val="22"/>
              </w:rPr>
              <w:t>WQHU670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9001DCB"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483D660"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0C414B6"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D5B8346"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AC8099F" w14:textId="77777777" w:rsidR="004243C6" w:rsidRPr="0095783A" w:rsidRDefault="004243C6" w:rsidP="004243C6">
            <w:pPr>
              <w:rPr>
                <w:szCs w:val="22"/>
              </w:rPr>
            </w:pPr>
            <w:r w:rsidRPr="0095783A">
              <w:rPr>
                <w:szCs w:val="22"/>
              </w:rPr>
              <w:t>Missoula, MT</w:t>
            </w:r>
          </w:p>
        </w:tc>
      </w:tr>
      <w:tr w:rsidR="004243C6" w:rsidRPr="0095783A" w14:paraId="65530DD6"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0978C24" w14:textId="77777777" w:rsidR="004243C6" w:rsidRPr="0095783A" w:rsidRDefault="004243C6" w:rsidP="004243C6">
            <w:pPr>
              <w:rPr>
                <w:szCs w:val="22"/>
              </w:rPr>
            </w:pPr>
            <w:r w:rsidRPr="0095783A">
              <w:rPr>
                <w:szCs w:val="22"/>
              </w:rPr>
              <w:t>0007441722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0E824F5" w14:textId="77777777" w:rsidR="004243C6" w:rsidRPr="0095783A" w:rsidRDefault="004243C6" w:rsidP="004243C6">
            <w:pPr>
              <w:rPr>
                <w:szCs w:val="22"/>
              </w:rPr>
            </w:pPr>
            <w:r w:rsidRPr="0095783A">
              <w:rPr>
                <w:szCs w:val="22"/>
              </w:rPr>
              <w:t>WQHU671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4DEA9B7"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D219BBC"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D60555B"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3B790FF"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4427A19" w14:textId="77777777" w:rsidR="004243C6" w:rsidRPr="0095783A" w:rsidRDefault="004243C6" w:rsidP="004243C6">
            <w:pPr>
              <w:rPr>
                <w:szCs w:val="22"/>
              </w:rPr>
            </w:pPr>
            <w:r w:rsidRPr="0095783A">
              <w:rPr>
                <w:szCs w:val="22"/>
              </w:rPr>
              <w:t>Farmington, NM-CO</w:t>
            </w:r>
          </w:p>
        </w:tc>
      </w:tr>
      <w:tr w:rsidR="004243C6" w:rsidRPr="0095783A" w14:paraId="3690D082"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E46B524" w14:textId="77777777" w:rsidR="004243C6" w:rsidRPr="0095783A" w:rsidRDefault="004243C6" w:rsidP="004243C6">
            <w:pPr>
              <w:rPr>
                <w:szCs w:val="22"/>
              </w:rPr>
            </w:pPr>
            <w:r w:rsidRPr="0095783A">
              <w:rPr>
                <w:szCs w:val="22"/>
              </w:rPr>
              <w:t>0007441723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99FFD38" w14:textId="77777777" w:rsidR="004243C6" w:rsidRPr="0095783A" w:rsidRDefault="004243C6" w:rsidP="004243C6">
            <w:pPr>
              <w:rPr>
                <w:szCs w:val="22"/>
              </w:rPr>
            </w:pPr>
            <w:r w:rsidRPr="0095783A">
              <w:rPr>
                <w:szCs w:val="22"/>
              </w:rPr>
              <w:t>WQHU672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9C230B3"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9D31753"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2328BE3"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82D8146"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4C50D02" w14:textId="77777777" w:rsidR="004243C6" w:rsidRPr="0095783A" w:rsidRDefault="004243C6" w:rsidP="004243C6">
            <w:pPr>
              <w:rPr>
                <w:szCs w:val="22"/>
              </w:rPr>
            </w:pPr>
            <w:r w:rsidRPr="0095783A">
              <w:rPr>
                <w:szCs w:val="22"/>
              </w:rPr>
              <w:t>Redding, CA-OR</w:t>
            </w:r>
          </w:p>
        </w:tc>
      </w:tr>
      <w:tr w:rsidR="004243C6" w:rsidRPr="0095783A" w14:paraId="23424941"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C9BC957" w14:textId="77777777" w:rsidR="004243C6" w:rsidRPr="0095783A" w:rsidRDefault="004243C6" w:rsidP="004243C6">
            <w:pPr>
              <w:rPr>
                <w:szCs w:val="22"/>
              </w:rPr>
            </w:pPr>
            <w:r w:rsidRPr="0095783A">
              <w:rPr>
                <w:szCs w:val="22"/>
              </w:rPr>
              <w:t>0007441724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F87FEB3" w14:textId="77777777" w:rsidR="004243C6" w:rsidRPr="0095783A" w:rsidRDefault="004243C6" w:rsidP="004243C6">
            <w:pPr>
              <w:rPr>
                <w:szCs w:val="22"/>
              </w:rPr>
            </w:pPr>
            <w:r w:rsidRPr="0095783A">
              <w:rPr>
                <w:szCs w:val="22"/>
              </w:rPr>
              <w:t>WQHU673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F42E8AE"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4E511E9"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2ECE20D"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4A8CE5C"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B017DC2" w14:textId="77777777" w:rsidR="004243C6" w:rsidRPr="0095783A" w:rsidRDefault="004243C6" w:rsidP="004243C6">
            <w:pPr>
              <w:rPr>
                <w:szCs w:val="22"/>
              </w:rPr>
            </w:pPr>
            <w:r w:rsidRPr="0095783A">
              <w:rPr>
                <w:szCs w:val="22"/>
              </w:rPr>
              <w:t>Pendleton, OR-WA</w:t>
            </w:r>
          </w:p>
        </w:tc>
      </w:tr>
      <w:tr w:rsidR="004243C6" w:rsidRPr="0095783A" w14:paraId="387B3EFE" w14:textId="77777777" w:rsidTr="004243C6">
        <w:trPr>
          <w:trHeight w:val="720"/>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1010AEB" w14:textId="77777777" w:rsidR="004243C6" w:rsidRPr="0095783A" w:rsidRDefault="004243C6" w:rsidP="004243C6">
            <w:pPr>
              <w:rPr>
                <w:szCs w:val="22"/>
              </w:rPr>
            </w:pPr>
            <w:r w:rsidRPr="0095783A">
              <w:rPr>
                <w:szCs w:val="22"/>
              </w:rPr>
              <w:t>0007441725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00CBE13" w14:textId="77777777" w:rsidR="004243C6" w:rsidRPr="0095783A" w:rsidRDefault="004243C6" w:rsidP="004243C6">
            <w:pPr>
              <w:rPr>
                <w:szCs w:val="22"/>
              </w:rPr>
            </w:pPr>
            <w:r w:rsidRPr="0095783A">
              <w:rPr>
                <w:szCs w:val="22"/>
              </w:rPr>
              <w:t>WQHU674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3E4BD89"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9481A6B"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E2A590E"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9A75449"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3596B6F" w14:textId="77777777" w:rsidR="004243C6" w:rsidRPr="0095783A" w:rsidRDefault="004243C6" w:rsidP="004243C6">
            <w:pPr>
              <w:rPr>
                <w:szCs w:val="22"/>
              </w:rPr>
            </w:pPr>
            <w:r w:rsidRPr="0095783A">
              <w:rPr>
                <w:szCs w:val="22"/>
              </w:rPr>
              <w:t>Richland-Kennewick-Pasco, WA</w:t>
            </w:r>
          </w:p>
        </w:tc>
      </w:tr>
      <w:tr w:rsidR="004243C6" w:rsidRPr="0095783A" w14:paraId="501F0894" w14:textId="77777777" w:rsidTr="004243C6">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B2C5C8E" w14:textId="77777777" w:rsidR="004243C6" w:rsidRPr="0095783A" w:rsidRDefault="004243C6" w:rsidP="004243C6">
            <w:pPr>
              <w:rPr>
                <w:szCs w:val="22"/>
              </w:rPr>
            </w:pPr>
            <w:r w:rsidRPr="0095783A">
              <w:rPr>
                <w:szCs w:val="22"/>
              </w:rPr>
              <w:t>0007441726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FE79BF7" w14:textId="77777777" w:rsidR="004243C6" w:rsidRPr="0095783A" w:rsidRDefault="004243C6" w:rsidP="004243C6">
            <w:pPr>
              <w:rPr>
                <w:szCs w:val="22"/>
              </w:rPr>
            </w:pPr>
            <w:r w:rsidRPr="0095783A">
              <w:rPr>
                <w:szCs w:val="22"/>
              </w:rPr>
              <w:t>WQHU675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3570742"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CBE2F1E"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72257F4"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B952579" w14:textId="77777777" w:rsidR="004243C6" w:rsidRPr="0095783A" w:rsidRDefault="004243C6" w:rsidP="004243C6">
            <w:pPr>
              <w:rPr>
                <w:szCs w:val="22"/>
              </w:rPr>
            </w:pPr>
            <w:r w:rsidRPr="0095783A">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3CB7A49" w14:textId="2633B419" w:rsidR="003F3165" w:rsidRPr="0095783A" w:rsidRDefault="004243C6" w:rsidP="004243C6">
            <w:pPr>
              <w:rPr>
                <w:szCs w:val="22"/>
              </w:rPr>
            </w:pPr>
            <w:r w:rsidRPr="0095783A">
              <w:rPr>
                <w:szCs w:val="22"/>
              </w:rPr>
              <w:t>Anchorage, AK</w:t>
            </w:r>
          </w:p>
        </w:tc>
      </w:tr>
      <w:tr w:rsidR="003F3165" w:rsidRPr="0095783A" w14:paraId="05E6E336" w14:textId="77777777" w:rsidTr="004243C6">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5E66525" w14:textId="2BCD0873" w:rsidR="003F3165" w:rsidRPr="00AA1917" w:rsidRDefault="003F3165" w:rsidP="004243C6">
            <w:pPr>
              <w:rPr>
                <w:szCs w:val="22"/>
              </w:rPr>
            </w:pPr>
            <w:r w:rsidRPr="00AA1917">
              <w:rPr>
                <w:szCs w:val="22"/>
              </w:rPr>
              <w:t>0007693854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2C30D83" w14:textId="73C9F61F" w:rsidR="003F3165" w:rsidRPr="00AA1917" w:rsidRDefault="003F3165" w:rsidP="004243C6">
            <w:pPr>
              <w:rPr>
                <w:szCs w:val="22"/>
              </w:rPr>
            </w:pPr>
            <w:r w:rsidRPr="00AA1917">
              <w:rPr>
                <w:szCs w:val="22"/>
              </w:rPr>
              <w:t>WQHU643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FEA48F5" w14:textId="25F3F501" w:rsidR="003F3165" w:rsidRPr="00AA1917" w:rsidRDefault="003F3165" w:rsidP="004243C6">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9FDCE33" w14:textId="1B0AF704" w:rsidR="003F3165" w:rsidRPr="00AA1917" w:rsidRDefault="003F3165" w:rsidP="004243C6">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8DC4348" w14:textId="0EB30B27" w:rsidR="003F3165" w:rsidRPr="00AA1917" w:rsidRDefault="003F3165" w:rsidP="004243C6">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50E094E" w14:textId="05BFA193" w:rsidR="003F3165" w:rsidRPr="00AA1917" w:rsidRDefault="003F3165" w:rsidP="004243C6">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687E19B" w14:textId="23A6460B" w:rsidR="003F3165" w:rsidRPr="00AA1917" w:rsidRDefault="003F3165" w:rsidP="004243C6">
            <w:pPr>
              <w:rPr>
                <w:szCs w:val="22"/>
              </w:rPr>
            </w:pPr>
            <w:r w:rsidRPr="00AA1917">
              <w:rPr>
                <w:szCs w:val="22"/>
              </w:rPr>
              <w:t>Burlington, VT-NY</w:t>
            </w:r>
          </w:p>
        </w:tc>
      </w:tr>
      <w:tr w:rsidR="003F3165" w:rsidRPr="0095783A" w14:paraId="21F5D964"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8D004C1" w14:textId="0A72B6DF" w:rsidR="003F3165" w:rsidRPr="00AA1917" w:rsidRDefault="003F3165" w:rsidP="000C5F4C">
            <w:pPr>
              <w:rPr>
                <w:szCs w:val="22"/>
              </w:rPr>
            </w:pPr>
            <w:r w:rsidRPr="00AA1917">
              <w:rPr>
                <w:szCs w:val="22"/>
              </w:rPr>
              <w:t>0007693837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F534D82" w14:textId="7EB4519F" w:rsidR="003F3165" w:rsidRPr="00AA1917" w:rsidRDefault="003F3165" w:rsidP="000C5F4C">
            <w:pPr>
              <w:rPr>
                <w:szCs w:val="22"/>
              </w:rPr>
            </w:pPr>
            <w:r w:rsidRPr="00AA1917">
              <w:rPr>
                <w:szCs w:val="22"/>
              </w:rPr>
              <w:t xml:space="preserve">WQHU644  </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9D15590" w14:textId="418E2876"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ECC26EB" w14:textId="3EF9DF6E"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8FDC24A" w14:textId="1BC04819"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A135E35" w14:textId="57C0B647"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4120279" w14:textId="6513B117" w:rsidR="003F3165" w:rsidRPr="00AA1917" w:rsidRDefault="003F3165" w:rsidP="000C5F4C">
            <w:pPr>
              <w:rPr>
                <w:szCs w:val="22"/>
              </w:rPr>
            </w:pPr>
            <w:r w:rsidRPr="00AA1917">
              <w:rPr>
                <w:szCs w:val="22"/>
              </w:rPr>
              <w:t>Northern Michigan, MI</w:t>
            </w:r>
          </w:p>
        </w:tc>
      </w:tr>
      <w:tr w:rsidR="003F3165" w:rsidRPr="0095783A" w14:paraId="3DDEFBD7"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FA18759" w14:textId="55CEA6C2" w:rsidR="003F3165" w:rsidRPr="00AA1917" w:rsidRDefault="003F3165" w:rsidP="000C5F4C">
            <w:pPr>
              <w:rPr>
                <w:szCs w:val="22"/>
              </w:rPr>
            </w:pPr>
            <w:r w:rsidRPr="00AA1917">
              <w:rPr>
                <w:szCs w:val="22"/>
              </w:rPr>
              <w:t>0007693859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2D2601D" w14:textId="7E9CAAE7" w:rsidR="003F3165" w:rsidRPr="00AA1917" w:rsidRDefault="003F3165" w:rsidP="000C5F4C">
            <w:pPr>
              <w:rPr>
                <w:szCs w:val="22"/>
              </w:rPr>
            </w:pPr>
            <w:r w:rsidRPr="00AA1917">
              <w:rPr>
                <w:szCs w:val="22"/>
              </w:rPr>
              <w:t>WQHU645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BBDF8E5" w14:textId="2174C824"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2026A85" w14:textId="572D3BC5"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1BD3792" w14:textId="22875C9B"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309D248" w14:textId="7FA41721"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AD4B98C" w14:textId="2227CD99" w:rsidR="003F3165" w:rsidRPr="00AA1917" w:rsidRDefault="003F3165" w:rsidP="000C5F4C">
            <w:pPr>
              <w:rPr>
                <w:szCs w:val="22"/>
              </w:rPr>
            </w:pPr>
            <w:r w:rsidRPr="00AA1917">
              <w:rPr>
                <w:szCs w:val="22"/>
              </w:rPr>
              <w:t>Elkhart-Goshen, IN-MI</w:t>
            </w:r>
          </w:p>
        </w:tc>
      </w:tr>
      <w:tr w:rsidR="003F3165" w:rsidRPr="0095783A" w14:paraId="7C6434F0"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E7038A1" w14:textId="6BE9304B" w:rsidR="003F3165" w:rsidRPr="00AA1917" w:rsidRDefault="003F3165" w:rsidP="000C5F4C">
            <w:pPr>
              <w:rPr>
                <w:szCs w:val="22"/>
              </w:rPr>
            </w:pPr>
            <w:r w:rsidRPr="00AA1917">
              <w:rPr>
                <w:szCs w:val="22"/>
              </w:rPr>
              <w:t>0007693860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23943F1" w14:textId="7A3087CB" w:rsidR="003F3165" w:rsidRPr="00AA1917" w:rsidRDefault="003F3165" w:rsidP="000C5F4C">
            <w:pPr>
              <w:rPr>
                <w:szCs w:val="22"/>
              </w:rPr>
            </w:pPr>
            <w:r w:rsidRPr="00AA1917">
              <w:rPr>
                <w:szCs w:val="22"/>
              </w:rPr>
              <w:t>WQHU646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9F04B06" w14:textId="637992A2"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27AC9D1" w14:textId="47842D3A"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B9D5050" w14:textId="7276BF36"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D1ECA6D" w14:textId="1DC0E493"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148AEBC" w14:textId="00AD6E37" w:rsidR="003F3165" w:rsidRPr="00AA1917" w:rsidRDefault="003F3165" w:rsidP="000C5F4C">
            <w:pPr>
              <w:rPr>
                <w:szCs w:val="22"/>
              </w:rPr>
            </w:pPr>
            <w:r w:rsidRPr="00AA1917">
              <w:rPr>
                <w:szCs w:val="22"/>
              </w:rPr>
              <w:t>Tupelo, MS-AL-TN</w:t>
            </w:r>
          </w:p>
        </w:tc>
      </w:tr>
      <w:tr w:rsidR="003F3165" w:rsidRPr="0095783A" w14:paraId="34507228"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B4FE8CE" w14:textId="302978F7" w:rsidR="003F3165" w:rsidRPr="00AA1917" w:rsidRDefault="003F3165" w:rsidP="000C5F4C">
            <w:pPr>
              <w:rPr>
                <w:szCs w:val="22"/>
              </w:rPr>
            </w:pPr>
            <w:r w:rsidRPr="00AA1917">
              <w:rPr>
                <w:szCs w:val="22"/>
              </w:rPr>
              <w:t>0007693861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3A2E600" w14:textId="75221F03" w:rsidR="003F3165" w:rsidRPr="00AA1917" w:rsidRDefault="003F3165" w:rsidP="000C5F4C">
            <w:pPr>
              <w:rPr>
                <w:szCs w:val="22"/>
              </w:rPr>
            </w:pPr>
            <w:r w:rsidRPr="00AA1917">
              <w:rPr>
                <w:szCs w:val="22"/>
              </w:rPr>
              <w:t>WQHU647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B5E6C90" w14:textId="4F2911E1"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0778CA1" w14:textId="0D113D6C"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55ADECB" w14:textId="3FA70110"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A21F793" w14:textId="37904838"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1423967A" w14:textId="77A65CC7" w:rsidR="003F3165" w:rsidRPr="00AA1917" w:rsidRDefault="003F3165" w:rsidP="000C5F4C">
            <w:pPr>
              <w:rPr>
                <w:szCs w:val="22"/>
              </w:rPr>
            </w:pPr>
            <w:r w:rsidRPr="00AA1917">
              <w:rPr>
                <w:szCs w:val="22"/>
              </w:rPr>
              <w:t>Lafayette, LA</w:t>
            </w:r>
          </w:p>
        </w:tc>
      </w:tr>
      <w:tr w:rsidR="003F3165" w:rsidRPr="0095783A" w14:paraId="1253EE7F"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D3825FA" w14:textId="38DDC87E" w:rsidR="003F3165" w:rsidRPr="00AA1917" w:rsidRDefault="003F3165" w:rsidP="000C5F4C">
            <w:pPr>
              <w:rPr>
                <w:szCs w:val="22"/>
              </w:rPr>
            </w:pPr>
            <w:r w:rsidRPr="00AA1917">
              <w:rPr>
                <w:szCs w:val="22"/>
              </w:rPr>
              <w:t>0007693862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E159933" w14:textId="5AF293B8" w:rsidR="003F3165" w:rsidRPr="00AA1917" w:rsidRDefault="003F3165" w:rsidP="000C5F4C">
            <w:pPr>
              <w:rPr>
                <w:szCs w:val="22"/>
              </w:rPr>
            </w:pPr>
            <w:r w:rsidRPr="00AA1917">
              <w:rPr>
                <w:szCs w:val="22"/>
              </w:rPr>
              <w:t>WQHU648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DA307E7" w14:textId="6503251F"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273029B" w14:textId="4A0B5935"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137DE69" w14:textId="71867416"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75C1D69" w14:textId="4DBF1D03"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3E138FC" w14:textId="2E148506" w:rsidR="003F3165" w:rsidRPr="00AA1917" w:rsidRDefault="003F3165" w:rsidP="000C5F4C">
            <w:pPr>
              <w:rPr>
                <w:szCs w:val="22"/>
              </w:rPr>
            </w:pPr>
            <w:r w:rsidRPr="00AA1917">
              <w:rPr>
                <w:szCs w:val="22"/>
              </w:rPr>
              <w:t>Lake Charles, LA</w:t>
            </w:r>
          </w:p>
        </w:tc>
      </w:tr>
      <w:tr w:rsidR="003F3165" w:rsidRPr="0095783A" w14:paraId="5A385A7D"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8F13489" w14:textId="06363CE2" w:rsidR="003F3165" w:rsidRPr="00AA1917" w:rsidRDefault="003F3165" w:rsidP="000C5F4C">
            <w:pPr>
              <w:rPr>
                <w:szCs w:val="22"/>
              </w:rPr>
            </w:pPr>
            <w:r w:rsidRPr="00AA1917">
              <w:rPr>
                <w:szCs w:val="22"/>
              </w:rPr>
              <w:t>0007693851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87940AB" w14:textId="44F58311" w:rsidR="003F3165" w:rsidRPr="00AA1917" w:rsidRDefault="003F3165" w:rsidP="000C5F4C">
            <w:pPr>
              <w:rPr>
                <w:szCs w:val="22"/>
              </w:rPr>
            </w:pPr>
            <w:r w:rsidRPr="00AA1917">
              <w:rPr>
                <w:szCs w:val="22"/>
              </w:rPr>
              <w:t>WQHU649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EB28BE0" w14:textId="408E60E3"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2AD1394" w14:textId="5CB3E865"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4D4CA56" w14:textId="5105F284"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2634093" w14:textId="5CBC825E"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4B1207E" w14:textId="6D0A253C" w:rsidR="003F3165" w:rsidRPr="00AA1917" w:rsidRDefault="003F3165" w:rsidP="000C5F4C">
            <w:pPr>
              <w:rPr>
                <w:szCs w:val="22"/>
              </w:rPr>
            </w:pPr>
            <w:r w:rsidRPr="00AA1917">
              <w:rPr>
                <w:szCs w:val="22"/>
              </w:rPr>
              <w:t>Joplin, MO-KS-OK</w:t>
            </w:r>
          </w:p>
        </w:tc>
      </w:tr>
      <w:tr w:rsidR="003F3165" w:rsidRPr="0095783A" w14:paraId="27EC6332"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EF449A6" w14:textId="6A316E51" w:rsidR="003F3165" w:rsidRPr="00AA1917" w:rsidRDefault="003F3165" w:rsidP="000C5F4C">
            <w:pPr>
              <w:rPr>
                <w:szCs w:val="22"/>
              </w:rPr>
            </w:pPr>
            <w:r w:rsidRPr="00AA1917">
              <w:rPr>
                <w:szCs w:val="22"/>
              </w:rPr>
              <w:t>0007693863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CBA2FC9" w14:textId="7AD8FC97" w:rsidR="003F3165" w:rsidRPr="00AA1917" w:rsidRDefault="003F3165" w:rsidP="000C5F4C">
            <w:pPr>
              <w:rPr>
                <w:szCs w:val="22"/>
              </w:rPr>
            </w:pPr>
            <w:r w:rsidRPr="00AA1917">
              <w:rPr>
                <w:szCs w:val="22"/>
              </w:rPr>
              <w:t>WQHU650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DC7FAA0" w14:textId="2448EC33"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BE6A658" w14:textId="5F5CEC41"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2A8825C2" w14:textId="6001A05B"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41D4843" w14:textId="591B1884"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26A0270" w14:textId="2DB8891C" w:rsidR="003F3165" w:rsidRPr="00AA1917" w:rsidRDefault="003F3165" w:rsidP="000C5F4C">
            <w:pPr>
              <w:rPr>
                <w:szCs w:val="22"/>
              </w:rPr>
            </w:pPr>
            <w:r w:rsidRPr="00AA1917">
              <w:rPr>
                <w:szCs w:val="22"/>
              </w:rPr>
              <w:t>Des Moines, IA-IL-MO</w:t>
            </w:r>
          </w:p>
        </w:tc>
      </w:tr>
      <w:tr w:rsidR="003F3165" w:rsidRPr="0095783A" w14:paraId="326EBDC5"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2A64D35" w14:textId="4DCAE2E8" w:rsidR="003F3165" w:rsidRPr="00AA1917" w:rsidRDefault="003F3165" w:rsidP="000C5F4C">
            <w:pPr>
              <w:rPr>
                <w:szCs w:val="22"/>
              </w:rPr>
            </w:pPr>
            <w:r w:rsidRPr="00AA1917">
              <w:rPr>
                <w:szCs w:val="22"/>
              </w:rPr>
              <w:t>0007693864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0ECAE24" w14:textId="7EA776ED" w:rsidR="003F3165" w:rsidRPr="00AA1917" w:rsidRDefault="003F3165" w:rsidP="000C5F4C">
            <w:pPr>
              <w:rPr>
                <w:szCs w:val="22"/>
              </w:rPr>
            </w:pPr>
            <w:r w:rsidRPr="00AA1917">
              <w:rPr>
                <w:szCs w:val="22"/>
              </w:rPr>
              <w:t>WQHU651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2E1644A" w14:textId="7BF250B0"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BD109C1" w14:textId="334AB0EF"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D7004A9" w14:textId="6A688E2F"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D6FA62F" w14:textId="16FAF47B"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F4703F0" w14:textId="72FD74A8" w:rsidR="003F3165" w:rsidRPr="00AA1917" w:rsidRDefault="003F3165" w:rsidP="000C5F4C">
            <w:pPr>
              <w:rPr>
                <w:szCs w:val="22"/>
              </w:rPr>
            </w:pPr>
            <w:r w:rsidRPr="00AA1917">
              <w:rPr>
                <w:szCs w:val="22"/>
              </w:rPr>
              <w:t>Grand Forks, ND-MN</w:t>
            </w:r>
          </w:p>
        </w:tc>
      </w:tr>
      <w:tr w:rsidR="003F3165" w:rsidRPr="0095783A" w14:paraId="6CE50680"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D72EF27" w14:textId="14FBAB58" w:rsidR="003F3165" w:rsidRPr="00AA1917" w:rsidRDefault="003F3165" w:rsidP="000C5F4C">
            <w:pPr>
              <w:rPr>
                <w:szCs w:val="22"/>
              </w:rPr>
            </w:pPr>
            <w:r w:rsidRPr="00AA1917">
              <w:rPr>
                <w:szCs w:val="22"/>
              </w:rPr>
              <w:t>0007693865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D4D9B0A" w14:textId="017F4166" w:rsidR="003F3165" w:rsidRPr="00AA1917" w:rsidRDefault="003F3165" w:rsidP="000C5F4C">
            <w:pPr>
              <w:rPr>
                <w:szCs w:val="22"/>
              </w:rPr>
            </w:pPr>
            <w:r w:rsidRPr="00AA1917">
              <w:rPr>
                <w:szCs w:val="22"/>
              </w:rPr>
              <w:t>WQHU652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5418960" w14:textId="56B3DBD0"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E40114C" w14:textId="44AF7A3A"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AE48040" w14:textId="2523EAA5"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B1909F8" w14:textId="4E24F080"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AA0262A" w14:textId="68C6A023" w:rsidR="003F3165" w:rsidRPr="00AA1917" w:rsidRDefault="003F3165" w:rsidP="000C5F4C">
            <w:pPr>
              <w:rPr>
                <w:szCs w:val="22"/>
              </w:rPr>
            </w:pPr>
            <w:r w:rsidRPr="00AA1917">
              <w:rPr>
                <w:szCs w:val="22"/>
              </w:rPr>
              <w:t>Minot, ND</w:t>
            </w:r>
          </w:p>
        </w:tc>
      </w:tr>
      <w:tr w:rsidR="003F3165" w:rsidRPr="0095783A" w14:paraId="590656C9"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9375669" w14:textId="68E26B0C" w:rsidR="003F3165" w:rsidRPr="00AA1917" w:rsidRDefault="003F3165" w:rsidP="000C5F4C">
            <w:pPr>
              <w:rPr>
                <w:szCs w:val="22"/>
              </w:rPr>
            </w:pPr>
            <w:r w:rsidRPr="00AA1917">
              <w:rPr>
                <w:szCs w:val="22"/>
              </w:rPr>
              <w:t>0007693849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AFAC200" w14:textId="0645FE58" w:rsidR="003F3165" w:rsidRPr="00AA1917" w:rsidRDefault="003F3165" w:rsidP="000C5F4C">
            <w:pPr>
              <w:rPr>
                <w:szCs w:val="22"/>
              </w:rPr>
            </w:pPr>
            <w:r w:rsidRPr="00AA1917">
              <w:rPr>
                <w:szCs w:val="22"/>
              </w:rPr>
              <w:t>WQHU653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0F15B43" w14:textId="4A217941"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646C3FA" w14:textId="7E517032"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3D90EDC" w14:textId="5BAAB4CC"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91BDAE0" w14:textId="371516D7"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CA88BC2" w14:textId="633F06FA" w:rsidR="003F3165" w:rsidRPr="00AA1917" w:rsidRDefault="003F3165" w:rsidP="000C5F4C">
            <w:pPr>
              <w:rPr>
                <w:szCs w:val="22"/>
              </w:rPr>
            </w:pPr>
            <w:r w:rsidRPr="00AA1917">
              <w:rPr>
                <w:szCs w:val="22"/>
              </w:rPr>
              <w:t>Bismarck, ND-MT-SD</w:t>
            </w:r>
          </w:p>
        </w:tc>
      </w:tr>
      <w:tr w:rsidR="003F3165" w:rsidRPr="0095783A" w14:paraId="605BA5C2"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33C3788" w14:textId="638CFBAD" w:rsidR="003F3165" w:rsidRPr="00AA1917" w:rsidRDefault="003F3165" w:rsidP="000C5F4C">
            <w:pPr>
              <w:rPr>
                <w:szCs w:val="22"/>
              </w:rPr>
            </w:pPr>
            <w:r w:rsidRPr="00AA1917">
              <w:rPr>
                <w:szCs w:val="22"/>
              </w:rPr>
              <w:t>0007693855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82B466F" w14:textId="2700D295" w:rsidR="003F3165" w:rsidRPr="00AA1917" w:rsidRDefault="003F3165" w:rsidP="000C5F4C">
            <w:pPr>
              <w:rPr>
                <w:szCs w:val="22"/>
              </w:rPr>
            </w:pPr>
            <w:r w:rsidRPr="00AA1917">
              <w:rPr>
                <w:szCs w:val="22"/>
              </w:rPr>
              <w:t>WQHU654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F39C4A0" w14:textId="13711A1F"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638FFB8" w14:textId="2F4E91C5"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3B72EA2" w14:textId="17D38968"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584A8D6" w14:textId="3F07504E"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D4DE51E" w14:textId="2972CB97" w:rsidR="003F3165" w:rsidRPr="00AA1917" w:rsidRDefault="003F3165" w:rsidP="000C5F4C">
            <w:pPr>
              <w:rPr>
                <w:szCs w:val="22"/>
              </w:rPr>
            </w:pPr>
            <w:r w:rsidRPr="00AA1917">
              <w:rPr>
                <w:szCs w:val="22"/>
              </w:rPr>
              <w:t>Fargo-Moorhead, ND-MN</w:t>
            </w:r>
          </w:p>
        </w:tc>
      </w:tr>
      <w:tr w:rsidR="003F3165" w:rsidRPr="0095783A" w14:paraId="6C504199"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36F2F90A" w14:textId="7ACB3779" w:rsidR="003F3165" w:rsidRPr="00AA1917" w:rsidRDefault="003F3165" w:rsidP="000C5F4C">
            <w:pPr>
              <w:rPr>
                <w:szCs w:val="22"/>
              </w:rPr>
            </w:pPr>
            <w:r w:rsidRPr="00AA1917">
              <w:rPr>
                <w:szCs w:val="22"/>
              </w:rPr>
              <w:t>0007693866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248CE40" w14:textId="4BEF23AE" w:rsidR="003F3165" w:rsidRPr="00AA1917" w:rsidRDefault="003F3165" w:rsidP="000C5F4C">
            <w:pPr>
              <w:rPr>
                <w:szCs w:val="22"/>
              </w:rPr>
            </w:pPr>
            <w:r w:rsidRPr="00AA1917">
              <w:rPr>
                <w:szCs w:val="22"/>
              </w:rPr>
              <w:t>WQHU655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E1D2A04" w14:textId="4021C6BF"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FE1C135" w14:textId="23F47793"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2BDDB5B" w14:textId="1F1A8011"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8950860" w14:textId="31A2A0F5"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86F2E4E" w14:textId="40CB5B3A" w:rsidR="003F3165" w:rsidRPr="00AA1917" w:rsidRDefault="003F3165" w:rsidP="000C5F4C">
            <w:pPr>
              <w:rPr>
                <w:szCs w:val="22"/>
              </w:rPr>
            </w:pPr>
            <w:r w:rsidRPr="00AA1917">
              <w:rPr>
                <w:szCs w:val="22"/>
              </w:rPr>
              <w:t>Aberdeen, SD</w:t>
            </w:r>
          </w:p>
        </w:tc>
      </w:tr>
      <w:tr w:rsidR="003F3165" w:rsidRPr="0095783A" w14:paraId="4F47F280"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DF16D90" w14:textId="0ACE5787" w:rsidR="003F3165" w:rsidRPr="00AA1917" w:rsidRDefault="003F3165" w:rsidP="000C5F4C">
            <w:pPr>
              <w:rPr>
                <w:szCs w:val="22"/>
              </w:rPr>
            </w:pPr>
            <w:r w:rsidRPr="00AA1917">
              <w:rPr>
                <w:szCs w:val="22"/>
              </w:rPr>
              <w:t>0007693867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2050535" w14:textId="005D5337" w:rsidR="003F3165" w:rsidRPr="00AA1917" w:rsidRDefault="003F3165" w:rsidP="000C5F4C">
            <w:pPr>
              <w:rPr>
                <w:szCs w:val="22"/>
              </w:rPr>
            </w:pPr>
            <w:r w:rsidRPr="00AA1917">
              <w:rPr>
                <w:szCs w:val="22"/>
              </w:rPr>
              <w:t>WQHU656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5A57833" w14:textId="62CE5693"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8013457" w14:textId="3CB20521"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141B218" w14:textId="63D4F2DA"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059F6F1" w14:textId="6595C265"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6636C8C" w14:textId="2D2409D6" w:rsidR="003F3165" w:rsidRPr="00AA1917" w:rsidRDefault="003F3165" w:rsidP="000C5F4C">
            <w:pPr>
              <w:rPr>
                <w:szCs w:val="22"/>
              </w:rPr>
            </w:pPr>
            <w:r w:rsidRPr="00AA1917">
              <w:rPr>
                <w:szCs w:val="22"/>
              </w:rPr>
              <w:t>Rapid City, SD-MT-ND-NE</w:t>
            </w:r>
          </w:p>
        </w:tc>
      </w:tr>
      <w:tr w:rsidR="003F3165" w:rsidRPr="0095783A" w14:paraId="3971A378"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62F08D2" w14:textId="681E579C" w:rsidR="003F3165" w:rsidRPr="00AA1917" w:rsidRDefault="003F3165" w:rsidP="000C5F4C">
            <w:pPr>
              <w:rPr>
                <w:szCs w:val="22"/>
              </w:rPr>
            </w:pPr>
            <w:r w:rsidRPr="00AA1917">
              <w:rPr>
                <w:szCs w:val="22"/>
              </w:rPr>
              <w:t>0007693868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5721E7B" w14:textId="1A162454" w:rsidR="003F3165" w:rsidRPr="00AA1917" w:rsidRDefault="003F3165" w:rsidP="000C5F4C">
            <w:pPr>
              <w:rPr>
                <w:szCs w:val="22"/>
              </w:rPr>
            </w:pPr>
            <w:r w:rsidRPr="00AA1917">
              <w:rPr>
                <w:szCs w:val="22"/>
              </w:rPr>
              <w:t>WQHU657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6082562" w14:textId="70D1501C"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18EEC22" w14:textId="462EDCA9"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3058B6E" w14:textId="7C37692D"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6C29B7C" w14:textId="2862B48F" w:rsidR="003F3165" w:rsidRPr="00AA1917" w:rsidRDefault="003F3165" w:rsidP="000C5F4C">
            <w:pPr>
              <w:rPr>
                <w:szCs w:val="22"/>
              </w:rPr>
            </w:pPr>
            <w:r w:rsidRPr="00AA1917">
              <w:rPr>
                <w:szCs w:val="22"/>
              </w:rPr>
              <w:t>A</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2D39114" w14:textId="695366AE" w:rsidR="003F3165" w:rsidRPr="00AA1917" w:rsidRDefault="003F3165" w:rsidP="000C5F4C">
            <w:pPr>
              <w:rPr>
                <w:szCs w:val="22"/>
              </w:rPr>
            </w:pPr>
            <w:r w:rsidRPr="00AA1917">
              <w:rPr>
                <w:szCs w:val="22"/>
              </w:rPr>
              <w:t>Sioux Falls, SD-IA-MN-NE</w:t>
            </w:r>
          </w:p>
        </w:tc>
      </w:tr>
      <w:tr w:rsidR="003F3165" w:rsidRPr="0095783A" w14:paraId="46180A82"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798FCD9" w14:textId="205D5A0D" w:rsidR="003F3165" w:rsidRPr="00AA1917" w:rsidRDefault="003F3165" w:rsidP="000C5F4C">
            <w:pPr>
              <w:rPr>
                <w:szCs w:val="22"/>
              </w:rPr>
            </w:pPr>
            <w:r w:rsidRPr="00AA1917">
              <w:rPr>
                <w:szCs w:val="22"/>
              </w:rPr>
              <w:t>0007693852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328EAE6" w14:textId="7CDE63A2" w:rsidR="003F3165" w:rsidRPr="00AA1917" w:rsidRDefault="003F3165" w:rsidP="000C5F4C">
            <w:pPr>
              <w:rPr>
                <w:szCs w:val="22"/>
              </w:rPr>
            </w:pPr>
            <w:r w:rsidRPr="00AA1917">
              <w:rPr>
                <w:szCs w:val="22"/>
              </w:rPr>
              <w:t>WQHU658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3C839C4" w14:textId="3C51ED38"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35D0797" w14:textId="415D3980"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2F92192" w14:textId="6358E298"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A899F3A" w14:textId="01F0F8F0"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CAE4EF5" w14:textId="2CE18856" w:rsidR="003F3165" w:rsidRPr="00AA1917" w:rsidRDefault="003F3165" w:rsidP="000C5F4C">
            <w:pPr>
              <w:rPr>
                <w:szCs w:val="22"/>
              </w:rPr>
            </w:pPr>
            <w:r w:rsidRPr="00AA1917">
              <w:rPr>
                <w:szCs w:val="22"/>
              </w:rPr>
              <w:t>Sioux City, IA-NE-SD</w:t>
            </w:r>
          </w:p>
        </w:tc>
      </w:tr>
      <w:tr w:rsidR="003F3165" w:rsidRPr="0095783A" w14:paraId="23405535"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35800A9" w14:textId="789ACED6" w:rsidR="003F3165" w:rsidRPr="00AA1917" w:rsidRDefault="003F3165" w:rsidP="000C5F4C">
            <w:pPr>
              <w:rPr>
                <w:szCs w:val="22"/>
              </w:rPr>
            </w:pPr>
            <w:r w:rsidRPr="00AA1917">
              <w:rPr>
                <w:szCs w:val="22"/>
              </w:rPr>
              <w:t>0007693869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21E084C" w14:textId="25FE33C1" w:rsidR="003F3165" w:rsidRPr="00AA1917" w:rsidRDefault="003F3165" w:rsidP="000C5F4C">
            <w:pPr>
              <w:rPr>
                <w:szCs w:val="22"/>
              </w:rPr>
            </w:pPr>
            <w:r w:rsidRPr="00AA1917">
              <w:rPr>
                <w:szCs w:val="22"/>
              </w:rPr>
              <w:t>WQHU659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531083A" w14:textId="5EDE3F69"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551570E3" w14:textId="486CA269"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298A0D0" w14:textId="24132BA4"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45E1811" w14:textId="105C8856" w:rsidR="003F3165" w:rsidRPr="00AA1917" w:rsidRDefault="003F3165" w:rsidP="000C5F4C">
            <w:pPr>
              <w:rPr>
                <w:szCs w:val="22"/>
              </w:rPr>
            </w:pPr>
            <w:r w:rsidRPr="00AA1917">
              <w:rPr>
                <w:szCs w:val="22"/>
              </w:rPr>
              <w:t>A</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8CE091C" w14:textId="62C373A0" w:rsidR="003F3165" w:rsidRPr="00AA1917" w:rsidRDefault="003F3165" w:rsidP="000C5F4C">
            <w:pPr>
              <w:rPr>
                <w:szCs w:val="22"/>
              </w:rPr>
            </w:pPr>
            <w:r w:rsidRPr="00AA1917">
              <w:rPr>
                <w:szCs w:val="22"/>
              </w:rPr>
              <w:t>Omaha, NE-IA-MO</w:t>
            </w:r>
          </w:p>
        </w:tc>
      </w:tr>
      <w:tr w:rsidR="003F3165" w:rsidRPr="0095783A" w14:paraId="019BC6E6"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611AA84" w14:textId="131B6916" w:rsidR="003F3165" w:rsidRPr="00AA1917" w:rsidRDefault="003F3165" w:rsidP="000C5F4C">
            <w:pPr>
              <w:rPr>
                <w:szCs w:val="22"/>
              </w:rPr>
            </w:pPr>
            <w:r w:rsidRPr="00AA1917">
              <w:rPr>
                <w:szCs w:val="22"/>
              </w:rPr>
              <w:t>0007693870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EC7891C" w14:textId="5AA0BA17" w:rsidR="003F3165" w:rsidRPr="00AA1917" w:rsidRDefault="003F3165" w:rsidP="000C5F4C">
            <w:pPr>
              <w:rPr>
                <w:szCs w:val="22"/>
              </w:rPr>
            </w:pPr>
            <w:r w:rsidRPr="00AA1917">
              <w:rPr>
                <w:szCs w:val="22"/>
              </w:rPr>
              <w:t>WQHU660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7E3B416" w14:textId="3E8C8A54"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580A3AF" w14:textId="0E383E7A"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314356F" w14:textId="7F4FCFC8"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952BA64" w14:textId="29EBCD24" w:rsidR="003F3165" w:rsidRPr="00AA1917" w:rsidRDefault="003F3165" w:rsidP="000C5F4C">
            <w:pPr>
              <w:rPr>
                <w:szCs w:val="22"/>
              </w:rPr>
            </w:pPr>
            <w:r w:rsidRPr="00AA1917">
              <w:rPr>
                <w:szCs w:val="22"/>
              </w:rPr>
              <w:t>A</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5C56AB8" w14:textId="166B079C" w:rsidR="003F3165" w:rsidRPr="00AA1917" w:rsidRDefault="003F3165" w:rsidP="000C5F4C">
            <w:pPr>
              <w:rPr>
                <w:szCs w:val="22"/>
              </w:rPr>
            </w:pPr>
            <w:r w:rsidRPr="00AA1917">
              <w:rPr>
                <w:szCs w:val="22"/>
              </w:rPr>
              <w:t>Lincoln, NE</w:t>
            </w:r>
          </w:p>
        </w:tc>
      </w:tr>
      <w:tr w:rsidR="003F3165" w:rsidRPr="0095783A" w14:paraId="78058D42"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502A25EB" w14:textId="2C64436E" w:rsidR="003F3165" w:rsidRPr="00AA1917" w:rsidRDefault="003F3165" w:rsidP="000C5F4C">
            <w:pPr>
              <w:rPr>
                <w:szCs w:val="22"/>
              </w:rPr>
            </w:pPr>
            <w:r w:rsidRPr="00AA1917">
              <w:rPr>
                <w:szCs w:val="22"/>
              </w:rPr>
              <w:t>0007693838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BFD8355" w14:textId="152183B9" w:rsidR="003F3165" w:rsidRPr="00AA1917" w:rsidRDefault="003F3165" w:rsidP="000C5F4C">
            <w:pPr>
              <w:rPr>
                <w:szCs w:val="22"/>
              </w:rPr>
            </w:pPr>
            <w:r w:rsidRPr="00AA1917">
              <w:rPr>
                <w:szCs w:val="22"/>
              </w:rPr>
              <w:t>WQHU661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7A44CD0" w14:textId="2AED03B0"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523A800" w14:textId="320D0F11"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3F0B2B6" w14:textId="5A931AD2"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404B821" w14:textId="2F6470FE"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4186C75" w14:textId="771784DE" w:rsidR="003F3165" w:rsidRPr="00AA1917" w:rsidRDefault="003F3165" w:rsidP="000C5F4C">
            <w:pPr>
              <w:rPr>
                <w:szCs w:val="22"/>
              </w:rPr>
            </w:pPr>
            <w:r w:rsidRPr="00AA1917">
              <w:rPr>
                <w:szCs w:val="22"/>
              </w:rPr>
              <w:t>Grand Island, NE</w:t>
            </w:r>
          </w:p>
        </w:tc>
      </w:tr>
      <w:tr w:rsidR="003F3165" w:rsidRPr="0095783A" w14:paraId="1F32702D"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08090521" w14:textId="340FE8BB" w:rsidR="003F3165" w:rsidRPr="00AA1917" w:rsidRDefault="003F3165" w:rsidP="000C5F4C">
            <w:pPr>
              <w:rPr>
                <w:szCs w:val="22"/>
              </w:rPr>
            </w:pPr>
            <w:r w:rsidRPr="00AA1917">
              <w:rPr>
                <w:szCs w:val="22"/>
              </w:rPr>
              <w:t>0007693839</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5D16890B" w14:textId="41BA3EE7" w:rsidR="003F3165" w:rsidRPr="00AA1917" w:rsidRDefault="003F3165" w:rsidP="000C5F4C">
            <w:pPr>
              <w:rPr>
                <w:szCs w:val="22"/>
              </w:rPr>
            </w:pPr>
            <w:r w:rsidRPr="00AA1917">
              <w:rPr>
                <w:szCs w:val="22"/>
              </w:rPr>
              <w:t>WQHU662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49464D4" w14:textId="2CB48A06"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BED0032" w14:textId="4F7A162A"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E2D3636" w14:textId="3E202AC9"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7858A5C" w14:textId="366FA082"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919D5F8" w14:textId="49985A31" w:rsidR="003F3165" w:rsidRPr="00AA1917" w:rsidRDefault="003F3165" w:rsidP="000C5F4C">
            <w:pPr>
              <w:rPr>
                <w:szCs w:val="22"/>
              </w:rPr>
            </w:pPr>
            <w:r w:rsidRPr="00AA1917">
              <w:rPr>
                <w:szCs w:val="22"/>
              </w:rPr>
              <w:t>Wichita, KS-OK</w:t>
            </w:r>
          </w:p>
        </w:tc>
      </w:tr>
      <w:tr w:rsidR="003F3165" w:rsidRPr="0095783A" w14:paraId="28D1CF51"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D062318" w14:textId="5A89D3F9" w:rsidR="003F3165" w:rsidRPr="00AA1917" w:rsidRDefault="003F3165" w:rsidP="000C5F4C">
            <w:pPr>
              <w:rPr>
                <w:szCs w:val="22"/>
              </w:rPr>
            </w:pPr>
            <w:r w:rsidRPr="00AA1917">
              <w:rPr>
                <w:szCs w:val="22"/>
              </w:rPr>
              <w:t>0007693856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F7D4B21" w14:textId="33379A86" w:rsidR="003F3165" w:rsidRPr="00AA1917" w:rsidRDefault="003F3165" w:rsidP="000C5F4C">
            <w:pPr>
              <w:rPr>
                <w:szCs w:val="22"/>
              </w:rPr>
            </w:pPr>
            <w:r w:rsidRPr="00AA1917">
              <w:rPr>
                <w:szCs w:val="22"/>
              </w:rPr>
              <w:t>WQHU663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4B7EAC3" w14:textId="6F990FD0"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EB5F00A" w14:textId="57A9D2D7"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4C6881F" w14:textId="0E47FB26"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2F60FAF5" w14:textId="4C6EF621"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6885FD9" w14:textId="0D20C017" w:rsidR="003F3165" w:rsidRPr="00AA1917" w:rsidRDefault="003F3165" w:rsidP="000C5F4C">
            <w:pPr>
              <w:rPr>
                <w:szCs w:val="22"/>
              </w:rPr>
            </w:pPr>
            <w:r w:rsidRPr="00AA1917">
              <w:rPr>
                <w:szCs w:val="22"/>
              </w:rPr>
              <w:t>Topeka, KS</w:t>
            </w:r>
          </w:p>
        </w:tc>
      </w:tr>
      <w:tr w:rsidR="003F3165" w:rsidRPr="0095783A" w14:paraId="66C7E18F"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40B14D8" w14:textId="0FEE05DA" w:rsidR="003F3165" w:rsidRPr="00AA1917" w:rsidRDefault="003F3165" w:rsidP="000C5F4C">
            <w:pPr>
              <w:rPr>
                <w:szCs w:val="22"/>
              </w:rPr>
            </w:pPr>
            <w:r w:rsidRPr="00AA1917">
              <w:rPr>
                <w:szCs w:val="22"/>
              </w:rPr>
              <w:t>0007693840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82B61B6" w14:textId="4592D8B2" w:rsidR="003F3165" w:rsidRPr="00AA1917" w:rsidRDefault="003F3165" w:rsidP="000C5F4C">
            <w:pPr>
              <w:rPr>
                <w:szCs w:val="22"/>
              </w:rPr>
            </w:pPr>
            <w:r w:rsidRPr="00AA1917">
              <w:rPr>
                <w:szCs w:val="22"/>
              </w:rPr>
              <w:t>WQHU664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03504249" w14:textId="45C47907"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90BA2B7" w14:textId="1B120E35"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E6E292B" w14:textId="0B1017C3"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32E0334" w14:textId="6CEA353B"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73DBEA8" w14:textId="27CF394B" w:rsidR="003F3165" w:rsidRPr="00AA1917" w:rsidRDefault="003F3165" w:rsidP="000C5F4C">
            <w:pPr>
              <w:rPr>
                <w:szCs w:val="22"/>
              </w:rPr>
            </w:pPr>
            <w:r w:rsidRPr="00AA1917">
              <w:rPr>
                <w:szCs w:val="22"/>
              </w:rPr>
              <w:t>Tulsa, OK-KS</w:t>
            </w:r>
          </w:p>
        </w:tc>
      </w:tr>
      <w:tr w:rsidR="003F3165" w:rsidRPr="0095783A" w14:paraId="58F1A5D2"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D252370" w14:textId="46DEB4E5" w:rsidR="003F3165" w:rsidRPr="00AA1917" w:rsidRDefault="003F3165" w:rsidP="000C5F4C">
            <w:pPr>
              <w:rPr>
                <w:szCs w:val="22"/>
              </w:rPr>
            </w:pPr>
            <w:r w:rsidRPr="00AA1917">
              <w:rPr>
                <w:szCs w:val="22"/>
              </w:rPr>
              <w:t>0007693841</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4CD3629" w14:textId="58FB77A8" w:rsidR="003F3165" w:rsidRPr="00AA1917" w:rsidRDefault="003F3165" w:rsidP="000C5F4C">
            <w:pPr>
              <w:rPr>
                <w:szCs w:val="22"/>
              </w:rPr>
            </w:pPr>
            <w:r w:rsidRPr="00AA1917">
              <w:rPr>
                <w:szCs w:val="22"/>
              </w:rPr>
              <w:t>WQHU665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FA39EC2" w14:textId="7B69566D"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30E467B" w14:textId="22EBF980"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55B29388" w14:textId="1A8AA385"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ED2A0C0" w14:textId="1F167326"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16DB626" w14:textId="774B154C" w:rsidR="003F3165" w:rsidRPr="00AA1917" w:rsidRDefault="003F3165" w:rsidP="000C5F4C">
            <w:pPr>
              <w:rPr>
                <w:szCs w:val="22"/>
              </w:rPr>
            </w:pPr>
            <w:r w:rsidRPr="00AA1917">
              <w:rPr>
                <w:szCs w:val="22"/>
              </w:rPr>
              <w:t>Western Oklahoma, OK</w:t>
            </w:r>
          </w:p>
        </w:tc>
      </w:tr>
      <w:tr w:rsidR="003F3165" w:rsidRPr="0095783A" w14:paraId="600AA53F"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49735735" w14:textId="5131FF25" w:rsidR="003F3165" w:rsidRPr="00AA1917" w:rsidRDefault="003F3165" w:rsidP="000C5F4C">
            <w:pPr>
              <w:rPr>
                <w:szCs w:val="22"/>
              </w:rPr>
            </w:pPr>
            <w:r w:rsidRPr="00AA1917">
              <w:rPr>
                <w:szCs w:val="22"/>
              </w:rPr>
              <w:t>0007693853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68E57800" w14:textId="1A4A4485" w:rsidR="003F3165" w:rsidRPr="00AA1917" w:rsidRDefault="003F3165" w:rsidP="000C5F4C">
            <w:pPr>
              <w:rPr>
                <w:szCs w:val="22"/>
              </w:rPr>
            </w:pPr>
            <w:r w:rsidRPr="00AA1917">
              <w:rPr>
                <w:szCs w:val="22"/>
              </w:rPr>
              <w:t>WQHU666</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639797B" w14:textId="67F0F6C4"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25F64997" w14:textId="4B28A178"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471DA87" w14:textId="27FA71C9"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ED9617B" w14:textId="6F5C809D"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047D9004" w14:textId="1B0D1D5C" w:rsidR="003F3165" w:rsidRPr="00AA1917" w:rsidRDefault="003F3165" w:rsidP="000C5F4C">
            <w:pPr>
              <w:rPr>
                <w:szCs w:val="22"/>
              </w:rPr>
            </w:pPr>
            <w:r w:rsidRPr="00AA1917">
              <w:rPr>
                <w:szCs w:val="22"/>
              </w:rPr>
              <w:t>Santa Fe, NM</w:t>
            </w:r>
          </w:p>
        </w:tc>
      </w:tr>
      <w:tr w:rsidR="003F3165" w:rsidRPr="0095783A" w14:paraId="40BE8A12"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137239C8" w14:textId="75888512" w:rsidR="003F3165" w:rsidRPr="00AA1917" w:rsidRDefault="003F3165" w:rsidP="000C5F4C">
            <w:pPr>
              <w:rPr>
                <w:szCs w:val="22"/>
              </w:rPr>
            </w:pPr>
            <w:r w:rsidRPr="00AA1917">
              <w:rPr>
                <w:szCs w:val="22"/>
              </w:rPr>
              <w:t>0007693842</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201F639B" w14:textId="0F9E6E22" w:rsidR="003F3165" w:rsidRPr="00AA1917" w:rsidRDefault="003F3165" w:rsidP="000C5F4C">
            <w:pPr>
              <w:rPr>
                <w:szCs w:val="22"/>
              </w:rPr>
            </w:pPr>
            <w:r w:rsidRPr="00AA1917">
              <w:rPr>
                <w:szCs w:val="22"/>
              </w:rPr>
              <w:t>WQHU667</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F3D02C1" w14:textId="338942AB"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29F90F7" w14:textId="39610D60"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E89081C" w14:textId="648DACFD"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A08CC60" w14:textId="678A7A7A"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E954D2C" w14:textId="24D7DC6F" w:rsidR="003F3165" w:rsidRPr="00AA1917" w:rsidRDefault="003F3165" w:rsidP="000C5F4C">
            <w:pPr>
              <w:rPr>
                <w:szCs w:val="22"/>
              </w:rPr>
            </w:pPr>
            <w:r w:rsidRPr="00AA1917">
              <w:rPr>
                <w:szCs w:val="22"/>
              </w:rPr>
              <w:t>Pueblo, CO-NM</w:t>
            </w:r>
          </w:p>
        </w:tc>
      </w:tr>
      <w:tr w:rsidR="003F3165" w:rsidRPr="0095783A" w14:paraId="1DE1B6B6"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8C39C65" w14:textId="43DC87A5" w:rsidR="003F3165" w:rsidRPr="00AA1917" w:rsidRDefault="003F3165" w:rsidP="000C5F4C">
            <w:pPr>
              <w:rPr>
                <w:szCs w:val="22"/>
              </w:rPr>
            </w:pPr>
            <w:r w:rsidRPr="00AA1917">
              <w:rPr>
                <w:szCs w:val="22"/>
              </w:rPr>
              <w:t>0007693848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353AFF3" w14:textId="48D09450" w:rsidR="003F3165" w:rsidRPr="00AA1917" w:rsidRDefault="003F3165" w:rsidP="000C5F4C">
            <w:pPr>
              <w:rPr>
                <w:szCs w:val="22"/>
              </w:rPr>
            </w:pPr>
            <w:r w:rsidRPr="00AA1917">
              <w:rPr>
                <w:szCs w:val="22"/>
              </w:rPr>
              <w:t>WQHU668</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C91CE47" w14:textId="2010CFAC"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70A33AD4" w14:textId="36469E1B"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114CA55" w14:textId="15C920AF"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5A2E755" w14:textId="3985DF64"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65919A84" w14:textId="7714D3E5" w:rsidR="003F3165" w:rsidRPr="00AA1917" w:rsidRDefault="003F3165" w:rsidP="000C5F4C">
            <w:pPr>
              <w:rPr>
                <w:szCs w:val="22"/>
              </w:rPr>
            </w:pPr>
            <w:r w:rsidRPr="00AA1917">
              <w:rPr>
                <w:szCs w:val="22"/>
              </w:rPr>
              <w:t>Billings, MT-WY</w:t>
            </w:r>
          </w:p>
        </w:tc>
      </w:tr>
      <w:tr w:rsidR="003F3165" w:rsidRPr="0095783A" w14:paraId="2C483045"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72B2826" w14:textId="49A1B869" w:rsidR="003F3165" w:rsidRPr="00AA1917" w:rsidRDefault="003F3165" w:rsidP="000C5F4C">
            <w:pPr>
              <w:rPr>
                <w:szCs w:val="22"/>
              </w:rPr>
            </w:pPr>
            <w:r w:rsidRPr="00AA1917">
              <w:rPr>
                <w:szCs w:val="22"/>
              </w:rPr>
              <w:t>0007693843</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DB0374F" w14:textId="4A056CCA" w:rsidR="003F3165" w:rsidRPr="00AA1917" w:rsidRDefault="003F3165" w:rsidP="000C5F4C">
            <w:pPr>
              <w:rPr>
                <w:szCs w:val="22"/>
              </w:rPr>
            </w:pPr>
            <w:r w:rsidRPr="00AA1917">
              <w:rPr>
                <w:szCs w:val="22"/>
              </w:rPr>
              <w:t>WQHU669</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C46B520" w14:textId="723A11E5"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F9F8E40" w14:textId="3BF89726"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7211061" w14:textId="78477872"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7A7E3EFD" w14:textId="2804F6CD"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8436360" w14:textId="0C5655B4" w:rsidR="003F3165" w:rsidRPr="00AA1917" w:rsidRDefault="003F3165" w:rsidP="000C5F4C">
            <w:pPr>
              <w:rPr>
                <w:szCs w:val="22"/>
              </w:rPr>
            </w:pPr>
            <w:r w:rsidRPr="00AA1917">
              <w:rPr>
                <w:szCs w:val="22"/>
              </w:rPr>
              <w:t>Great Falls, MT</w:t>
            </w:r>
          </w:p>
        </w:tc>
      </w:tr>
      <w:tr w:rsidR="003F3165" w:rsidRPr="0095783A" w14:paraId="760647AF"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8708B19" w14:textId="319B46FD" w:rsidR="003F3165" w:rsidRPr="00AA1917" w:rsidRDefault="003F3165" w:rsidP="000C5F4C">
            <w:pPr>
              <w:rPr>
                <w:szCs w:val="22"/>
              </w:rPr>
            </w:pPr>
            <w:r w:rsidRPr="00AA1917">
              <w:rPr>
                <w:szCs w:val="22"/>
              </w:rPr>
              <w:t>0007693844</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40953B96" w14:textId="78647E69" w:rsidR="003F3165" w:rsidRPr="00AA1917" w:rsidRDefault="003F3165" w:rsidP="000C5F4C">
            <w:pPr>
              <w:rPr>
                <w:szCs w:val="22"/>
              </w:rPr>
            </w:pPr>
            <w:r w:rsidRPr="00AA1917">
              <w:rPr>
                <w:szCs w:val="22"/>
              </w:rPr>
              <w:t>WQHU670</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81BCCD9" w14:textId="4E5B958F"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D8E7521" w14:textId="5C764F04"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D3033B9" w14:textId="541AF0B0"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D3D3E03" w14:textId="48A6B869"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180D207" w14:textId="1CCFDE72" w:rsidR="003F3165" w:rsidRPr="00AA1917" w:rsidRDefault="003F3165" w:rsidP="000C5F4C">
            <w:pPr>
              <w:rPr>
                <w:szCs w:val="22"/>
              </w:rPr>
            </w:pPr>
            <w:r w:rsidRPr="00AA1917">
              <w:rPr>
                <w:szCs w:val="22"/>
              </w:rPr>
              <w:t>Missoula, MT</w:t>
            </w:r>
          </w:p>
        </w:tc>
      </w:tr>
      <w:tr w:rsidR="003F3165" w:rsidRPr="0095783A" w14:paraId="3AE6070E"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9F8E933" w14:textId="181F7A43" w:rsidR="003F3165" w:rsidRPr="00AA1917" w:rsidRDefault="003F3165" w:rsidP="000C5F4C">
            <w:pPr>
              <w:rPr>
                <w:szCs w:val="22"/>
              </w:rPr>
            </w:pPr>
            <w:r w:rsidRPr="00AA1917">
              <w:rPr>
                <w:szCs w:val="22"/>
              </w:rPr>
              <w:t>0007693845</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D1747A3" w14:textId="344BEC7B" w:rsidR="003F3165" w:rsidRPr="00AA1917" w:rsidRDefault="003F3165" w:rsidP="000C5F4C">
            <w:pPr>
              <w:rPr>
                <w:szCs w:val="22"/>
              </w:rPr>
            </w:pPr>
            <w:r w:rsidRPr="00AA1917">
              <w:rPr>
                <w:szCs w:val="22"/>
              </w:rPr>
              <w:t>WQHU671</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5123E03A" w14:textId="638AA089"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85DEAC2" w14:textId="4B544753"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603FE92" w14:textId="0CB21039"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24A2F09" w14:textId="764D765D"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2FB39D2" w14:textId="105F74EB" w:rsidR="003F3165" w:rsidRPr="00AA1917" w:rsidRDefault="003F3165" w:rsidP="000C5F4C">
            <w:pPr>
              <w:rPr>
                <w:szCs w:val="22"/>
              </w:rPr>
            </w:pPr>
            <w:r w:rsidRPr="00AA1917">
              <w:rPr>
                <w:szCs w:val="22"/>
              </w:rPr>
              <w:t>Farmington, NM-CO</w:t>
            </w:r>
          </w:p>
        </w:tc>
      </w:tr>
      <w:tr w:rsidR="003F3165" w:rsidRPr="0095783A" w14:paraId="767609BF"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5A96ECB" w14:textId="7A1DB306" w:rsidR="003F3165" w:rsidRPr="00AA1917" w:rsidRDefault="003F3165" w:rsidP="000C5F4C">
            <w:pPr>
              <w:rPr>
                <w:szCs w:val="22"/>
              </w:rPr>
            </w:pPr>
            <w:r w:rsidRPr="00AA1917">
              <w:rPr>
                <w:szCs w:val="22"/>
              </w:rPr>
              <w:t>0007693846</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700C18E4" w14:textId="6CEA384A" w:rsidR="003F3165" w:rsidRPr="00AA1917" w:rsidRDefault="003F3165" w:rsidP="000C5F4C">
            <w:pPr>
              <w:rPr>
                <w:szCs w:val="22"/>
              </w:rPr>
            </w:pPr>
            <w:r w:rsidRPr="00AA1917">
              <w:rPr>
                <w:szCs w:val="22"/>
              </w:rPr>
              <w:t>WQHU672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1B23D70B" w14:textId="0613FCBF"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48FD9058" w14:textId="252B00B1"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42976785" w14:textId="3DD63D16"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456B3434" w14:textId="123CC23E"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CBE9565" w14:textId="20CEE81F" w:rsidR="003F3165" w:rsidRPr="00AA1917" w:rsidRDefault="003F3165" w:rsidP="000C5F4C">
            <w:pPr>
              <w:rPr>
                <w:szCs w:val="22"/>
              </w:rPr>
            </w:pPr>
            <w:r w:rsidRPr="00AA1917">
              <w:rPr>
                <w:szCs w:val="22"/>
              </w:rPr>
              <w:t>Redding, CA-OR</w:t>
            </w:r>
          </w:p>
        </w:tc>
      </w:tr>
      <w:tr w:rsidR="003F3165" w:rsidRPr="0095783A" w14:paraId="29E29CA4"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2960DE39" w14:textId="23475609" w:rsidR="003F3165" w:rsidRPr="00AA1917" w:rsidRDefault="003F3165" w:rsidP="000C5F4C">
            <w:pPr>
              <w:rPr>
                <w:szCs w:val="22"/>
              </w:rPr>
            </w:pPr>
            <w:r w:rsidRPr="00AA1917">
              <w:rPr>
                <w:szCs w:val="22"/>
              </w:rPr>
              <w:t>0007693858</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0439F1AD" w14:textId="292BC21A" w:rsidR="003F3165" w:rsidRPr="00AA1917" w:rsidRDefault="003F3165" w:rsidP="000C5F4C">
            <w:pPr>
              <w:rPr>
                <w:szCs w:val="22"/>
              </w:rPr>
            </w:pPr>
            <w:r w:rsidRPr="00AA1917">
              <w:rPr>
                <w:szCs w:val="22"/>
              </w:rPr>
              <w:t>WQHU673</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DF91978" w14:textId="247B7ED1"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852DD19" w14:textId="587D4170"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3DF8CD04" w14:textId="5050ECAB"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0CDDF07E" w14:textId="0F31D831"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95FC3AD" w14:textId="4C34BCA1" w:rsidR="003F3165" w:rsidRPr="00AA1917" w:rsidRDefault="003F3165" w:rsidP="000C5F4C">
            <w:pPr>
              <w:rPr>
                <w:szCs w:val="22"/>
              </w:rPr>
            </w:pPr>
            <w:r w:rsidRPr="00AA1917">
              <w:rPr>
                <w:szCs w:val="22"/>
              </w:rPr>
              <w:t>Pendleton, OR-WA</w:t>
            </w:r>
          </w:p>
        </w:tc>
      </w:tr>
      <w:tr w:rsidR="003F3165" w:rsidRPr="0095783A" w14:paraId="101E21DA"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759FFC6B" w14:textId="7F3C1AA3" w:rsidR="003F3165" w:rsidRPr="00AA1917" w:rsidRDefault="003F3165" w:rsidP="000C5F4C">
            <w:pPr>
              <w:rPr>
                <w:szCs w:val="22"/>
              </w:rPr>
            </w:pPr>
            <w:r w:rsidRPr="00AA1917">
              <w:rPr>
                <w:szCs w:val="22"/>
              </w:rPr>
              <w:t>0007693847</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15A38198" w14:textId="1177769E" w:rsidR="003F3165" w:rsidRPr="00AA1917" w:rsidRDefault="003F3165" w:rsidP="000C5F4C">
            <w:pPr>
              <w:rPr>
                <w:szCs w:val="22"/>
              </w:rPr>
            </w:pPr>
            <w:r w:rsidRPr="00AA1917">
              <w:rPr>
                <w:szCs w:val="22"/>
              </w:rPr>
              <w:t>WQHU674</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3CAF6D46" w14:textId="644F6DA7"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0FFF417" w14:textId="548A2D43"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6643F224" w14:textId="507CADAA"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57AD3C79" w14:textId="7A8E4946"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2BF5CF4A" w14:textId="2C2B2EC6" w:rsidR="003F3165" w:rsidRPr="00AA1917" w:rsidRDefault="003F3165" w:rsidP="000C5F4C">
            <w:pPr>
              <w:rPr>
                <w:szCs w:val="22"/>
              </w:rPr>
            </w:pPr>
            <w:r w:rsidRPr="00AA1917">
              <w:rPr>
                <w:szCs w:val="22"/>
              </w:rPr>
              <w:t>Richland-Kennewick-Pasco, WA</w:t>
            </w:r>
          </w:p>
        </w:tc>
      </w:tr>
      <w:tr w:rsidR="003F3165" w:rsidRPr="0095783A" w14:paraId="6540ED1F" w14:textId="77777777" w:rsidTr="003F3165">
        <w:trPr>
          <w:trHeight w:val="791"/>
        </w:trPr>
        <w:tc>
          <w:tcPr>
            <w:tcW w:w="1350" w:type="dxa"/>
            <w:tcBorders>
              <w:top w:val="single" w:sz="4" w:space="0" w:color="ACB9CA"/>
              <w:left w:val="single" w:sz="4" w:space="0" w:color="ACB9CA"/>
              <w:bottom w:val="single" w:sz="4" w:space="0" w:color="ACB9CA"/>
              <w:right w:val="single" w:sz="4" w:space="0" w:color="ACB9CA"/>
            </w:tcBorders>
            <w:shd w:val="clear" w:color="auto" w:fill="auto"/>
            <w:vAlign w:val="center"/>
          </w:tcPr>
          <w:p w14:paraId="6F05651C" w14:textId="297CEEA5" w:rsidR="003F3165" w:rsidRPr="00AA1917" w:rsidRDefault="003F3165" w:rsidP="000C5F4C">
            <w:pPr>
              <w:rPr>
                <w:szCs w:val="22"/>
              </w:rPr>
            </w:pPr>
            <w:r w:rsidRPr="00AA1917">
              <w:rPr>
                <w:szCs w:val="22"/>
              </w:rPr>
              <w:t>0007693850</w:t>
            </w:r>
          </w:p>
        </w:tc>
        <w:tc>
          <w:tcPr>
            <w:tcW w:w="1260" w:type="dxa"/>
            <w:tcBorders>
              <w:top w:val="single" w:sz="4" w:space="0" w:color="CCCCFF"/>
              <w:left w:val="single" w:sz="4" w:space="0" w:color="ACB9CA"/>
              <w:bottom w:val="single" w:sz="4" w:space="0" w:color="CCCCFF"/>
              <w:right w:val="single" w:sz="4" w:space="0" w:color="CCCCFF"/>
            </w:tcBorders>
            <w:shd w:val="clear" w:color="FFFFFF" w:fill="FFFFFF"/>
            <w:vAlign w:val="center"/>
          </w:tcPr>
          <w:p w14:paraId="3D04D6DD" w14:textId="2BE8AE8C" w:rsidR="003F3165" w:rsidRPr="00AA1917" w:rsidRDefault="003F3165" w:rsidP="000C5F4C">
            <w:pPr>
              <w:rPr>
                <w:szCs w:val="22"/>
              </w:rPr>
            </w:pPr>
            <w:r w:rsidRPr="00AA1917">
              <w:rPr>
                <w:szCs w:val="22"/>
              </w:rPr>
              <w:t>WQHU675</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7DB3A124" w14:textId="24BECB59" w:rsidR="003F3165" w:rsidRPr="00AA1917" w:rsidRDefault="003F3165" w:rsidP="000C5F4C">
            <w:pPr>
              <w:rPr>
                <w:szCs w:val="22"/>
              </w:rPr>
            </w:pPr>
            <w:r w:rsidRPr="00AA1917">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6F39DF81" w14:textId="7E583FB3" w:rsidR="003F3165" w:rsidRPr="00AA1917" w:rsidRDefault="003F3165" w:rsidP="000C5F4C">
            <w:pPr>
              <w:rPr>
                <w:szCs w:val="22"/>
              </w:rPr>
            </w:pPr>
            <w:r w:rsidRPr="00AA1917">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1A405AC4" w14:textId="3D3E60A9" w:rsidR="003F3165" w:rsidRPr="00AA1917" w:rsidRDefault="003F3165" w:rsidP="000C5F4C">
            <w:pPr>
              <w:rPr>
                <w:szCs w:val="22"/>
              </w:rPr>
            </w:pPr>
            <w:r w:rsidRPr="00AA1917">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1E6D145" w14:textId="64C0B0DF" w:rsidR="003F3165" w:rsidRPr="00AA1917" w:rsidRDefault="003F3165" w:rsidP="000C5F4C">
            <w:pPr>
              <w:rPr>
                <w:szCs w:val="22"/>
              </w:rPr>
            </w:pPr>
            <w:r w:rsidRPr="00AA1917">
              <w:rPr>
                <w:szCs w:val="22"/>
              </w:rPr>
              <w:t xml:space="preserve">A   </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7EF70327" w14:textId="0BE30098" w:rsidR="003F3165" w:rsidRPr="00AA1917" w:rsidRDefault="003F3165" w:rsidP="000C5F4C">
            <w:pPr>
              <w:rPr>
                <w:szCs w:val="22"/>
              </w:rPr>
            </w:pPr>
            <w:r w:rsidRPr="00AA1917">
              <w:rPr>
                <w:szCs w:val="22"/>
              </w:rPr>
              <w:t>Anchorage, AK</w:t>
            </w:r>
          </w:p>
        </w:tc>
      </w:tr>
    </w:tbl>
    <w:p w14:paraId="5198E93C" w14:textId="77777777" w:rsidR="004243C6" w:rsidRPr="0095783A" w:rsidRDefault="004243C6" w:rsidP="004243C6">
      <w:pPr>
        <w:pStyle w:val="ParaNum"/>
        <w:numPr>
          <w:ilvl w:val="0"/>
          <w:numId w:val="0"/>
        </w:numPr>
        <w:tabs>
          <w:tab w:val="left" w:pos="720"/>
          <w:tab w:val="left" w:pos="1080"/>
        </w:tabs>
        <w:spacing w:after="0"/>
        <w:rPr>
          <w:b/>
          <w:szCs w:val="22"/>
        </w:rPr>
      </w:pPr>
    </w:p>
    <w:p w14:paraId="723889F8" w14:textId="77777777" w:rsidR="004243C6" w:rsidRPr="0095783A" w:rsidRDefault="004243C6" w:rsidP="004243C6">
      <w:pPr>
        <w:pStyle w:val="ParaNum"/>
        <w:numPr>
          <w:ilvl w:val="0"/>
          <w:numId w:val="0"/>
        </w:numPr>
        <w:tabs>
          <w:tab w:val="left" w:pos="720"/>
          <w:tab w:val="left" w:pos="1080"/>
        </w:tabs>
        <w:spacing w:after="0"/>
        <w:rPr>
          <w:b/>
          <w:szCs w:val="22"/>
        </w:rPr>
      </w:pPr>
    </w:p>
    <w:p w14:paraId="7E11F3DD" w14:textId="77777777" w:rsidR="004243C6" w:rsidRPr="0095783A" w:rsidRDefault="004243C6" w:rsidP="004243C6">
      <w:pPr>
        <w:pStyle w:val="ParaNum"/>
        <w:numPr>
          <w:ilvl w:val="0"/>
          <w:numId w:val="0"/>
        </w:numPr>
        <w:tabs>
          <w:tab w:val="left" w:pos="720"/>
          <w:tab w:val="left" w:pos="1080"/>
        </w:tabs>
        <w:spacing w:after="0"/>
        <w:rPr>
          <w:szCs w:val="22"/>
        </w:rPr>
      </w:pPr>
      <w:r w:rsidRPr="0095783A">
        <w:rPr>
          <w:b/>
          <w:szCs w:val="22"/>
        </w:rPr>
        <w:t>Telesaurus GB, LLC License:</w:t>
      </w:r>
    </w:p>
    <w:tbl>
      <w:tblPr>
        <w:tblW w:w="9450" w:type="dxa"/>
        <w:tblInd w:w="-95" w:type="dxa"/>
        <w:tblLayout w:type="fixed"/>
        <w:tblLook w:val="04A0" w:firstRow="1" w:lastRow="0" w:firstColumn="1" w:lastColumn="0" w:noHBand="0" w:noVBand="1"/>
      </w:tblPr>
      <w:tblGrid>
        <w:gridCol w:w="1350"/>
        <w:gridCol w:w="1260"/>
        <w:gridCol w:w="1530"/>
        <w:gridCol w:w="1440"/>
        <w:gridCol w:w="990"/>
        <w:gridCol w:w="1080"/>
        <w:gridCol w:w="1800"/>
      </w:tblGrid>
      <w:tr w:rsidR="004243C6" w:rsidRPr="0095783A" w14:paraId="07E0C4EB" w14:textId="77777777" w:rsidTr="004243C6">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hideMark/>
          </w:tcPr>
          <w:p w14:paraId="11C56065" w14:textId="77777777" w:rsidR="004243C6" w:rsidRPr="0095783A" w:rsidRDefault="004243C6" w:rsidP="004243C6">
            <w:pPr>
              <w:rPr>
                <w:b/>
                <w:bCs/>
                <w:szCs w:val="22"/>
              </w:rPr>
            </w:pPr>
            <w:r w:rsidRPr="0095783A">
              <w:rPr>
                <w:b/>
                <w:bCs/>
                <w:szCs w:val="22"/>
              </w:rPr>
              <w:t>File Number</w:t>
            </w:r>
          </w:p>
        </w:tc>
        <w:tc>
          <w:tcPr>
            <w:tcW w:w="1260" w:type="dxa"/>
            <w:tcBorders>
              <w:top w:val="single" w:sz="4" w:space="0" w:color="CCCCFF"/>
              <w:left w:val="nil"/>
              <w:bottom w:val="single" w:sz="4" w:space="0" w:color="CCCCFF"/>
              <w:right w:val="single" w:sz="4" w:space="0" w:color="CCCCFF"/>
            </w:tcBorders>
            <w:shd w:val="clear" w:color="FFFFFF" w:fill="FFFFFF"/>
            <w:vAlign w:val="center"/>
            <w:hideMark/>
          </w:tcPr>
          <w:p w14:paraId="5C0FC6F3" w14:textId="77777777" w:rsidR="004243C6" w:rsidRPr="0095783A" w:rsidRDefault="004243C6" w:rsidP="004243C6">
            <w:pPr>
              <w:rPr>
                <w:b/>
                <w:bCs/>
                <w:szCs w:val="22"/>
              </w:rPr>
            </w:pPr>
            <w:r w:rsidRPr="0095783A">
              <w:rPr>
                <w:b/>
                <w:bCs/>
                <w:szCs w:val="22"/>
              </w:rPr>
              <w:t>Call Sign</w:t>
            </w:r>
          </w:p>
        </w:tc>
        <w:tc>
          <w:tcPr>
            <w:tcW w:w="1530" w:type="dxa"/>
            <w:tcBorders>
              <w:top w:val="single" w:sz="4" w:space="0" w:color="CCCCFF"/>
              <w:left w:val="nil"/>
              <w:bottom w:val="single" w:sz="4" w:space="0" w:color="CCCCFF"/>
              <w:right w:val="single" w:sz="4" w:space="0" w:color="CCCCFF"/>
            </w:tcBorders>
            <w:shd w:val="clear" w:color="FFFFFF" w:fill="FFFFFF"/>
            <w:vAlign w:val="center"/>
            <w:hideMark/>
          </w:tcPr>
          <w:p w14:paraId="64504452" w14:textId="77777777" w:rsidR="004243C6" w:rsidRPr="0095783A" w:rsidRDefault="004243C6" w:rsidP="004243C6">
            <w:pPr>
              <w:rPr>
                <w:b/>
                <w:bCs/>
                <w:szCs w:val="22"/>
              </w:rPr>
            </w:pPr>
            <w:r w:rsidRPr="0095783A">
              <w:rPr>
                <w:b/>
                <w:bCs/>
                <w:szCs w:val="22"/>
              </w:rPr>
              <w:t>Purpose</w:t>
            </w:r>
          </w:p>
        </w:tc>
        <w:tc>
          <w:tcPr>
            <w:tcW w:w="1440" w:type="dxa"/>
            <w:tcBorders>
              <w:top w:val="single" w:sz="4" w:space="0" w:color="CCCCFF"/>
              <w:left w:val="nil"/>
              <w:bottom w:val="single" w:sz="4" w:space="0" w:color="CCCCFF"/>
              <w:right w:val="single" w:sz="4" w:space="0" w:color="CCCCFF"/>
            </w:tcBorders>
            <w:shd w:val="clear" w:color="FFFFFF" w:fill="FFFFFF"/>
            <w:vAlign w:val="center"/>
            <w:hideMark/>
          </w:tcPr>
          <w:p w14:paraId="7659FB24" w14:textId="77777777" w:rsidR="004243C6" w:rsidRPr="0095783A" w:rsidRDefault="004243C6" w:rsidP="004243C6">
            <w:pPr>
              <w:rPr>
                <w:b/>
                <w:bCs/>
                <w:szCs w:val="22"/>
              </w:rPr>
            </w:pPr>
            <w:r w:rsidRPr="0095783A">
              <w:rPr>
                <w:b/>
                <w:bCs/>
                <w:szCs w:val="22"/>
              </w:rPr>
              <w:t>Receipt Date</w:t>
            </w:r>
          </w:p>
        </w:tc>
        <w:tc>
          <w:tcPr>
            <w:tcW w:w="990" w:type="dxa"/>
            <w:tcBorders>
              <w:top w:val="single" w:sz="4" w:space="0" w:color="CCCCFF"/>
              <w:left w:val="nil"/>
              <w:bottom w:val="single" w:sz="4" w:space="0" w:color="CCCCFF"/>
              <w:right w:val="single" w:sz="4" w:space="0" w:color="CCCCFF"/>
            </w:tcBorders>
            <w:shd w:val="clear" w:color="FFFFFF" w:fill="FFFFFF"/>
            <w:vAlign w:val="bottom"/>
            <w:hideMark/>
          </w:tcPr>
          <w:p w14:paraId="75048FDB" w14:textId="77777777" w:rsidR="004243C6" w:rsidRPr="0095783A" w:rsidRDefault="004243C6" w:rsidP="004243C6">
            <w:pPr>
              <w:rPr>
                <w:b/>
                <w:bCs/>
                <w:szCs w:val="22"/>
              </w:rPr>
            </w:pPr>
            <w:r w:rsidRPr="0095783A">
              <w:rPr>
                <w:b/>
                <w:bCs/>
                <w:szCs w:val="22"/>
              </w:rPr>
              <w:t>Radio Service Code</w:t>
            </w:r>
          </w:p>
        </w:tc>
        <w:tc>
          <w:tcPr>
            <w:tcW w:w="1080" w:type="dxa"/>
            <w:tcBorders>
              <w:top w:val="single" w:sz="4" w:space="0" w:color="CCCCFF"/>
              <w:left w:val="nil"/>
              <w:bottom w:val="single" w:sz="4" w:space="0" w:color="CCCCFF"/>
              <w:right w:val="single" w:sz="4" w:space="0" w:color="CCCCFF"/>
            </w:tcBorders>
            <w:shd w:val="clear" w:color="FFFFFF" w:fill="FFFFFF"/>
            <w:vAlign w:val="center"/>
            <w:hideMark/>
          </w:tcPr>
          <w:p w14:paraId="4B0FC775" w14:textId="77777777" w:rsidR="004243C6" w:rsidRPr="0095783A" w:rsidRDefault="004243C6" w:rsidP="004243C6">
            <w:pPr>
              <w:rPr>
                <w:b/>
                <w:bCs/>
                <w:szCs w:val="22"/>
              </w:rPr>
            </w:pPr>
            <w:r w:rsidRPr="0095783A">
              <w:rPr>
                <w:b/>
                <w:bCs/>
                <w:szCs w:val="22"/>
              </w:rPr>
              <w:t>Channel Block</w:t>
            </w:r>
          </w:p>
        </w:tc>
        <w:tc>
          <w:tcPr>
            <w:tcW w:w="1800" w:type="dxa"/>
            <w:tcBorders>
              <w:top w:val="single" w:sz="4" w:space="0" w:color="CCCCFF"/>
              <w:left w:val="nil"/>
              <w:bottom w:val="single" w:sz="4" w:space="0" w:color="CCCCFF"/>
              <w:right w:val="single" w:sz="4" w:space="0" w:color="CCCCFF"/>
            </w:tcBorders>
            <w:shd w:val="clear" w:color="FFFFFF" w:fill="FFFFFF"/>
            <w:vAlign w:val="center"/>
            <w:hideMark/>
          </w:tcPr>
          <w:p w14:paraId="3763B9EF" w14:textId="77777777" w:rsidR="004243C6" w:rsidRPr="0095783A" w:rsidRDefault="004243C6" w:rsidP="004243C6">
            <w:pPr>
              <w:rPr>
                <w:b/>
                <w:bCs/>
                <w:szCs w:val="22"/>
              </w:rPr>
            </w:pPr>
            <w:r w:rsidRPr="0095783A">
              <w:rPr>
                <w:b/>
                <w:bCs/>
                <w:szCs w:val="22"/>
              </w:rPr>
              <w:t>Market Name</w:t>
            </w:r>
          </w:p>
        </w:tc>
      </w:tr>
      <w:tr w:rsidR="004243C6" w:rsidRPr="0095783A" w14:paraId="045D3FE3" w14:textId="77777777" w:rsidTr="004243C6">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54EF1C99" w14:textId="77777777" w:rsidR="004243C6" w:rsidRPr="0095783A" w:rsidRDefault="004243C6" w:rsidP="004243C6">
            <w:pPr>
              <w:rPr>
                <w:szCs w:val="22"/>
              </w:rPr>
            </w:pPr>
            <w:r w:rsidRPr="0095783A">
              <w:rPr>
                <w:szCs w:val="22"/>
              </w:rPr>
              <w:t>0007441729</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74290061" w14:textId="77777777" w:rsidR="004243C6" w:rsidRPr="0095783A" w:rsidRDefault="004243C6" w:rsidP="004243C6">
            <w:pPr>
              <w:rPr>
                <w:szCs w:val="22"/>
              </w:rPr>
            </w:pPr>
            <w:r w:rsidRPr="0095783A">
              <w:rPr>
                <w:szCs w:val="22"/>
              </w:rPr>
              <w:t>WQGN602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64009188" w14:textId="77777777" w:rsidR="004243C6" w:rsidRPr="0095783A" w:rsidRDefault="004243C6" w:rsidP="004243C6">
            <w:pPr>
              <w:rPr>
                <w:szCs w:val="22"/>
              </w:rPr>
            </w:pPr>
            <w:r w:rsidRPr="0095783A">
              <w:rPr>
                <w:szCs w:val="22"/>
              </w:rPr>
              <w:t>Extension of First Deadline</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04DBF7D6" w14:textId="77777777" w:rsidR="004243C6" w:rsidRPr="0095783A" w:rsidRDefault="004243C6" w:rsidP="004243C6">
            <w:pPr>
              <w:rPr>
                <w:szCs w:val="22"/>
              </w:rPr>
            </w:pPr>
            <w:r w:rsidRPr="0095783A">
              <w:rPr>
                <w:szCs w:val="22"/>
              </w:rPr>
              <w:t>9/2/2016</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5BF6FAA"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1C2B7299" w14:textId="77777777" w:rsidR="004243C6" w:rsidRPr="0095783A" w:rsidRDefault="004243C6" w:rsidP="004243C6">
            <w:pPr>
              <w:rPr>
                <w:szCs w:val="22"/>
              </w:rPr>
            </w:pPr>
            <w:r w:rsidRPr="0095783A">
              <w:rPr>
                <w:szCs w:val="22"/>
              </w:rPr>
              <w:t>C</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49D82701" w14:textId="77777777" w:rsidR="004243C6" w:rsidRPr="0095783A" w:rsidRDefault="004243C6" w:rsidP="004243C6">
            <w:pPr>
              <w:rPr>
                <w:szCs w:val="22"/>
              </w:rPr>
            </w:pPr>
            <w:r w:rsidRPr="0095783A">
              <w:rPr>
                <w:szCs w:val="22"/>
              </w:rPr>
              <w:t>Sacramento-Yolo, CA</w:t>
            </w:r>
          </w:p>
        </w:tc>
      </w:tr>
      <w:tr w:rsidR="004243C6" w:rsidRPr="0095783A" w14:paraId="5E557033" w14:textId="77777777" w:rsidTr="004243C6">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86897DF" w14:textId="77777777" w:rsidR="004243C6" w:rsidRPr="0095783A" w:rsidRDefault="004243C6" w:rsidP="004243C6">
            <w:pPr>
              <w:rPr>
                <w:szCs w:val="22"/>
              </w:rPr>
            </w:pPr>
            <w:r w:rsidRPr="0095783A">
              <w:rPr>
                <w:szCs w:val="22"/>
              </w:rPr>
              <w:t>0007694217</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2F970687" w14:textId="77777777" w:rsidR="004243C6" w:rsidRPr="0095783A" w:rsidRDefault="004243C6" w:rsidP="004243C6">
            <w:pPr>
              <w:rPr>
                <w:szCs w:val="22"/>
              </w:rPr>
            </w:pPr>
            <w:r w:rsidRPr="0095783A">
              <w:rPr>
                <w:szCs w:val="22"/>
              </w:rPr>
              <w:t>WQGN602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4FE22B94" w14:textId="77777777" w:rsidR="004243C6" w:rsidRPr="0095783A" w:rsidRDefault="004243C6" w:rsidP="004243C6">
            <w:pPr>
              <w:rPr>
                <w:szCs w:val="22"/>
              </w:rPr>
            </w:pPr>
            <w:r w:rsidRPr="0095783A">
              <w:rPr>
                <w:szCs w:val="22"/>
              </w:rPr>
              <w:t>Renewal Only</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32AEB1FF" w14:textId="77777777" w:rsidR="004243C6" w:rsidRPr="0095783A" w:rsidRDefault="004243C6" w:rsidP="004243C6">
            <w:pPr>
              <w:rPr>
                <w:szCs w:val="22"/>
              </w:rPr>
            </w:pPr>
            <w:r w:rsidRPr="0095783A">
              <w:rPr>
                <w:szCs w:val="22"/>
              </w:rPr>
              <w:t>3/9/2017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72EF4652"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6069AAF4" w14:textId="77777777" w:rsidR="004243C6" w:rsidRPr="0095783A" w:rsidRDefault="004243C6" w:rsidP="004243C6">
            <w:pPr>
              <w:rPr>
                <w:szCs w:val="22"/>
              </w:rPr>
            </w:pPr>
            <w:r w:rsidRPr="0095783A">
              <w:rPr>
                <w:szCs w:val="22"/>
              </w:rPr>
              <w:t>C</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50D03386" w14:textId="77777777" w:rsidR="004243C6" w:rsidRPr="0095783A" w:rsidRDefault="004243C6" w:rsidP="004243C6">
            <w:pPr>
              <w:rPr>
                <w:szCs w:val="22"/>
              </w:rPr>
            </w:pPr>
            <w:r w:rsidRPr="0095783A">
              <w:rPr>
                <w:szCs w:val="22"/>
              </w:rPr>
              <w:t>Sacramento-Yolo, CA</w:t>
            </w:r>
          </w:p>
        </w:tc>
      </w:tr>
      <w:tr w:rsidR="004243C6" w:rsidRPr="0095783A" w14:paraId="116B296D" w14:textId="77777777" w:rsidTr="004243C6">
        <w:trPr>
          <w:trHeight w:val="720"/>
        </w:trPr>
        <w:tc>
          <w:tcPr>
            <w:tcW w:w="1350" w:type="dxa"/>
            <w:tcBorders>
              <w:top w:val="single" w:sz="4" w:space="0" w:color="CCCCFF"/>
              <w:left w:val="single" w:sz="4" w:space="0" w:color="CCCCFF"/>
              <w:bottom w:val="single" w:sz="4" w:space="0" w:color="CCCCFF"/>
              <w:right w:val="single" w:sz="4" w:space="0" w:color="CCCCFF"/>
            </w:tcBorders>
            <w:shd w:val="clear" w:color="FFFFFF" w:fill="FFFFFF"/>
            <w:vAlign w:val="center"/>
          </w:tcPr>
          <w:p w14:paraId="0EBE2A2C" w14:textId="77777777" w:rsidR="004243C6" w:rsidRPr="0095783A" w:rsidRDefault="004243C6" w:rsidP="004243C6">
            <w:pPr>
              <w:rPr>
                <w:szCs w:val="22"/>
              </w:rPr>
            </w:pPr>
            <w:r w:rsidRPr="0095783A">
              <w:rPr>
                <w:szCs w:val="22"/>
              </w:rPr>
              <w:t>0007701965</w:t>
            </w:r>
          </w:p>
        </w:tc>
        <w:tc>
          <w:tcPr>
            <w:tcW w:w="1260" w:type="dxa"/>
            <w:tcBorders>
              <w:top w:val="single" w:sz="4" w:space="0" w:color="CCCCFF"/>
              <w:left w:val="nil"/>
              <w:bottom w:val="single" w:sz="4" w:space="0" w:color="CCCCFF"/>
              <w:right w:val="single" w:sz="4" w:space="0" w:color="CCCCFF"/>
            </w:tcBorders>
            <w:shd w:val="clear" w:color="FFFFFF" w:fill="FFFFFF"/>
            <w:vAlign w:val="center"/>
          </w:tcPr>
          <w:p w14:paraId="3064A510" w14:textId="77777777" w:rsidR="004243C6" w:rsidRPr="0095783A" w:rsidRDefault="004243C6" w:rsidP="004243C6">
            <w:pPr>
              <w:rPr>
                <w:szCs w:val="22"/>
              </w:rPr>
            </w:pPr>
            <w:r w:rsidRPr="0095783A">
              <w:rPr>
                <w:szCs w:val="22"/>
              </w:rPr>
              <w:t>WQGN602</w:t>
            </w:r>
          </w:p>
        </w:tc>
        <w:tc>
          <w:tcPr>
            <w:tcW w:w="1530" w:type="dxa"/>
            <w:tcBorders>
              <w:top w:val="single" w:sz="4" w:space="0" w:color="CCCCFF"/>
              <w:left w:val="nil"/>
              <w:bottom w:val="single" w:sz="4" w:space="0" w:color="CCCCFF"/>
              <w:right w:val="single" w:sz="4" w:space="0" w:color="CCCCFF"/>
            </w:tcBorders>
            <w:shd w:val="clear" w:color="FFFFFF" w:fill="FFFFFF"/>
            <w:vAlign w:val="center"/>
          </w:tcPr>
          <w:p w14:paraId="201D30CE" w14:textId="77777777" w:rsidR="004243C6" w:rsidRPr="0095783A" w:rsidRDefault="004243C6" w:rsidP="004243C6">
            <w:pPr>
              <w:rPr>
                <w:szCs w:val="22"/>
              </w:rPr>
            </w:pPr>
            <w:r w:rsidRPr="0095783A">
              <w:rPr>
                <w:szCs w:val="22"/>
              </w:rPr>
              <w:t>Assignment of Authorization</w:t>
            </w:r>
          </w:p>
        </w:tc>
        <w:tc>
          <w:tcPr>
            <w:tcW w:w="1440" w:type="dxa"/>
            <w:tcBorders>
              <w:top w:val="single" w:sz="4" w:space="0" w:color="CCCCFF"/>
              <w:left w:val="nil"/>
              <w:bottom w:val="single" w:sz="4" w:space="0" w:color="CCCCFF"/>
              <w:right w:val="single" w:sz="4" w:space="0" w:color="CCCCFF"/>
            </w:tcBorders>
            <w:shd w:val="clear" w:color="FFFFFF" w:fill="FFFFFF"/>
            <w:vAlign w:val="center"/>
          </w:tcPr>
          <w:p w14:paraId="1AE60815" w14:textId="77777777" w:rsidR="004243C6" w:rsidRPr="0095783A" w:rsidRDefault="004243C6" w:rsidP="004243C6">
            <w:pPr>
              <w:rPr>
                <w:szCs w:val="22"/>
              </w:rPr>
            </w:pPr>
            <w:r w:rsidRPr="0095783A">
              <w:rPr>
                <w:szCs w:val="22"/>
              </w:rPr>
              <w:t>3/16/2017</w:t>
            </w:r>
          </w:p>
        </w:tc>
        <w:tc>
          <w:tcPr>
            <w:tcW w:w="990" w:type="dxa"/>
            <w:tcBorders>
              <w:top w:val="single" w:sz="4" w:space="0" w:color="CCCCFF"/>
              <w:left w:val="nil"/>
              <w:bottom w:val="single" w:sz="4" w:space="0" w:color="CCCCFF"/>
              <w:right w:val="single" w:sz="4" w:space="0" w:color="CCCCFF"/>
            </w:tcBorders>
            <w:shd w:val="clear" w:color="FFFFFF" w:fill="FFFFFF"/>
            <w:vAlign w:val="center"/>
          </w:tcPr>
          <w:p w14:paraId="05D0DEC8" w14:textId="77777777" w:rsidR="004243C6" w:rsidRPr="0095783A" w:rsidRDefault="004243C6" w:rsidP="004243C6">
            <w:pPr>
              <w:rPr>
                <w:szCs w:val="22"/>
              </w:rPr>
            </w:pPr>
            <w:r w:rsidRPr="0095783A">
              <w:rPr>
                <w:szCs w:val="22"/>
              </w:rPr>
              <w:t>LS</w:t>
            </w:r>
          </w:p>
        </w:tc>
        <w:tc>
          <w:tcPr>
            <w:tcW w:w="1080" w:type="dxa"/>
            <w:tcBorders>
              <w:top w:val="single" w:sz="4" w:space="0" w:color="CCCCFF"/>
              <w:left w:val="nil"/>
              <w:bottom w:val="single" w:sz="4" w:space="0" w:color="CCCCFF"/>
              <w:right w:val="single" w:sz="4" w:space="0" w:color="CCCCFF"/>
            </w:tcBorders>
            <w:shd w:val="clear" w:color="FFFFFF" w:fill="FFFFFF"/>
            <w:vAlign w:val="center"/>
          </w:tcPr>
          <w:p w14:paraId="38FF4745" w14:textId="77777777" w:rsidR="004243C6" w:rsidRPr="0095783A" w:rsidRDefault="004243C6" w:rsidP="004243C6">
            <w:pPr>
              <w:rPr>
                <w:szCs w:val="22"/>
              </w:rPr>
            </w:pPr>
            <w:r w:rsidRPr="0095783A">
              <w:rPr>
                <w:szCs w:val="22"/>
              </w:rPr>
              <w:t>C</w:t>
            </w:r>
          </w:p>
        </w:tc>
        <w:tc>
          <w:tcPr>
            <w:tcW w:w="1800" w:type="dxa"/>
            <w:tcBorders>
              <w:top w:val="single" w:sz="4" w:space="0" w:color="CCCCFF"/>
              <w:left w:val="nil"/>
              <w:bottom w:val="single" w:sz="4" w:space="0" w:color="CCCCFF"/>
              <w:right w:val="single" w:sz="4" w:space="0" w:color="CCCCFF"/>
            </w:tcBorders>
            <w:shd w:val="clear" w:color="FFFFFF" w:fill="FFFFFF"/>
            <w:vAlign w:val="center"/>
          </w:tcPr>
          <w:p w14:paraId="345DE6C7" w14:textId="77777777" w:rsidR="004243C6" w:rsidRPr="0095783A" w:rsidRDefault="004243C6" w:rsidP="004243C6">
            <w:pPr>
              <w:rPr>
                <w:szCs w:val="22"/>
              </w:rPr>
            </w:pPr>
            <w:r w:rsidRPr="0095783A">
              <w:rPr>
                <w:szCs w:val="22"/>
              </w:rPr>
              <w:t>Sacramento-Yolo, CA</w:t>
            </w:r>
          </w:p>
        </w:tc>
      </w:tr>
    </w:tbl>
    <w:p w14:paraId="5720F8DD" w14:textId="77777777" w:rsidR="004243C6" w:rsidRDefault="004243C6" w:rsidP="004243C6">
      <w:pPr>
        <w:pStyle w:val="ParaNum"/>
        <w:numPr>
          <w:ilvl w:val="0"/>
          <w:numId w:val="0"/>
        </w:numPr>
        <w:tabs>
          <w:tab w:val="left" w:pos="720"/>
          <w:tab w:val="left" w:pos="1080"/>
        </w:tabs>
        <w:spacing w:after="0"/>
      </w:pPr>
    </w:p>
    <w:sectPr w:rsidR="004243C6" w:rsidSect="0055614C">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06C3C" w14:textId="77777777" w:rsidR="000C5F4C" w:rsidRDefault="000C5F4C">
      <w:pPr>
        <w:spacing w:line="20" w:lineRule="exact"/>
      </w:pPr>
    </w:p>
  </w:endnote>
  <w:endnote w:type="continuationSeparator" w:id="0">
    <w:p w14:paraId="5A7BAA6E" w14:textId="77777777" w:rsidR="000C5F4C" w:rsidRDefault="000C5F4C">
      <w:r>
        <w:t xml:space="preserve"> </w:t>
      </w:r>
    </w:p>
  </w:endnote>
  <w:endnote w:type="continuationNotice" w:id="1">
    <w:p w14:paraId="7C98EA50" w14:textId="77777777" w:rsidR="000C5F4C" w:rsidRDefault="000C5F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BF916" w14:textId="77777777" w:rsidR="00A96579" w:rsidRDefault="00A96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4B9B" w14:textId="5F810176" w:rsidR="000C5F4C" w:rsidRDefault="000C5F4C">
    <w:pPr>
      <w:pStyle w:val="Footer"/>
      <w:jc w:val="center"/>
    </w:pPr>
    <w:r>
      <w:rPr>
        <w:rStyle w:val="PageNumber"/>
      </w:rPr>
      <w:fldChar w:fldCharType="begin"/>
    </w:r>
    <w:r>
      <w:rPr>
        <w:rStyle w:val="PageNumber"/>
      </w:rPr>
      <w:instrText xml:space="preserve"> PAGE </w:instrText>
    </w:r>
    <w:r>
      <w:rPr>
        <w:rStyle w:val="PageNumber"/>
      </w:rPr>
      <w:fldChar w:fldCharType="separate"/>
    </w:r>
    <w:r w:rsidR="006909C1">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09503" w14:textId="77777777" w:rsidR="00A96579" w:rsidRDefault="00A965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C4FB" w14:textId="77777777" w:rsidR="000C5F4C" w:rsidRDefault="000C5F4C" w:rsidP="0055614C">
    <w:pPr>
      <w:pStyle w:val="Footer"/>
      <w:framePr w:wrap="around" w:vAnchor="text" w:hAnchor="margin" w:xAlign="center" w:y="1"/>
    </w:pPr>
    <w:r>
      <w:fldChar w:fldCharType="begin"/>
    </w:r>
    <w:r>
      <w:instrText xml:space="preserve">PAGE  </w:instrText>
    </w:r>
    <w:r>
      <w:fldChar w:fldCharType="end"/>
    </w:r>
  </w:p>
  <w:p w14:paraId="15C7B2D1" w14:textId="77777777" w:rsidR="000C5F4C" w:rsidRDefault="000C5F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4736" w14:textId="6A0F76F3" w:rsidR="000C5F4C" w:rsidRDefault="000C5F4C" w:rsidP="0055614C">
    <w:pPr>
      <w:pStyle w:val="Footer"/>
      <w:framePr w:wrap="around" w:vAnchor="text" w:hAnchor="margin" w:xAlign="center" w:y="1"/>
    </w:pPr>
    <w:r>
      <w:fldChar w:fldCharType="begin"/>
    </w:r>
    <w:r>
      <w:instrText xml:space="preserve">PAGE  </w:instrText>
    </w:r>
    <w:r>
      <w:fldChar w:fldCharType="separate"/>
    </w:r>
    <w:r w:rsidR="00E01751">
      <w:rPr>
        <w:noProof/>
      </w:rPr>
      <w:t>21</w:t>
    </w:r>
    <w:r>
      <w:fldChar w:fldCharType="end"/>
    </w:r>
  </w:p>
  <w:p w14:paraId="55A2D7CE" w14:textId="77777777" w:rsidR="000C5F4C" w:rsidRDefault="000C5F4C">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4EE7" w14:textId="77777777" w:rsidR="000C5F4C" w:rsidRDefault="000C5F4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CD6E3" w14:textId="77777777" w:rsidR="000C5F4C" w:rsidRDefault="000C5F4C">
      <w:r>
        <w:separator/>
      </w:r>
    </w:p>
  </w:footnote>
  <w:footnote w:type="continuationSeparator" w:id="0">
    <w:p w14:paraId="7641E07C" w14:textId="77777777" w:rsidR="000C5F4C" w:rsidRDefault="000C5F4C" w:rsidP="00C721AC">
      <w:pPr>
        <w:spacing w:before="120"/>
        <w:rPr>
          <w:sz w:val="20"/>
        </w:rPr>
      </w:pPr>
      <w:r>
        <w:rPr>
          <w:sz w:val="20"/>
        </w:rPr>
        <w:t xml:space="preserve">(Continued from previous page)  </w:t>
      </w:r>
      <w:r>
        <w:rPr>
          <w:sz w:val="20"/>
        </w:rPr>
        <w:separator/>
      </w:r>
    </w:p>
  </w:footnote>
  <w:footnote w:type="continuationNotice" w:id="1">
    <w:p w14:paraId="40259CD3" w14:textId="77777777" w:rsidR="000C5F4C" w:rsidRDefault="000C5F4C" w:rsidP="00C721AC">
      <w:pPr>
        <w:jc w:val="right"/>
        <w:rPr>
          <w:sz w:val="20"/>
        </w:rPr>
      </w:pPr>
      <w:r>
        <w:rPr>
          <w:sz w:val="20"/>
        </w:rPr>
        <w:t>(continued….)</w:t>
      </w:r>
    </w:p>
  </w:footnote>
  <w:footnote w:id="2">
    <w:p w14:paraId="23446C51" w14:textId="77777777" w:rsidR="000C5F4C" w:rsidRDefault="000C5F4C" w:rsidP="004243C6">
      <w:pPr>
        <w:pStyle w:val="FootnoteText"/>
      </w:pPr>
      <w:r>
        <w:rPr>
          <w:rStyle w:val="FootnoteReference"/>
        </w:rPr>
        <w:footnoteRef/>
      </w:r>
      <w:r>
        <w:t xml:space="preserve"> Helen Wong-Armijo, Request for Extension of First Build-Out Date and Request for Waiver (filed Aug. 29, 2016) (HWA Interim Request); Helen Wong-Armijo, Request for Extension of Second Build-Out Date and Request for Waiver (filed Sept. 12, 2016) (HWA Final Request) (collectively, HWA Requests).  </w:t>
      </w:r>
      <w:r w:rsidRPr="00FE2D59">
        <w:rPr>
          <w:i/>
        </w:rPr>
        <w:t>See</w:t>
      </w:r>
      <w:r>
        <w:t xml:space="preserve"> Appendix A</w:t>
      </w:r>
      <w:r w:rsidRPr="00B90F4A">
        <w:rPr>
          <w:i/>
        </w:rPr>
        <w:t xml:space="preserve"> </w:t>
      </w:r>
      <w:r>
        <w:t>for th</w:t>
      </w:r>
      <w:r w:rsidRPr="00B90F4A">
        <w:t>e related Universal Licensing System (ULS) file numbers and call signs.</w:t>
      </w:r>
    </w:p>
  </w:footnote>
  <w:footnote w:id="3">
    <w:p w14:paraId="12FC257D" w14:textId="77777777" w:rsidR="000C5F4C" w:rsidRDefault="000C5F4C" w:rsidP="004243C6">
      <w:pPr>
        <w:pStyle w:val="FootnoteText"/>
      </w:pPr>
      <w:r>
        <w:rPr>
          <w:rStyle w:val="FootnoteReference"/>
        </w:rPr>
        <w:footnoteRef/>
      </w:r>
      <w:r>
        <w:t xml:space="preserve"> </w:t>
      </w:r>
      <w:r w:rsidRPr="003D3C92">
        <w:t>FCR, Inc., Request for Waiver and For Extension of First Build-Out Deadline</w:t>
      </w:r>
      <w:r>
        <w:t xml:space="preserve"> (filed Aug. 31, 2016); FCR, Inc., Request for Waiver and For Extension of Second Build-Out Deadline (filed Sept. 12, 2016) (collectively, FCR Requests).  </w:t>
      </w:r>
      <w:r w:rsidRPr="00FE2D59">
        <w:rPr>
          <w:i/>
        </w:rPr>
        <w:t>See</w:t>
      </w:r>
      <w:r>
        <w:t xml:space="preserve"> Appendix A</w:t>
      </w:r>
      <w:r w:rsidRPr="00B90F4A">
        <w:rPr>
          <w:i/>
        </w:rPr>
        <w:t xml:space="preserve"> </w:t>
      </w:r>
      <w:r>
        <w:t>for th</w:t>
      </w:r>
      <w:r w:rsidRPr="00B90F4A">
        <w:t>e related</w:t>
      </w:r>
      <w:r>
        <w:t xml:space="preserve"> ULS</w:t>
      </w:r>
      <w:r w:rsidRPr="00B90F4A">
        <w:t xml:space="preserve"> file numbers and call signs.</w:t>
      </w:r>
    </w:p>
  </w:footnote>
  <w:footnote w:id="4">
    <w:p w14:paraId="6E36D984" w14:textId="77777777" w:rsidR="000C5F4C" w:rsidRDefault="000C5F4C" w:rsidP="004243C6">
      <w:pPr>
        <w:pStyle w:val="FootnoteText"/>
      </w:pPr>
      <w:r>
        <w:rPr>
          <w:rStyle w:val="FootnoteReference"/>
        </w:rPr>
        <w:footnoteRef/>
      </w:r>
      <w:r>
        <w:t xml:space="preserve"> Skybridge Spectrum Foundation and Telesaurus Holdings GB, LLC, </w:t>
      </w:r>
      <w:r w:rsidRPr="00A92399">
        <w:t xml:space="preserve">Request for Extension of Time to Construct </w:t>
      </w:r>
      <w:r>
        <w:t>(filed Sept. 2, 2016) (Skybridge/Telesaurus Request</w:t>
      </w:r>
      <w:r w:rsidRPr="00A92399">
        <w:t>).</w:t>
      </w:r>
      <w:r>
        <w:t xml:space="preserve">  </w:t>
      </w:r>
      <w:r w:rsidRPr="00FE2D59">
        <w:rPr>
          <w:i/>
        </w:rPr>
        <w:t>See</w:t>
      </w:r>
      <w:r>
        <w:t xml:space="preserve"> Appendix A</w:t>
      </w:r>
      <w:r w:rsidRPr="00B90F4A">
        <w:rPr>
          <w:i/>
        </w:rPr>
        <w:t xml:space="preserve"> </w:t>
      </w:r>
      <w:r>
        <w:t>for th</w:t>
      </w:r>
      <w:r w:rsidRPr="00B90F4A">
        <w:t>e related</w:t>
      </w:r>
      <w:r>
        <w:t xml:space="preserve"> ULS</w:t>
      </w:r>
      <w:r w:rsidRPr="00B90F4A">
        <w:t xml:space="preserve"> file numbers and call signs.</w:t>
      </w:r>
      <w:r>
        <w:t xml:space="preserve">  We refer to the Skybridge/Telesaurus Request, the HWA Requests, and the FCR Requests collectively as the “</w:t>
      </w:r>
      <w:r w:rsidRPr="00844411">
        <w:t>Extension and Waiver Requests</w:t>
      </w:r>
      <w:r>
        <w:t>.”</w:t>
      </w:r>
    </w:p>
  </w:footnote>
  <w:footnote w:id="5">
    <w:p w14:paraId="49438421" w14:textId="77777777" w:rsidR="000C5F4C" w:rsidRDefault="000C5F4C" w:rsidP="004243C6">
      <w:pPr>
        <w:pStyle w:val="FootnoteText"/>
      </w:pPr>
      <w:r>
        <w:rPr>
          <w:rStyle w:val="FootnoteReference"/>
        </w:rPr>
        <w:footnoteRef/>
      </w:r>
      <w:r>
        <w:t xml:space="preserve"> </w:t>
      </w:r>
      <w:r w:rsidRPr="00284E7F">
        <w:rPr>
          <w:i/>
          <w:iCs/>
        </w:rPr>
        <w:t>See Arnold Leong v. Warren Havens et al.</w:t>
      </w:r>
      <w:r w:rsidRPr="00284E7F">
        <w:t>, Case No. 2002-070640, Order Appointing Receiver After Hearing and Preliminary Injunction (Nov. 16, 2015)</w:t>
      </w:r>
      <w:r>
        <w:t xml:space="preserve"> (Receivership Order)</w:t>
      </w:r>
      <w:r w:rsidRPr="00284E7F">
        <w:t xml:space="preserve">.  The court appointed </w:t>
      </w:r>
      <w:r>
        <w:t>Susan L. Uecker as R</w:t>
      </w:r>
      <w:r w:rsidRPr="00284E7F">
        <w:t xml:space="preserve">eceiver to take control and possession of several entities, including </w:t>
      </w:r>
      <w:r>
        <w:t>Skybridge and Telesaurus</w:t>
      </w:r>
      <w:r w:rsidRPr="00284E7F">
        <w:t xml:space="preserve">, and the licenses held by those entities.  </w:t>
      </w:r>
      <w:r w:rsidRPr="00284E7F">
        <w:rPr>
          <w:i/>
          <w:iCs/>
        </w:rPr>
        <w:t xml:space="preserve">Id. </w:t>
      </w:r>
      <w:r w:rsidRPr="00284E7F">
        <w:t>at Attach</w:t>
      </w:r>
      <w:r>
        <w:t>.</w:t>
      </w:r>
      <w:r w:rsidRPr="00284E7F">
        <w:t xml:space="preserve"> 1.  On December 17, 2015, the </w:t>
      </w:r>
      <w:r>
        <w:t>R</w:t>
      </w:r>
      <w:r w:rsidRPr="00284E7F">
        <w:t>eceiver filed involuntary transfer of control application</w:t>
      </w:r>
      <w:r>
        <w:t>s</w:t>
      </w:r>
      <w:r w:rsidRPr="00284E7F">
        <w:t xml:space="preserve"> on behalf of </w:t>
      </w:r>
      <w:r>
        <w:t>these entities, notifying the Commission of the involuntary transfer</w:t>
      </w:r>
      <w:r w:rsidRPr="00284E7F">
        <w:t xml:space="preserve"> of </w:t>
      </w:r>
      <w:r w:rsidRPr="005D502A">
        <w:t>the</w:t>
      </w:r>
      <w:r w:rsidRPr="00284E7F">
        <w:t xml:space="preserve"> licenses to Susan L. Uecker, Receiver; th</w:t>
      </w:r>
      <w:r>
        <w:t>ose</w:t>
      </w:r>
      <w:r w:rsidRPr="00284E7F">
        <w:t xml:space="preserve"> application</w:t>
      </w:r>
      <w:r>
        <w:t>s</w:t>
      </w:r>
      <w:r w:rsidRPr="00284E7F">
        <w:t xml:space="preserve"> w</w:t>
      </w:r>
      <w:r>
        <w:t>ere</w:t>
      </w:r>
      <w:r w:rsidRPr="00284E7F">
        <w:t xml:space="preserve"> accepted in February 2016.  </w:t>
      </w:r>
      <w:r w:rsidRPr="00284E7F">
        <w:rPr>
          <w:i/>
          <w:iCs/>
        </w:rPr>
        <w:t xml:space="preserve">See </w:t>
      </w:r>
      <w:r w:rsidRPr="00284E7F">
        <w:t>ULS File No</w:t>
      </w:r>
      <w:r>
        <w:t>s</w:t>
      </w:r>
      <w:r w:rsidRPr="00284E7F">
        <w:t>. 000706</w:t>
      </w:r>
      <w:r>
        <w:t>1847</w:t>
      </w:r>
      <w:r w:rsidRPr="00284E7F">
        <w:t xml:space="preserve"> </w:t>
      </w:r>
      <w:r>
        <w:t xml:space="preserve">and 0007060898 </w:t>
      </w:r>
      <w:r w:rsidRPr="00284E7F">
        <w:t>(filed Dec. 17, 2015).</w:t>
      </w:r>
    </w:p>
  </w:footnote>
  <w:footnote w:id="6">
    <w:p w14:paraId="3E30C479" w14:textId="77777777" w:rsidR="000C5F4C" w:rsidRPr="006F0D16" w:rsidRDefault="000C5F4C" w:rsidP="004243C6">
      <w:pPr>
        <w:pStyle w:val="FootnoteText"/>
        <w:rPr>
          <w:i/>
          <w:color w:val="000000"/>
        </w:rPr>
      </w:pPr>
      <w:r w:rsidRPr="492B7E89">
        <w:rPr>
          <w:rStyle w:val="FootnoteReference"/>
          <w:color w:val="000000"/>
        </w:rPr>
        <w:footnoteRef/>
      </w:r>
      <w:r w:rsidRPr="00E02717">
        <w:rPr>
          <w:color w:val="000000"/>
        </w:rPr>
        <w:t xml:space="preserve"> </w:t>
      </w:r>
      <w:r w:rsidRPr="00300D98">
        <w:rPr>
          <w:i/>
          <w:color w:val="000000"/>
        </w:rPr>
        <w:t>Amendment of Part 90 of the Commission's Rules to Adopt Regulations for Automatic Vehicle Monitoring Systems</w:t>
      </w:r>
      <w:r w:rsidRPr="00E02717">
        <w:rPr>
          <w:color w:val="000000"/>
        </w:rPr>
        <w:t xml:space="preserve">, </w:t>
      </w:r>
      <w:r w:rsidRPr="00300D98">
        <w:rPr>
          <w:iCs/>
          <w:color w:val="000000"/>
        </w:rPr>
        <w:t>Report and Order</w:t>
      </w:r>
      <w:r>
        <w:rPr>
          <w:color w:val="000000"/>
        </w:rPr>
        <w:t xml:space="preserve">, 10 FCC Rcd 4695 (1995).  M-LMS licensees are regulated under Part 90 of the Commission’s rules, which generally governs radio communications systems licensed and used in the Public Safety, Industrial/Business Radio Pool, and Radiolocation Radio Services, and may provide any service consistent with the Commission’s rules and the licensee’s regulatory status.  </w:t>
      </w:r>
      <w:r w:rsidRPr="003562D7">
        <w:rPr>
          <w:i/>
          <w:iCs/>
          <w:color w:val="000000"/>
        </w:rPr>
        <w:t xml:space="preserve">See </w:t>
      </w:r>
      <w:r>
        <w:rPr>
          <w:color w:val="000000"/>
        </w:rPr>
        <w:t xml:space="preserve">47 CFR § 90.1 </w:t>
      </w:r>
      <w:r w:rsidRPr="003562D7">
        <w:rPr>
          <w:i/>
          <w:iCs/>
          <w:color w:val="000000"/>
        </w:rPr>
        <w:t>et seq.</w:t>
      </w:r>
    </w:p>
  </w:footnote>
  <w:footnote w:id="7">
    <w:p w14:paraId="6FEE31AB" w14:textId="77777777" w:rsidR="000C5F4C" w:rsidRPr="00E02717" w:rsidRDefault="000C5F4C" w:rsidP="004243C6">
      <w:pPr>
        <w:pStyle w:val="FootnoteText"/>
        <w:rPr>
          <w:color w:val="000000"/>
        </w:rPr>
      </w:pPr>
      <w:r w:rsidRPr="00E02717">
        <w:rPr>
          <w:rStyle w:val="FootnoteReference"/>
          <w:color w:val="000000"/>
        </w:rPr>
        <w:footnoteRef/>
      </w:r>
      <w:r w:rsidRPr="00E02717">
        <w:rPr>
          <w:color w:val="000000"/>
        </w:rPr>
        <w:t xml:space="preserve"> 47 </w:t>
      </w:r>
      <w:r>
        <w:rPr>
          <w:color w:val="000000"/>
        </w:rPr>
        <w:t>CFR</w:t>
      </w:r>
      <w:r w:rsidRPr="00E02717">
        <w:rPr>
          <w:color w:val="000000"/>
        </w:rPr>
        <w:t xml:space="preserve"> §§</w:t>
      </w:r>
      <w:r>
        <w:rPr>
          <w:color w:val="000000"/>
        </w:rPr>
        <w:t xml:space="preserve"> </w:t>
      </w:r>
      <w:r w:rsidRPr="00E02717">
        <w:rPr>
          <w:color w:val="000000"/>
        </w:rPr>
        <w:t xml:space="preserve">2.106, </w:t>
      </w:r>
      <w:r>
        <w:rPr>
          <w:color w:val="000000"/>
        </w:rPr>
        <w:t xml:space="preserve">18.111(c), </w:t>
      </w:r>
      <w:r w:rsidRPr="00E02717">
        <w:rPr>
          <w:color w:val="000000"/>
        </w:rPr>
        <w:t>18.301.</w:t>
      </w:r>
    </w:p>
  </w:footnote>
  <w:footnote w:id="8">
    <w:p w14:paraId="1FF4538D" w14:textId="77777777" w:rsidR="000C5F4C" w:rsidRPr="00E02717" w:rsidRDefault="000C5F4C" w:rsidP="004243C6">
      <w:pPr>
        <w:pStyle w:val="FootnoteText"/>
        <w:rPr>
          <w:color w:val="000000"/>
        </w:rPr>
      </w:pPr>
      <w:r w:rsidRPr="00E02717">
        <w:rPr>
          <w:rStyle w:val="FootnoteReference"/>
          <w:color w:val="000000"/>
        </w:rPr>
        <w:footnoteRef/>
      </w:r>
      <w:r w:rsidRPr="00E02717">
        <w:rPr>
          <w:color w:val="000000"/>
        </w:rPr>
        <w:t xml:space="preserve"> </w:t>
      </w:r>
      <w:r>
        <w:rPr>
          <w:i/>
          <w:color w:val="000000"/>
        </w:rPr>
        <w:t>Id.</w:t>
      </w:r>
      <w:r w:rsidRPr="00E02717">
        <w:rPr>
          <w:color w:val="000000"/>
        </w:rPr>
        <w:t xml:space="preserve"> § 90.353(a)</w:t>
      </w:r>
      <w:r>
        <w:rPr>
          <w:color w:val="000000"/>
        </w:rPr>
        <w:t>.</w:t>
      </w:r>
    </w:p>
  </w:footnote>
  <w:footnote w:id="9">
    <w:p w14:paraId="7B360762" w14:textId="77777777" w:rsidR="000C5F4C" w:rsidRPr="00E02717" w:rsidRDefault="000C5F4C" w:rsidP="004243C6">
      <w:pPr>
        <w:pStyle w:val="FootnoteText"/>
        <w:rPr>
          <w:color w:val="000000"/>
        </w:rPr>
      </w:pPr>
      <w:r w:rsidRPr="00E02717">
        <w:rPr>
          <w:rStyle w:val="FootnoteReference"/>
          <w:color w:val="000000"/>
        </w:rPr>
        <w:footnoteRef/>
      </w:r>
      <w:r w:rsidRPr="00E02717">
        <w:rPr>
          <w:color w:val="000000"/>
        </w:rPr>
        <w:t xml:space="preserve"> </w:t>
      </w:r>
      <w:r>
        <w:rPr>
          <w:i/>
          <w:color w:val="000000"/>
        </w:rPr>
        <w:t>Id.</w:t>
      </w:r>
      <w:r w:rsidRPr="00E02717">
        <w:rPr>
          <w:color w:val="000000"/>
        </w:rPr>
        <w:t xml:space="preserve"> § 97.301.</w:t>
      </w:r>
    </w:p>
  </w:footnote>
  <w:footnote w:id="10">
    <w:p w14:paraId="62C63F86" w14:textId="77777777" w:rsidR="000C5F4C" w:rsidRPr="00E02717" w:rsidRDefault="000C5F4C" w:rsidP="004243C6">
      <w:pPr>
        <w:pStyle w:val="FootnoteText"/>
      </w:pPr>
      <w:r w:rsidRPr="00E02717">
        <w:rPr>
          <w:rStyle w:val="FootnoteReference"/>
          <w:color w:val="000000"/>
        </w:rPr>
        <w:footnoteRef/>
      </w:r>
      <w:r w:rsidRPr="00E02717">
        <w:rPr>
          <w:color w:val="000000"/>
        </w:rPr>
        <w:t xml:space="preserve"> </w:t>
      </w:r>
      <w:r w:rsidRPr="492B7E89">
        <w:rPr>
          <w:i/>
          <w:iCs/>
          <w:color w:val="000000"/>
        </w:rPr>
        <w:t>See</w:t>
      </w:r>
      <w:r w:rsidRPr="00E02717">
        <w:rPr>
          <w:color w:val="000000"/>
        </w:rPr>
        <w:t xml:space="preserve"> </w:t>
      </w:r>
      <w:r>
        <w:rPr>
          <w:i/>
          <w:color w:val="000000"/>
        </w:rPr>
        <w:t>id.</w:t>
      </w:r>
      <w:r w:rsidRPr="00E02717">
        <w:rPr>
          <w:color w:val="000000"/>
        </w:rPr>
        <w:t xml:space="preserve"> § 90.361. </w:t>
      </w:r>
      <w:r>
        <w:rPr>
          <w:color w:val="000000"/>
        </w:rPr>
        <w:t xml:space="preserve"> However, u</w:t>
      </w:r>
      <w:r w:rsidRPr="00E02717">
        <w:rPr>
          <w:color w:val="000000"/>
        </w:rPr>
        <w:t>sers of Part 15 devices conforming to specified technical conditions are insulated from claims that such devices cause harmful interference to M-LMS systems</w:t>
      </w:r>
      <w:r>
        <w:rPr>
          <w:color w:val="000000"/>
        </w:rPr>
        <w:t xml:space="preserve"> </w:t>
      </w:r>
      <w:r w:rsidRPr="00E02717">
        <w:rPr>
          <w:color w:val="000000"/>
        </w:rPr>
        <w:t xml:space="preserve">in the 902-928 MHz band. </w:t>
      </w:r>
      <w:r>
        <w:rPr>
          <w:color w:val="000000"/>
        </w:rPr>
        <w:t xml:space="preserve"> </w:t>
      </w:r>
      <w:r w:rsidRPr="492B7E89">
        <w:rPr>
          <w:i/>
          <w:iCs/>
          <w:color w:val="000000"/>
        </w:rPr>
        <w:t>Id.</w:t>
      </w:r>
    </w:p>
  </w:footnote>
  <w:footnote w:id="11">
    <w:p w14:paraId="6A7FDA82" w14:textId="77777777" w:rsidR="000C5F4C" w:rsidRDefault="000C5F4C" w:rsidP="004243C6">
      <w:pPr>
        <w:pStyle w:val="FootnoteText"/>
      </w:pPr>
      <w:r>
        <w:rPr>
          <w:rStyle w:val="FootnoteReference"/>
        </w:rPr>
        <w:footnoteRef/>
      </w:r>
      <w:r>
        <w:t xml:space="preserve"> </w:t>
      </w:r>
      <w:r w:rsidRPr="008B05E3">
        <w:rPr>
          <w:i/>
        </w:rPr>
        <w:t>See Location and Monitoring Service Auction Closes, Winning Bidders in the Auction of 528 Multilateration Licenses in the Location and Monitoring Service</w:t>
      </w:r>
      <w:r w:rsidRPr="007E75BC">
        <w:t xml:space="preserve">, Public Notice, 14 FCC Rcd 3754 (1999); </w:t>
      </w:r>
      <w:r w:rsidRPr="008B05E3">
        <w:rPr>
          <w:i/>
        </w:rPr>
        <w:t>Public Coast and Location and Monitoring Service Spectrum Auction Closes, Winning Bidders Announced</w:t>
      </w:r>
      <w:r w:rsidRPr="007E75BC">
        <w:t>, Public Notice, 16 FCC Rcd 12509 (2001).</w:t>
      </w:r>
    </w:p>
  </w:footnote>
  <w:footnote w:id="12">
    <w:p w14:paraId="45EE9D78" w14:textId="77777777" w:rsidR="000C5F4C" w:rsidRDefault="000C5F4C" w:rsidP="004243C6">
      <w:pPr>
        <w:pStyle w:val="FootnoteText"/>
      </w:pPr>
      <w:r>
        <w:rPr>
          <w:rStyle w:val="FootnoteReference"/>
        </w:rPr>
        <w:footnoteRef/>
      </w:r>
      <w:r>
        <w:t xml:space="preserve"> 47 CFR § 90.149(a).</w:t>
      </w:r>
    </w:p>
  </w:footnote>
  <w:footnote w:id="13">
    <w:p w14:paraId="6E1BE22D" w14:textId="77777777" w:rsidR="000C5F4C" w:rsidRDefault="000C5F4C" w:rsidP="004243C6">
      <w:pPr>
        <w:pStyle w:val="FootnoteText"/>
      </w:pPr>
      <w:r>
        <w:rPr>
          <w:rStyle w:val="FootnoteReference"/>
        </w:rPr>
        <w:footnoteRef/>
      </w:r>
      <w:r>
        <w:t xml:space="preserve"> </w:t>
      </w:r>
      <w:r>
        <w:rPr>
          <w:i/>
        </w:rPr>
        <w:t>Id.</w:t>
      </w:r>
      <w:r>
        <w:t xml:space="preserve"> § 90.155(d).  M-LMS licensees also have the alternative option of demonstrating substantial service at the interim and final construction deadlines.  </w:t>
      </w:r>
      <w:r w:rsidRPr="005C29F2">
        <w:rPr>
          <w:i/>
        </w:rPr>
        <w:t>Id.</w:t>
      </w:r>
      <w:r>
        <w:t xml:space="preserve"> </w:t>
      </w:r>
    </w:p>
  </w:footnote>
  <w:footnote w:id="14">
    <w:p w14:paraId="3EC0D388" w14:textId="77777777" w:rsidR="000C5F4C" w:rsidRPr="007E75BC" w:rsidRDefault="000C5F4C" w:rsidP="004243C6">
      <w:pPr>
        <w:pStyle w:val="FootnoteText"/>
      </w:pPr>
      <w:r>
        <w:rPr>
          <w:rStyle w:val="FootnoteReference"/>
        </w:rPr>
        <w:footnoteRef/>
      </w:r>
      <w:r>
        <w:t xml:space="preserve"> </w:t>
      </w:r>
      <w:r>
        <w:rPr>
          <w:i/>
        </w:rPr>
        <w:t>See, e.g.</w:t>
      </w:r>
      <w:r w:rsidRPr="00312A98">
        <w:t>,</w:t>
      </w:r>
      <w:r>
        <w:rPr>
          <w:i/>
        </w:rPr>
        <w:t xml:space="preserve"> </w:t>
      </w:r>
      <w:r>
        <w:t xml:space="preserve">ULS File No. 0000506502 (lead call sign WPTH955); </w:t>
      </w:r>
      <w:r>
        <w:rPr>
          <w:i/>
        </w:rPr>
        <w:t>see also</w:t>
      </w:r>
      <w:r>
        <w:t xml:space="preserve"> </w:t>
      </w:r>
      <w:r w:rsidRPr="007E75BC">
        <w:rPr>
          <w:i/>
        </w:rPr>
        <w:t>Wireless Telecommunications Bureau Grants 135 Location and Monitoring Service Licenses</w:t>
      </w:r>
      <w:r>
        <w:t xml:space="preserve">, </w:t>
      </w:r>
      <w:r w:rsidRPr="007E75BC">
        <w:t>Public Notice</w:t>
      </w:r>
      <w:r>
        <w:t>, 16 FCC Rcd</w:t>
      </w:r>
      <w:r w:rsidRPr="003E0898">
        <w:t xml:space="preserve"> 17928</w:t>
      </w:r>
      <w:r>
        <w:t>, 17930-31</w:t>
      </w:r>
      <w:r w:rsidRPr="003E0898">
        <w:t xml:space="preserve"> </w:t>
      </w:r>
      <w:r>
        <w:t>(WTB 2001) (</w:t>
      </w:r>
      <w:r>
        <w:rPr>
          <w:i/>
        </w:rPr>
        <w:t>Auction 39</w:t>
      </w:r>
      <w:r w:rsidRPr="004224A5">
        <w:rPr>
          <w:i/>
        </w:rPr>
        <w:t xml:space="preserve"> Grant</w:t>
      </w:r>
      <w:r>
        <w:t>).</w:t>
      </w:r>
    </w:p>
  </w:footnote>
  <w:footnote w:id="15">
    <w:p w14:paraId="067FD390" w14:textId="77777777" w:rsidR="000C5F4C" w:rsidRDefault="000C5F4C" w:rsidP="004243C6">
      <w:pPr>
        <w:pStyle w:val="FootnoteText"/>
      </w:pPr>
      <w:r>
        <w:rPr>
          <w:rStyle w:val="FootnoteReference"/>
        </w:rPr>
        <w:footnoteRef/>
      </w:r>
      <w:r>
        <w:t xml:space="preserve"> Request of Helen Wong-Armijo for Extension of First Build-Out Deadline, ULS File Nos. 0002751940-</w:t>
      </w:r>
      <w:r w:rsidRPr="0081371C">
        <w:t xml:space="preserve"> 0002752023</w:t>
      </w:r>
      <w:r>
        <w:t xml:space="preserve"> (filed Sept. 14, 2006).</w:t>
      </w:r>
    </w:p>
  </w:footnote>
  <w:footnote w:id="16">
    <w:p w14:paraId="70E3F5E7" w14:textId="77777777" w:rsidR="000C5F4C" w:rsidRPr="0081371C" w:rsidRDefault="000C5F4C" w:rsidP="004243C6">
      <w:pPr>
        <w:pStyle w:val="FootnoteText"/>
      </w:pPr>
      <w:r>
        <w:rPr>
          <w:rStyle w:val="FootnoteReference"/>
        </w:rPr>
        <w:footnoteRef/>
      </w:r>
      <w:r>
        <w:t xml:space="preserve"> </w:t>
      </w:r>
      <w:r>
        <w:rPr>
          <w:i/>
        </w:rPr>
        <w:t>Multilateration Location and Monitoring Services Construction Requirements</w:t>
      </w:r>
      <w:r>
        <w:t>, Order on Reconsideration and Memorandum Opinion and Order, 22 FCC Rcd</w:t>
      </w:r>
      <w:r w:rsidRPr="0081371C">
        <w:t xml:space="preserve"> 1925</w:t>
      </w:r>
      <w:r>
        <w:t>, 1929, para. 17 (WTB MD 2007) (</w:t>
      </w:r>
      <w:r>
        <w:rPr>
          <w:i/>
        </w:rPr>
        <w:t>2007 Extension Order</w:t>
      </w:r>
      <w:r>
        <w:t>).</w:t>
      </w:r>
    </w:p>
  </w:footnote>
  <w:footnote w:id="17">
    <w:p w14:paraId="745DA0C4" w14:textId="77777777" w:rsidR="000C5F4C" w:rsidRPr="003E0898" w:rsidRDefault="000C5F4C" w:rsidP="004243C6">
      <w:pPr>
        <w:pStyle w:val="FootnoteText"/>
      </w:pPr>
      <w:r>
        <w:rPr>
          <w:rStyle w:val="FootnoteReference"/>
        </w:rPr>
        <w:footnoteRef/>
      </w:r>
      <w:r>
        <w:t xml:space="preserve"> </w:t>
      </w:r>
      <w:r>
        <w:rPr>
          <w:i/>
        </w:rPr>
        <w:t>See, e.g.</w:t>
      </w:r>
      <w:r>
        <w:t xml:space="preserve">, ULS File No. </w:t>
      </w:r>
      <w:r w:rsidRPr="003E0898">
        <w:t>0000007506</w:t>
      </w:r>
      <w:r>
        <w:t xml:space="preserve"> (lead call sign WPOJ871); </w:t>
      </w:r>
      <w:r>
        <w:rPr>
          <w:i/>
        </w:rPr>
        <w:t>see also</w:t>
      </w:r>
      <w:r>
        <w:t xml:space="preserve"> </w:t>
      </w:r>
      <w:r>
        <w:rPr>
          <w:i/>
        </w:rPr>
        <w:t>Wireless Telecommunications Bureau Grants 57 Location and Monitoring Services Licenses</w:t>
      </w:r>
      <w:r>
        <w:t xml:space="preserve">, </w:t>
      </w:r>
      <w:r w:rsidRPr="003E0898">
        <w:t>DA 99-1407</w:t>
      </w:r>
      <w:r>
        <w:t>, Public Notice, Attach. A (WTB July 16, 1999) (</w:t>
      </w:r>
      <w:r w:rsidRPr="004224A5">
        <w:rPr>
          <w:i/>
        </w:rPr>
        <w:t>Auction 21 Grant</w:t>
      </w:r>
      <w:r>
        <w:t>).</w:t>
      </w:r>
    </w:p>
  </w:footnote>
  <w:footnote w:id="18">
    <w:p w14:paraId="46ED772A" w14:textId="77777777" w:rsidR="000C5F4C" w:rsidRPr="003E0898" w:rsidRDefault="000C5F4C" w:rsidP="004243C6">
      <w:pPr>
        <w:pStyle w:val="FootnoteText"/>
        <w:rPr>
          <w:i/>
        </w:rPr>
      </w:pPr>
      <w:r>
        <w:rPr>
          <w:rStyle w:val="FootnoteReference"/>
        </w:rPr>
        <w:footnoteRef/>
      </w:r>
      <w:r>
        <w:t xml:space="preserve"> </w:t>
      </w:r>
      <w:r>
        <w:rPr>
          <w:i/>
        </w:rPr>
        <w:t>See, e.g.</w:t>
      </w:r>
      <w:r>
        <w:t xml:space="preserve">, ULS File No. </w:t>
      </w:r>
      <w:r w:rsidRPr="003E0898">
        <w:t>0000503101</w:t>
      </w:r>
      <w:r>
        <w:t xml:space="preserve"> (lead call sign WPTH901); </w:t>
      </w:r>
      <w:r>
        <w:rPr>
          <w:i/>
        </w:rPr>
        <w:t>see also Auction 39 Grant</w:t>
      </w:r>
      <w:r>
        <w:t xml:space="preserve">, </w:t>
      </w:r>
      <w:r w:rsidRPr="003E0898">
        <w:t xml:space="preserve">16 FCC </w:t>
      </w:r>
      <w:r>
        <w:t>Rcd</w:t>
      </w:r>
      <w:r w:rsidRPr="003E0898">
        <w:t xml:space="preserve"> </w:t>
      </w:r>
      <w:r>
        <w:t>at 17929.</w:t>
      </w:r>
    </w:p>
  </w:footnote>
  <w:footnote w:id="19">
    <w:p w14:paraId="1F0158C2" w14:textId="77777777" w:rsidR="000C5F4C" w:rsidRDefault="000C5F4C" w:rsidP="004243C6">
      <w:pPr>
        <w:pStyle w:val="FootnoteText"/>
      </w:pPr>
      <w:r>
        <w:rPr>
          <w:rStyle w:val="FootnoteReference"/>
        </w:rPr>
        <w:footnoteRef/>
      </w:r>
      <w:r>
        <w:t xml:space="preserve"> </w:t>
      </w:r>
      <w:r>
        <w:rPr>
          <w:i/>
        </w:rPr>
        <w:t>See</w:t>
      </w:r>
      <w:r>
        <w:t xml:space="preserve"> Requests of FCR, Inc. for Extension of First Buildout Deadline, ULS File Nos. 0001778449-0001778454 (filed June 18, 2004).</w:t>
      </w:r>
    </w:p>
  </w:footnote>
  <w:footnote w:id="20">
    <w:p w14:paraId="11B6BD6E" w14:textId="77777777" w:rsidR="000C5F4C" w:rsidRPr="004851E5" w:rsidRDefault="000C5F4C" w:rsidP="004243C6">
      <w:pPr>
        <w:pStyle w:val="FootnoteText"/>
      </w:pPr>
      <w:r>
        <w:rPr>
          <w:rStyle w:val="FootnoteReference"/>
        </w:rPr>
        <w:footnoteRef/>
      </w:r>
      <w:r>
        <w:t xml:space="preserve"> </w:t>
      </w:r>
      <w:r>
        <w:rPr>
          <w:i/>
        </w:rPr>
        <w:t>Request for Extension of Five-Year Construction Requirement</w:t>
      </w:r>
      <w:r>
        <w:t xml:space="preserve">, Letter Order, 20 FCC Rcd 4293, 4294 (WTB MD 2005) </w:t>
      </w:r>
      <w:r w:rsidRPr="004851E5">
        <w:t>(extending the five-year construction deadline for call signs WPOJ871 through WPOJ875 to July 14, 2007)</w:t>
      </w:r>
      <w:r>
        <w:t>.</w:t>
      </w:r>
    </w:p>
  </w:footnote>
  <w:footnote w:id="21">
    <w:p w14:paraId="2A8DEC38" w14:textId="77777777" w:rsidR="000C5F4C" w:rsidRPr="00F61B1A" w:rsidRDefault="000C5F4C" w:rsidP="004243C6">
      <w:pPr>
        <w:pStyle w:val="FootnoteText"/>
      </w:pPr>
      <w:r>
        <w:rPr>
          <w:rStyle w:val="FootnoteReference"/>
        </w:rPr>
        <w:footnoteRef/>
      </w:r>
      <w:r>
        <w:t xml:space="preserve"> Requests of FCR, Inc. for Extension of First Buildout Deadline, ULS File Nos. 0002752062-</w:t>
      </w:r>
      <w:r w:rsidRPr="00F61B1A">
        <w:t xml:space="preserve"> </w:t>
      </w:r>
      <w:r>
        <w:t xml:space="preserve">0002752069 (filed Sept. 14, 2006) (requesting the interim construction deadlines </w:t>
      </w:r>
      <w:r w:rsidRPr="004851E5">
        <w:t>for call signs WPTH901 through WPTH908</w:t>
      </w:r>
      <w:r>
        <w:t xml:space="preserve"> be extended until</w:t>
      </w:r>
      <w:r w:rsidRPr="004851E5">
        <w:t xml:space="preserve"> October 5, 2009</w:t>
      </w:r>
      <w:r>
        <w:t>); Requests of FCR, Inc. for Extension of First Buildout Deadline, ULS File Nos. 0002882775-0002882779 (filed Jan. 18, 2007) (requesting the interim construction deadlines for call signs WPOJ871 through WPOJ875 be extended until July 14, 2009).</w:t>
      </w:r>
    </w:p>
  </w:footnote>
  <w:footnote w:id="22">
    <w:p w14:paraId="21ABF038" w14:textId="77777777" w:rsidR="000C5F4C" w:rsidRPr="004851E5" w:rsidRDefault="000C5F4C" w:rsidP="004243C6">
      <w:pPr>
        <w:pStyle w:val="FootnoteText"/>
      </w:pPr>
      <w:r>
        <w:rPr>
          <w:rStyle w:val="FootnoteReference"/>
        </w:rPr>
        <w:footnoteRef/>
      </w:r>
      <w:r>
        <w:t xml:space="preserve"> </w:t>
      </w:r>
      <w:r>
        <w:rPr>
          <w:i/>
        </w:rPr>
        <w:t xml:space="preserve">2007 </w:t>
      </w:r>
      <w:r w:rsidRPr="004851E5">
        <w:rPr>
          <w:i/>
        </w:rPr>
        <w:t>Extension Order</w:t>
      </w:r>
      <w:r>
        <w:t xml:space="preserve">, </w:t>
      </w:r>
      <w:r w:rsidRPr="004851E5">
        <w:t>22</w:t>
      </w:r>
      <w:r w:rsidRPr="0081371C">
        <w:t xml:space="preserve"> FCC </w:t>
      </w:r>
      <w:r>
        <w:t>Rcd</w:t>
      </w:r>
      <w:r w:rsidRPr="0081371C">
        <w:t xml:space="preserve"> </w:t>
      </w:r>
      <w:r>
        <w:t>at 1928-29, paras. 14-15.</w:t>
      </w:r>
    </w:p>
  </w:footnote>
  <w:footnote w:id="23">
    <w:p w14:paraId="5C2B5FF2" w14:textId="77777777" w:rsidR="000C5F4C" w:rsidRDefault="000C5F4C" w:rsidP="004243C6">
      <w:pPr>
        <w:pStyle w:val="FootnoteText"/>
      </w:pPr>
      <w:r>
        <w:rPr>
          <w:rStyle w:val="FootnoteReference"/>
        </w:rPr>
        <w:footnoteRef/>
      </w:r>
      <w:r>
        <w:t xml:space="preserve"> </w:t>
      </w:r>
      <w:r>
        <w:rPr>
          <w:i/>
        </w:rPr>
        <w:t>Id</w:t>
      </w:r>
      <w:r>
        <w:t>. at 1929, para. 16.</w:t>
      </w:r>
    </w:p>
  </w:footnote>
  <w:footnote w:id="24">
    <w:p w14:paraId="070CAB52" w14:textId="77777777" w:rsidR="000C5F4C" w:rsidRDefault="000C5F4C" w:rsidP="004243C6">
      <w:pPr>
        <w:pStyle w:val="FootnoteText"/>
      </w:pPr>
      <w:r>
        <w:rPr>
          <w:rStyle w:val="FootnoteReference"/>
        </w:rPr>
        <w:footnoteRef/>
      </w:r>
      <w:r>
        <w:t xml:space="preserve"> </w:t>
      </w:r>
      <w:r>
        <w:rPr>
          <w:i/>
        </w:rPr>
        <w:t>See, e.g.</w:t>
      </w:r>
      <w:r>
        <w:t xml:space="preserve">, ULS File No. </w:t>
      </w:r>
      <w:r w:rsidRPr="0040286E">
        <w:t>0000007386</w:t>
      </w:r>
      <w:r>
        <w:t xml:space="preserve"> (lead call sign WPOJ876); </w:t>
      </w:r>
      <w:r>
        <w:rPr>
          <w:i/>
        </w:rPr>
        <w:t>see also</w:t>
      </w:r>
      <w:r>
        <w:t xml:space="preserve"> </w:t>
      </w:r>
      <w:r>
        <w:rPr>
          <w:i/>
        </w:rPr>
        <w:t>Auction 21 Grant</w:t>
      </w:r>
      <w:r>
        <w:t xml:space="preserve"> at Attach. A.</w:t>
      </w:r>
    </w:p>
  </w:footnote>
  <w:footnote w:id="25">
    <w:p w14:paraId="0C152B8E" w14:textId="77777777" w:rsidR="000C5F4C" w:rsidRPr="004851E5" w:rsidRDefault="000C5F4C" w:rsidP="004243C6">
      <w:pPr>
        <w:pStyle w:val="FootnoteText"/>
        <w:rPr>
          <w:i/>
        </w:rPr>
      </w:pPr>
      <w:r>
        <w:rPr>
          <w:rStyle w:val="FootnoteReference"/>
        </w:rPr>
        <w:footnoteRef/>
      </w:r>
      <w:r>
        <w:t xml:space="preserve"> </w:t>
      </w:r>
      <w:r>
        <w:rPr>
          <w:i/>
        </w:rPr>
        <w:t>See, e.g.</w:t>
      </w:r>
      <w:r>
        <w:t xml:space="preserve">, ULS File No. </w:t>
      </w:r>
      <w:r w:rsidRPr="004851E5">
        <w:t>0000506731</w:t>
      </w:r>
      <w:r>
        <w:t xml:space="preserve"> (lead call sign WPTH910); </w:t>
      </w:r>
      <w:r>
        <w:rPr>
          <w:i/>
        </w:rPr>
        <w:t>see also Auction 39 Grant</w:t>
      </w:r>
      <w:r>
        <w:t>, 16 FCC Rcd</w:t>
      </w:r>
      <w:r w:rsidRPr="003E0898">
        <w:t xml:space="preserve"> </w:t>
      </w:r>
      <w:r>
        <w:t>at 17930-</w:t>
      </w:r>
      <w:r w:rsidRPr="00244150">
        <w:t>31</w:t>
      </w:r>
      <w:r>
        <w:t xml:space="preserve"> (granting Telesaurus 43 licenses – call signs WPTH910 through WPTH953, except WPTH937).</w:t>
      </w:r>
    </w:p>
  </w:footnote>
  <w:footnote w:id="26">
    <w:p w14:paraId="233493FF" w14:textId="77777777" w:rsidR="000C5F4C" w:rsidRPr="004851E5" w:rsidRDefault="000C5F4C" w:rsidP="004243C6">
      <w:pPr>
        <w:pStyle w:val="FootnoteText"/>
      </w:pPr>
      <w:r>
        <w:rPr>
          <w:rStyle w:val="FootnoteReference"/>
        </w:rPr>
        <w:footnoteRef/>
      </w:r>
      <w:r>
        <w:t xml:space="preserve"> </w:t>
      </w:r>
      <w:r>
        <w:rPr>
          <w:i/>
        </w:rPr>
        <w:t>See, e.g.</w:t>
      </w:r>
      <w:r>
        <w:t xml:space="preserve">, ULS File No. </w:t>
      </w:r>
      <w:r w:rsidRPr="004851E5">
        <w:t>000050684</w:t>
      </w:r>
      <w:r>
        <w:t xml:space="preserve">3 (lead call sign WQGN573); </w:t>
      </w:r>
      <w:r>
        <w:rPr>
          <w:i/>
        </w:rPr>
        <w:t>see also Wireless Telecommunications Bureau Grants 36 VHF Public Coast and Location and Monitoring Services Licenses</w:t>
      </w:r>
      <w:r>
        <w:t xml:space="preserve">, Public Notice, 22 FCC Rcd 4628 (WTB 2007) (granting Telesaurus 34 licenses – call signs WQGN573 through WQGN606).  The Bureau was unable to grant 34 of the licenses Telesaurus won in Auction 39 until March 9, 2007 due to pending Tribal Land Bidding Credit review. </w:t>
      </w:r>
    </w:p>
  </w:footnote>
  <w:footnote w:id="27">
    <w:p w14:paraId="331E53F6" w14:textId="77777777" w:rsidR="000C5F4C" w:rsidRDefault="000C5F4C" w:rsidP="004243C6">
      <w:pPr>
        <w:autoSpaceDE w:val="0"/>
        <w:autoSpaceDN w:val="0"/>
        <w:adjustRightInd w:val="0"/>
        <w:spacing w:after="120"/>
      </w:pPr>
      <w:r>
        <w:rPr>
          <w:rStyle w:val="FootnoteReference"/>
        </w:rPr>
        <w:footnoteRef/>
      </w:r>
      <w:r>
        <w:t xml:space="preserve"> </w:t>
      </w:r>
      <w:r w:rsidRPr="00D42E37">
        <w:rPr>
          <w:i/>
          <w:iCs/>
          <w:sz w:val="20"/>
        </w:rPr>
        <w:t xml:space="preserve">See </w:t>
      </w:r>
      <w:r w:rsidRPr="00D42E37">
        <w:rPr>
          <w:sz w:val="20"/>
        </w:rPr>
        <w:t xml:space="preserve">Request of Warren C. Havens for Partial Waiver of the Five-Year Construction Benchmark, ULS File Nos.  0001534267-0001534318 (filed Dec. 3, 2003).  On July 14, 2004, Havens filed an Amended Request, in which he sought a three-year extension of the construction deadline.  </w:t>
      </w:r>
      <w:r w:rsidRPr="00D42E37">
        <w:rPr>
          <w:i/>
          <w:iCs/>
          <w:sz w:val="20"/>
        </w:rPr>
        <w:t xml:space="preserve">See </w:t>
      </w:r>
      <w:r w:rsidRPr="00D42E37">
        <w:rPr>
          <w:sz w:val="20"/>
        </w:rPr>
        <w:t>Request for Partial Waiver, Amended Request, ULS File Nos. 0001807887-0001807938 (filed July 14, 2004).</w:t>
      </w:r>
    </w:p>
  </w:footnote>
  <w:footnote w:id="28">
    <w:p w14:paraId="2D87D24B" w14:textId="77777777" w:rsidR="000C5F4C" w:rsidRDefault="000C5F4C" w:rsidP="004243C6">
      <w:pPr>
        <w:pStyle w:val="FootnoteText"/>
      </w:pPr>
      <w:r>
        <w:rPr>
          <w:rStyle w:val="FootnoteReference"/>
        </w:rPr>
        <w:footnoteRef/>
      </w:r>
      <w:r>
        <w:t xml:space="preserve"> </w:t>
      </w:r>
      <w:r w:rsidRPr="004851E5">
        <w:rPr>
          <w:i/>
        </w:rPr>
        <w:t>Request of Warren C. Havens for Waiver of the Five-Year Construction Requirement for his Multilateration Location and Monitoring Service Economic Area Licenses</w:t>
      </w:r>
      <w:r>
        <w:t>, Memorandum Opinion and Order, 19 FCC Rcd 23742 (WTB MD 2004) (extending the interim construction deadline until July 14, 2007).</w:t>
      </w:r>
    </w:p>
  </w:footnote>
  <w:footnote w:id="29">
    <w:p w14:paraId="4E9B5D7D" w14:textId="77777777" w:rsidR="000C5F4C" w:rsidRPr="004851E5" w:rsidRDefault="000C5F4C" w:rsidP="004243C6">
      <w:pPr>
        <w:pStyle w:val="FootnoteText"/>
      </w:pPr>
      <w:r>
        <w:rPr>
          <w:rStyle w:val="FootnoteReference"/>
        </w:rPr>
        <w:footnoteRef/>
      </w:r>
      <w:r>
        <w:t xml:space="preserve"> </w:t>
      </w:r>
      <w:r>
        <w:rPr>
          <w:i/>
        </w:rPr>
        <w:t>See</w:t>
      </w:r>
      <w:r>
        <w:t xml:space="preserve"> ULS File No. </w:t>
      </w:r>
      <w:r w:rsidRPr="004851E5">
        <w:t>0002482348</w:t>
      </w:r>
      <w:r>
        <w:t>.</w:t>
      </w:r>
    </w:p>
  </w:footnote>
  <w:footnote w:id="30">
    <w:p w14:paraId="395E60DF" w14:textId="77777777" w:rsidR="000C5F4C" w:rsidRPr="004851E5" w:rsidRDefault="000C5F4C" w:rsidP="004243C6">
      <w:pPr>
        <w:pStyle w:val="FootnoteText"/>
      </w:pPr>
      <w:r>
        <w:rPr>
          <w:rStyle w:val="FootnoteReference"/>
        </w:rPr>
        <w:footnoteRef/>
      </w:r>
      <w:r>
        <w:t xml:space="preserve"> </w:t>
      </w:r>
      <w:r>
        <w:rPr>
          <w:i/>
        </w:rPr>
        <w:t>2007 Extension Order</w:t>
      </w:r>
      <w:r>
        <w:t>, 22 FCC Rcd at 1929, para. 18.</w:t>
      </w:r>
    </w:p>
  </w:footnote>
  <w:footnote w:id="31">
    <w:p w14:paraId="74B72A64" w14:textId="77777777" w:rsidR="000C5F4C" w:rsidRPr="004851E5" w:rsidRDefault="000C5F4C" w:rsidP="004243C6">
      <w:pPr>
        <w:pStyle w:val="FootnoteText"/>
      </w:pPr>
      <w:r>
        <w:rPr>
          <w:rStyle w:val="FootnoteReference"/>
        </w:rPr>
        <w:footnoteRef/>
      </w:r>
      <w:r>
        <w:t xml:space="preserve"> </w:t>
      </w:r>
      <w:r>
        <w:rPr>
          <w:i/>
        </w:rPr>
        <w:t>Id</w:t>
      </w:r>
      <w:r>
        <w:t>. at paras. 19-20.</w:t>
      </w:r>
    </w:p>
  </w:footnote>
  <w:footnote w:id="32">
    <w:p w14:paraId="31E2474C" w14:textId="77777777" w:rsidR="000C5F4C" w:rsidRPr="004851E5" w:rsidRDefault="000C5F4C" w:rsidP="004243C6">
      <w:pPr>
        <w:pStyle w:val="FootnoteText"/>
      </w:pPr>
      <w:r>
        <w:rPr>
          <w:rStyle w:val="FootnoteReference"/>
        </w:rPr>
        <w:footnoteRef/>
      </w:r>
      <w:r>
        <w:t xml:space="preserve"> </w:t>
      </w:r>
      <w:r>
        <w:rPr>
          <w:i/>
        </w:rPr>
        <w:t>See</w:t>
      </w:r>
      <w:r>
        <w:t xml:space="preserve"> ULS File No. </w:t>
      </w:r>
      <w:r w:rsidRPr="004851E5">
        <w:t>0003134330</w:t>
      </w:r>
      <w:r>
        <w:t>.  Telesaurus disaggregated each of its M-LMS licenses except for WQGN602.  The 257 Havens controlled licenses are therefore comprised of: 1 original Telesaurus license, 128 disaggregated licenses retained by Telesaurus, and 128 disaggregated licenses assigned to Skybridge.  The original Telesaurus license and the 128 disaggregated licenses assigned to Skybridge, as set forth in Appendix A, are the subject licenses of the Skybridge/Telesaurus Request.</w:t>
      </w:r>
    </w:p>
  </w:footnote>
  <w:footnote w:id="33">
    <w:p w14:paraId="50D609F2" w14:textId="77777777" w:rsidR="000C5F4C" w:rsidRPr="00220BEA" w:rsidRDefault="000C5F4C" w:rsidP="004243C6">
      <w:pPr>
        <w:pStyle w:val="FootnoteText"/>
      </w:pPr>
      <w:r w:rsidRPr="00220BEA">
        <w:rPr>
          <w:rStyle w:val="FootnoteReference"/>
        </w:rPr>
        <w:footnoteRef/>
      </w:r>
      <w:r w:rsidRPr="00220BEA">
        <w:t xml:space="preserve"> </w:t>
      </w:r>
      <w:r w:rsidRPr="004851E5">
        <w:rPr>
          <w:i/>
        </w:rPr>
        <w:t>Amendment of the Commission's Part 90 Rules in the 904-909.75 and 919.75-928 MHz Bands</w:t>
      </w:r>
      <w:r w:rsidRPr="00220BEA">
        <w:t xml:space="preserve">, </w:t>
      </w:r>
      <w:r w:rsidRPr="004851E5">
        <w:rPr>
          <w:iCs/>
        </w:rPr>
        <w:t>Notice of Proposed Rulemaking</w:t>
      </w:r>
      <w:r w:rsidRPr="00220BEA">
        <w:t>, 21 FCC Rcd 2809 (2006) (</w:t>
      </w:r>
      <w:r w:rsidRPr="00220BEA">
        <w:rPr>
          <w:i/>
        </w:rPr>
        <w:t>M-</w:t>
      </w:r>
      <w:r w:rsidRPr="00220BEA">
        <w:rPr>
          <w:i/>
          <w:iCs/>
        </w:rPr>
        <w:t>LMS NPRM</w:t>
      </w:r>
      <w:r w:rsidRPr="00220BEA">
        <w:t>).</w:t>
      </w:r>
    </w:p>
  </w:footnote>
  <w:footnote w:id="34">
    <w:p w14:paraId="3E4872DD" w14:textId="77777777" w:rsidR="000C5F4C" w:rsidRPr="00220BEA" w:rsidRDefault="000C5F4C" w:rsidP="004243C6">
      <w:pPr>
        <w:pStyle w:val="FootnoteText"/>
      </w:pPr>
      <w:r w:rsidRPr="005B7DDA">
        <w:rPr>
          <w:rStyle w:val="FootnoteReference"/>
        </w:rPr>
        <w:footnoteRef/>
      </w:r>
      <w:r w:rsidRPr="00220BEA">
        <w:t xml:space="preserve"> </w:t>
      </w:r>
      <w:r>
        <w:rPr>
          <w:i/>
        </w:rPr>
        <w:t>Id.</w:t>
      </w:r>
      <w:r w:rsidRPr="00220BEA">
        <w:t xml:space="preserve"> at 2816-19</w:t>
      </w:r>
      <w:r>
        <w:t>,</w:t>
      </w:r>
      <w:r w:rsidRPr="00220BEA">
        <w:t xml:space="preserve"> </w:t>
      </w:r>
      <w:r>
        <w:t>paras.</w:t>
      </w:r>
      <w:r w:rsidRPr="00220BEA">
        <w:t xml:space="preserve"> 19-25.</w:t>
      </w:r>
    </w:p>
  </w:footnote>
  <w:footnote w:id="35">
    <w:p w14:paraId="7C6B5BFA" w14:textId="77777777" w:rsidR="000C5F4C" w:rsidRPr="00220BEA" w:rsidRDefault="000C5F4C" w:rsidP="004243C6">
      <w:pPr>
        <w:pStyle w:val="FootnoteText"/>
      </w:pPr>
      <w:r w:rsidRPr="005B7DDA">
        <w:rPr>
          <w:rStyle w:val="FootnoteReference"/>
        </w:rPr>
        <w:footnoteRef/>
      </w:r>
      <w:r w:rsidRPr="00220BEA">
        <w:t xml:space="preserve"> </w:t>
      </w:r>
      <w:r>
        <w:rPr>
          <w:i/>
        </w:rPr>
        <w:t>Id.</w:t>
      </w:r>
      <w:r w:rsidRPr="00220BEA">
        <w:t xml:space="preserve"> at 2818-21</w:t>
      </w:r>
      <w:r>
        <w:t>,</w:t>
      </w:r>
      <w:r w:rsidRPr="00220BEA">
        <w:t xml:space="preserve"> </w:t>
      </w:r>
      <w:r>
        <w:t>paras.</w:t>
      </w:r>
      <w:r w:rsidRPr="00220BEA">
        <w:t xml:space="preserve"> 26-33.</w:t>
      </w:r>
    </w:p>
  </w:footnote>
  <w:footnote w:id="36">
    <w:p w14:paraId="3DB481E7" w14:textId="77777777" w:rsidR="000C5F4C" w:rsidRPr="00220BEA" w:rsidRDefault="000C5F4C" w:rsidP="004243C6">
      <w:pPr>
        <w:pStyle w:val="FootnoteText"/>
      </w:pPr>
      <w:r w:rsidRPr="005B7DDA">
        <w:rPr>
          <w:rStyle w:val="FootnoteReference"/>
        </w:rPr>
        <w:footnoteRef/>
      </w:r>
      <w:r w:rsidRPr="00220BEA">
        <w:t xml:space="preserve"> </w:t>
      </w:r>
      <w:r>
        <w:rPr>
          <w:i/>
        </w:rPr>
        <w:t>Id.</w:t>
      </w:r>
      <w:r w:rsidRPr="00220BEA">
        <w:t xml:space="preserve"> at 2821</w:t>
      </w:r>
      <w:r>
        <w:t>,</w:t>
      </w:r>
      <w:r w:rsidRPr="00220BEA">
        <w:t xml:space="preserve"> </w:t>
      </w:r>
      <w:r>
        <w:t>paras.</w:t>
      </w:r>
      <w:r w:rsidRPr="00220BEA">
        <w:t xml:space="preserve"> 34-35.</w:t>
      </w:r>
    </w:p>
  </w:footnote>
  <w:footnote w:id="37">
    <w:p w14:paraId="50E84CF7" w14:textId="77777777" w:rsidR="000C5F4C" w:rsidRPr="00220BEA" w:rsidRDefault="000C5F4C" w:rsidP="004243C6">
      <w:pPr>
        <w:pStyle w:val="FootnoteText"/>
      </w:pPr>
      <w:r w:rsidRPr="005B7DDA">
        <w:rPr>
          <w:rStyle w:val="FootnoteReference"/>
        </w:rPr>
        <w:footnoteRef/>
      </w:r>
      <w:r w:rsidRPr="00220BEA">
        <w:t xml:space="preserve"> </w:t>
      </w:r>
      <w:r>
        <w:rPr>
          <w:i/>
        </w:rPr>
        <w:t>Id.</w:t>
      </w:r>
      <w:r w:rsidRPr="00220BEA">
        <w:t xml:space="preserve"> at 2822</w:t>
      </w:r>
      <w:r>
        <w:t>,</w:t>
      </w:r>
      <w:r w:rsidRPr="00220BEA">
        <w:t xml:space="preserve"> </w:t>
      </w:r>
      <w:r>
        <w:t>paras.</w:t>
      </w:r>
      <w:r w:rsidRPr="00220BEA">
        <w:t xml:space="preserve"> 36-38.</w:t>
      </w:r>
    </w:p>
  </w:footnote>
  <w:footnote w:id="38">
    <w:p w14:paraId="7ADD7598" w14:textId="77777777" w:rsidR="000C5F4C" w:rsidRPr="00220BEA" w:rsidRDefault="000C5F4C" w:rsidP="004243C6">
      <w:pPr>
        <w:pStyle w:val="FootnoteText"/>
      </w:pPr>
      <w:r w:rsidRPr="005B7DDA">
        <w:rPr>
          <w:rStyle w:val="FootnoteReference"/>
        </w:rPr>
        <w:footnoteRef/>
      </w:r>
      <w:r w:rsidRPr="00220BEA">
        <w:t xml:space="preserve"> </w:t>
      </w:r>
      <w:r>
        <w:rPr>
          <w:i/>
        </w:rPr>
        <w:t xml:space="preserve">Id. </w:t>
      </w:r>
      <w:r w:rsidRPr="00220BEA">
        <w:t>at 2823</w:t>
      </w:r>
      <w:r>
        <w:t>,</w:t>
      </w:r>
      <w:r w:rsidRPr="00220BEA">
        <w:t xml:space="preserve"> </w:t>
      </w:r>
      <w:r>
        <w:t>paras.</w:t>
      </w:r>
      <w:r w:rsidRPr="00220BEA">
        <w:t xml:space="preserve"> 39-40.</w:t>
      </w:r>
    </w:p>
  </w:footnote>
  <w:footnote w:id="39">
    <w:p w14:paraId="1CF54E91" w14:textId="77777777" w:rsidR="000C5F4C" w:rsidRPr="00220BEA" w:rsidRDefault="000C5F4C" w:rsidP="004243C6">
      <w:pPr>
        <w:pStyle w:val="FootnoteText"/>
      </w:pPr>
      <w:r w:rsidRPr="005B7DDA">
        <w:rPr>
          <w:rStyle w:val="FootnoteReference"/>
        </w:rPr>
        <w:footnoteRef/>
      </w:r>
      <w:r w:rsidRPr="00220BEA">
        <w:rPr>
          <w:i/>
        </w:rPr>
        <w:t xml:space="preserve"> </w:t>
      </w:r>
      <w:r w:rsidRPr="004851E5">
        <w:rPr>
          <w:i/>
        </w:rPr>
        <w:t>Requests of Progeny LMS, LLC and PCS Partners, L.P. for Waiver of Multilateration Location and Monitoring Service Construction Rules</w:t>
      </w:r>
      <w:r w:rsidRPr="00220BEA">
        <w:t xml:space="preserve">, </w:t>
      </w:r>
      <w:r w:rsidRPr="004851E5">
        <w:t>Order</w:t>
      </w:r>
      <w:r w:rsidRPr="00220BEA">
        <w:rPr>
          <w:i/>
        </w:rPr>
        <w:t xml:space="preserve">, </w:t>
      </w:r>
      <w:r w:rsidRPr="00220BEA">
        <w:rPr>
          <w:color w:val="000000"/>
        </w:rPr>
        <w:t>23 FCC Rcd 17250 (WTB 2008) (</w:t>
      </w:r>
      <w:r>
        <w:rPr>
          <w:i/>
          <w:color w:val="000000"/>
        </w:rPr>
        <w:t>2008</w:t>
      </w:r>
      <w:r>
        <w:rPr>
          <w:color w:val="000000"/>
        </w:rPr>
        <w:t xml:space="preserve"> </w:t>
      </w:r>
      <w:r w:rsidRPr="00220BEA">
        <w:rPr>
          <w:i/>
          <w:color w:val="000000"/>
        </w:rPr>
        <w:t>Extension Order</w:t>
      </w:r>
      <w:r w:rsidRPr="00220BEA">
        <w:rPr>
          <w:color w:val="000000"/>
        </w:rPr>
        <w:t>).</w:t>
      </w:r>
    </w:p>
  </w:footnote>
  <w:footnote w:id="40">
    <w:p w14:paraId="09D3DE61" w14:textId="77777777" w:rsidR="000C5F4C" w:rsidRPr="00220BEA" w:rsidRDefault="000C5F4C" w:rsidP="004243C6">
      <w:pPr>
        <w:pStyle w:val="FootnoteText"/>
      </w:pPr>
      <w:r w:rsidRPr="005B7DDA">
        <w:rPr>
          <w:rStyle w:val="FootnoteReference"/>
        </w:rPr>
        <w:footnoteRef/>
      </w:r>
      <w:r w:rsidRPr="00220BEA">
        <w:t xml:space="preserve"> </w:t>
      </w:r>
      <w:r w:rsidRPr="00220BEA">
        <w:rPr>
          <w:i/>
        </w:rPr>
        <w:t>See id</w:t>
      </w:r>
      <w:r>
        <w:rPr>
          <w:i/>
        </w:rPr>
        <w:t xml:space="preserve">. </w:t>
      </w:r>
      <w:r>
        <w:t>at</w:t>
      </w:r>
      <w:r w:rsidRPr="00220BEA">
        <w:t xml:space="preserve"> 17250</w:t>
      </w:r>
      <w:r>
        <w:t>,</w:t>
      </w:r>
      <w:r w:rsidRPr="00220BEA">
        <w:t xml:space="preserve"> </w:t>
      </w:r>
      <w:r>
        <w:t>para.</w:t>
      </w:r>
      <w:r w:rsidRPr="00220BEA">
        <w:t xml:space="preserve"> 1. </w:t>
      </w:r>
    </w:p>
  </w:footnote>
  <w:footnote w:id="41">
    <w:p w14:paraId="2006F094" w14:textId="77777777" w:rsidR="000C5F4C" w:rsidRPr="00220BEA" w:rsidRDefault="000C5F4C" w:rsidP="004243C6">
      <w:pPr>
        <w:pStyle w:val="FootnoteText"/>
      </w:pPr>
      <w:r w:rsidRPr="005B7DDA">
        <w:rPr>
          <w:rStyle w:val="FootnoteReference"/>
        </w:rPr>
        <w:footnoteRef/>
      </w:r>
      <w:r w:rsidRPr="00220BEA">
        <w:t xml:space="preserve"> </w:t>
      </w:r>
      <w:r w:rsidRPr="00220BEA">
        <w:rPr>
          <w:i/>
        </w:rPr>
        <w:t xml:space="preserve">Id. </w:t>
      </w:r>
      <w:r w:rsidRPr="00220BEA">
        <w:t>at 17257</w:t>
      </w:r>
      <w:r>
        <w:t>, para.</w:t>
      </w:r>
      <w:r w:rsidRPr="00220BEA">
        <w:t xml:space="preserve"> 22.</w:t>
      </w:r>
    </w:p>
  </w:footnote>
  <w:footnote w:id="42">
    <w:p w14:paraId="4548203A" w14:textId="77777777" w:rsidR="000C5F4C" w:rsidRPr="00220BEA" w:rsidRDefault="000C5F4C" w:rsidP="004243C6">
      <w:pPr>
        <w:pStyle w:val="FootnoteText"/>
        <w:rPr>
          <w:i/>
        </w:rPr>
      </w:pPr>
      <w:r w:rsidRPr="00136B4A">
        <w:rPr>
          <w:rStyle w:val="FootnoteReference"/>
        </w:rPr>
        <w:footnoteRef/>
      </w:r>
      <w:r w:rsidRPr="00136B4A">
        <w:t xml:space="preserve"> </w:t>
      </w:r>
      <w:r w:rsidRPr="00136B4A">
        <w:rPr>
          <w:i/>
        </w:rPr>
        <w:t>Id</w:t>
      </w:r>
      <w:r w:rsidRPr="00136B4A">
        <w:t>.</w:t>
      </w:r>
      <w:r w:rsidRPr="00220BEA">
        <w:rPr>
          <w:i/>
        </w:rPr>
        <w:t xml:space="preserve"> </w:t>
      </w:r>
      <w:r w:rsidRPr="00220BEA">
        <w:t>at 17257-58</w:t>
      </w:r>
      <w:r>
        <w:t>,</w:t>
      </w:r>
      <w:r w:rsidRPr="00220BEA">
        <w:t xml:space="preserve"> </w:t>
      </w:r>
      <w:r>
        <w:t>para.</w:t>
      </w:r>
      <w:r w:rsidRPr="00220BEA">
        <w:t xml:space="preserve"> 22.  </w:t>
      </w:r>
      <w:r w:rsidRPr="00220BEA">
        <w:rPr>
          <w:i/>
          <w:iCs/>
        </w:rPr>
        <w:t>See</w:t>
      </w:r>
      <w:r>
        <w:rPr>
          <w:i/>
          <w:iCs/>
        </w:rPr>
        <w:t xml:space="preserve"> also</w:t>
      </w:r>
      <w:r w:rsidRPr="00220BEA">
        <w:rPr>
          <w:i/>
          <w:iCs/>
        </w:rPr>
        <w:t xml:space="preserve"> M-LMS NPRM</w:t>
      </w:r>
      <w:r w:rsidRPr="000F6C38">
        <w:rPr>
          <w:iCs/>
        </w:rPr>
        <w:t>,</w:t>
      </w:r>
      <w:r w:rsidRPr="00220BEA">
        <w:rPr>
          <w:i/>
          <w:iCs/>
        </w:rPr>
        <w:t xml:space="preserve"> </w:t>
      </w:r>
      <w:r w:rsidRPr="00220BEA">
        <w:rPr>
          <w:iCs/>
        </w:rPr>
        <w:t>21 FCC Rcd 2809.</w:t>
      </w:r>
    </w:p>
  </w:footnote>
  <w:footnote w:id="43">
    <w:p w14:paraId="7B092F54" w14:textId="77777777" w:rsidR="000C5F4C" w:rsidRPr="00220BEA" w:rsidRDefault="000C5F4C" w:rsidP="004243C6">
      <w:pPr>
        <w:pStyle w:val="FootnoteText"/>
      </w:pPr>
      <w:r w:rsidRPr="005B7DDA">
        <w:rPr>
          <w:rStyle w:val="FootnoteReference"/>
        </w:rPr>
        <w:footnoteRef/>
      </w:r>
      <w:r w:rsidRPr="00220BEA">
        <w:t xml:space="preserve"> </w:t>
      </w:r>
      <w:r>
        <w:rPr>
          <w:i/>
        </w:rPr>
        <w:t>2008</w:t>
      </w:r>
      <w:r w:rsidRPr="00220BEA">
        <w:rPr>
          <w:i/>
        </w:rPr>
        <w:t xml:space="preserve"> Extension Order</w:t>
      </w:r>
      <w:r w:rsidRPr="000F6C38">
        <w:t xml:space="preserve">, </w:t>
      </w:r>
      <w:r w:rsidRPr="00220BEA">
        <w:t>23 FCC Rcd at 17260</w:t>
      </w:r>
      <w:r>
        <w:t>,</w:t>
      </w:r>
      <w:r w:rsidRPr="00220BEA">
        <w:t xml:space="preserve"> </w:t>
      </w:r>
      <w:r>
        <w:t>para.</w:t>
      </w:r>
      <w:r w:rsidRPr="00220BEA">
        <w:t xml:space="preserve"> 30.</w:t>
      </w:r>
    </w:p>
  </w:footnote>
  <w:footnote w:id="44">
    <w:p w14:paraId="2A6996B0" w14:textId="77777777" w:rsidR="000C5F4C" w:rsidRPr="00220BEA" w:rsidRDefault="000C5F4C" w:rsidP="004243C6">
      <w:pPr>
        <w:pStyle w:val="FootnoteText"/>
      </w:pPr>
      <w:r w:rsidRPr="00220BEA">
        <w:rPr>
          <w:rStyle w:val="FootnoteReference"/>
        </w:rPr>
        <w:footnoteRef/>
      </w:r>
      <w:r w:rsidRPr="00220BEA">
        <w:t xml:space="preserve"> </w:t>
      </w:r>
      <w:r>
        <w:t xml:space="preserve">47 CFR </w:t>
      </w:r>
      <w:r w:rsidRPr="00220BEA">
        <w:t>§</w:t>
      </w:r>
      <w:r>
        <w:t xml:space="preserve"> 90.155(d).  As an alternative to the population coverage requirements, </w:t>
      </w:r>
      <w:r w:rsidRPr="00220BEA">
        <w:t>M-LMS licensee</w:t>
      </w:r>
      <w:r>
        <w:t>s</w:t>
      </w:r>
      <w:r w:rsidRPr="00220BEA">
        <w:t xml:space="preserve"> may make a</w:t>
      </w:r>
      <w:r>
        <w:t xml:space="preserve"> showing of substantial service </w:t>
      </w:r>
      <w:r w:rsidRPr="00220BEA">
        <w:t xml:space="preserve">for its license at the five- and ten-year benchmarks.  </w:t>
      </w:r>
      <w:r w:rsidRPr="00220BEA">
        <w:rPr>
          <w:i/>
        </w:rPr>
        <w:t>Id.</w:t>
      </w:r>
      <w:r w:rsidRPr="00220BEA">
        <w:t xml:space="preserve">  Under </w:t>
      </w:r>
      <w:r>
        <w:t xml:space="preserve">Commission rules, </w:t>
      </w:r>
      <w:r w:rsidRPr="00220BEA">
        <w:t>an M-LMS license will automatically terminate as of the construction deadline if the licensee fails to meet</w:t>
      </w:r>
      <w:r>
        <w:t xml:space="preserve"> the construction requirement.  </w:t>
      </w:r>
      <w:r w:rsidRPr="00DA0209">
        <w:rPr>
          <w:i/>
        </w:rPr>
        <w:t>See</w:t>
      </w:r>
      <w:r>
        <w:t xml:space="preserve"> </w:t>
      </w:r>
      <w:r>
        <w:rPr>
          <w:i/>
        </w:rPr>
        <w:t>id.</w:t>
      </w:r>
      <w:r w:rsidRPr="00220BEA">
        <w:t xml:space="preserve"> §§ 1.946(c), 1.955(a)(2).</w:t>
      </w:r>
    </w:p>
  </w:footnote>
  <w:footnote w:id="45">
    <w:p w14:paraId="2FC6AA71" w14:textId="77777777" w:rsidR="000C5F4C" w:rsidRDefault="000C5F4C" w:rsidP="004243C6">
      <w:pPr>
        <w:pStyle w:val="FootnoteText"/>
      </w:pPr>
      <w:r>
        <w:rPr>
          <w:rStyle w:val="FootnoteReference"/>
        </w:rPr>
        <w:footnoteRef/>
      </w:r>
      <w:r>
        <w:t xml:space="preserve"> </w:t>
      </w:r>
      <w:r w:rsidRPr="00220BEA">
        <w:rPr>
          <w:i/>
          <w:color w:val="000000"/>
        </w:rPr>
        <w:t>See, e.g.</w:t>
      </w:r>
      <w:r w:rsidRPr="000F6C38">
        <w:rPr>
          <w:color w:val="000000"/>
        </w:rPr>
        <w:t xml:space="preserve">, </w:t>
      </w:r>
      <w:r w:rsidRPr="00220BEA">
        <w:rPr>
          <w:color w:val="000000"/>
        </w:rPr>
        <w:t xml:space="preserve">FCR, Inc. Request for Waiver and Extension of First Build-Out Deadline, ULS File No. </w:t>
      </w:r>
      <w:r w:rsidRPr="00220BEA">
        <w:t>0005288407</w:t>
      </w:r>
      <w:r w:rsidRPr="00220BEA">
        <w:rPr>
          <w:color w:val="000000"/>
        </w:rPr>
        <w:t xml:space="preserve"> (filed July 13, 2012); Helen Wong-Armijo Request for Waiver and Extension of First Build-Out Deadline, ULS File </w:t>
      </w:r>
      <w:r w:rsidRPr="00BD051A">
        <w:rPr>
          <w:color w:val="000000"/>
        </w:rPr>
        <w:t>No</w:t>
      </w:r>
      <w:r>
        <w:rPr>
          <w:color w:val="000000"/>
        </w:rPr>
        <w:t>. 0</w:t>
      </w:r>
      <w:r w:rsidRPr="00BD051A">
        <w:rPr>
          <w:color w:val="000000"/>
        </w:rPr>
        <w:t>005288533 (filed July 11, 2012); Skybridge Spectrum Foundation Request for Extension of Time, ULS File No</w:t>
      </w:r>
      <w:r>
        <w:rPr>
          <w:color w:val="000000"/>
        </w:rPr>
        <w:t xml:space="preserve">. </w:t>
      </w:r>
      <w:r w:rsidRPr="00BD051A">
        <w:rPr>
          <w:color w:val="000000"/>
        </w:rPr>
        <w:t>0005315615</w:t>
      </w:r>
      <w:r>
        <w:rPr>
          <w:color w:val="000000"/>
        </w:rPr>
        <w:t xml:space="preserve"> (filed July 18, 2012</w:t>
      </w:r>
      <w:r w:rsidRPr="00220BEA">
        <w:rPr>
          <w:color w:val="000000"/>
        </w:rPr>
        <w:t>); Telesaurus Holdings GB</w:t>
      </w:r>
      <w:r>
        <w:rPr>
          <w:color w:val="000000"/>
        </w:rPr>
        <w:t>, LLC</w:t>
      </w:r>
      <w:r w:rsidRPr="00220BEA">
        <w:rPr>
          <w:color w:val="000000"/>
        </w:rPr>
        <w:t xml:space="preserve"> Request for Extension of Time, ULS File No.</w:t>
      </w:r>
      <w:r w:rsidRPr="00DA0209">
        <w:rPr>
          <w:snapToGrid w:val="0"/>
          <w:color w:val="000000"/>
          <w:kern w:val="28"/>
          <w:shd w:val="clear" w:color="auto" w:fill="F7F5FF"/>
        </w:rPr>
        <w:t xml:space="preserve"> </w:t>
      </w:r>
      <w:r w:rsidRPr="00220BEA">
        <w:rPr>
          <w:color w:val="000000"/>
        </w:rPr>
        <w:t>0005315744 (filed July 18, 2012).</w:t>
      </w:r>
      <w:r>
        <w:rPr>
          <w:color w:val="000000"/>
        </w:rPr>
        <w:t xml:space="preserve"> </w:t>
      </w:r>
      <w:r w:rsidRPr="00220BEA">
        <w:rPr>
          <w:color w:val="000000"/>
        </w:rPr>
        <w:t xml:space="preserve"> </w:t>
      </w:r>
      <w:r>
        <w:rPr>
          <w:color w:val="000000"/>
        </w:rPr>
        <w:t>In</w:t>
      </w:r>
      <w:r w:rsidRPr="00220BEA">
        <w:rPr>
          <w:color w:val="000000"/>
        </w:rPr>
        <w:t xml:space="preserve"> July 2014</w:t>
      </w:r>
      <w:r>
        <w:rPr>
          <w:color w:val="000000"/>
        </w:rPr>
        <w:t xml:space="preserve">, </w:t>
      </w:r>
      <w:r w:rsidRPr="009163CF">
        <w:rPr>
          <w:color w:val="000000"/>
        </w:rPr>
        <w:t>Skybridge and Telesaurus</w:t>
      </w:r>
      <w:r w:rsidRPr="009163CF" w:rsidDel="009163CF">
        <w:rPr>
          <w:color w:val="000000"/>
        </w:rPr>
        <w:t xml:space="preserve"> </w:t>
      </w:r>
      <w:r w:rsidRPr="00220BEA">
        <w:rPr>
          <w:color w:val="000000"/>
        </w:rPr>
        <w:t>filed</w:t>
      </w:r>
      <w:r>
        <w:rPr>
          <w:color w:val="000000"/>
        </w:rPr>
        <w:t xml:space="preserve"> separate </w:t>
      </w:r>
      <w:r w:rsidRPr="00220BEA">
        <w:rPr>
          <w:color w:val="000000"/>
        </w:rPr>
        <w:t>requests</w:t>
      </w:r>
      <w:r>
        <w:rPr>
          <w:color w:val="000000"/>
        </w:rPr>
        <w:t xml:space="preserve"> seeking additional relief</w:t>
      </w:r>
      <w:r w:rsidRPr="00220BEA">
        <w:rPr>
          <w:color w:val="000000"/>
        </w:rPr>
        <w:t xml:space="preserve">.  </w:t>
      </w:r>
      <w:r w:rsidRPr="00220BEA">
        <w:rPr>
          <w:i/>
          <w:color w:val="000000"/>
        </w:rPr>
        <w:t>See e.g.</w:t>
      </w:r>
      <w:r w:rsidRPr="000F6C38">
        <w:rPr>
          <w:color w:val="000000"/>
        </w:rPr>
        <w:t xml:space="preserve">, </w:t>
      </w:r>
      <w:r w:rsidRPr="004851E5">
        <w:rPr>
          <w:color w:val="000000"/>
        </w:rPr>
        <w:t xml:space="preserve">Skybridge </w:t>
      </w:r>
      <w:r w:rsidRPr="004851E5">
        <w:rPr>
          <w:snapToGrid w:val="0"/>
          <w:kern w:val="28"/>
        </w:rPr>
        <w:t>Waiver and Request for Extension of Time</w:t>
      </w:r>
      <w:r w:rsidRPr="004851E5">
        <w:rPr>
          <w:color w:val="000000"/>
        </w:rPr>
        <w:t>, ULS File No.</w:t>
      </w:r>
      <w:r w:rsidRPr="004851E5">
        <w:rPr>
          <w:snapToGrid w:val="0"/>
          <w:color w:val="000000"/>
          <w:kern w:val="28"/>
        </w:rPr>
        <w:t xml:space="preserve"> </w:t>
      </w:r>
      <w:r w:rsidRPr="004851E5">
        <w:t>0006385481</w:t>
      </w:r>
      <w:r w:rsidRPr="004851E5">
        <w:rPr>
          <w:color w:val="000000"/>
        </w:rPr>
        <w:t xml:space="preserve"> (filed July 18, 2014); </w:t>
      </w:r>
      <w:r w:rsidRPr="004851E5">
        <w:rPr>
          <w:snapToGrid w:val="0"/>
          <w:color w:val="000000"/>
          <w:kern w:val="28"/>
        </w:rPr>
        <w:t xml:space="preserve">Telesaurus </w:t>
      </w:r>
      <w:r w:rsidRPr="004851E5">
        <w:t>Further Supplement to Pending Extension Requests</w:t>
      </w:r>
      <w:r w:rsidRPr="004851E5">
        <w:rPr>
          <w:color w:val="000000"/>
        </w:rPr>
        <w:t>,</w:t>
      </w:r>
      <w:r w:rsidRPr="004851E5">
        <w:rPr>
          <w:snapToGrid w:val="0"/>
          <w:color w:val="000000"/>
          <w:kern w:val="28"/>
        </w:rPr>
        <w:t xml:space="preserve"> </w:t>
      </w:r>
      <w:r w:rsidRPr="004851E5">
        <w:rPr>
          <w:snapToGrid w:val="0"/>
          <w:kern w:val="28"/>
        </w:rPr>
        <w:t>Waiver and Request for Extension of Time</w:t>
      </w:r>
      <w:r w:rsidRPr="004851E5">
        <w:rPr>
          <w:snapToGrid w:val="0"/>
          <w:color w:val="000000"/>
          <w:kern w:val="28"/>
        </w:rPr>
        <w:t>,</w:t>
      </w:r>
      <w:r w:rsidRPr="004851E5">
        <w:rPr>
          <w:color w:val="000000"/>
        </w:rPr>
        <w:t xml:space="preserve"> ULS File No. 0006393307 (filed July 18, 2014).</w:t>
      </w:r>
      <w:r>
        <w:rPr>
          <w:color w:val="000000"/>
        </w:rPr>
        <w:t xml:space="preserve">  PCS Partners, L.P. also filed waiver and extension requests in this proceeding that we omit here, and address only the requests of FCR, HWA, Skybridge, and Telesaurus filed in 2012 and 2014 (collectively, 2012 and 2014 Extension and Waiver Requests).</w:t>
      </w:r>
    </w:p>
  </w:footnote>
  <w:footnote w:id="46">
    <w:p w14:paraId="738575FB" w14:textId="77777777" w:rsidR="000C5F4C" w:rsidRPr="009526BE" w:rsidRDefault="000C5F4C" w:rsidP="004243C6">
      <w:pPr>
        <w:pStyle w:val="FootnoteText"/>
      </w:pPr>
      <w:r>
        <w:rPr>
          <w:rStyle w:val="FootnoteReference"/>
        </w:rPr>
        <w:footnoteRef/>
      </w:r>
      <w:r>
        <w:t xml:space="preserve"> </w:t>
      </w:r>
      <w:r>
        <w:rPr>
          <w:i/>
        </w:rPr>
        <w:t>Amendment of the Commission’s Part 90 Rules in the 904-909.75 and 919.75-928 Bands</w:t>
      </w:r>
      <w:r>
        <w:t>, Order, 29 FCC Rcd 6361 (2014) (</w:t>
      </w:r>
      <w:r>
        <w:rPr>
          <w:i/>
        </w:rPr>
        <w:t>2014 Termination Order</w:t>
      </w:r>
      <w:r>
        <w:t>).</w:t>
      </w:r>
    </w:p>
  </w:footnote>
  <w:footnote w:id="47">
    <w:p w14:paraId="620C2295" w14:textId="77777777" w:rsidR="000C5F4C" w:rsidRPr="00E03229" w:rsidRDefault="000C5F4C" w:rsidP="004243C6">
      <w:pPr>
        <w:pStyle w:val="FootnoteText"/>
      </w:pPr>
      <w:r>
        <w:rPr>
          <w:rStyle w:val="FootnoteReference"/>
        </w:rPr>
        <w:footnoteRef/>
      </w:r>
      <w:r>
        <w:t xml:space="preserve"> I</w:t>
      </w:r>
      <w:r w:rsidRPr="00CC1E25">
        <w:t>n December 2011, the Bureau and the Office of Engineering and Technology (OET) jointly granted Progeny’s request for a waiver of two technical rules, condition</w:t>
      </w:r>
      <w:r>
        <w:t>ed</w:t>
      </w:r>
      <w:r w:rsidRPr="00CC1E25">
        <w:t xml:space="preserve"> on Progeny filing a field testing report prior to commencing commercial operation demonstrating that its M-LMS system would not cause unacceptable levels of interference to Part 15 devices that operate in the 902-928 MHz band.  </w:t>
      </w:r>
      <w:r w:rsidRPr="00220BEA">
        <w:rPr>
          <w:i/>
          <w:iCs/>
        </w:rPr>
        <w:t xml:space="preserve">See </w:t>
      </w:r>
      <w:r w:rsidRPr="00640146">
        <w:rPr>
          <w:i/>
          <w:iCs/>
        </w:rPr>
        <w:t>Request by Progeny LMS, LLC for Waiver of Certain Multilateration Location and Monitoring Service Rules</w:t>
      </w:r>
      <w:r w:rsidRPr="00640146">
        <w:rPr>
          <w:iCs/>
        </w:rPr>
        <w:t>,</w:t>
      </w:r>
      <w:r w:rsidRPr="00220BEA">
        <w:rPr>
          <w:i/>
          <w:iCs/>
        </w:rPr>
        <w:t xml:space="preserve"> </w:t>
      </w:r>
      <w:r w:rsidRPr="00640146">
        <w:t>Order,</w:t>
      </w:r>
      <w:r w:rsidRPr="00220BEA">
        <w:rPr>
          <w:i/>
        </w:rPr>
        <w:t xml:space="preserve"> </w:t>
      </w:r>
      <w:r w:rsidRPr="00220BEA">
        <w:t xml:space="preserve">26 FCC Rcd 16878 (WTB/OET 2011).  </w:t>
      </w:r>
      <w:r>
        <w:t>I</w:t>
      </w:r>
      <w:r w:rsidRPr="00220BEA">
        <w:t xml:space="preserve">n June 2013, the Commission adopted an Order allowing Progeny to commence commercial operations of its M-LMS network on Blocks B and C of its spectrum, subject to certain conditions.  </w:t>
      </w:r>
      <w:r w:rsidRPr="00220BEA">
        <w:rPr>
          <w:i/>
        </w:rPr>
        <w:t xml:space="preserve">See </w:t>
      </w:r>
      <w:r w:rsidRPr="00640146">
        <w:rPr>
          <w:i/>
        </w:rPr>
        <w:t>Request by Progeny LMS, LLC for Waiver of Certain Multilateration Location and Monitoring Service Rules</w:t>
      </w:r>
      <w:r w:rsidRPr="00220BEA">
        <w:t xml:space="preserve">, </w:t>
      </w:r>
      <w:r w:rsidRPr="00640146">
        <w:t>Order,</w:t>
      </w:r>
      <w:r w:rsidRPr="00220BEA">
        <w:rPr>
          <w:i/>
        </w:rPr>
        <w:t xml:space="preserve"> </w:t>
      </w:r>
      <w:r w:rsidRPr="00220BEA">
        <w:t>28 FCC Rcd 8555 (2013)</w:t>
      </w:r>
      <w:r w:rsidRPr="00640146">
        <w:t>.</w:t>
      </w:r>
    </w:p>
  </w:footnote>
  <w:footnote w:id="48">
    <w:p w14:paraId="06978679" w14:textId="77777777" w:rsidR="000C5F4C" w:rsidRPr="00640146" w:rsidRDefault="000C5F4C" w:rsidP="004243C6">
      <w:pPr>
        <w:pStyle w:val="FootnoteText"/>
      </w:pPr>
      <w:r>
        <w:rPr>
          <w:rStyle w:val="FootnoteReference"/>
        </w:rPr>
        <w:footnoteRef/>
      </w:r>
      <w:r>
        <w:t xml:space="preserve"> </w:t>
      </w:r>
      <w:r>
        <w:rPr>
          <w:i/>
        </w:rPr>
        <w:t>2014 Termination Order</w:t>
      </w:r>
      <w:r>
        <w:t>, 29 FCC Rcd at 6362, para. 8.</w:t>
      </w:r>
    </w:p>
  </w:footnote>
  <w:footnote w:id="49">
    <w:p w14:paraId="7E0E8959" w14:textId="77777777" w:rsidR="000C5F4C" w:rsidRPr="002B796A" w:rsidRDefault="000C5F4C" w:rsidP="004243C6">
      <w:pPr>
        <w:pStyle w:val="FootnoteText"/>
      </w:pPr>
      <w:r>
        <w:rPr>
          <w:rStyle w:val="FootnoteReference"/>
        </w:rPr>
        <w:footnoteRef/>
      </w:r>
      <w:r>
        <w:t xml:space="preserve"> </w:t>
      </w:r>
      <w:r w:rsidRPr="003562D7">
        <w:rPr>
          <w:i/>
          <w:iCs/>
        </w:rPr>
        <w:t xml:space="preserve">See </w:t>
      </w:r>
      <w:r w:rsidRPr="00DC4421">
        <w:rPr>
          <w:i/>
        </w:rPr>
        <w:t>Requests by FCR, Inc., Progeny LMS, LLC, PCS Partners, L.P. and Helen Wong-Armijo for Waiver and Limited Extension of Time; Requests by Skybridge Spectrum Foundation and Telesaurus Holdings GB, LLC for Waiver and Limited Extension of Time</w:t>
      </w:r>
      <w:r>
        <w:t xml:space="preserve">, </w:t>
      </w:r>
      <w:r w:rsidRPr="00DC4421">
        <w:rPr>
          <w:iCs/>
        </w:rPr>
        <w:t>Order,</w:t>
      </w:r>
      <w:r w:rsidRPr="003562D7">
        <w:rPr>
          <w:i/>
          <w:iCs/>
        </w:rPr>
        <w:t xml:space="preserve"> </w:t>
      </w:r>
      <w:r>
        <w:t>29 FCC Rcd 10361 (WTB MD 2014) (</w:t>
      </w:r>
      <w:r w:rsidRPr="003562D7">
        <w:rPr>
          <w:i/>
          <w:iCs/>
        </w:rPr>
        <w:t>2014 Extension Order</w:t>
      </w:r>
      <w:r>
        <w:t xml:space="preserve">).  In 2017, the Division denied PCS Partners’ and Havens’ request for reconsideration of the </w:t>
      </w:r>
      <w:r w:rsidRPr="00B91187">
        <w:rPr>
          <w:i/>
        </w:rPr>
        <w:t>2014 Extension Order</w:t>
      </w:r>
      <w:r>
        <w:t xml:space="preserve">.  </w:t>
      </w:r>
      <w:r w:rsidRPr="00B91187">
        <w:rPr>
          <w:i/>
        </w:rPr>
        <w:t>See</w:t>
      </w:r>
      <w:r>
        <w:t xml:space="preserve"> </w:t>
      </w:r>
      <w:r w:rsidRPr="00DD23E2">
        <w:rPr>
          <w:i/>
        </w:rPr>
        <w:t>PCS Partners, L.P., Applications for Waiver and Limited Extension of Time</w:t>
      </w:r>
      <w:r>
        <w:rPr>
          <w:i/>
        </w:rPr>
        <w:t>; Skybridge Spectrum Foundation and Telesaurus Holdings GB, LLC Applications for Waiver and Limited Extension of Time</w:t>
      </w:r>
      <w:r w:rsidRPr="000F6C38">
        <w:t xml:space="preserve">, </w:t>
      </w:r>
      <w:r w:rsidRPr="00DD23E2">
        <w:t>Order on Reconsideration, 32 FCC Rcd 556 (WTB MD 2017) (</w:t>
      </w:r>
      <w:r w:rsidRPr="00DD23E2">
        <w:rPr>
          <w:i/>
        </w:rPr>
        <w:t>2017 M-LMS Order on Recon</w:t>
      </w:r>
      <w:r w:rsidRPr="00DD23E2">
        <w:t xml:space="preserve">), </w:t>
      </w:r>
      <w:r w:rsidRPr="00DD23E2">
        <w:rPr>
          <w:i/>
        </w:rPr>
        <w:t>apps. for review pending</w:t>
      </w:r>
      <w:r w:rsidRPr="000F6C38">
        <w:t>.</w:t>
      </w:r>
    </w:p>
  </w:footnote>
  <w:footnote w:id="50">
    <w:p w14:paraId="0EB820C8" w14:textId="77777777" w:rsidR="000C5F4C" w:rsidRDefault="000C5F4C" w:rsidP="004243C6">
      <w:pPr>
        <w:pStyle w:val="FootnoteText"/>
      </w:pPr>
      <w:r>
        <w:rPr>
          <w:rStyle w:val="FootnoteReference"/>
        </w:rPr>
        <w:footnoteRef/>
      </w:r>
      <w:r>
        <w:t xml:space="preserve"> </w:t>
      </w:r>
      <w:r>
        <w:rPr>
          <w:i/>
        </w:rPr>
        <w:t>2014 Extension Order</w:t>
      </w:r>
      <w:r>
        <w:t>, 29 FCC Rcd at 10367, para. 16.</w:t>
      </w:r>
    </w:p>
  </w:footnote>
  <w:footnote w:id="51">
    <w:p w14:paraId="48CE5F77" w14:textId="77777777" w:rsidR="000C5F4C" w:rsidRDefault="000C5F4C" w:rsidP="004243C6">
      <w:pPr>
        <w:pStyle w:val="FootnoteText"/>
      </w:pPr>
      <w:r>
        <w:rPr>
          <w:rStyle w:val="FootnoteReference"/>
        </w:rPr>
        <w:footnoteRef/>
      </w:r>
      <w:r>
        <w:t xml:space="preserve"> </w:t>
      </w:r>
      <w:r w:rsidRPr="002B796A">
        <w:rPr>
          <w:i/>
        </w:rPr>
        <w:t>Id.</w:t>
      </w:r>
      <w:r>
        <w:t xml:space="preserve"> at </w:t>
      </w:r>
      <w:r w:rsidRPr="002B796A">
        <w:t>para</w:t>
      </w:r>
      <w:r>
        <w:t>. 17.</w:t>
      </w:r>
    </w:p>
  </w:footnote>
  <w:footnote w:id="52">
    <w:p w14:paraId="303124A9" w14:textId="77777777" w:rsidR="000C5F4C" w:rsidRPr="00037453" w:rsidRDefault="000C5F4C" w:rsidP="004243C6">
      <w:pPr>
        <w:pStyle w:val="FootnoteText"/>
        <w:rPr>
          <w:i/>
        </w:rPr>
      </w:pPr>
      <w:r>
        <w:rPr>
          <w:rStyle w:val="FootnoteReference"/>
        </w:rPr>
        <w:footnoteRef/>
      </w:r>
      <w:r>
        <w:t xml:space="preserve"> </w:t>
      </w:r>
      <w:r>
        <w:rPr>
          <w:i/>
        </w:rPr>
        <w:t>Id.</w:t>
      </w:r>
    </w:p>
  </w:footnote>
  <w:footnote w:id="53">
    <w:p w14:paraId="6858255C" w14:textId="77777777" w:rsidR="000C5F4C" w:rsidRPr="002B796A" w:rsidRDefault="000C5F4C" w:rsidP="004243C6">
      <w:pPr>
        <w:pStyle w:val="FootnoteText"/>
      </w:pPr>
      <w:r>
        <w:rPr>
          <w:rStyle w:val="FootnoteReference"/>
        </w:rPr>
        <w:footnoteRef/>
      </w:r>
      <w:r>
        <w:t xml:space="preserve"> </w:t>
      </w:r>
      <w:r>
        <w:rPr>
          <w:i/>
        </w:rPr>
        <w:t>Id</w:t>
      </w:r>
      <w:r>
        <w:t>.</w:t>
      </w:r>
    </w:p>
  </w:footnote>
  <w:footnote w:id="54">
    <w:p w14:paraId="189E1C95" w14:textId="77777777" w:rsidR="000C5F4C" w:rsidRPr="002B796A" w:rsidRDefault="000C5F4C" w:rsidP="004243C6">
      <w:pPr>
        <w:pStyle w:val="FootnoteText"/>
      </w:pPr>
      <w:r>
        <w:rPr>
          <w:rStyle w:val="FootnoteReference"/>
        </w:rPr>
        <w:footnoteRef/>
      </w:r>
      <w:r>
        <w:t xml:space="preserve"> </w:t>
      </w:r>
      <w:r>
        <w:rPr>
          <w:i/>
        </w:rPr>
        <w:t>Id</w:t>
      </w:r>
      <w:r w:rsidRPr="000F6C38">
        <w:rPr>
          <w:i/>
        </w:rPr>
        <w:t>.</w:t>
      </w:r>
      <w:r>
        <w:t xml:space="preserve"> at 10368, para. 18.</w:t>
      </w:r>
    </w:p>
  </w:footnote>
  <w:footnote w:id="55">
    <w:p w14:paraId="04BB31A9" w14:textId="77777777" w:rsidR="000C5F4C" w:rsidRPr="002B796A" w:rsidRDefault="000C5F4C" w:rsidP="004243C6">
      <w:pPr>
        <w:pStyle w:val="FootnoteText"/>
      </w:pPr>
      <w:r>
        <w:rPr>
          <w:rStyle w:val="FootnoteReference"/>
        </w:rPr>
        <w:footnoteRef/>
      </w:r>
      <w:r>
        <w:t xml:space="preserve"> </w:t>
      </w:r>
      <w:r>
        <w:rPr>
          <w:i/>
        </w:rPr>
        <w:t>Id.</w:t>
      </w:r>
      <w:r>
        <w:t xml:space="preserve"> at para. 17.</w:t>
      </w:r>
    </w:p>
  </w:footnote>
  <w:footnote w:id="56">
    <w:p w14:paraId="1C6CD658" w14:textId="77777777" w:rsidR="000C5F4C" w:rsidRPr="002B796A" w:rsidRDefault="000C5F4C" w:rsidP="004243C6">
      <w:pPr>
        <w:pStyle w:val="FootnoteText"/>
      </w:pPr>
      <w:r>
        <w:rPr>
          <w:rStyle w:val="FootnoteReference"/>
        </w:rPr>
        <w:footnoteRef/>
      </w:r>
      <w:r>
        <w:t xml:space="preserve"> </w:t>
      </w:r>
      <w:r>
        <w:rPr>
          <w:i/>
        </w:rPr>
        <w:t>2014 Extension Order</w:t>
      </w:r>
      <w:r>
        <w:t>, 29 FCC Rcd at 10368, para. 18.</w:t>
      </w:r>
    </w:p>
  </w:footnote>
  <w:footnote w:id="57">
    <w:p w14:paraId="1667BF6B" w14:textId="77777777" w:rsidR="000C5F4C" w:rsidRDefault="000C5F4C" w:rsidP="004243C6">
      <w:pPr>
        <w:pStyle w:val="FootnoteText"/>
      </w:pPr>
      <w:r w:rsidRPr="00CE5E34">
        <w:rPr>
          <w:rStyle w:val="FootnoteReference"/>
        </w:rPr>
        <w:footnoteRef/>
      </w:r>
      <w:r w:rsidRPr="00CE5E34">
        <w:t xml:space="preserve"> </w:t>
      </w:r>
      <w:r w:rsidRPr="00DD23E2">
        <w:rPr>
          <w:i/>
        </w:rPr>
        <w:t>2017 M-LMS Order on Recon</w:t>
      </w:r>
      <w:r>
        <w:t xml:space="preserve">, 32 FCC Rcd </w:t>
      </w:r>
      <w:r w:rsidRPr="00CE5E34">
        <w:t xml:space="preserve">at </w:t>
      </w:r>
      <w:r>
        <w:t xml:space="preserve">562-64, </w:t>
      </w:r>
      <w:r w:rsidRPr="00CE5E34">
        <w:t>paras. 18-22.</w:t>
      </w:r>
    </w:p>
  </w:footnote>
  <w:footnote w:id="58">
    <w:p w14:paraId="2527305C" w14:textId="77777777" w:rsidR="000C5F4C" w:rsidRDefault="000C5F4C" w:rsidP="004243C6">
      <w:pPr>
        <w:pStyle w:val="FootnoteText"/>
      </w:pPr>
      <w:r>
        <w:rPr>
          <w:rStyle w:val="FootnoteReference"/>
        </w:rPr>
        <w:footnoteRef/>
      </w:r>
      <w:r>
        <w:t xml:space="preserve"> </w:t>
      </w:r>
      <w:r>
        <w:rPr>
          <w:i/>
        </w:rPr>
        <w:t xml:space="preserve">Request of </w:t>
      </w:r>
      <w:r w:rsidRPr="00CE6882">
        <w:rPr>
          <w:i/>
        </w:rPr>
        <w:t>Progeny LMS, LLC</w:t>
      </w:r>
      <w:r>
        <w:rPr>
          <w:i/>
        </w:rPr>
        <w:t xml:space="preserve"> </w:t>
      </w:r>
      <w:r w:rsidRPr="00CE6882">
        <w:rPr>
          <w:i/>
        </w:rPr>
        <w:t>for Waiver and Limited Extension of Time</w:t>
      </w:r>
      <w:r w:rsidRPr="00CE6882">
        <w:t xml:space="preserve">, </w:t>
      </w:r>
      <w:r>
        <w:t>Order,</w:t>
      </w:r>
      <w:r w:rsidRPr="00CE6882">
        <w:t xml:space="preserve"> </w:t>
      </w:r>
      <w:r>
        <w:t>32 FCC Rcd 122</w:t>
      </w:r>
      <w:r w:rsidRPr="00CE6882">
        <w:t xml:space="preserve"> (WTB MD 2017)</w:t>
      </w:r>
      <w:r>
        <w:t xml:space="preserve"> (</w:t>
      </w:r>
      <w:r>
        <w:rPr>
          <w:i/>
        </w:rPr>
        <w:t>2017 Progeny Extension Order</w:t>
      </w:r>
      <w:r>
        <w:t>)</w:t>
      </w:r>
      <w:r w:rsidRPr="00CE6882">
        <w:t>.</w:t>
      </w:r>
    </w:p>
  </w:footnote>
  <w:footnote w:id="59">
    <w:p w14:paraId="6B76EDA5" w14:textId="77777777" w:rsidR="000C5F4C" w:rsidRDefault="000C5F4C" w:rsidP="004243C6">
      <w:pPr>
        <w:pStyle w:val="FootnoteText"/>
      </w:pPr>
      <w:r>
        <w:rPr>
          <w:rStyle w:val="FootnoteReference"/>
        </w:rPr>
        <w:footnoteRef/>
      </w:r>
      <w:r>
        <w:t xml:space="preserve"> </w:t>
      </w:r>
      <w:r w:rsidRPr="00C35E92">
        <w:rPr>
          <w:i/>
        </w:rPr>
        <w:t>Id.</w:t>
      </w:r>
    </w:p>
  </w:footnote>
  <w:footnote w:id="60">
    <w:p w14:paraId="4C87C3EF" w14:textId="77777777" w:rsidR="000C5F4C" w:rsidRDefault="000C5F4C" w:rsidP="004243C6">
      <w:pPr>
        <w:pStyle w:val="FootnoteText"/>
      </w:pPr>
      <w:r>
        <w:rPr>
          <w:rStyle w:val="FootnoteReference"/>
        </w:rPr>
        <w:footnoteRef/>
      </w:r>
      <w:r>
        <w:t xml:space="preserve"> </w:t>
      </w:r>
      <w:r w:rsidRPr="00CE6882">
        <w:rPr>
          <w:i/>
        </w:rPr>
        <w:t>See Wireless E911 Location Accuracy Requirements</w:t>
      </w:r>
      <w:r w:rsidRPr="00CE6882">
        <w:t>, Fourth Report and Order, 30 FCC Rcd 1259 (2015) (</w:t>
      </w:r>
      <w:r w:rsidRPr="00CE6882">
        <w:rPr>
          <w:i/>
        </w:rPr>
        <w:t>Indoor Location Accuracy Order</w:t>
      </w:r>
      <w:r w:rsidRPr="00CE6882">
        <w:t xml:space="preserve">).  </w:t>
      </w:r>
    </w:p>
  </w:footnote>
  <w:footnote w:id="61">
    <w:p w14:paraId="0F747E5F" w14:textId="77777777" w:rsidR="000C5F4C" w:rsidRDefault="000C5F4C" w:rsidP="004243C6">
      <w:pPr>
        <w:pStyle w:val="FootnoteText"/>
      </w:pPr>
      <w:r>
        <w:rPr>
          <w:rStyle w:val="FootnoteReference"/>
        </w:rPr>
        <w:footnoteRef/>
      </w:r>
      <w:r>
        <w:t xml:space="preserve"> </w:t>
      </w:r>
      <w:r w:rsidRPr="00C35E92">
        <w:rPr>
          <w:i/>
        </w:rPr>
        <w:t>See 2017 Progeny Extension Order</w:t>
      </w:r>
      <w:r>
        <w:t>, 32 FCC Rcd at 136, para. 28.</w:t>
      </w:r>
    </w:p>
  </w:footnote>
  <w:footnote w:id="62">
    <w:p w14:paraId="0320AE20" w14:textId="77777777" w:rsidR="000C5F4C" w:rsidRDefault="000C5F4C" w:rsidP="004243C6">
      <w:pPr>
        <w:pStyle w:val="FootnoteText"/>
      </w:pPr>
      <w:r>
        <w:rPr>
          <w:rStyle w:val="FootnoteReference"/>
        </w:rPr>
        <w:footnoteRef/>
      </w:r>
      <w:r>
        <w:t xml:space="preserve"> </w:t>
      </w:r>
      <w:r>
        <w:rPr>
          <w:i/>
        </w:rPr>
        <w:t>Id</w:t>
      </w:r>
      <w:r w:rsidRPr="00C35E92">
        <w:rPr>
          <w:i/>
        </w:rPr>
        <w:t>.</w:t>
      </w:r>
    </w:p>
  </w:footnote>
  <w:footnote w:id="63">
    <w:p w14:paraId="17C4AA2A" w14:textId="77777777" w:rsidR="000C5F4C" w:rsidRPr="00C35E92" w:rsidRDefault="000C5F4C" w:rsidP="004243C6">
      <w:pPr>
        <w:pStyle w:val="FootnoteText"/>
        <w:rPr>
          <w:i/>
        </w:rPr>
      </w:pPr>
      <w:r>
        <w:rPr>
          <w:rStyle w:val="FootnoteReference"/>
        </w:rPr>
        <w:footnoteRef/>
      </w:r>
      <w:r>
        <w:t xml:space="preserve"> </w:t>
      </w:r>
      <w:r>
        <w:rPr>
          <w:i/>
        </w:rPr>
        <w:t>Id</w:t>
      </w:r>
      <w:r w:rsidRPr="00C35E92">
        <w:rPr>
          <w:i/>
        </w:rPr>
        <w:t>.</w:t>
      </w:r>
    </w:p>
  </w:footnote>
  <w:footnote w:id="64">
    <w:p w14:paraId="6EC0CB00" w14:textId="77777777" w:rsidR="000C5F4C" w:rsidRPr="00C35E92" w:rsidRDefault="000C5F4C" w:rsidP="004243C6">
      <w:pPr>
        <w:pStyle w:val="FootnoteText"/>
        <w:rPr>
          <w:i/>
        </w:rPr>
      </w:pPr>
      <w:r>
        <w:rPr>
          <w:rStyle w:val="FootnoteReference"/>
        </w:rPr>
        <w:footnoteRef/>
      </w:r>
      <w:r>
        <w:t xml:space="preserve"> </w:t>
      </w:r>
      <w:r>
        <w:rPr>
          <w:i/>
        </w:rPr>
        <w:t>Id</w:t>
      </w:r>
      <w:r w:rsidRPr="00C35E92">
        <w:rPr>
          <w:i/>
        </w:rPr>
        <w:t>.</w:t>
      </w:r>
    </w:p>
  </w:footnote>
  <w:footnote w:id="65">
    <w:p w14:paraId="7538A340" w14:textId="77777777" w:rsidR="000C5F4C" w:rsidRPr="00B90F4A" w:rsidRDefault="000C5F4C" w:rsidP="004243C6">
      <w:pPr>
        <w:pStyle w:val="FootnoteText"/>
      </w:pPr>
      <w:r w:rsidRPr="00B53811">
        <w:rPr>
          <w:rStyle w:val="FootnoteReference"/>
        </w:rPr>
        <w:footnoteRef/>
      </w:r>
      <w:r w:rsidRPr="00B53811">
        <w:t xml:space="preserve"> </w:t>
      </w:r>
      <w:r>
        <w:rPr>
          <w:i/>
        </w:rPr>
        <w:t>See generally</w:t>
      </w:r>
      <w:r>
        <w:t xml:space="preserve"> HWA Requests.</w:t>
      </w:r>
    </w:p>
  </w:footnote>
  <w:footnote w:id="66">
    <w:p w14:paraId="18DBCFF4" w14:textId="77777777" w:rsidR="000C5F4C" w:rsidRDefault="000C5F4C" w:rsidP="004243C6">
      <w:pPr>
        <w:pStyle w:val="FootnoteText"/>
      </w:pPr>
      <w:r>
        <w:rPr>
          <w:rStyle w:val="FootnoteReference"/>
        </w:rPr>
        <w:footnoteRef/>
      </w:r>
      <w:r>
        <w:t xml:space="preserve"> HWA Interim Request at 1; HWA Final Request at 1.  In effect, by requesting that the interim construction deadline be moved to the license expiration date, HWA seeks a complete waiver of the interim construction requirement.</w:t>
      </w:r>
    </w:p>
  </w:footnote>
  <w:footnote w:id="67">
    <w:p w14:paraId="43C5874D" w14:textId="77777777" w:rsidR="000C5F4C" w:rsidRPr="00B90F4A" w:rsidRDefault="000C5F4C" w:rsidP="004243C6">
      <w:pPr>
        <w:pStyle w:val="FootnoteText"/>
        <w:tabs>
          <w:tab w:val="left" w:pos="0"/>
        </w:tabs>
        <w:mirrorIndents/>
      </w:pPr>
      <w:r w:rsidRPr="00B90F4A">
        <w:rPr>
          <w:rStyle w:val="FootnoteReference"/>
        </w:rPr>
        <w:footnoteRef/>
      </w:r>
      <w:r>
        <w:t xml:space="preserve"> HWA Interim Request at 9; HWA Final Request at 7.  </w:t>
      </w:r>
      <w:r>
        <w:rPr>
          <w:i/>
        </w:rPr>
        <w:t>See also</w:t>
      </w:r>
      <w:r>
        <w:t xml:space="preserve"> 47 CFR</w:t>
      </w:r>
      <w:r w:rsidRPr="00B90F4A">
        <w:t xml:space="preserve"> § </w:t>
      </w:r>
      <w:r>
        <w:t>90.155</w:t>
      </w:r>
      <w:r w:rsidRPr="00B90F4A">
        <w:t>(</w:t>
      </w:r>
      <w:r>
        <w:t>d</w:t>
      </w:r>
      <w:r w:rsidRPr="00B90F4A">
        <w:t>).</w:t>
      </w:r>
    </w:p>
  </w:footnote>
  <w:footnote w:id="68">
    <w:p w14:paraId="0BE46FA4" w14:textId="77777777" w:rsidR="000C5F4C" w:rsidRDefault="000C5F4C" w:rsidP="004243C6">
      <w:pPr>
        <w:pStyle w:val="FootnoteText"/>
      </w:pPr>
      <w:r>
        <w:rPr>
          <w:rStyle w:val="FootnoteReference"/>
        </w:rPr>
        <w:footnoteRef/>
      </w:r>
      <w:r>
        <w:t xml:space="preserve"> </w:t>
      </w:r>
      <w:r>
        <w:rPr>
          <w:i/>
        </w:rPr>
        <w:t>See generally</w:t>
      </w:r>
      <w:r>
        <w:t xml:space="preserve"> FCR Requests</w:t>
      </w:r>
      <w:r w:rsidRPr="003D3C92">
        <w:t>.</w:t>
      </w:r>
    </w:p>
  </w:footnote>
  <w:footnote w:id="69">
    <w:p w14:paraId="559B91D0" w14:textId="77777777" w:rsidR="000C5F4C" w:rsidRPr="006F273D" w:rsidRDefault="000C5F4C" w:rsidP="004243C6">
      <w:pPr>
        <w:pStyle w:val="FootnoteText"/>
      </w:pPr>
      <w:r>
        <w:rPr>
          <w:rStyle w:val="FootnoteReference"/>
        </w:rPr>
        <w:footnoteRef/>
      </w:r>
      <w:r>
        <w:t xml:space="preserve"> FCR Requests at 6.</w:t>
      </w:r>
    </w:p>
  </w:footnote>
  <w:footnote w:id="70">
    <w:p w14:paraId="4C35AAFC" w14:textId="77777777" w:rsidR="000C5F4C" w:rsidRPr="003D3C92" w:rsidRDefault="000C5F4C" w:rsidP="004243C6">
      <w:pPr>
        <w:pStyle w:val="FootnoteText"/>
      </w:pPr>
      <w:r>
        <w:rPr>
          <w:rStyle w:val="FootnoteReference"/>
        </w:rPr>
        <w:footnoteRef/>
      </w:r>
      <w:r>
        <w:t xml:space="preserve"> FCR’s licenses WPOJ871 through WPOJ875 expire on July 14, 2019; WPTH901 through WPTH908 expire on October 5, 2021.  As with the HWA Requests, by requesting that the interim construction deadline be moved to the license expiration date, FCR in effect seeks a complete waiver of the interim construction requirement.</w:t>
      </w:r>
    </w:p>
  </w:footnote>
  <w:footnote w:id="71">
    <w:p w14:paraId="41ED57E5" w14:textId="77777777" w:rsidR="000C5F4C" w:rsidRPr="002B796A" w:rsidRDefault="000C5F4C" w:rsidP="004243C6">
      <w:pPr>
        <w:pStyle w:val="FootnoteText"/>
      </w:pPr>
      <w:r>
        <w:rPr>
          <w:rStyle w:val="FootnoteReference"/>
        </w:rPr>
        <w:footnoteRef/>
      </w:r>
      <w:r>
        <w:t xml:space="preserve"> HWA Interim Request at 1-2, 8-9; HWA Final Request at 1, 7; FCR Requests at 2.</w:t>
      </w:r>
    </w:p>
  </w:footnote>
  <w:footnote w:id="72">
    <w:p w14:paraId="4951B792" w14:textId="77777777" w:rsidR="000C5F4C" w:rsidRDefault="000C5F4C" w:rsidP="004243C6">
      <w:pPr>
        <w:pStyle w:val="FootnoteText"/>
      </w:pPr>
      <w:r>
        <w:rPr>
          <w:rStyle w:val="FootnoteReference"/>
        </w:rPr>
        <w:footnoteRef/>
      </w:r>
      <w:r>
        <w:t xml:space="preserve"> HWA Interim Request at 8; HWA Final Request at 6-7; FCR Requests at 3-4.</w:t>
      </w:r>
    </w:p>
  </w:footnote>
  <w:footnote w:id="73">
    <w:p w14:paraId="5EFC2B89" w14:textId="77777777" w:rsidR="000C5F4C" w:rsidRDefault="000C5F4C" w:rsidP="004243C6">
      <w:pPr>
        <w:pStyle w:val="FootnoteText"/>
      </w:pPr>
      <w:r>
        <w:rPr>
          <w:rStyle w:val="FootnoteReference"/>
        </w:rPr>
        <w:footnoteRef/>
      </w:r>
      <w:r>
        <w:t xml:space="preserve"> HWA Interim Request at 10; HWA Final Request at 9; FCR Requests at 5-6.</w:t>
      </w:r>
    </w:p>
  </w:footnote>
  <w:footnote w:id="74">
    <w:p w14:paraId="0B1F1C43" w14:textId="77777777" w:rsidR="000C5F4C" w:rsidRDefault="000C5F4C" w:rsidP="004243C6">
      <w:pPr>
        <w:pStyle w:val="FootnoteText"/>
      </w:pPr>
      <w:r>
        <w:rPr>
          <w:rStyle w:val="FootnoteReference"/>
        </w:rPr>
        <w:footnoteRef/>
      </w:r>
      <w:r>
        <w:t xml:space="preserve"> 47 CFR § 1.925(b)(3).</w:t>
      </w:r>
    </w:p>
  </w:footnote>
  <w:footnote w:id="75">
    <w:p w14:paraId="438BE29F" w14:textId="77777777" w:rsidR="000C5F4C" w:rsidRDefault="000C5F4C" w:rsidP="004243C6">
      <w:pPr>
        <w:pStyle w:val="FootnoteText"/>
      </w:pPr>
      <w:r>
        <w:rPr>
          <w:rStyle w:val="FootnoteReference"/>
        </w:rPr>
        <w:footnoteRef/>
      </w:r>
      <w:r>
        <w:t xml:space="preserve"> HWA Interim Request at 9; HWA Final Request at 7; FCR Requests at 4.</w:t>
      </w:r>
    </w:p>
  </w:footnote>
  <w:footnote w:id="76">
    <w:p w14:paraId="6881D503" w14:textId="77777777" w:rsidR="000C5F4C" w:rsidRPr="00C10BE8" w:rsidRDefault="000C5F4C" w:rsidP="004243C6">
      <w:pPr>
        <w:pStyle w:val="FootnoteText"/>
      </w:pPr>
      <w:r>
        <w:rPr>
          <w:rStyle w:val="FootnoteReference"/>
        </w:rPr>
        <w:footnoteRef/>
      </w:r>
      <w:r>
        <w:t xml:space="preserve"> </w:t>
      </w:r>
      <w:r>
        <w:rPr>
          <w:i/>
        </w:rPr>
        <w:t>Id.</w:t>
      </w:r>
    </w:p>
  </w:footnote>
  <w:footnote w:id="77">
    <w:p w14:paraId="57D5B977" w14:textId="77777777" w:rsidR="000C5F4C" w:rsidRPr="00C10BE8" w:rsidRDefault="000C5F4C" w:rsidP="004243C6">
      <w:pPr>
        <w:pStyle w:val="FootnoteText"/>
      </w:pPr>
      <w:r>
        <w:rPr>
          <w:rStyle w:val="FootnoteReference"/>
        </w:rPr>
        <w:footnoteRef/>
      </w:r>
      <w:r>
        <w:t xml:space="preserve"> </w:t>
      </w:r>
      <w:r>
        <w:rPr>
          <w:i/>
        </w:rPr>
        <w:t>Id.</w:t>
      </w:r>
    </w:p>
  </w:footnote>
  <w:footnote w:id="78">
    <w:p w14:paraId="3D390138" w14:textId="77777777" w:rsidR="000C5F4C" w:rsidRDefault="000C5F4C" w:rsidP="004243C6">
      <w:pPr>
        <w:pStyle w:val="FootnoteText"/>
      </w:pPr>
      <w:r>
        <w:rPr>
          <w:rStyle w:val="FootnoteReference"/>
        </w:rPr>
        <w:footnoteRef/>
      </w:r>
      <w:r>
        <w:t xml:space="preserve"> HWA Interim Request at 10; HWA Final Request at 8; FCR Requests at 5.</w:t>
      </w:r>
    </w:p>
  </w:footnote>
  <w:footnote w:id="79">
    <w:p w14:paraId="4EF085E7" w14:textId="77777777" w:rsidR="000C5F4C" w:rsidRDefault="000C5F4C" w:rsidP="004243C6">
      <w:pPr>
        <w:pStyle w:val="FootnoteText"/>
      </w:pPr>
      <w:r>
        <w:rPr>
          <w:rStyle w:val="FootnoteReference"/>
        </w:rPr>
        <w:footnoteRef/>
      </w:r>
      <w:r>
        <w:t xml:space="preserve"> HWA Interim Request at 10; HWA Final Request at 9; FCR Requests at 6.</w:t>
      </w:r>
    </w:p>
  </w:footnote>
  <w:footnote w:id="80">
    <w:p w14:paraId="7C4DD079" w14:textId="77777777" w:rsidR="000C5F4C" w:rsidRDefault="000C5F4C" w:rsidP="004243C6">
      <w:pPr>
        <w:pStyle w:val="FootnoteText"/>
      </w:pPr>
      <w:r>
        <w:rPr>
          <w:rStyle w:val="FootnoteReference"/>
        </w:rPr>
        <w:footnoteRef/>
      </w:r>
      <w:r>
        <w:t xml:space="preserve"> </w:t>
      </w:r>
      <w:r>
        <w:rPr>
          <w:i/>
        </w:rPr>
        <w:t>See generally</w:t>
      </w:r>
      <w:r>
        <w:t xml:space="preserve"> Skybridge/Telesaurus Request</w:t>
      </w:r>
      <w:r w:rsidRPr="00A92399">
        <w:t>.</w:t>
      </w:r>
      <w:r>
        <w:t xml:space="preserve"> </w:t>
      </w:r>
    </w:p>
  </w:footnote>
  <w:footnote w:id="81">
    <w:p w14:paraId="50439ED4" w14:textId="77777777" w:rsidR="000C5F4C" w:rsidRPr="00A92399" w:rsidRDefault="000C5F4C" w:rsidP="004243C6">
      <w:pPr>
        <w:pStyle w:val="FootnoteText"/>
      </w:pPr>
      <w:r>
        <w:rPr>
          <w:rStyle w:val="FootnoteReference"/>
        </w:rPr>
        <w:footnoteRef/>
      </w:r>
      <w:r>
        <w:t xml:space="preserve"> While Skybridge/Telesaurus do not specify this date in the Request, the requested extension date is reflected in the application on ULS.  </w:t>
      </w:r>
      <w:r>
        <w:rPr>
          <w:i/>
        </w:rPr>
        <w:t>See</w:t>
      </w:r>
      <w:r>
        <w:t xml:space="preserve"> ULS File Nos. 0007441599 </w:t>
      </w:r>
      <w:r>
        <w:rPr>
          <w:i/>
        </w:rPr>
        <w:t>et seq.</w:t>
      </w:r>
      <w:r>
        <w:t xml:space="preserve"> </w:t>
      </w:r>
    </w:p>
  </w:footnote>
  <w:footnote w:id="82">
    <w:p w14:paraId="4D310202" w14:textId="77777777" w:rsidR="000C5F4C" w:rsidRPr="0040111C" w:rsidRDefault="000C5F4C" w:rsidP="004243C6">
      <w:pPr>
        <w:pStyle w:val="FootnoteText"/>
        <w:rPr>
          <w:b/>
        </w:rPr>
      </w:pPr>
      <w:r>
        <w:rPr>
          <w:rStyle w:val="FootnoteReference"/>
        </w:rPr>
        <w:footnoteRef/>
      </w:r>
      <w:r>
        <w:t xml:space="preserve"> </w:t>
      </w:r>
      <w:r w:rsidRPr="00CA0FB4">
        <w:t>PCS Partners, L.</w:t>
      </w:r>
      <w:r>
        <w:t>P., Petition for Waiver of 47 CF</w:t>
      </w:r>
      <w:r w:rsidRPr="00CA0FB4">
        <w:t>R §90.353(b), and Request for Extension of Time and for Expedited Treatment</w:t>
      </w:r>
      <w:r>
        <w:t xml:space="preserve">, ULS File No. 0007232513 (filed Apr. 15, 2016) (seeking </w:t>
      </w:r>
      <w:r w:rsidRPr="00D720BC">
        <w:t>a waiver of Section 90.3</w:t>
      </w:r>
      <w:r>
        <w:t>53(b) of the Commission’s rules</w:t>
      </w:r>
      <w:r w:rsidRPr="00D720BC">
        <w:t xml:space="preserve"> to permit machine type communications </w:t>
      </w:r>
      <w:r>
        <w:t>and requesting</w:t>
      </w:r>
      <w:r w:rsidRPr="00D720BC">
        <w:t xml:space="preserve"> to extend its</w:t>
      </w:r>
      <w:r>
        <w:t xml:space="preserve"> midterm and final</w:t>
      </w:r>
      <w:r w:rsidRPr="00D720BC">
        <w:t xml:space="preserve"> construction requirements for thirty-one Channel Block A M-LMS licenses</w:t>
      </w:r>
      <w:r>
        <w:t xml:space="preserve"> and one Channel Block C M-LMS license to 2020 and 2022, respectively)</w:t>
      </w:r>
      <w:r w:rsidRPr="00D720BC">
        <w:t>.</w:t>
      </w:r>
      <w:r>
        <w:t xml:space="preserve">  On May 4, 2016, the Bureau sought comment on PCS Partners’ request.  </w:t>
      </w:r>
      <w:r>
        <w:rPr>
          <w:i/>
        </w:rPr>
        <w:t>See</w:t>
      </w:r>
      <w:r>
        <w:t xml:space="preserve"> </w:t>
      </w:r>
      <w:r>
        <w:rPr>
          <w:i/>
        </w:rPr>
        <w:t>Wireless Telecommunications Bureau Seeks Comment on PCS Partners Requests for Multilateration Location and Monitoring Service Waiver and Construction Extension</w:t>
      </w:r>
      <w:r>
        <w:t xml:space="preserve">, Public Notice, 31 FCC Rcd 4408 (WTB 2016).  The comment period ended on June 3, 2016, and PCS Partners’ applications and requests for relief remain pending. </w:t>
      </w:r>
    </w:p>
  </w:footnote>
  <w:footnote w:id="83">
    <w:p w14:paraId="6C26DC24" w14:textId="77777777" w:rsidR="000C5F4C" w:rsidRDefault="000C5F4C" w:rsidP="004243C6">
      <w:pPr>
        <w:pStyle w:val="FootnoteText"/>
      </w:pPr>
      <w:r>
        <w:rPr>
          <w:rStyle w:val="FootnoteReference"/>
        </w:rPr>
        <w:footnoteRef/>
      </w:r>
      <w:r>
        <w:t xml:space="preserve"> Skybridge/Telesaurus Request at 8.  The Skybridge/Telesaurus Request cites Section 90.155(a) in reference to the “automatic cancellation provision” for which it seeks the waiver.  Section 90.155(a) provides for cancellation of site-based licenses, where licensees fail to put their licenses into operation within 12 months of authorization.  However, although Section 90.155(d) details the specific construction and coverage requirements for geographic area-based M-LMS licenses, the penalty for failure to meet those requirements is governed by Section 1.946.  Under Section 1.946(c), licensees that fail to meet service or operation requirements by the construction deadline will terminate automatically.  47 CFR § 1.946(c).  We will interpret the Skybridge/Telesaurus Request as intending to request waiver of the applicable automatic termination provision, Section 1.946(c), and consider the requested relief pursuant to that rule.</w:t>
      </w:r>
    </w:p>
  </w:footnote>
  <w:footnote w:id="84">
    <w:p w14:paraId="29D853FB" w14:textId="77777777" w:rsidR="000C5F4C" w:rsidRPr="00C543E2" w:rsidRDefault="000C5F4C" w:rsidP="004243C6">
      <w:pPr>
        <w:pStyle w:val="FootnoteText"/>
      </w:pPr>
      <w:r>
        <w:rPr>
          <w:rStyle w:val="FootnoteReference"/>
        </w:rPr>
        <w:footnoteRef/>
      </w:r>
      <w:r>
        <w:t xml:space="preserve"> </w:t>
      </w:r>
      <w:r>
        <w:rPr>
          <w:i/>
        </w:rPr>
        <w:t>See</w:t>
      </w:r>
      <w:r>
        <w:t xml:space="preserve"> Telesaurus and Progeny Application for Assignment of Authorization, ULS File No. 0007701965 (filed Mar. 16, 2017) (Telesaurus Assignment Application).</w:t>
      </w:r>
    </w:p>
  </w:footnote>
  <w:footnote w:id="85">
    <w:p w14:paraId="6B1A843F" w14:textId="77777777" w:rsidR="000C5F4C" w:rsidRPr="00C543E2" w:rsidRDefault="000C5F4C" w:rsidP="004243C6">
      <w:pPr>
        <w:pStyle w:val="FootnoteText"/>
      </w:pPr>
      <w:r>
        <w:rPr>
          <w:rStyle w:val="FootnoteReference"/>
        </w:rPr>
        <w:footnoteRef/>
      </w:r>
      <w:r>
        <w:t xml:space="preserve"> </w:t>
      </w:r>
      <w:r>
        <w:rPr>
          <w:i/>
        </w:rPr>
        <w:t>See</w:t>
      </w:r>
      <w:r>
        <w:t xml:space="preserve"> Telesaurus Amendment to Request for Waiver and Extension of Construction Deadline, ULS File No. 0007441729 (filed Mar. 16, 2017) (Telesaurus Extension and Waiver Amendment).  Telesaurus’ license under call sign WQGN602 has an expiration date of March 9, 2017, and the Receiver timely filed a renewal application.  </w:t>
      </w:r>
      <w:r>
        <w:rPr>
          <w:i/>
        </w:rPr>
        <w:t>See</w:t>
      </w:r>
      <w:r>
        <w:t xml:space="preserve"> Telesaurus Request for Renewal, ULS File No. 0007694217 (filed Mar. 9, 2017) (Telesaurus Renewal).</w:t>
      </w:r>
    </w:p>
  </w:footnote>
  <w:footnote w:id="86">
    <w:p w14:paraId="73504A56" w14:textId="77777777" w:rsidR="000C5F4C" w:rsidRPr="000337F3" w:rsidRDefault="000C5F4C" w:rsidP="004243C6">
      <w:pPr>
        <w:pStyle w:val="FootnoteText"/>
      </w:pPr>
      <w:r>
        <w:rPr>
          <w:rStyle w:val="FootnoteReference"/>
        </w:rPr>
        <w:footnoteRef/>
      </w:r>
      <w:r>
        <w:t xml:space="preserve"> 47 CFR § 1.946(c). </w:t>
      </w:r>
    </w:p>
  </w:footnote>
  <w:footnote w:id="87">
    <w:p w14:paraId="6A40C358" w14:textId="77777777" w:rsidR="000C5F4C" w:rsidRPr="000157F6" w:rsidRDefault="000C5F4C" w:rsidP="004243C6">
      <w:pPr>
        <w:pStyle w:val="FootnoteText"/>
      </w:pPr>
      <w:r>
        <w:rPr>
          <w:rStyle w:val="FootnoteReference"/>
        </w:rPr>
        <w:footnoteRef/>
      </w:r>
      <w:r>
        <w:t xml:space="preserve"> Skybridge/Telesaurus Request at 1-2.</w:t>
      </w:r>
    </w:p>
  </w:footnote>
  <w:footnote w:id="88">
    <w:p w14:paraId="5192FBC8" w14:textId="77777777" w:rsidR="000C5F4C" w:rsidRPr="00257530" w:rsidRDefault="000C5F4C" w:rsidP="004243C6">
      <w:pPr>
        <w:pStyle w:val="FootnoteText"/>
      </w:pPr>
      <w:r>
        <w:rPr>
          <w:rStyle w:val="FootnoteReference"/>
        </w:rPr>
        <w:footnoteRef/>
      </w:r>
      <w:r>
        <w:t xml:space="preserve"> </w:t>
      </w:r>
      <w:r>
        <w:rPr>
          <w:i/>
        </w:rPr>
        <w:t>William M. Holland Conditional, Limited Request for Waivers, Applications for Involuntary Assignment, Applications for Renewal</w:t>
      </w:r>
      <w:r>
        <w:t>, Order and Order on Reconsideration, 31 FCC Rcd 3920 (WTB MD and WTB BD 2016) (</w:t>
      </w:r>
      <w:r>
        <w:rPr>
          <w:i/>
        </w:rPr>
        <w:t>Holland</w:t>
      </w:r>
      <w:r>
        <w:t>) (granting a waiver of the requirement that renewal applications be filed on or before the license expiration date where the prior owner, against court orders, refused to provide the receiver with the information necessary to timely file renewal applications, and granting temporary waiver of construction and operation requirements to permit the licensee to bring licenses back into operation status).</w:t>
      </w:r>
    </w:p>
  </w:footnote>
  <w:footnote w:id="89">
    <w:p w14:paraId="0ED20851" w14:textId="77777777" w:rsidR="000C5F4C" w:rsidRDefault="000C5F4C" w:rsidP="004243C6">
      <w:pPr>
        <w:pStyle w:val="FootnoteText"/>
      </w:pPr>
      <w:r>
        <w:rPr>
          <w:rStyle w:val="FootnoteReference"/>
        </w:rPr>
        <w:footnoteRef/>
      </w:r>
      <w:r>
        <w:t xml:space="preserve"> Skybridge/Telesaurus Request at 7.</w:t>
      </w:r>
    </w:p>
  </w:footnote>
  <w:footnote w:id="90">
    <w:p w14:paraId="2A95CB0B" w14:textId="77777777" w:rsidR="000C5F4C" w:rsidRPr="00690ED9" w:rsidRDefault="000C5F4C" w:rsidP="004243C6">
      <w:pPr>
        <w:pStyle w:val="FootnoteText"/>
        <w:rPr>
          <w:i/>
        </w:rPr>
      </w:pPr>
      <w:r>
        <w:rPr>
          <w:rStyle w:val="FootnoteReference"/>
        </w:rPr>
        <w:footnoteRef/>
      </w:r>
      <w:r>
        <w:t xml:space="preserve"> </w:t>
      </w:r>
      <w:r>
        <w:rPr>
          <w:i/>
        </w:rPr>
        <w:t>Id.</w:t>
      </w:r>
      <w:r>
        <w:t xml:space="preserve"> at 3-4, 9 (emphasis added).  The Receivership Order authorized the Receiver to “do all the things, and incur the risks and obligations, ordinarily done or incurred by owners, managers, and operators of businesses and property similar to that possessed by the receiver; </w:t>
      </w:r>
      <w:r>
        <w:rPr>
          <w:i/>
        </w:rPr>
        <w:t>except</w:t>
      </w:r>
      <w:r>
        <w:t xml:space="preserve"> the receiver shall not make any capital improvements to the property without prior court approval.”  Receivership Order at 2, para. 14(c) (emphasis in original).  In February 2016, the Receiver requested and the court granted authority to sell all M-LMS licenses with construction deadlines in 2016.  </w:t>
      </w:r>
      <w:r>
        <w:rPr>
          <w:i/>
        </w:rPr>
        <w:t>See</w:t>
      </w:r>
      <w:r>
        <w:t xml:space="preserve"> </w:t>
      </w:r>
      <w:r>
        <w:rPr>
          <w:i/>
        </w:rPr>
        <w:t>Arnold Leong v. Warren Havens et al.</w:t>
      </w:r>
      <w:r>
        <w:t xml:space="preserve">, Case No. 2002-070640, </w:t>
      </w:r>
      <w:r w:rsidRPr="00690ED9">
        <w:t>Order Instructing Receiver Regarding Certain Spectrum Licenses with Renewal, Construction, or Substantial Service Deadlines in 2016</w:t>
      </w:r>
      <w:r>
        <w:t xml:space="preserve"> (Feb. 26, 2016).  In July 2016, the Receiver requested and the court granted authority to market and propose for sale all licenses held by any of the receivership entities.  </w:t>
      </w:r>
      <w:r>
        <w:rPr>
          <w:i/>
        </w:rPr>
        <w:t>See Arnold Leong v. Warren Havens et al.</w:t>
      </w:r>
      <w:r>
        <w:t>, Case No. 2002-070640, Order Instructing Receiver Regarding Marketing and Sale of Spectrum Licenses (July 11, 2016) (</w:t>
      </w:r>
      <w:r w:rsidRPr="00F866C8">
        <w:t>July 2016 Instructions</w:t>
      </w:r>
      <w:r>
        <w:t>).</w:t>
      </w:r>
    </w:p>
  </w:footnote>
  <w:footnote w:id="91">
    <w:p w14:paraId="4F9B20A3" w14:textId="77777777" w:rsidR="000C5F4C" w:rsidRDefault="000C5F4C" w:rsidP="004243C6">
      <w:pPr>
        <w:pStyle w:val="FootnoteText"/>
      </w:pPr>
      <w:r>
        <w:rPr>
          <w:rStyle w:val="FootnoteReference"/>
        </w:rPr>
        <w:footnoteRef/>
      </w:r>
      <w:r>
        <w:t xml:space="preserve"> Skybridge/Telesaurus Request at 9-10.</w:t>
      </w:r>
    </w:p>
  </w:footnote>
  <w:footnote w:id="92">
    <w:p w14:paraId="0D3FFD89" w14:textId="77777777" w:rsidR="000C5F4C" w:rsidRPr="00506B50" w:rsidRDefault="000C5F4C" w:rsidP="004243C6">
      <w:pPr>
        <w:pStyle w:val="FootnoteText"/>
      </w:pPr>
      <w:r>
        <w:rPr>
          <w:rStyle w:val="FootnoteReference"/>
        </w:rPr>
        <w:footnoteRef/>
      </w:r>
      <w:r>
        <w:t xml:space="preserve"> </w:t>
      </w:r>
      <w:r>
        <w:rPr>
          <w:i/>
        </w:rPr>
        <w:t>Id</w:t>
      </w:r>
      <w:r w:rsidRPr="006E6CFA">
        <w:rPr>
          <w:i/>
        </w:rPr>
        <w:t>.</w:t>
      </w:r>
      <w:r>
        <w:t xml:space="preserve"> at 8.  The Receiver also requests waiver under the Commission’s more general standard, which provides for waiver only for good cause shown.  </w:t>
      </w:r>
      <w:r>
        <w:rPr>
          <w:i/>
        </w:rPr>
        <w:t>See</w:t>
      </w:r>
      <w:r>
        <w:t xml:space="preserve"> 47 CFR § 1.3.</w:t>
      </w:r>
    </w:p>
  </w:footnote>
  <w:footnote w:id="93">
    <w:p w14:paraId="6AEE2EF5" w14:textId="77777777" w:rsidR="000C5F4C" w:rsidRPr="00506B50" w:rsidRDefault="000C5F4C" w:rsidP="004243C6">
      <w:pPr>
        <w:pStyle w:val="FootnoteText"/>
      </w:pPr>
      <w:r>
        <w:rPr>
          <w:rStyle w:val="FootnoteReference"/>
        </w:rPr>
        <w:footnoteRef/>
      </w:r>
      <w:r>
        <w:t xml:space="preserve"> Skybridge/Telesaurus Request at 10 (citing </w:t>
      </w:r>
      <w:r>
        <w:rPr>
          <w:i/>
        </w:rPr>
        <w:t>Request of Daniel R. Goodman, Receiver, for Waiver and Extension</w:t>
      </w:r>
      <w:r>
        <w:t>, Memorandum Opinion and Order and Order on Reconsideration, 13 FCC Rcd 21944 (1998)).</w:t>
      </w:r>
    </w:p>
  </w:footnote>
  <w:footnote w:id="94">
    <w:p w14:paraId="4E8C6410" w14:textId="77777777" w:rsidR="000C5F4C" w:rsidRPr="00705414" w:rsidRDefault="000C5F4C" w:rsidP="004243C6">
      <w:pPr>
        <w:pStyle w:val="FootnoteText"/>
      </w:pPr>
      <w:r>
        <w:rPr>
          <w:rStyle w:val="FootnoteReference"/>
        </w:rPr>
        <w:footnoteRef/>
      </w:r>
      <w:r>
        <w:t xml:space="preserve"> </w:t>
      </w:r>
      <w:r>
        <w:rPr>
          <w:i/>
        </w:rPr>
        <w:t>Id</w:t>
      </w:r>
      <w:r w:rsidRPr="006E6CFA">
        <w:rPr>
          <w:i/>
        </w:rPr>
        <w:t>.</w:t>
      </w:r>
      <w:r>
        <w:t xml:space="preserve"> at 7.</w:t>
      </w:r>
    </w:p>
  </w:footnote>
  <w:footnote w:id="95">
    <w:p w14:paraId="7AE7ABC6" w14:textId="77777777" w:rsidR="000C5F4C" w:rsidRPr="00705414" w:rsidRDefault="000C5F4C" w:rsidP="004243C6">
      <w:pPr>
        <w:pStyle w:val="FootnoteText"/>
      </w:pPr>
      <w:r>
        <w:rPr>
          <w:rStyle w:val="FootnoteReference"/>
        </w:rPr>
        <w:footnoteRef/>
      </w:r>
      <w:r>
        <w:t xml:space="preserve"> </w:t>
      </w:r>
      <w:r>
        <w:rPr>
          <w:i/>
        </w:rPr>
        <w:t>Id</w:t>
      </w:r>
      <w:r w:rsidRPr="006E6CFA">
        <w:rPr>
          <w:i/>
        </w:rPr>
        <w:t>.</w:t>
      </w:r>
      <w:r>
        <w:t xml:space="preserve"> (citing </w:t>
      </w:r>
      <w:r>
        <w:rPr>
          <w:i/>
        </w:rPr>
        <w:t>LaRose v. FCC</w:t>
      </w:r>
      <w:r>
        <w:t>, 494 F.2d 1145, 1148-49 (D.C. Cir. 1974)).</w:t>
      </w:r>
    </w:p>
  </w:footnote>
  <w:footnote w:id="96">
    <w:p w14:paraId="24B5D5B3" w14:textId="77777777" w:rsidR="000C5F4C" w:rsidRDefault="000C5F4C" w:rsidP="004243C6">
      <w:pPr>
        <w:pStyle w:val="FootnoteText"/>
      </w:pPr>
      <w:r>
        <w:rPr>
          <w:rStyle w:val="FootnoteReference"/>
        </w:rPr>
        <w:footnoteRef/>
      </w:r>
      <w:r>
        <w:t xml:space="preserve"> Telesaurus Extension and Waiver Amendment at 1-2.</w:t>
      </w:r>
    </w:p>
  </w:footnote>
  <w:footnote w:id="97">
    <w:p w14:paraId="6ED3F6C9" w14:textId="77777777" w:rsidR="000C5F4C" w:rsidRPr="00E15FF0" w:rsidRDefault="000C5F4C" w:rsidP="004243C6">
      <w:pPr>
        <w:pStyle w:val="FootnoteText"/>
      </w:pPr>
      <w:r>
        <w:rPr>
          <w:rStyle w:val="FootnoteReference"/>
        </w:rPr>
        <w:footnoteRef/>
      </w:r>
      <w:r>
        <w:t xml:space="preserve"> Skybridge/Telesaurus Request at 11. </w:t>
      </w:r>
    </w:p>
  </w:footnote>
  <w:footnote w:id="98">
    <w:p w14:paraId="54AF7727" w14:textId="77777777" w:rsidR="000C5F4C" w:rsidRPr="00D068D1" w:rsidRDefault="000C5F4C" w:rsidP="004243C6">
      <w:pPr>
        <w:pStyle w:val="FootnoteText"/>
      </w:pPr>
      <w:r>
        <w:rPr>
          <w:rStyle w:val="FootnoteReference"/>
        </w:rPr>
        <w:footnoteRef/>
      </w:r>
      <w:r>
        <w:t xml:space="preserve"> </w:t>
      </w:r>
      <w:r>
        <w:rPr>
          <w:i/>
        </w:rPr>
        <w:t>Wireless Telecommunications Bureau Seeks Comment on Helen Wong-Armijo, FCR, Inc., Skybridge Spectrum Foundation, and Telesaurus Holdings GB LLC, Requests for Multilateration Location and Monitoring Service Waiver and Construction Extensions</w:t>
      </w:r>
      <w:r>
        <w:t>, Public Notice, 31 FCC Rcd 12450 (WTB 2016).</w:t>
      </w:r>
    </w:p>
  </w:footnote>
  <w:footnote w:id="99">
    <w:p w14:paraId="6A7AF000" w14:textId="77777777" w:rsidR="000C5F4C" w:rsidRPr="000A22AD" w:rsidRDefault="000C5F4C" w:rsidP="004243C6">
      <w:pPr>
        <w:pStyle w:val="FootnoteText"/>
      </w:pPr>
      <w:r>
        <w:rPr>
          <w:rStyle w:val="FootnoteReference"/>
        </w:rPr>
        <w:footnoteRef/>
      </w:r>
      <w:r>
        <w:t xml:space="preserve"> </w:t>
      </w:r>
      <w:r>
        <w:rPr>
          <w:i/>
        </w:rPr>
        <w:t>See</w:t>
      </w:r>
      <w:r>
        <w:t xml:space="preserve"> Inovonics Wireless Corp. Comments (filed Nov. 29, 2016) (Inovonics Comments); Itron, Inc. Comments (filed Nov. 30, 2016) (Itron Comments); Landis+Gyr Technology, Inc. Comments (filed Nov. 30, 2016) (L+G Comments); Wireless Internet Service Providers Association Comments (filed Nov. 30, 2016) (WISPA Comments); Public Knowledge and Open Technology Institute at New America Reply Comments (filed Dec. 12, 2016) (PK/OTI Reply).</w:t>
      </w:r>
    </w:p>
  </w:footnote>
  <w:footnote w:id="100">
    <w:p w14:paraId="0956323B" w14:textId="77777777" w:rsidR="000C5F4C" w:rsidRPr="00755E06" w:rsidRDefault="000C5F4C" w:rsidP="004243C6">
      <w:pPr>
        <w:pStyle w:val="FootnoteText"/>
      </w:pPr>
      <w:r>
        <w:rPr>
          <w:rStyle w:val="FootnoteReference"/>
        </w:rPr>
        <w:footnoteRef/>
      </w:r>
      <w:r>
        <w:t xml:space="preserve"> </w:t>
      </w:r>
      <w:r>
        <w:rPr>
          <w:i/>
        </w:rPr>
        <w:t>See</w:t>
      </w:r>
      <w:r>
        <w:t xml:space="preserve"> HWA and FCR Reply (filed Dec. 9, 2016) (HWA/FCR Reply); Skybridge and Telesaurus </w:t>
      </w:r>
      <w:r>
        <w:rPr>
          <w:i/>
        </w:rPr>
        <w:t>Ex Parte</w:t>
      </w:r>
      <w:r>
        <w:t xml:space="preserve"> (filed Dec. 13, 2016) (Skybridge/Telesaurus </w:t>
      </w:r>
      <w:r>
        <w:rPr>
          <w:i/>
        </w:rPr>
        <w:t>Ex Parte</w:t>
      </w:r>
      <w:r>
        <w:t xml:space="preserve">).  The Skybridge/Telesaurus </w:t>
      </w:r>
      <w:r>
        <w:rPr>
          <w:i/>
        </w:rPr>
        <w:t>Ex Parte</w:t>
      </w:r>
      <w:r>
        <w:t xml:space="preserve"> was filed after the close of the reply comment period.  We include it in the record here in the interest of full information and consideration of the matters at issue and treat it as an </w:t>
      </w:r>
      <w:r>
        <w:rPr>
          <w:i/>
        </w:rPr>
        <w:t>ex parte</w:t>
      </w:r>
      <w:r>
        <w:t xml:space="preserve"> communication pursuant to Section 1.1200 of the Commission’s </w:t>
      </w:r>
      <w:r>
        <w:rPr>
          <w:i/>
        </w:rPr>
        <w:t>ex parte</w:t>
      </w:r>
      <w:r>
        <w:t xml:space="preserve"> rules.  47 CFR § 1.1200 </w:t>
      </w:r>
      <w:r>
        <w:rPr>
          <w:i/>
        </w:rPr>
        <w:t>et seq.</w:t>
      </w:r>
      <w:r>
        <w:t xml:space="preserve"> </w:t>
      </w:r>
    </w:p>
  </w:footnote>
  <w:footnote w:id="101">
    <w:p w14:paraId="4AD1A912" w14:textId="77777777" w:rsidR="000C5F4C" w:rsidRPr="005A7426" w:rsidRDefault="000C5F4C" w:rsidP="004243C6">
      <w:pPr>
        <w:pStyle w:val="FootnoteText"/>
      </w:pPr>
      <w:r>
        <w:rPr>
          <w:rStyle w:val="FootnoteReference"/>
        </w:rPr>
        <w:footnoteRef/>
      </w:r>
      <w:r>
        <w:t xml:space="preserve"> Havens filed this pleading in ULS on call signs WQHU548 (Skybridge lead call sign) and WQGN602 (Telesaurus), as a “conditional submission for protective purposes,” requesting an extension and waiver of the construction requirements, pending the outcome of ongoing litigation concerning the receivership.  </w:t>
      </w:r>
      <w:r>
        <w:rPr>
          <w:i/>
        </w:rPr>
        <w:t>See, e.g.</w:t>
      </w:r>
      <w:r>
        <w:t xml:space="preserve">, ULS Attachments Page for Call Sign WQHU548.  The Receivership Order prohibited Havens from acting on behalf of any of the receivership entities; “[i]nterfering in any way with the substitution of the Receiver as the individual responsible for the management of the FCC Licenses and Receivership Entities;” and from “[c]ommunicating with the FCC regarding the FCC Licenses or the Receivership Entities.”  Receivership Order at 5, para. 28(d).  The Havens pleading, filed on September 2, 2016, formed the basis in part of an Alameda County Superior Court Order finding Havens in contempt of court for violating the Receivership Order.  </w:t>
      </w:r>
      <w:r>
        <w:rPr>
          <w:i/>
        </w:rPr>
        <w:t>See Arnold Leong v. Warren Havens et al.</w:t>
      </w:r>
      <w:r>
        <w:t xml:space="preserve">, Case No. 2002-070640, </w:t>
      </w:r>
      <w:r w:rsidRPr="005A7426">
        <w:t>Order Holding Warren Havens in Contempt for Failure to Comply with Court Orders</w:t>
      </w:r>
      <w:r>
        <w:t xml:space="preserve"> (Dec. 14, 2016).  </w:t>
      </w:r>
    </w:p>
  </w:footnote>
  <w:footnote w:id="102">
    <w:p w14:paraId="684FF4BF" w14:textId="77777777" w:rsidR="000C5F4C" w:rsidRDefault="000C5F4C" w:rsidP="004243C6">
      <w:pPr>
        <w:pStyle w:val="FootnoteText"/>
      </w:pPr>
      <w:r>
        <w:rPr>
          <w:rStyle w:val="FootnoteReference"/>
        </w:rPr>
        <w:footnoteRef/>
      </w:r>
      <w:r>
        <w:t xml:space="preserve"> Itron Comments at 2; PK/OTI Reply at 2; WISPA Comments at 10; Inovonics Comments at 2.  The Receiver refutes this position, arguing that it is in the public interest to allow the Receiver a short window to sell the licenses rather than “holding those licenses hostage from potential buyers even longer while the Commission goes through the process of cancelling them and re-auctioning the underlying spectrum.”  Skybridge/Telesaurus </w:t>
      </w:r>
      <w:r w:rsidRPr="00D652C8">
        <w:rPr>
          <w:i/>
        </w:rPr>
        <w:t>Ex Parte</w:t>
      </w:r>
      <w:r>
        <w:t xml:space="preserve"> at 3.</w:t>
      </w:r>
    </w:p>
  </w:footnote>
  <w:footnote w:id="103">
    <w:p w14:paraId="5E6D4217" w14:textId="77777777" w:rsidR="000C5F4C" w:rsidRDefault="000C5F4C" w:rsidP="004243C6">
      <w:pPr>
        <w:pStyle w:val="FootnoteText"/>
      </w:pPr>
      <w:r>
        <w:rPr>
          <w:rStyle w:val="FootnoteReference"/>
        </w:rPr>
        <w:footnoteRef/>
      </w:r>
      <w:r>
        <w:t xml:space="preserve"> L+G Comments at 3; Inovonics Comments at 3; WISPA Comments at 6, 10; PK/OTI Reply at 2.</w:t>
      </w:r>
    </w:p>
  </w:footnote>
  <w:footnote w:id="104">
    <w:p w14:paraId="208D4C1E" w14:textId="77777777" w:rsidR="000C5F4C" w:rsidRPr="0061309D" w:rsidRDefault="000C5F4C" w:rsidP="004243C6">
      <w:pPr>
        <w:pStyle w:val="FootnoteText"/>
      </w:pPr>
      <w:r>
        <w:rPr>
          <w:rStyle w:val="FootnoteReference"/>
        </w:rPr>
        <w:footnoteRef/>
      </w:r>
      <w:r>
        <w:t xml:space="preserve"> Inovonics Comments at 3.  </w:t>
      </w:r>
      <w:r>
        <w:rPr>
          <w:i/>
        </w:rPr>
        <w:t xml:space="preserve">See also </w:t>
      </w:r>
      <w:r>
        <w:t>Itron Comments at 2, L+G Comments at 2.  HWA and FCR refute these positions as “groundless” given existing protections for Part 15 users, and state all other issues raised by the commenters are “fully addressed” in their filed requests and “need not be repeated.”  HWA/FCR Reply at 2.</w:t>
      </w:r>
    </w:p>
  </w:footnote>
  <w:footnote w:id="105">
    <w:p w14:paraId="67ADD39E" w14:textId="77777777" w:rsidR="000C5F4C" w:rsidRPr="00220BEA" w:rsidRDefault="000C5F4C" w:rsidP="004243C6">
      <w:pPr>
        <w:pStyle w:val="FootnoteText"/>
      </w:pPr>
      <w:r w:rsidRPr="005B7DDA">
        <w:rPr>
          <w:rStyle w:val="FootnoteReference"/>
        </w:rPr>
        <w:footnoteRef/>
      </w:r>
      <w:r>
        <w:t xml:space="preserve"> 47 CFR</w:t>
      </w:r>
      <w:r w:rsidRPr="00220BEA">
        <w:t xml:space="preserve"> § 1.946(e).</w:t>
      </w:r>
    </w:p>
  </w:footnote>
  <w:footnote w:id="106">
    <w:p w14:paraId="129C417F" w14:textId="77777777" w:rsidR="000C5F4C" w:rsidRDefault="000C5F4C" w:rsidP="004243C6">
      <w:pPr>
        <w:pStyle w:val="FootnoteText"/>
      </w:pPr>
      <w:r>
        <w:rPr>
          <w:rStyle w:val="FootnoteReference"/>
        </w:rPr>
        <w:footnoteRef/>
      </w:r>
      <w:r>
        <w:t xml:space="preserve"> </w:t>
      </w:r>
      <w:r>
        <w:rPr>
          <w:i/>
        </w:rPr>
        <w:t>Id.</w:t>
      </w:r>
      <w:r>
        <w:t xml:space="preserve"> § 90.155(g).</w:t>
      </w:r>
    </w:p>
  </w:footnote>
  <w:footnote w:id="107">
    <w:p w14:paraId="0F896A99" w14:textId="77777777" w:rsidR="000C5F4C" w:rsidRPr="00220BEA" w:rsidRDefault="000C5F4C" w:rsidP="004243C6">
      <w:pPr>
        <w:pStyle w:val="FootnoteText"/>
      </w:pPr>
      <w:r w:rsidRPr="005B7DDA">
        <w:rPr>
          <w:rStyle w:val="FootnoteReference"/>
        </w:rPr>
        <w:footnoteRef/>
      </w:r>
      <w:r>
        <w:t xml:space="preserve"> </w:t>
      </w:r>
      <w:r>
        <w:rPr>
          <w:i/>
        </w:rPr>
        <w:t>Id.</w:t>
      </w:r>
      <w:r w:rsidRPr="00220BEA">
        <w:t xml:space="preserve"> § 1.925.</w:t>
      </w:r>
      <w:r>
        <w:t xml:space="preserve"> </w:t>
      </w:r>
    </w:p>
  </w:footnote>
  <w:footnote w:id="108">
    <w:p w14:paraId="25CB31AC" w14:textId="77777777" w:rsidR="000C5F4C" w:rsidRPr="00220BEA" w:rsidRDefault="000C5F4C" w:rsidP="004243C6">
      <w:pPr>
        <w:pStyle w:val="FootnoteText"/>
      </w:pPr>
      <w:r w:rsidRPr="005B7DDA">
        <w:rPr>
          <w:rStyle w:val="FootnoteReference"/>
        </w:rPr>
        <w:footnoteRef/>
      </w:r>
      <w:r>
        <w:t xml:space="preserve"> </w:t>
      </w:r>
      <w:r>
        <w:rPr>
          <w:i/>
        </w:rPr>
        <w:t>Id.</w:t>
      </w:r>
      <w:r w:rsidRPr="00220BEA">
        <w:t xml:space="preserve"> § 1.946(e)(1).</w:t>
      </w:r>
    </w:p>
  </w:footnote>
  <w:footnote w:id="109">
    <w:p w14:paraId="7F3D4EE6" w14:textId="77777777" w:rsidR="000C5F4C" w:rsidRPr="00216C15" w:rsidRDefault="000C5F4C" w:rsidP="004243C6">
      <w:pPr>
        <w:pStyle w:val="FootnoteText"/>
      </w:pPr>
      <w:r>
        <w:rPr>
          <w:rStyle w:val="FootnoteReference"/>
        </w:rPr>
        <w:footnoteRef/>
      </w:r>
      <w:r>
        <w:t xml:space="preserve"> </w:t>
      </w:r>
      <w:r>
        <w:rPr>
          <w:i/>
        </w:rPr>
        <w:t xml:space="preserve">Id. </w:t>
      </w:r>
      <w:r>
        <w:t>§ 90.155(g).</w:t>
      </w:r>
    </w:p>
  </w:footnote>
  <w:footnote w:id="110">
    <w:p w14:paraId="6E08CF54" w14:textId="77777777" w:rsidR="000C5F4C" w:rsidRPr="00F21CFA" w:rsidRDefault="000C5F4C" w:rsidP="004243C6">
      <w:pPr>
        <w:pStyle w:val="FootnoteText"/>
        <w:rPr>
          <w:color w:val="000000"/>
          <w:shd w:val="clear" w:color="auto" w:fill="FFFFFF"/>
        </w:rPr>
      </w:pPr>
      <w:r w:rsidRPr="00216C15">
        <w:rPr>
          <w:rStyle w:val="FootnoteReference"/>
        </w:rPr>
        <w:footnoteRef/>
      </w:r>
      <w:r w:rsidRPr="00216C15">
        <w:t xml:space="preserve"> </w:t>
      </w:r>
      <w:r w:rsidRPr="00216C15">
        <w:rPr>
          <w:i/>
        </w:rPr>
        <w:t xml:space="preserve">Id. </w:t>
      </w:r>
      <w:r w:rsidRPr="00F21CFA">
        <w:rPr>
          <w:color w:val="000000"/>
          <w:shd w:val="clear" w:color="auto" w:fill="FFFFFF"/>
        </w:rPr>
        <w:t>(“No extensions will be granted for delays caused by lack of financing, lack of site availability, for the assignment or transfer of control of an authorization, or for failur</w:t>
      </w:r>
      <w:r>
        <w:rPr>
          <w:color w:val="000000"/>
          <w:shd w:val="clear" w:color="auto" w:fill="FFFFFF"/>
        </w:rPr>
        <w:t xml:space="preserve">e to timely order equipment.”).  </w:t>
      </w:r>
      <w:r>
        <w:rPr>
          <w:i/>
          <w:color w:val="000000"/>
          <w:shd w:val="clear" w:color="auto" w:fill="FFFFFF"/>
        </w:rPr>
        <w:t>See also id.</w:t>
      </w:r>
      <w:r>
        <w:rPr>
          <w:color w:val="000000"/>
          <w:shd w:val="clear" w:color="auto" w:fill="FFFFFF"/>
        </w:rPr>
        <w:t xml:space="preserve"> § </w:t>
      </w:r>
      <w:r w:rsidRPr="00F21CFA">
        <w:rPr>
          <w:color w:val="000000"/>
          <w:shd w:val="clear" w:color="auto" w:fill="FFFFFF"/>
        </w:rPr>
        <w:t xml:space="preserve">1.946(e)(2)-(3) (describing similar circumstances with respect to construction requirements). </w:t>
      </w:r>
    </w:p>
  </w:footnote>
  <w:footnote w:id="111">
    <w:p w14:paraId="6306BA6E" w14:textId="77777777" w:rsidR="000C5F4C" w:rsidRPr="00220BEA" w:rsidRDefault="000C5F4C" w:rsidP="004243C6">
      <w:pPr>
        <w:pStyle w:val="FootnoteText"/>
      </w:pPr>
      <w:r w:rsidRPr="005B7DDA">
        <w:rPr>
          <w:rStyle w:val="FootnoteReference"/>
        </w:rPr>
        <w:footnoteRef/>
      </w:r>
      <w:r>
        <w:t xml:space="preserve"> 47 CFR</w:t>
      </w:r>
      <w:r w:rsidRPr="00220BEA">
        <w:t xml:space="preserve"> § 1.925(b)(3).</w:t>
      </w:r>
    </w:p>
  </w:footnote>
  <w:footnote w:id="112">
    <w:p w14:paraId="142B03FA" w14:textId="77777777" w:rsidR="000C5F4C" w:rsidRDefault="000C5F4C" w:rsidP="004243C6">
      <w:pPr>
        <w:pStyle w:val="FootnoteText"/>
      </w:pPr>
      <w:r>
        <w:rPr>
          <w:rStyle w:val="FootnoteReference"/>
        </w:rPr>
        <w:footnoteRef/>
      </w:r>
      <w:r>
        <w:t xml:space="preserve"> </w:t>
      </w:r>
      <w:r>
        <w:rPr>
          <w:i/>
        </w:rPr>
        <w:t>Id.</w:t>
      </w:r>
      <w:r>
        <w:t xml:space="preserve"> § 1.3.</w:t>
      </w:r>
    </w:p>
  </w:footnote>
  <w:footnote w:id="113">
    <w:p w14:paraId="51444484" w14:textId="77777777" w:rsidR="000C5F4C" w:rsidRDefault="000C5F4C" w:rsidP="004243C6">
      <w:pPr>
        <w:pStyle w:val="FootnoteText"/>
      </w:pPr>
      <w:r>
        <w:rPr>
          <w:rStyle w:val="FootnoteReference"/>
        </w:rPr>
        <w:footnoteRef/>
      </w:r>
      <w:r>
        <w:t xml:space="preserve"> </w:t>
      </w:r>
      <w:r w:rsidRPr="004243C6">
        <w:rPr>
          <w:i/>
          <w:color w:val="000000"/>
        </w:rPr>
        <w:t>WAIT Radio v. FCC</w:t>
      </w:r>
      <w:r w:rsidRPr="004243C6">
        <w:rPr>
          <w:color w:val="000000"/>
        </w:rPr>
        <w:t>, 459 F.2d 1203, 1207 (D.C. Cir. 1972).</w:t>
      </w:r>
    </w:p>
  </w:footnote>
  <w:footnote w:id="114">
    <w:p w14:paraId="43056CB8" w14:textId="77777777" w:rsidR="000C5F4C" w:rsidRPr="003245A0" w:rsidRDefault="000C5F4C" w:rsidP="004243C6">
      <w:pPr>
        <w:pStyle w:val="FootnoteText"/>
      </w:pPr>
      <w:r w:rsidRPr="003524B9">
        <w:rPr>
          <w:rStyle w:val="FootnoteReference"/>
        </w:rPr>
        <w:footnoteRef/>
      </w:r>
      <w:r w:rsidRPr="003524B9">
        <w:t xml:space="preserve"> </w:t>
      </w:r>
      <w:r w:rsidRPr="009E2DF8">
        <w:rPr>
          <w:i/>
        </w:rPr>
        <w:t xml:space="preserve">See </w:t>
      </w:r>
      <w:r w:rsidRPr="006E104D">
        <w:t xml:space="preserve">47 U.S.C. </w:t>
      </w:r>
      <w:r>
        <w:t xml:space="preserve">§ 309(j)(3)(D).  </w:t>
      </w:r>
      <w:r w:rsidRPr="00FC2060">
        <w:rPr>
          <w:i/>
        </w:rPr>
        <w:t xml:space="preserve">Cf. id. </w:t>
      </w:r>
      <w:r w:rsidRPr="006E104D">
        <w:t>§ 309(j)</w:t>
      </w:r>
      <w:r>
        <w:t>(4)(B)</w:t>
      </w:r>
      <w:r w:rsidRPr="003245A0">
        <w:t>.</w:t>
      </w:r>
    </w:p>
  </w:footnote>
  <w:footnote w:id="115">
    <w:p w14:paraId="4228B6D8" w14:textId="77777777" w:rsidR="000C5F4C" w:rsidRPr="006972E5" w:rsidRDefault="000C5F4C" w:rsidP="004243C6">
      <w:pPr>
        <w:pStyle w:val="FootnoteText"/>
      </w:pPr>
      <w:r>
        <w:rPr>
          <w:rStyle w:val="FootnoteReference"/>
        </w:rPr>
        <w:footnoteRef/>
      </w:r>
      <w:r>
        <w:t xml:space="preserve"> </w:t>
      </w:r>
      <w:r w:rsidRPr="00620EB7">
        <w:rPr>
          <w:i/>
        </w:rPr>
        <w:t>See</w:t>
      </w:r>
      <w:r>
        <w:rPr>
          <w:i/>
        </w:rPr>
        <w:t xml:space="preserve"> </w:t>
      </w:r>
      <w:r w:rsidRPr="00106079">
        <w:rPr>
          <w:i/>
        </w:rPr>
        <w:t>WAIT Radio v. FCC</w:t>
      </w:r>
      <w:r w:rsidRPr="00D54977">
        <w:t>,</w:t>
      </w:r>
      <w:r w:rsidRPr="00106079">
        <w:rPr>
          <w:i/>
        </w:rPr>
        <w:t xml:space="preserve"> </w:t>
      </w:r>
      <w:r w:rsidRPr="00106079">
        <w:t xml:space="preserve">418 F.2d 1153, 1157 (D.C. Cir. 1969), </w:t>
      </w:r>
      <w:r w:rsidRPr="00106079">
        <w:rPr>
          <w:i/>
        </w:rPr>
        <w:t>aff'd</w:t>
      </w:r>
      <w:r w:rsidRPr="009045DF">
        <w:t xml:space="preserve">, </w:t>
      </w:r>
      <w:r w:rsidRPr="00106079">
        <w:t xml:space="preserve">459 F.2d 1203 (1972), </w:t>
      </w:r>
      <w:r w:rsidRPr="00106079">
        <w:rPr>
          <w:i/>
        </w:rPr>
        <w:t>cert. denied</w:t>
      </w:r>
      <w:r w:rsidRPr="00106079">
        <w:t>, 93 S.</w:t>
      </w:r>
      <w:r>
        <w:t xml:space="preserve"> </w:t>
      </w:r>
      <w:r w:rsidRPr="00106079">
        <w:t>Ct. 461 (1972).</w:t>
      </w:r>
    </w:p>
  </w:footnote>
  <w:footnote w:id="116">
    <w:p w14:paraId="2EFB5ACE" w14:textId="77777777" w:rsidR="000C5F4C" w:rsidRDefault="000C5F4C" w:rsidP="004243C6">
      <w:pPr>
        <w:pStyle w:val="FootnoteText"/>
      </w:pPr>
      <w:r>
        <w:rPr>
          <w:rStyle w:val="FootnoteReference"/>
        </w:rPr>
        <w:footnoteRef/>
      </w:r>
      <w:r>
        <w:t xml:space="preserve"> </w:t>
      </w:r>
      <w:r>
        <w:rPr>
          <w:i/>
        </w:rPr>
        <w:t>See, e.g.</w:t>
      </w:r>
      <w:r>
        <w:t>,</w:t>
      </w:r>
      <w:r>
        <w:rPr>
          <w:i/>
        </w:rPr>
        <w:t xml:space="preserve"> </w:t>
      </w:r>
      <w:r w:rsidRPr="00725583">
        <w:rPr>
          <w:i/>
        </w:rPr>
        <w:t>VHF Public Coast and Location and Monitoring Service Spectrum Auction Scheduled for June 6, 2001</w:t>
      </w:r>
      <w:r>
        <w:rPr>
          <w:i/>
        </w:rPr>
        <w:t>,</w:t>
      </w:r>
      <w:r w:rsidRPr="00725583">
        <w:rPr>
          <w:i/>
        </w:rPr>
        <w:t xml:space="preserve"> Notice and Filing Requirements for 16 Licenses in the VHF Public Coast and 241 Licenses in the Locatio</w:t>
      </w:r>
      <w:r>
        <w:rPr>
          <w:i/>
        </w:rPr>
        <w:t>n and Monitoring Service Auction,</w:t>
      </w:r>
      <w:r w:rsidRPr="00725583">
        <w:rPr>
          <w:i/>
        </w:rPr>
        <w:t xml:space="preserve"> Minimum Opening Bids, Upfront Payments and Other Procedural Issue</w:t>
      </w:r>
      <w:r>
        <w:rPr>
          <w:i/>
        </w:rPr>
        <w:t>s</w:t>
      </w:r>
      <w:r>
        <w:t xml:space="preserve">, Public Notice, 16 FCC Rcd 6986, 6993-95 (WTB 2001) (establishing procedures for Auction 39); </w:t>
      </w:r>
      <w:r w:rsidRPr="00725583">
        <w:rPr>
          <w:i/>
        </w:rPr>
        <w:t>Auction of Location and Monitoring Service Licenses, Auction Notice and Filing Requirements for 528 Multilateration Licenses Sch</w:t>
      </w:r>
      <w:r>
        <w:rPr>
          <w:i/>
        </w:rPr>
        <w:t xml:space="preserve">eduled for December 15, 1998, </w:t>
      </w:r>
      <w:r w:rsidRPr="00725583">
        <w:rPr>
          <w:i/>
        </w:rPr>
        <w:t>Minimum Opening Bids and Other Procedural Issues</w:t>
      </w:r>
      <w:r>
        <w:t>, Public Notice, 13 FCC Rcd 18583, *3-5 (WTB 1998) (establishing procedures for Auction 21).</w:t>
      </w:r>
    </w:p>
  </w:footnote>
  <w:footnote w:id="117">
    <w:p w14:paraId="7BD75E9C" w14:textId="77777777" w:rsidR="000C5F4C" w:rsidRDefault="000C5F4C" w:rsidP="004243C6">
      <w:pPr>
        <w:pStyle w:val="FootnoteText"/>
      </w:pPr>
      <w:r>
        <w:rPr>
          <w:rStyle w:val="FootnoteReference"/>
        </w:rPr>
        <w:footnoteRef/>
      </w:r>
      <w:r>
        <w:t xml:space="preserve"> 47 CFR § 1.946(c).</w:t>
      </w:r>
    </w:p>
  </w:footnote>
  <w:footnote w:id="118">
    <w:p w14:paraId="10557558" w14:textId="77777777" w:rsidR="000C5F4C" w:rsidRDefault="000C5F4C" w:rsidP="004243C6">
      <w:pPr>
        <w:pStyle w:val="FootnoteText"/>
      </w:pPr>
      <w:r>
        <w:rPr>
          <w:rStyle w:val="FootnoteReference"/>
        </w:rPr>
        <w:footnoteRef/>
      </w:r>
      <w:r>
        <w:t xml:space="preserve"> HWA Interim Request at 1-2; HWA Final Request at 1; FCR Requests at 2.</w:t>
      </w:r>
    </w:p>
  </w:footnote>
  <w:footnote w:id="119">
    <w:p w14:paraId="39836F62" w14:textId="77777777" w:rsidR="000C5F4C" w:rsidRPr="005C4AE1" w:rsidRDefault="000C5F4C" w:rsidP="004243C6">
      <w:pPr>
        <w:pStyle w:val="FootnoteText"/>
      </w:pPr>
      <w:r>
        <w:rPr>
          <w:rStyle w:val="FootnoteReference"/>
        </w:rPr>
        <w:footnoteRef/>
      </w:r>
      <w:r>
        <w:t xml:space="preserve"> </w:t>
      </w:r>
      <w:r>
        <w:rPr>
          <w:i/>
        </w:rPr>
        <w:t>See generally</w:t>
      </w:r>
      <w:r>
        <w:t xml:space="preserve"> 47 CFR § 0.131.</w:t>
      </w:r>
    </w:p>
  </w:footnote>
  <w:footnote w:id="120">
    <w:p w14:paraId="0254E835" w14:textId="77777777" w:rsidR="000C5F4C" w:rsidRPr="00A82DA3" w:rsidRDefault="000C5F4C" w:rsidP="004243C6">
      <w:pPr>
        <w:pStyle w:val="FootnoteText"/>
      </w:pPr>
      <w:r>
        <w:rPr>
          <w:rStyle w:val="FootnoteReference"/>
        </w:rPr>
        <w:footnoteRef/>
      </w:r>
      <w:r>
        <w:t xml:space="preserve"> </w:t>
      </w:r>
      <w:r>
        <w:rPr>
          <w:i/>
        </w:rPr>
        <w:t>2014 Extension Order</w:t>
      </w:r>
      <w:r>
        <w:t>, 29 FCC Rcd at 10368, para. 18.</w:t>
      </w:r>
    </w:p>
  </w:footnote>
  <w:footnote w:id="121">
    <w:p w14:paraId="0E5CF86C" w14:textId="77777777" w:rsidR="000C5F4C" w:rsidRDefault="000C5F4C" w:rsidP="004243C6">
      <w:pPr>
        <w:pStyle w:val="FootnoteText"/>
      </w:pPr>
      <w:r>
        <w:rPr>
          <w:rStyle w:val="FootnoteReference"/>
        </w:rPr>
        <w:footnoteRef/>
      </w:r>
      <w:r>
        <w:t xml:space="preserve"> HWA Interim Request at 8-9; HWA Final Request at 6-7; FCR Requests at 3-4.</w:t>
      </w:r>
    </w:p>
  </w:footnote>
  <w:footnote w:id="122">
    <w:p w14:paraId="1FB2FF6F" w14:textId="77777777" w:rsidR="000C5F4C" w:rsidRDefault="000C5F4C" w:rsidP="004243C6">
      <w:pPr>
        <w:pStyle w:val="FootnoteText"/>
      </w:pPr>
      <w:r>
        <w:rPr>
          <w:rStyle w:val="FootnoteReference"/>
        </w:rPr>
        <w:footnoteRef/>
      </w:r>
      <w:r>
        <w:t xml:space="preserve"> As to Skybridge and Telesaurus, the proper forum for addressing these types of arguments, to the extent not done herein, is in that separate proceeding, for which Applications for Review are pending.</w:t>
      </w:r>
    </w:p>
  </w:footnote>
  <w:footnote w:id="123">
    <w:p w14:paraId="30FE18A5" w14:textId="77777777" w:rsidR="000C5F4C" w:rsidRPr="009C15AA" w:rsidRDefault="000C5F4C" w:rsidP="004243C6">
      <w:pPr>
        <w:pStyle w:val="FootnoteText"/>
      </w:pPr>
      <w:r>
        <w:rPr>
          <w:rStyle w:val="FootnoteReference"/>
        </w:rPr>
        <w:footnoteRef/>
      </w:r>
      <w:r>
        <w:t xml:space="preserve"> </w:t>
      </w:r>
      <w:r>
        <w:rPr>
          <w:i/>
        </w:rPr>
        <w:t>2014 Extension Order</w:t>
      </w:r>
      <w:r>
        <w:t>, 29 FCC Rcd at 10367, para. 17.</w:t>
      </w:r>
    </w:p>
  </w:footnote>
  <w:footnote w:id="124">
    <w:p w14:paraId="1F044B2F" w14:textId="77777777" w:rsidR="000C5F4C" w:rsidRPr="00A82DA3" w:rsidRDefault="000C5F4C" w:rsidP="004243C6">
      <w:pPr>
        <w:pStyle w:val="FootnoteText"/>
      </w:pPr>
      <w:r>
        <w:rPr>
          <w:rStyle w:val="FootnoteReference"/>
        </w:rPr>
        <w:footnoteRef/>
      </w:r>
      <w:r>
        <w:t xml:space="preserve"> </w:t>
      </w:r>
      <w:r>
        <w:rPr>
          <w:i/>
        </w:rPr>
        <w:t>Id</w:t>
      </w:r>
      <w:r w:rsidRPr="006E6CFA">
        <w:rPr>
          <w:i/>
        </w:rPr>
        <w:t>.</w:t>
      </w:r>
      <w:r>
        <w:t xml:space="preserve"> at 10368, para. 17.</w:t>
      </w:r>
    </w:p>
  </w:footnote>
  <w:footnote w:id="125">
    <w:p w14:paraId="02C50A5E" w14:textId="77777777" w:rsidR="000C5F4C" w:rsidRPr="006921E2" w:rsidRDefault="000C5F4C" w:rsidP="004243C6">
      <w:pPr>
        <w:pStyle w:val="FootnoteText"/>
      </w:pPr>
      <w:r>
        <w:rPr>
          <w:rStyle w:val="FootnoteReference"/>
        </w:rPr>
        <w:footnoteRef/>
      </w:r>
      <w:r>
        <w:t xml:space="preserve"> </w:t>
      </w:r>
      <w:r>
        <w:rPr>
          <w:i/>
        </w:rPr>
        <w:t>Id.</w:t>
      </w:r>
      <w:r>
        <w:t xml:space="preserve"> at 10367-68, paras. 15-19.</w:t>
      </w:r>
    </w:p>
  </w:footnote>
  <w:footnote w:id="126">
    <w:p w14:paraId="5C2B65C7" w14:textId="77777777" w:rsidR="000C5F4C" w:rsidRDefault="000C5F4C" w:rsidP="004243C6">
      <w:pPr>
        <w:pStyle w:val="FootnoteText"/>
      </w:pPr>
      <w:r>
        <w:rPr>
          <w:rStyle w:val="FootnoteReference"/>
        </w:rPr>
        <w:footnoteRef/>
      </w:r>
      <w:r>
        <w:t xml:space="preserve"> </w:t>
      </w:r>
      <w:r w:rsidRPr="0082070D">
        <w:rPr>
          <w:i/>
        </w:rPr>
        <w:t>See supra</w:t>
      </w:r>
      <w:r>
        <w:t xml:space="preserve"> para. 13.</w:t>
      </w:r>
    </w:p>
  </w:footnote>
  <w:footnote w:id="127">
    <w:p w14:paraId="07EC74E4" w14:textId="47F6DB16" w:rsidR="000C5F4C" w:rsidRPr="00725583" w:rsidRDefault="000C5F4C" w:rsidP="004243C6">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_Ref495424345 \h </w:instrText>
      </w:r>
      <w:r>
        <w:fldChar w:fldCharType="separate"/>
      </w:r>
      <w:r>
        <w:t>115</w:t>
      </w:r>
      <w:r>
        <w:fldChar w:fldCharType="end"/>
      </w:r>
      <w:r>
        <w:t>.</w:t>
      </w:r>
      <w:r>
        <w:rPr>
          <w:i/>
        </w:rPr>
        <w:t xml:space="preserve"> </w:t>
      </w:r>
    </w:p>
  </w:footnote>
  <w:footnote w:id="128">
    <w:p w14:paraId="154D0108" w14:textId="77777777" w:rsidR="000C5F4C" w:rsidRPr="00A751FE" w:rsidRDefault="000C5F4C" w:rsidP="004243C6">
      <w:pPr>
        <w:pStyle w:val="FootnoteText"/>
      </w:pPr>
      <w:r>
        <w:rPr>
          <w:rStyle w:val="FootnoteReference"/>
        </w:rPr>
        <w:footnoteRef/>
      </w:r>
      <w:r>
        <w:t xml:space="preserve"> </w:t>
      </w:r>
      <w:r w:rsidRPr="00AF6A96">
        <w:rPr>
          <w:i/>
        </w:rPr>
        <w:t>Cf.</w:t>
      </w:r>
      <w:r>
        <w:t xml:space="preserve"> </w:t>
      </w:r>
      <w:r>
        <w:rPr>
          <w:i/>
        </w:rPr>
        <w:t>2014 Extension Order</w:t>
      </w:r>
      <w:r>
        <w:t>, 29 FCC Rcd</w:t>
      </w:r>
      <w:r>
        <w:rPr>
          <w:i/>
        </w:rPr>
        <w:t xml:space="preserve"> </w:t>
      </w:r>
      <w:r>
        <w:t>at 10368, para. 17.</w:t>
      </w:r>
    </w:p>
  </w:footnote>
  <w:footnote w:id="129">
    <w:p w14:paraId="462D5E35" w14:textId="77777777" w:rsidR="000C5F4C" w:rsidRPr="005259E6" w:rsidRDefault="000C5F4C" w:rsidP="004243C6">
      <w:pPr>
        <w:pStyle w:val="FootnoteText"/>
        <w:rPr>
          <w:i/>
        </w:rPr>
      </w:pPr>
      <w:r>
        <w:rPr>
          <w:rStyle w:val="FootnoteReference"/>
        </w:rPr>
        <w:footnoteRef/>
      </w:r>
      <w:r>
        <w:t xml:space="preserve"> Havens Comment at 4.  </w:t>
      </w:r>
      <w:r>
        <w:rPr>
          <w:i/>
        </w:rPr>
        <w:t>See also Maritime Communications/Land Mobile, LLC</w:t>
      </w:r>
      <w:r>
        <w:t>, EB Docket No. 11-71, FCC 15M-14, Memorandum Opinion and Order, 2015 WL 1890837 (ALJ 2015) (Sippel Order)</w:t>
      </w:r>
      <w:r w:rsidRPr="005E7338">
        <w:t xml:space="preserve"> </w:t>
      </w:r>
      <w:r>
        <w:t xml:space="preserve">(finding that Havens filed a Motion for Summary Decision in bad faith and engaged in contemptuous and egregious conduct during the proceedings), </w:t>
      </w:r>
      <w:r>
        <w:rPr>
          <w:i/>
        </w:rPr>
        <w:t>petition for reconsideration pending</w:t>
      </w:r>
      <w:r>
        <w:t xml:space="preserve">, </w:t>
      </w:r>
      <w:r>
        <w:rPr>
          <w:i/>
        </w:rPr>
        <w:t>ENL-VSL Interlocutory Appeal as of Right</w:t>
      </w:r>
      <w:r>
        <w:t>, EB Docket No. 11-71, Appeal (filed Apr. 29, 2015).</w:t>
      </w:r>
    </w:p>
  </w:footnote>
  <w:footnote w:id="130">
    <w:p w14:paraId="5583E9F9" w14:textId="798232A3" w:rsidR="000C5F4C" w:rsidRPr="00716427" w:rsidRDefault="000C5F4C" w:rsidP="004243C6">
      <w:pPr>
        <w:pStyle w:val="FootnoteText"/>
      </w:pPr>
      <w:r>
        <w:rPr>
          <w:rStyle w:val="FootnoteReference"/>
        </w:rPr>
        <w:footnoteRef/>
      </w:r>
      <w:r>
        <w:t xml:space="preserve"> </w:t>
      </w:r>
      <w:r>
        <w:rPr>
          <w:i/>
        </w:rPr>
        <w:t>See supra</w:t>
      </w:r>
      <w:r>
        <w:t xml:space="preserve"> note </w:t>
      </w:r>
      <w:r>
        <w:fldChar w:fldCharType="begin"/>
      </w:r>
      <w:r>
        <w:instrText xml:space="preserve"> NOTEREF _Ref469992942 \h  \* MERGEFORMAT </w:instrText>
      </w:r>
      <w:r>
        <w:fldChar w:fldCharType="separate"/>
      </w:r>
      <w:r>
        <w:t>4</w:t>
      </w:r>
      <w:r>
        <w:fldChar w:fldCharType="end"/>
      </w:r>
      <w:r>
        <w:t>.</w:t>
      </w:r>
    </w:p>
  </w:footnote>
  <w:footnote w:id="131">
    <w:p w14:paraId="40B3E3AD" w14:textId="115C0BF6" w:rsidR="000C5F4C" w:rsidRDefault="000C5F4C" w:rsidP="004243C6">
      <w:pPr>
        <w:pStyle w:val="FootnoteText"/>
      </w:pPr>
      <w:r>
        <w:rPr>
          <w:rStyle w:val="FootnoteReference"/>
        </w:rPr>
        <w:footnoteRef/>
      </w:r>
      <w:r>
        <w:t xml:space="preserve"> Regardless of past, present, or future control of the Skybridge/Telesaurus licenses, our decision today is based on whether the facts and circumstances of the record before us warrant the requested relief.  </w:t>
      </w:r>
      <w:r>
        <w:rPr>
          <w:i/>
        </w:rPr>
        <w:t>See supra</w:t>
      </w:r>
      <w:r>
        <w:t xml:space="preserve"> paras. </w:t>
      </w:r>
      <w:r>
        <w:fldChar w:fldCharType="begin"/>
      </w:r>
      <w:r>
        <w:instrText xml:space="preserve"> REF _Ref472426708 \r \h  \* MERGEFORMAT </w:instrText>
      </w:r>
      <w:r>
        <w:fldChar w:fldCharType="separate"/>
      </w:r>
      <w:r>
        <w:t>6</w:t>
      </w:r>
      <w:r>
        <w:fldChar w:fldCharType="end"/>
      </w:r>
      <w:r>
        <w:t>-</w:t>
      </w:r>
      <w:r>
        <w:fldChar w:fldCharType="begin"/>
      </w:r>
      <w:r>
        <w:instrText xml:space="preserve"> REF _Ref472426730 \r \h  \* MERGEFORMAT </w:instrText>
      </w:r>
      <w:r>
        <w:fldChar w:fldCharType="separate"/>
      </w:r>
      <w:r>
        <w:t>12</w:t>
      </w:r>
      <w:r>
        <w:fldChar w:fldCharType="end"/>
      </w:r>
      <w:r>
        <w:t xml:space="preserve">, and </w:t>
      </w:r>
      <w:r>
        <w:rPr>
          <w:i/>
        </w:rPr>
        <w:t xml:space="preserve">infra </w:t>
      </w:r>
      <w:r>
        <w:t xml:space="preserve">paras. </w:t>
      </w:r>
      <w:r>
        <w:fldChar w:fldCharType="begin"/>
      </w:r>
      <w:r>
        <w:instrText xml:space="preserve"> REF _Ref472426679 \r \h  \* MERGEFORMAT </w:instrText>
      </w:r>
      <w:r>
        <w:fldChar w:fldCharType="separate"/>
      </w:r>
      <w:r>
        <w:t>30</w:t>
      </w:r>
      <w:r>
        <w:fldChar w:fldCharType="end"/>
      </w:r>
      <w:r>
        <w:t>-</w:t>
      </w:r>
      <w:r>
        <w:fldChar w:fldCharType="begin"/>
      </w:r>
      <w:r>
        <w:instrText xml:space="preserve"> REF _Ref472426688 \r \h  \* MERGEFORMAT </w:instrText>
      </w:r>
      <w:r>
        <w:fldChar w:fldCharType="separate"/>
      </w:r>
      <w:r>
        <w:t>34</w:t>
      </w:r>
      <w:r>
        <w:fldChar w:fldCharType="end"/>
      </w:r>
      <w:r>
        <w:t>.</w:t>
      </w:r>
    </w:p>
  </w:footnote>
  <w:footnote w:id="132">
    <w:p w14:paraId="5032451B" w14:textId="77777777" w:rsidR="000C5F4C" w:rsidRPr="00E158C8" w:rsidRDefault="000C5F4C" w:rsidP="004243C6">
      <w:pPr>
        <w:pStyle w:val="FootnoteText"/>
      </w:pPr>
      <w:r>
        <w:rPr>
          <w:rStyle w:val="FootnoteReference"/>
        </w:rPr>
        <w:footnoteRef/>
      </w:r>
      <w:r>
        <w:t xml:space="preserve"> </w:t>
      </w:r>
      <w:r>
        <w:rPr>
          <w:i/>
        </w:rPr>
        <w:t>See</w:t>
      </w:r>
      <w:r>
        <w:t xml:space="preserve"> Havens Comment at 6-10 (referencing and incorporating several filings and matters already before the Commission concerning both Skybridge/Telesaurus and other Havens-controlled entities, many of which are no longer active proceedings).  We similarly find that we need not consider the merits of the specific extension Havens proposes, which differs from the Skybridge/Telesaurus requested relief.  </w:t>
      </w:r>
      <w:r>
        <w:rPr>
          <w:i/>
        </w:rPr>
        <w:t>See id.</w:t>
      </w:r>
      <w:r w:rsidRPr="00D40E4E">
        <w:t xml:space="preserve"> </w:t>
      </w:r>
      <w:r>
        <w:t>at 2 (requesting an “extension of (i) the length of time from when the court granted the . . . receivership to 24 months past the termination of the receivership (a date not yet known), with allowance to request a further extension at the end of that period if . . . during the receivership, a subject License is sold…”).</w:t>
      </w:r>
    </w:p>
  </w:footnote>
  <w:footnote w:id="133">
    <w:p w14:paraId="3391EDCF" w14:textId="77777777" w:rsidR="000C5F4C" w:rsidRDefault="000C5F4C" w:rsidP="004243C6">
      <w:pPr>
        <w:pStyle w:val="FootnoteText"/>
      </w:pPr>
      <w:r>
        <w:rPr>
          <w:rStyle w:val="FootnoteReference"/>
        </w:rPr>
        <w:footnoteRef/>
      </w:r>
      <w:r>
        <w:t xml:space="preserve"> Skybridge/Telesaurus Request at 8.</w:t>
      </w:r>
    </w:p>
  </w:footnote>
  <w:footnote w:id="134">
    <w:p w14:paraId="005CDF3E" w14:textId="77777777" w:rsidR="000C5F4C" w:rsidRDefault="000C5F4C" w:rsidP="004243C6">
      <w:pPr>
        <w:pStyle w:val="FootnoteText"/>
      </w:pPr>
      <w:r>
        <w:rPr>
          <w:rStyle w:val="FootnoteReference"/>
        </w:rPr>
        <w:footnoteRef/>
      </w:r>
      <w:r>
        <w:t xml:space="preserve"> Havens requests that the Bureau look to the plans and due diligence of the pre-receivership licensees in making its decision to grant or deny an extension.  </w:t>
      </w:r>
      <w:r>
        <w:rPr>
          <w:i/>
        </w:rPr>
        <w:t xml:space="preserve">See </w:t>
      </w:r>
      <w:r>
        <w:t xml:space="preserve">Havens Comment at 4.  While </w:t>
      </w:r>
      <w:r w:rsidRPr="006B1904">
        <w:t xml:space="preserve">pre-receivership due diligence </w:t>
      </w:r>
      <w:r>
        <w:t>might be one of several</w:t>
      </w:r>
      <w:r w:rsidRPr="006B1904">
        <w:t xml:space="preserve"> factor</w:t>
      </w:r>
      <w:r>
        <w:t xml:space="preserve">s in determining whether relief is warranted, the Havens Comment fails to point to any such claims of pre-receivership due diligence that the Skybridge/Telesaurus Request failed to raise, or that were not already addressed in the </w:t>
      </w:r>
      <w:r>
        <w:rPr>
          <w:i/>
        </w:rPr>
        <w:t>2014 Extension Order</w:t>
      </w:r>
      <w:r>
        <w:t xml:space="preserve">.  </w:t>
      </w:r>
    </w:p>
  </w:footnote>
  <w:footnote w:id="135">
    <w:p w14:paraId="05ECF41E" w14:textId="77777777" w:rsidR="000C5F4C" w:rsidRDefault="000C5F4C" w:rsidP="004243C6">
      <w:pPr>
        <w:pStyle w:val="FootnoteText"/>
      </w:pPr>
      <w:r>
        <w:rPr>
          <w:rStyle w:val="FootnoteReference"/>
        </w:rPr>
        <w:footnoteRef/>
      </w:r>
      <w:r>
        <w:t xml:space="preserve"> 47 CFR §§ 1.946(e)(3), 90.155(g).  The mere fact that the Receiver has entered an agreement for the sale of the Telesaurus license to Progeny, without a showing that circumstances beyond the licensee’s control prevented it from </w:t>
      </w:r>
      <w:r w:rsidRPr="00954492">
        <w:t xml:space="preserve">executing </w:t>
      </w:r>
      <w:r>
        <w:t xml:space="preserve">a sale that would result in timely construction, is therefore unavailing as a basis for grant of an extension. </w:t>
      </w:r>
    </w:p>
  </w:footnote>
  <w:footnote w:id="136">
    <w:p w14:paraId="6E5DC4EA" w14:textId="77777777" w:rsidR="000C5F4C" w:rsidRPr="00E36BF7" w:rsidRDefault="000C5F4C" w:rsidP="004243C6">
      <w:pPr>
        <w:pStyle w:val="FootnoteText"/>
      </w:pPr>
      <w:r>
        <w:rPr>
          <w:rStyle w:val="FootnoteReference"/>
        </w:rPr>
        <w:footnoteRef/>
      </w:r>
      <w:r>
        <w:t xml:space="preserve"> </w:t>
      </w:r>
      <w:r>
        <w:rPr>
          <w:i/>
        </w:rPr>
        <w:t>2014 Extension Order</w:t>
      </w:r>
      <w:r>
        <w:t xml:space="preserve">, 29 FCC Rcd at 10367, para. 17 (emphasis added).  </w:t>
      </w:r>
      <w:r>
        <w:rPr>
          <w:i/>
        </w:rPr>
        <w:t>See also</w:t>
      </w:r>
      <w:r>
        <w:t xml:space="preserve"> Skybridge/Telesaurus Request at 11.  Rather than renewed requests based on lack of available equipment, the Receiver argues the Skybridge/Telesaurus Request is consistent with the Bureau’s stated interests, as it seeks only a brief period of additional time to execute secondary market transactions for the sale of the M-LMS licenses.  </w:t>
      </w:r>
      <w:r>
        <w:rPr>
          <w:i/>
        </w:rPr>
        <w:t>Id</w:t>
      </w:r>
      <w:r>
        <w:t>.</w:t>
      </w:r>
    </w:p>
  </w:footnote>
  <w:footnote w:id="137">
    <w:p w14:paraId="1E583F0E" w14:textId="77777777" w:rsidR="000C5F4C" w:rsidRDefault="000C5F4C" w:rsidP="004243C6">
      <w:pPr>
        <w:pStyle w:val="FootnoteText"/>
      </w:pPr>
      <w:r>
        <w:rPr>
          <w:rStyle w:val="FootnoteReference"/>
        </w:rPr>
        <w:footnoteRef/>
      </w:r>
      <w:r>
        <w:t xml:space="preserve"> </w:t>
      </w:r>
      <w:r w:rsidRPr="0002573D">
        <w:rPr>
          <w:i/>
        </w:rPr>
        <w:t>Daniel R. Goodman, Receiver</w:t>
      </w:r>
      <w:r w:rsidRPr="000A2ECB">
        <w:t xml:space="preserve">, </w:t>
      </w:r>
      <w:r>
        <w:t xml:space="preserve">Memorandum Opinion and Order, </w:t>
      </w:r>
      <w:r w:rsidRPr="000A2ECB">
        <w:t>10 FCC Rcd 8537, 8545 (1995)</w:t>
      </w:r>
      <w:r>
        <w:t xml:space="preserve">; </w:t>
      </w:r>
      <w:r w:rsidRPr="0002573D">
        <w:rPr>
          <w:i/>
        </w:rPr>
        <w:t>Daniel R. Goodman, Receiver</w:t>
      </w:r>
      <w:r w:rsidRPr="000A2ECB">
        <w:t xml:space="preserve">, </w:t>
      </w:r>
      <w:r>
        <w:t xml:space="preserve">Memorandum Opinion and Order and Order on Reconsideration, </w:t>
      </w:r>
      <w:r w:rsidRPr="000A2ECB">
        <w:t>13 FCC Rcd 21944, 21973 (1998)</w:t>
      </w:r>
      <w:r>
        <w:t>.</w:t>
      </w:r>
    </w:p>
  </w:footnote>
  <w:footnote w:id="138">
    <w:p w14:paraId="3A77BAF4" w14:textId="77777777" w:rsidR="000C5F4C" w:rsidRDefault="000C5F4C" w:rsidP="004243C6">
      <w:pPr>
        <w:pStyle w:val="FootnoteText"/>
      </w:pPr>
      <w:r>
        <w:rPr>
          <w:rStyle w:val="FootnoteReference"/>
        </w:rPr>
        <w:footnoteRef/>
      </w:r>
      <w:r>
        <w:t xml:space="preserve"> Skybridge/Telesaurus Request at 11.</w:t>
      </w:r>
    </w:p>
  </w:footnote>
  <w:footnote w:id="139">
    <w:p w14:paraId="1E4BE554" w14:textId="77777777" w:rsidR="000C5F4C" w:rsidRPr="00954F66" w:rsidRDefault="000C5F4C" w:rsidP="004243C6">
      <w:pPr>
        <w:pStyle w:val="FootnoteText"/>
      </w:pPr>
      <w:r>
        <w:rPr>
          <w:rStyle w:val="FootnoteReference"/>
        </w:rPr>
        <w:footnoteRef/>
      </w:r>
      <w:r>
        <w:t xml:space="preserve"> </w:t>
      </w:r>
      <w:r>
        <w:rPr>
          <w:i/>
        </w:rPr>
        <w:t>Goodman</w:t>
      </w:r>
      <w:r>
        <w:t>, 13 FCC Rcd at 21973.</w:t>
      </w:r>
    </w:p>
  </w:footnote>
  <w:footnote w:id="140">
    <w:p w14:paraId="60A99451" w14:textId="77777777" w:rsidR="000C5F4C" w:rsidRDefault="000C5F4C" w:rsidP="004243C6">
      <w:pPr>
        <w:pStyle w:val="FootnoteText"/>
      </w:pPr>
      <w:r>
        <w:rPr>
          <w:rStyle w:val="FootnoteReference"/>
        </w:rPr>
        <w:footnoteRef/>
      </w:r>
      <w:r>
        <w:t xml:space="preserve"> Skybridge/Telesaurus Request at 3-4.</w:t>
      </w:r>
    </w:p>
  </w:footnote>
  <w:footnote w:id="141">
    <w:p w14:paraId="64ABC83B" w14:textId="77777777" w:rsidR="000C5F4C" w:rsidRDefault="000C5F4C" w:rsidP="004243C6">
      <w:pPr>
        <w:pStyle w:val="FootnoteText"/>
      </w:pPr>
      <w:r>
        <w:rPr>
          <w:rStyle w:val="FootnoteReference"/>
        </w:rPr>
        <w:footnoteRef/>
      </w:r>
      <w:r w:rsidRPr="001F1A1B">
        <w:rPr>
          <w:i/>
        </w:rPr>
        <w:t xml:space="preserve"> </w:t>
      </w:r>
      <w:r>
        <w:rPr>
          <w:i/>
        </w:rPr>
        <w:t>See</w:t>
      </w:r>
      <w:r>
        <w:t xml:space="preserve"> Receivership Order at 2, para. 14(c) (requiring the Receiver to obtain prior court approval before making “any capital improvements to the property”).</w:t>
      </w:r>
    </w:p>
  </w:footnote>
  <w:footnote w:id="142">
    <w:p w14:paraId="2D2D7359" w14:textId="77777777" w:rsidR="000C5F4C" w:rsidRPr="00BE5D52" w:rsidRDefault="000C5F4C" w:rsidP="004243C6">
      <w:pPr>
        <w:pStyle w:val="FootnoteText"/>
      </w:pPr>
      <w:r>
        <w:rPr>
          <w:rStyle w:val="FootnoteReference"/>
        </w:rPr>
        <w:footnoteRef/>
      </w:r>
      <w:r>
        <w:t xml:space="preserve"> Skybridge/Telesaurus Request at 4. </w:t>
      </w:r>
    </w:p>
  </w:footnote>
  <w:footnote w:id="143">
    <w:p w14:paraId="43AEF719" w14:textId="77777777" w:rsidR="000C5F4C" w:rsidRPr="001F1A1B" w:rsidRDefault="000C5F4C" w:rsidP="004243C6">
      <w:pPr>
        <w:pStyle w:val="FootnoteText"/>
      </w:pPr>
      <w:r>
        <w:rPr>
          <w:rStyle w:val="FootnoteReference"/>
        </w:rPr>
        <w:footnoteRef/>
      </w:r>
      <w:r>
        <w:t xml:space="preserve"> </w:t>
      </w:r>
      <w:r>
        <w:rPr>
          <w:i/>
        </w:rPr>
        <w:t>See</w:t>
      </w:r>
      <w:r>
        <w:t xml:space="preserve"> Receivership Order at 2, para. 16 (“The receiver and the parties may at any time apply to this court for further instructions and orders for additional powers necessary to enable the receiver to perform the receiver’s duties properly.”).</w:t>
      </w:r>
    </w:p>
  </w:footnote>
  <w:footnote w:id="144">
    <w:p w14:paraId="2A4A44CA" w14:textId="77777777" w:rsidR="000C5F4C" w:rsidRDefault="000C5F4C" w:rsidP="004243C6">
      <w:pPr>
        <w:pStyle w:val="FootnoteText"/>
      </w:pPr>
      <w:r>
        <w:rPr>
          <w:rStyle w:val="FootnoteReference"/>
        </w:rPr>
        <w:footnoteRef/>
      </w:r>
      <w:r>
        <w:t xml:space="preserve"> July 2016 Instructions at 2, paras. 2, 4.</w:t>
      </w:r>
    </w:p>
  </w:footnote>
  <w:footnote w:id="145">
    <w:p w14:paraId="7E3DB087" w14:textId="77777777" w:rsidR="000C5F4C" w:rsidRPr="007F6789" w:rsidRDefault="000C5F4C" w:rsidP="004243C6">
      <w:pPr>
        <w:pStyle w:val="FootnoteText"/>
      </w:pPr>
      <w:r>
        <w:rPr>
          <w:rStyle w:val="FootnoteReference"/>
        </w:rPr>
        <w:footnoteRef/>
      </w:r>
      <w:r>
        <w:t xml:space="preserve"> </w:t>
      </w:r>
      <w:r>
        <w:rPr>
          <w:i/>
        </w:rPr>
        <w:t>See</w:t>
      </w:r>
      <w:r>
        <w:t xml:space="preserve"> Telesaurus Assignment Application at 1 (filed Mar. 16, 2017 seeking to assign the license to Progeny); </w:t>
      </w:r>
      <w:r>
        <w:rPr>
          <w:i/>
        </w:rPr>
        <w:t>Arnold Leong v. Warren Havens et al.</w:t>
      </w:r>
      <w:r>
        <w:t xml:space="preserve">, Case No. 2002-070640, </w:t>
      </w:r>
      <w:r w:rsidRPr="007F6789">
        <w:t>Motion for an Order Approving Sale of Wireless Spectrum Assets to Pr</w:t>
      </w:r>
      <w:r>
        <w:t>o</w:t>
      </w:r>
      <w:r w:rsidRPr="007F6789">
        <w:t xml:space="preserve">geny LMS, LLC </w:t>
      </w:r>
      <w:r>
        <w:t xml:space="preserve">(filed Apr. 26, 2017).  In fact, as early as March 9, 2017, the Receiver represented to the Commission that Telesaurus and Progeny had mutually agreed to and signed a Spectrum Purchase Agreement.  </w:t>
      </w:r>
      <w:r>
        <w:rPr>
          <w:i/>
        </w:rPr>
        <w:t xml:space="preserve">See </w:t>
      </w:r>
      <w:r>
        <w:t xml:space="preserve">Telesaurus Renewal at 1.  </w:t>
      </w:r>
    </w:p>
  </w:footnote>
  <w:footnote w:id="146">
    <w:p w14:paraId="1FAA1F42" w14:textId="77777777" w:rsidR="000C5F4C" w:rsidRDefault="000C5F4C" w:rsidP="004243C6">
      <w:pPr>
        <w:pStyle w:val="FootnoteText"/>
      </w:pPr>
      <w:r>
        <w:rPr>
          <w:rStyle w:val="FootnoteReference"/>
        </w:rPr>
        <w:footnoteRef/>
      </w:r>
      <w:r>
        <w:t xml:space="preserve"> 47 CFR §§ 1.946(e), 90.155(g).</w:t>
      </w:r>
    </w:p>
  </w:footnote>
  <w:footnote w:id="147">
    <w:p w14:paraId="5C7DF653" w14:textId="77777777" w:rsidR="000C5F4C" w:rsidRPr="008C7901" w:rsidRDefault="000C5F4C" w:rsidP="004243C6">
      <w:pPr>
        <w:pStyle w:val="FootnoteText"/>
      </w:pPr>
      <w:r>
        <w:rPr>
          <w:rStyle w:val="FootnoteReference"/>
        </w:rPr>
        <w:footnoteRef/>
      </w:r>
      <w:r>
        <w:t xml:space="preserve"> </w:t>
      </w:r>
      <w:r>
        <w:rPr>
          <w:i/>
        </w:rPr>
        <w:t>LaRose v. FCC</w:t>
      </w:r>
      <w:r>
        <w:t xml:space="preserve">, 494 F.2d 1145 (D.C. Cir. 1974).  </w:t>
      </w:r>
    </w:p>
  </w:footnote>
  <w:footnote w:id="148">
    <w:p w14:paraId="675FB5B3" w14:textId="77777777" w:rsidR="000C5F4C" w:rsidRDefault="000C5F4C" w:rsidP="004243C6">
      <w:pPr>
        <w:pStyle w:val="FootnoteText"/>
      </w:pPr>
      <w:r>
        <w:rPr>
          <w:rStyle w:val="FootnoteReference"/>
        </w:rPr>
        <w:footnoteRef/>
      </w:r>
      <w:r>
        <w:t xml:space="preserve"> Skybridge/Telesaurus Request at 7-8.</w:t>
      </w:r>
    </w:p>
  </w:footnote>
  <w:footnote w:id="149">
    <w:p w14:paraId="5DCA9547" w14:textId="77777777" w:rsidR="000C5F4C" w:rsidRPr="00F672CE" w:rsidRDefault="000C5F4C" w:rsidP="004243C6">
      <w:pPr>
        <w:pStyle w:val="FootnoteText"/>
      </w:pPr>
      <w:r>
        <w:rPr>
          <w:rStyle w:val="FootnoteReference"/>
        </w:rPr>
        <w:footnoteRef/>
      </w:r>
      <w:r>
        <w:t xml:space="preserve"> </w:t>
      </w:r>
      <w:r>
        <w:rPr>
          <w:i/>
        </w:rPr>
        <w:t>Holland</w:t>
      </w:r>
      <w:r>
        <w:t>, 31 FCC Rcd 3920.</w:t>
      </w:r>
    </w:p>
  </w:footnote>
  <w:footnote w:id="150">
    <w:p w14:paraId="3FCDAB4C" w14:textId="77777777" w:rsidR="000C5F4C" w:rsidRPr="0054688E" w:rsidRDefault="000C5F4C" w:rsidP="004243C6">
      <w:pPr>
        <w:pStyle w:val="FootnoteText"/>
      </w:pPr>
      <w:r>
        <w:rPr>
          <w:rStyle w:val="FootnoteReference"/>
        </w:rPr>
        <w:footnoteRef/>
      </w:r>
      <w:r>
        <w:t xml:space="preserve"> </w:t>
      </w:r>
      <w:r>
        <w:rPr>
          <w:i/>
        </w:rPr>
        <w:t>Id.</w:t>
      </w:r>
      <w:r>
        <w:t xml:space="preserve"> at 3923-25, paras. 11-12, 17.</w:t>
      </w:r>
    </w:p>
  </w:footnote>
  <w:footnote w:id="151">
    <w:p w14:paraId="503148AB" w14:textId="77777777" w:rsidR="000C5F4C" w:rsidRPr="000F3A55" w:rsidRDefault="000C5F4C" w:rsidP="004243C6">
      <w:pPr>
        <w:pStyle w:val="FootnoteText"/>
      </w:pPr>
      <w:r>
        <w:rPr>
          <w:rStyle w:val="FootnoteReference"/>
        </w:rPr>
        <w:footnoteRef/>
      </w:r>
      <w:r>
        <w:t xml:space="preserve"> The Receiver’s interference claims make showings only of practical infeasibility, rather than legal impossibility.  </w:t>
      </w:r>
      <w:r>
        <w:rPr>
          <w:i/>
        </w:rPr>
        <w:t>See, e.g.</w:t>
      </w:r>
      <w:r>
        <w:t xml:space="preserve">, Skybridge/Telesaurus Request at 4 (“Havens has deployed great energy and determination to oppose the Receiver, who has had to devote similar energy to fending off Havens’ persistent attempts to undermine the court-imposed receivership by initiating frivolous litigations.  That diversion of energy has meant that her full attention could not be given to the Skybridge and Telesaurus LMS licenses.”).  </w:t>
      </w:r>
      <w:r>
        <w:rPr>
          <w:i/>
        </w:rPr>
        <w:t>See also</w:t>
      </w:r>
      <w:r>
        <w:t xml:space="preserve"> WISPA Comments at 9 (“[T]he Receiver here seeks a waiver of a construction and operational requirement that has been in place for many years.  The Receiver does not, and cannot, claim that [Havens’] actions have precluded the filing of the Applications or any renewal applications.”).</w:t>
      </w:r>
    </w:p>
  </w:footnote>
  <w:footnote w:id="152">
    <w:p w14:paraId="0DBD9B98" w14:textId="77777777" w:rsidR="000C5F4C" w:rsidRDefault="000C5F4C" w:rsidP="004243C6">
      <w:pPr>
        <w:pStyle w:val="FootnoteText"/>
      </w:pPr>
      <w:r>
        <w:rPr>
          <w:rStyle w:val="FootnoteReference"/>
        </w:rPr>
        <w:footnoteRef/>
      </w:r>
      <w:r>
        <w:t xml:space="preserve"> Telesaurus Extension and Waiver Amendment at 2 (seeking a single consolidated construction deadline of April 20, 2017).</w:t>
      </w:r>
    </w:p>
  </w:footnote>
  <w:footnote w:id="153">
    <w:p w14:paraId="3E06D708" w14:textId="77777777" w:rsidR="000C5F4C" w:rsidRPr="00687A46" w:rsidRDefault="000C5F4C" w:rsidP="004243C6">
      <w:pPr>
        <w:pStyle w:val="FootnoteText"/>
      </w:pPr>
      <w:r>
        <w:rPr>
          <w:rStyle w:val="FootnoteReference"/>
        </w:rPr>
        <w:footnoteRef/>
      </w:r>
      <w:r>
        <w:t xml:space="preserve"> </w:t>
      </w:r>
      <w:r w:rsidRPr="00A25345">
        <w:t>47 CFR §§</w:t>
      </w:r>
      <w:r>
        <w:t xml:space="preserve"> 1.925(b)(3),</w:t>
      </w:r>
      <w:r w:rsidRPr="00A25345">
        <w:t xml:space="preserve"> </w:t>
      </w:r>
      <w:r>
        <w:t>1.946(c).</w:t>
      </w:r>
    </w:p>
  </w:footnote>
  <w:footnote w:id="154">
    <w:p w14:paraId="27742C51" w14:textId="1FBFE0C7" w:rsidR="000C5F4C" w:rsidRPr="00BF5440" w:rsidRDefault="000C5F4C" w:rsidP="004243C6">
      <w:pPr>
        <w:pStyle w:val="FootnoteText"/>
      </w:pPr>
      <w:r>
        <w:rPr>
          <w:rStyle w:val="FootnoteReference"/>
        </w:rPr>
        <w:footnoteRef/>
      </w:r>
      <w:r>
        <w:t xml:space="preserve"> </w:t>
      </w:r>
      <w:r>
        <w:rPr>
          <w:i/>
        </w:rPr>
        <w:t>See supra</w:t>
      </w:r>
      <w:r>
        <w:t xml:space="preserve"> paras. </w:t>
      </w:r>
      <w:r>
        <w:fldChar w:fldCharType="begin"/>
      </w:r>
      <w:r>
        <w:instrText xml:space="preserve"> REF _Ref472426785 \r \h  \* MERGEFORMAT </w:instrText>
      </w:r>
      <w:r>
        <w:fldChar w:fldCharType="separate"/>
      </w:r>
      <w:r>
        <w:t>11</w:t>
      </w:r>
      <w:r>
        <w:fldChar w:fldCharType="end"/>
      </w:r>
      <w:r>
        <w:t>-</w:t>
      </w:r>
      <w:r>
        <w:fldChar w:fldCharType="begin"/>
      </w:r>
      <w:r>
        <w:instrText xml:space="preserve"> REF _Ref472426730 \r \h  \* MERGEFORMAT </w:instrText>
      </w:r>
      <w:r>
        <w:fldChar w:fldCharType="separate"/>
      </w:r>
      <w:r>
        <w:t>12</w:t>
      </w:r>
      <w:r>
        <w:fldChar w:fldCharType="end"/>
      </w:r>
      <w:r>
        <w:t>.</w:t>
      </w:r>
    </w:p>
  </w:footnote>
  <w:footnote w:id="155">
    <w:p w14:paraId="2ED4F42C" w14:textId="77777777" w:rsidR="000C5F4C" w:rsidRDefault="000C5F4C" w:rsidP="004243C6">
      <w:pPr>
        <w:pStyle w:val="FootnoteText"/>
      </w:pPr>
      <w:r>
        <w:rPr>
          <w:rStyle w:val="FootnoteReference"/>
        </w:rPr>
        <w:footnoteRef/>
      </w:r>
      <w:r>
        <w:t xml:space="preserve"> </w:t>
      </w:r>
      <w:r w:rsidRPr="000B4961">
        <w:rPr>
          <w:i/>
        </w:rPr>
        <w:t>See, e.g.</w:t>
      </w:r>
      <w:r w:rsidRPr="00810AEA">
        <w:t xml:space="preserve">, </w:t>
      </w:r>
      <w:r w:rsidRPr="002F12EF">
        <w:t>47 U.S.C. § 309.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A13F" w14:textId="77777777" w:rsidR="00A96579" w:rsidRDefault="00A96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5291" w14:textId="77777777" w:rsidR="000C5F4C" w:rsidRDefault="000C5F4C">
    <w:pPr>
      <w:pStyle w:val="Header"/>
      <w:rPr>
        <w:b w:val="0"/>
      </w:rPr>
    </w:pPr>
  </w:p>
  <w:p w14:paraId="0122712D" w14:textId="17CB9A0E" w:rsidR="000C5F4C" w:rsidRDefault="000C5F4C">
    <w:pPr>
      <w:pStyle w:val="Header"/>
      <w:rPr>
        <w:b w:val="0"/>
      </w:rPr>
    </w:pPr>
    <w:r>
      <w:tab/>
      <w:t>Federal Communications Commission</w:t>
    </w:r>
    <w:r>
      <w:tab/>
      <w:t>DA 17-1124</w:t>
    </w:r>
  </w:p>
  <w:p w14:paraId="215C7F6D" w14:textId="77777777" w:rsidR="000C5F4C" w:rsidRDefault="006909C1">
    <w:pPr>
      <w:pStyle w:val="Header"/>
      <w:rPr>
        <w:b w:val="0"/>
      </w:rPr>
    </w:pPr>
    <w:r>
      <w:rPr>
        <w:noProof/>
      </w:rPr>
      <w:pict w14:anchorId="154B4AF0">
        <v:line id="Line 3" o:spid="_x0000_s2053"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4qEnUSAgAA&#10;KQQAAA4AAAAAAAAAAAAAAAAALgIAAGRycy9lMm9Eb2MueG1sUEsBAi0AFAAGAAgAAAAhAO4pKK7Y&#10;AAAABAEAAA8AAAAAAAAAAAAAAAAAbAQAAGRycy9kb3ducmV2LnhtbFBLBQYAAAAABAAEAPMAAABx&#10;BQAAAAA=&#10;" o:allowincell="f" strokeweight="1.5pt"/>
      </w:pict>
    </w:r>
    <w:r w:rsidR="000C5F4C">
      <w:rPr>
        <w:noProof/>
      </w:rPr>
      <w:t xml:space="preserve"> </w:t>
    </w:r>
    <w:r>
      <w:rPr>
        <w:noProof/>
      </w:rPr>
      <w:pict w14:anchorId="0486A638">
        <v:line id="Line 2" o:spid="_x0000_s205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w:r>
  </w:p>
  <w:p w14:paraId="7491354A" w14:textId="77777777" w:rsidR="000C5F4C" w:rsidRDefault="000C5F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83690" w14:textId="77777777" w:rsidR="000C5F4C" w:rsidRDefault="000C5F4C">
    <w:pPr>
      <w:pStyle w:val="Header"/>
      <w:rPr>
        <w:b w:val="0"/>
      </w:rPr>
    </w:pPr>
    <w:r>
      <w:tab/>
      <w:t>Federal Communications Commission</w:t>
    </w:r>
    <w:r>
      <w:tab/>
      <w:t xml:space="preserve">DA 17-XXXX </w:t>
    </w:r>
  </w:p>
  <w:p w14:paraId="3701EFFB" w14:textId="77777777" w:rsidR="000C5F4C" w:rsidRDefault="006909C1">
    <w:pPr>
      <w:pStyle w:val="Header"/>
      <w:rPr>
        <w:b w:val="0"/>
      </w:rPr>
    </w:pPr>
    <w:r>
      <w:rPr>
        <w:noProof/>
      </w:rPr>
      <w:pict w14:anchorId="3CA35B54">
        <v:line id="Line 1" o:spid="_x0000_s205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65B9B" w14:textId="7EA03366" w:rsidR="000C5F4C" w:rsidRDefault="000C5F4C" w:rsidP="00810B6F">
    <w:pPr>
      <w:pStyle w:val="Header"/>
      <w:rPr>
        <w:b w:val="0"/>
      </w:rPr>
    </w:pPr>
    <w:r>
      <w:tab/>
      <w:t>Federal Communications Commission</w:t>
    </w:r>
    <w:r>
      <w:tab/>
      <w:t>DA 17-1124</w:t>
    </w:r>
  </w:p>
  <w:p w14:paraId="02C52420" w14:textId="77777777" w:rsidR="000C5F4C" w:rsidRDefault="006909C1">
    <w:pPr>
      <w:tabs>
        <w:tab w:val="left" w:pos="-720"/>
      </w:tabs>
      <w:suppressAutoHyphens/>
      <w:spacing w:line="19" w:lineRule="exact"/>
      <w:rPr>
        <w:spacing w:val="-2"/>
      </w:rPr>
    </w:pPr>
    <w:r>
      <w:rPr>
        <w:noProof/>
      </w:rPr>
      <w:pict w14:anchorId="61F38D11">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600798CB" w14:textId="77777777" w:rsidR="000C5F4C" w:rsidRDefault="000C5F4C">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FD4" w14:textId="6A860BDF" w:rsidR="000C5F4C" w:rsidRDefault="006909C1" w:rsidP="00810B6F">
    <w:pPr>
      <w:pStyle w:val="Header"/>
      <w:rPr>
        <w:b w:val="0"/>
      </w:rPr>
    </w:pPr>
    <w:r>
      <w:rPr>
        <w:noProof/>
      </w:rPr>
      <w:pict w14:anchorId="5777A010">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0C5F4C">
      <w:tab/>
      <w:t>Federal Communications Commission</w:t>
    </w:r>
    <w:r w:rsidR="000C5F4C">
      <w:tab/>
      <w:t>DA 17-1124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3683924"/>
    <w:multiLevelType w:val="hybridMultilevel"/>
    <w:tmpl w:val="23D6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E76AB"/>
    <w:multiLevelType w:val="hybridMultilevel"/>
    <w:tmpl w:val="D6B6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20595"/>
    <w:multiLevelType w:val="hybridMultilevel"/>
    <w:tmpl w:val="17AC6052"/>
    <w:lvl w:ilvl="0" w:tplc="F460C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93917B2"/>
    <w:multiLevelType w:val="hybridMultilevel"/>
    <w:tmpl w:val="AB4CEEE6"/>
    <w:lvl w:ilvl="0" w:tplc="B16C010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11">
    <w:nsid w:val="3D0F1B3D"/>
    <w:multiLevelType w:val="singleLevel"/>
    <w:tmpl w:val="9C58680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5"/>
  </w:num>
  <w:num w:numId="2">
    <w:abstractNumId w:val="17"/>
  </w:num>
  <w:num w:numId="3">
    <w:abstractNumId w:val="7"/>
  </w:num>
  <w:num w:numId="4">
    <w:abstractNumId w:val="12"/>
  </w:num>
  <w:num w:numId="5">
    <w:abstractNumId w:val="6"/>
  </w:num>
  <w:num w:numId="6">
    <w:abstractNumId w:val="1"/>
  </w:num>
  <w:num w:numId="7">
    <w:abstractNumId w:val="14"/>
  </w:num>
  <w:num w:numId="8">
    <w:abstractNumId w:val="15"/>
  </w:num>
  <w:num w:numId="9">
    <w:abstractNumId w:val="11"/>
  </w:num>
  <w:num w:numId="10">
    <w:abstractNumId w:val="13"/>
  </w:num>
  <w:num w:numId="11">
    <w:abstractNumId w:val="8"/>
  </w:num>
  <w:num w:numId="12">
    <w:abstractNumId w:val="4"/>
  </w:num>
  <w:num w:numId="13">
    <w:abstractNumId w:val="16"/>
  </w:num>
  <w:num w:numId="14">
    <w:abstractNumId w:val="9"/>
  </w:num>
  <w:num w:numId="15">
    <w:abstractNumId w:val="0"/>
  </w:num>
  <w:num w:numId="16">
    <w:abstractNumId w:val="18"/>
  </w:num>
  <w:num w:numId="17">
    <w:abstractNumId w:val="1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3C6"/>
    <w:rsid w:val="00036039"/>
    <w:rsid w:val="00037F90"/>
    <w:rsid w:val="000875BF"/>
    <w:rsid w:val="00096D8C"/>
    <w:rsid w:val="000B19FC"/>
    <w:rsid w:val="000C0B65"/>
    <w:rsid w:val="000C5F4C"/>
    <w:rsid w:val="000E05FE"/>
    <w:rsid w:val="000E3D42"/>
    <w:rsid w:val="00122BD5"/>
    <w:rsid w:val="00133F79"/>
    <w:rsid w:val="00161B07"/>
    <w:rsid w:val="001702A8"/>
    <w:rsid w:val="00194A66"/>
    <w:rsid w:val="001D6BCF"/>
    <w:rsid w:val="001E01CA"/>
    <w:rsid w:val="001F00A0"/>
    <w:rsid w:val="002702FA"/>
    <w:rsid w:val="00275CF5"/>
    <w:rsid w:val="0028301F"/>
    <w:rsid w:val="00285017"/>
    <w:rsid w:val="00287927"/>
    <w:rsid w:val="002A2D2E"/>
    <w:rsid w:val="002C00E8"/>
    <w:rsid w:val="002D7D0B"/>
    <w:rsid w:val="00343749"/>
    <w:rsid w:val="003660ED"/>
    <w:rsid w:val="003B0550"/>
    <w:rsid w:val="003B694F"/>
    <w:rsid w:val="003F171C"/>
    <w:rsid w:val="003F3165"/>
    <w:rsid w:val="003F5BD8"/>
    <w:rsid w:val="00412FC5"/>
    <w:rsid w:val="00422276"/>
    <w:rsid w:val="004242F1"/>
    <w:rsid w:val="004243C6"/>
    <w:rsid w:val="00445A00"/>
    <w:rsid w:val="00451B0F"/>
    <w:rsid w:val="004C2EE3"/>
    <w:rsid w:val="004E4A22"/>
    <w:rsid w:val="00511968"/>
    <w:rsid w:val="0052240C"/>
    <w:rsid w:val="0055614C"/>
    <w:rsid w:val="005E14C2"/>
    <w:rsid w:val="00607BA5"/>
    <w:rsid w:val="0061180A"/>
    <w:rsid w:val="00626EB6"/>
    <w:rsid w:val="00655D03"/>
    <w:rsid w:val="00683388"/>
    <w:rsid w:val="00683F84"/>
    <w:rsid w:val="006909C1"/>
    <w:rsid w:val="006A6A81"/>
    <w:rsid w:val="006C63E8"/>
    <w:rsid w:val="006F7393"/>
    <w:rsid w:val="0070224F"/>
    <w:rsid w:val="007115F7"/>
    <w:rsid w:val="00783A17"/>
    <w:rsid w:val="00785689"/>
    <w:rsid w:val="0079754B"/>
    <w:rsid w:val="007A1E6D"/>
    <w:rsid w:val="007B0EB2"/>
    <w:rsid w:val="00810B6F"/>
    <w:rsid w:val="00822CE0"/>
    <w:rsid w:val="00841AB1"/>
    <w:rsid w:val="008627C6"/>
    <w:rsid w:val="008717E9"/>
    <w:rsid w:val="008C68F1"/>
    <w:rsid w:val="00921803"/>
    <w:rsid w:val="00926503"/>
    <w:rsid w:val="009726D8"/>
    <w:rsid w:val="00976502"/>
    <w:rsid w:val="009F76DB"/>
    <w:rsid w:val="00A15753"/>
    <w:rsid w:val="00A21C33"/>
    <w:rsid w:val="00A32C3B"/>
    <w:rsid w:val="00A36023"/>
    <w:rsid w:val="00A40249"/>
    <w:rsid w:val="00A45F4F"/>
    <w:rsid w:val="00A600A9"/>
    <w:rsid w:val="00A96579"/>
    <w:rsid w:val="00AA1917"/>
    <w:rsid w:val="00AA55B7"/>
    <w:rsid w:val="00AA5B9E"/>
    <w:rsid w:val="00AB2407"/>
    <w:rsid w:val="00AB53DF"/>
    <w:rsid w:val="00B07E5C"/>
    <w:rsid w:val="00B67AAE"/>
    <w:rsid w:val="00B80871"/>
    <w:rsid w:val="00B811F7"/>
    <w:rsid w:val="00B86DFB"/>
    <w:rsid w:val="00B8763A"/>
    <w:rsid w:val="00B90EA6"/>
    <w:rsid w:val="00BA5DC6"/>
    <w:rsid w:val="00BA6196"/>
    <w:rsid w:val="00BC5578"/>
    <w:rsid w:val="00BC6D8C"/>
    <w:rsid w:val="00BF4601"/>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1751"/>
    <w:rsid w:val="00E07225"/>
    <w:rsid w:val="00E16D60"/>
    <w:rsid w:val="00E5409F"/>
    <w:rsid w:val="00E71C8D"/>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4A2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t,ALTS FOOTNOTE,fn,Footnote Text Char1 Char2 Char,Footnote Text Char1 Char Char Char Char,Footnote Text Char Char Char1 Char,f"/>
    <w:link w:val="FootnoteTextChar"/>
    <w:uiPriority w:val="99"/>
    <w:qFormat/>
    <w:rsid w:val="000E3D42"/>
    <w:pPr>
      <w:spacing w:after="120"/>
    </w:pPr>
  </w:style>
  <w:style w:type="character" w:customStyle="1" w:styleId="FootnoteTextChar">
    <w:name w:val="Footnote Text Char"/>
    <w:aliases w:val="Footnote Text Char1 Char,Footnote Text Char Char Char,Footnote Text Char1 Char Char Char,Footnote Text Char Char Char Char Char,ft Char,ALTS FOOTNOTE Char,fn Char,Footnote Text Char1 Char2 Char Char,f Char"/>
    <w:link w:val="FootnoteText"/>
    <w:uiPriority w:val="99"/>
    <w:rsid w:val="004243C6"/>
  </w:style>
  <w:style w:type="character" w:styleId="FootnoteReference">
    <w:name w:val="footnote reference"/>
    <w:aliases w:val="o,fr,Appel note de bas de p,Style 12,(NECG) Footnote Reference,Style 124,Style 3,Style 17,FR,Style 13,Footnote Reference/,Style 6,Style 7,Style 4,Footnote Reference1,Style 34,Style 9"/>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character" w:customStyle="1" w:styleId="HeaderChar">
    <w:name w:val="Header Char"/>
    <w:link w:val="Header"/>
    <w:rsid w:val="004243C6"/>
    <w:rPr>
      <w:b/>
      <w:snapToGrid w:val="0"/>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243C6"/>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Caption">
    <w:name w:val="caption"/>
    <w:basedOn w:val="Normal"/>
    <w:next w:val="Normal"/>
    <w:qFormat/>
    <w:rsid w:val="004243C6"/>
    <w:pPr>
      <w:widowControl/>
      <w:spacing w:before="120" w:after="120"/>
    </w:pPr>
    <w:rPr>
      <w:b/>
      <w:snapToGrid/>
      <w:kern w:val="0"/>
    </w:rPr>
  </w:style>
  <w:style w:type="paragraph" w:customStyle="1" w:styleId="NumberedList">
    <w:name w:val="Numbered List"/>
    <w:basedOn w:val="Normal"/>
    <w:rsid w:val="004243C6"/>
    <w:pPr>
      <w:widowControl/>
      <w:numPr>
        <w:numId w:val="10"/>
      </w:numPr>
      <w:tabs>
        <w:tab w:val="clear" w:pos="1080"/>
      </w:tabs>
      <w:spacing w:after="220"/>
      <w:ind w:firstLine="0"/>
    </w:pPr>
    <w:rPr>
      <w:snapToGrid/>
      <w:kern w:val="0"/>
    </w:rPr>
  </w:style>
  <w:style w:type="paragraph" w:styleId="Title">
    <w:name w:val="Title"/>
    <w:basedOn w:val="Normal"/>
    <w:link w:val="TitleChar"/>
    <w:qFormat/>
    <w:rsid w:val="004243C6"/>
    <w:pPr>
      <w:widowControl/>
      <w:jc w:val="center"/>
    </w:pPr>
    <w:rPr>
      <w:b/>
      <w:snapToGrid/>
      <w:kern w:val="0"/>
    </w:rPr>
  </w:style>
  <w:style w:type="character" w:customStyle="1" w:styleId="TitleChar">
    <w:name w:val="Title Char"/>
    <w:basedOn w:val="DefaultParagraphFont"/>
    <w:link w:val="Title"/>
    <w:rsid w:val="004243C6"/>
    <w:rPr>
      <w:b/>
      <w:sz w:val="22"/>
    </w:rPr>
  </w:style>
  <w:style w:type="paragraph" w:styleId="BalloonText">
    <w:name w:val="Balloon Text"/>
    <w:basedOn w:val="Normal"/>
    <w:link w:val="BalloonTextChar"/>
    <w:uiPriority w:val="99"/>
    <w:rsid w:val="004243C6"/>
    <w:pPr>
      <w:widowControl/>
    </w:pPr>
    <w:rPr>
      <w:rFonts w:ascii="Tahoma" w:hAnsi="Tahoma" w:cs="Tahoma"/>
      <w:snapToGrid/>
      <w:kern w:val="0"/>
      <w:sz w:val="16"/>
      <w:szCs w:val="16"/>
    </w:rPr>
  </w:style>
  <w:style w:type="character" w:customStyle="1" w:styleId="BalloonTextChar">
    <w:name w:val="Balloon Text Char"/>
    <w:basedOn w:val="DefaultParagraphFont"/>
    <w:link w:val="BalloonText"/>
    <w:uiPriority w:val="99"/>
    <w:rsid w:val="004243C6"/>
    <w:rPr>
      <w:rFonts w:ascii="Tahoma" w:hAnsi="Tahoma" w:cs="Tahoma"/>
      <w:sz w:val="16"/>
      <w:szCs w:val="16"/>
    </w:rPr>
  </w:style>
  <w:style w:type="character" w:styleId="CommentReference">
    <w:name w:val="annotation reference"/>
    <w:uiPriority w:val="99"/>
    <w:rsid w:val="004243C6"/>
    <w:rPr>
      <w:sz w:val="16"/>
      <w:szCs w:val="16"/>
    </w:rPr>
  </w:style>
  <w:style w:type="paragraph" w:styleId="CommentText">
    <w:name w:val="annotation text"/>
    <w:basedOn w:val="Normal"/>
    <w:link w:val="CommentTextChar"/>
    <w:uiPriority w:val="99"/>
    <w:rsid w:val="004243C6"/>
    <w:pPr>
      <w:widowControl/>
    </w:pPr>
    <w:rPr>
      <w:snapToGrid/>
      <w:kern w:val="0"/>
      <w:sz w:val="20"/>
    </w:rPr>
  </w:style>
  <w:style w:type="character" w:customStyle="1" w:styleId="CommentTextChar">
    <w:name w:val="Comment Text Char"/>
    <w:basedOn w:val="DefaultParagraphFont"/>
    <w:link w:val="CommentText"/>
    <w:uiPriority w:val="99"/>
    <w:rsid w:val="004243C6"/>
  </w:style>
  <w:style w:type="paragraph" w:styleId="CommentSubject">
    <w:name w:val="annotation subject"/>
    <w:basedOn w:val="CommentText"/>
    <w:next w:val="CommentText"/>
    <w:link w:val="CommentSubjectChar"/>
    <w:uiPriority w:val="99"/>
    <w:rsid w:val="004243C6"/>
    <w:rPr>
      <w:b/>
      <w:bCs/>
    </w:rPr>
  </w:style>
  <w:style w:type="character" w:customStyle="1" w:styleId="CommentSubjectChar">
    <w:name w:val="Comment Subject Char"/>
    <w:basedOn w:val="CommentTextChar"/>
    <w:link w:val="CommentSubject"/>
    <w:uiPriority w:val="99"/>
    <w:rsid w:val="004243C6"/>
    <w:rPr>
      <w:b/>
      <w:bCs/>
    </w:rPr>
  </w:style>
  <w:style w:type="character" w:customStyle="1" w:styleId="Style1">
    <w:name w:val="Style1"/>
    <w:rsid w:val="004243C6"/>
  </w:style>
  <w:style w:type="paragraph" w:customStyle="1" w:styleId="Paranum0">
    <w:name w:val="Paranum"/>
    <w:basedOn w:val="Normal"/>
    <w:rsid w:val="004243C6"/>
    <w:pPr>
      <w:spacing w:after="220"/>
      <w:ind w:firstLine="720"/>
      <w:jc w:val="both"/>
    </w:pPr>
    <w:rPr>
      <w:snapToGrid/>
      <w:kern w:val="0"/>
    </w:rPr>
  </w:style>
  <w:style w:type="paragraph" w:customStyle="1" w:styleId="TableFormat0">
    <w:name w:val="Table Format"/>
    <w:basedOn w:val="Normal"/>
    <w:rsid w:val="004243C6"/>
    <w:pPr>
      <w:tabs>
        <w:tab w:val="left" w:pos="5040"/>
      </w:tabs>
      <w:spacing w:after="220"/>
      <w:ind w:left="5040" w:hanging="3600"/>
      <w:jc w:val="both"/>
    </w:pPr>
    <w:rPr>
      <w:snapToGrid/>
      <w:kern w:val="0"/>
    </w:rPr>
  </w:style>
  <w:style w:type="character" w:styleId="FollowedHyperlink">
    <w:name w:val="FollowedHyperlink"/>
    <w:uiPriority w:val="99"/>
    <w:rsid w:val="004243C6"/>
    <w:rPr>
      <w:color w:val="800080"/>
      <w:u w:val="single"/>
    </w:rPr>
  </w:style>
  <w:style w:type="character" w:styleId="Emphasis">
    <w:name w:val="Emphasis"/>
    <w:uiPriority w:val="20"/>
    <w:qFormat/>
    <w:rsid w:val="004243C6"/>
    <w:rPr>
      <w:i/>
      <w:iCs/>
    </w:rPr>
  </w:style>
  <w:style w:type="paragraph" w:styleId="NormalWeb">
    <w:name w:val="Normal (Web)"/>
    <w:basedOn w:val="Normal"/>
    <w:uiPriority w:val="99"/>
    <w:unhideWhenUsed/>
    <w:rsid w:val="004243C6"/>
    <w:pPr>
      <w:widowControl/>
      <w:spacing w:before="100" w:beforeAutospacing="1" w:after="100" w:afterAutospacing="1"/>
    </w:pPr>
    <w:rPr>
      <w:snapToGrid/>
      <w:kern w:val="0"/>
      <w:sz w:val="24"/>
      <w:szCs w:val="24"/>
    </w:rPr>
  </w:style>
  <w:style w:type="character" w:customStyle="1" w:styleId="cosearchterm">
    <w:name w:val="co_searchterm"/>
    <w:rsid w:val="004243C6"/>
  </w:style>
  <w:style w:type="paragraph" w:styleId="ListParagraph">
    <w:name w:val="List Paragraph"/>
    <w:basedOn w:val="Normal"/>
    <w:uiPriority w:val="34"/>
    <w:qFormat/>
    <w:rsid w:val="004243C6"/>
    <w:pPr>
      <w:widowControl/>
      <w:ind w:left="720"/>
      <w:contextualSpacing/>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10803</Words>
  <Characters>62164</Characters>
  <Application>Microsoft Office Word</Application>
  <DocSecurity>0</DocSecurity>
  <Lines>3684</Lines>
  <Paragraphs>2620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71510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2017-11-20T18:34:00Z</cp:lastPrinted>
  <dcterms:created xsi:type="dcterms:W3CDTF">2017-11-20T19:02:00Z</dcterms:created>
  <dcterms:modified xsi:type="dcterms:W3CDTF">2017-11-20T19:02:00Z</dcterms:modified>
  <cp:category> </cp:category>
  <cp:contentStatus> </cp:contentStatus>
</cp:coreProperties>
</file>